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_GBK" w:hAnsi="宋体" w:eastAsia="方正小标宋_GBK"/>
          <w:color w:val="auto"/>
          <w:sz w:val="72"/>
          <w:szCs w:val="72"/>
        </w:rPr>
      </w:pPr>
      <w:bookmarkStart w:id="0" w:name="_Toc15306267"/>
    </w:p>
    <w:p>
      <w:pPr>
        <w:spacing w:line="600" w:lineRule="exact"/>
        <w:jc w:val="center"/>
        <w:outlineLvl w:val="9"/>
        <w:rPr>
          <w:rFonts w:ascii="方正小标宋_GBK" w:hAnsi="宋体" w:eastAsia="方正小标宋_GBK"/>
          <w:color w:val="auto"/>
          <w:sz w:val="72"/>
          <w:szCs w:val="72"/>
        </w:rPr>
      </w:pPr>
    </w:p>
    <w:p>
      <w:pPr>
        <w:spacing w:line="600" w:lineRule="exact"/>
        <w:jc w:val="center"/>
        <w:outlineLvl w:val="9"/>
        <w:rPr>
          <w:rFonts w:ascii="方正小标宋_GBK" w:hAnsi="宋体" w:eastAsia="方正小标宋_GBK"/>
          <w:color w:val="auto"/>
          <w:sz w:val="72"/>
          <w:szCs w:val="72"/>
        </w:rPr>
      </w:pPr>
    </w:p>
    <w:p>
      <w:pPr>
        <w:keepNext w:val="0"/>
        <w:keepLines w:val="0"/>
        <w:pageBreakBefore w:val="0"/>
        <w:widowControl w:val="0"/>
        <w:kinsoku/>
        <w:wordWrap/>
        <w:overflowPunct/>
        <w:topLinePunct w:val="0"/>
        <w:autoSpaceDE/>
        <w:autoSpaceDN/>
        <w:bidi w:val="0"/>
        <w:spacing w:line="800" w:lineRule="exact"/>
        <w:jc w:val="center"/>
        <w:textAlignment w:val="auto"/>
        <w:outlineLvl w:val="9"/>
        <w:rPr>
          <w:rFonts w:ascii="方正小标宋_GBK" w:hAnsi="宋体" w:eastAsia="方正小标宋_GBK"/>
          <w:color w:val="auto"/>
          <w:sz w:val="56"/>
          <w:szCs w:val="56"/>
        </w:rPr>
      </w:pPr>
      <w:bookmarkStart w:id="1" w:name="_Toc357"/>
      <w:r>
        <w:rPr>
          <w:rFonts w:hint="eastAsia" w:ascii="方正小标宋简体" w:hAnsi="宋体" w:eastAsia="方正小标宋简体" w:cs="Times New Roman"/>
          <w:color w:val="auto"/>
          <w:w w:val="90"/>
          <w:kern w:val="2"/>
          <w:sz w:val="44"/>
          <w:szCs w:val="44"/>
          <w:highlight w:val="none"/>
          <w:lang w:val="en-US" w:eastAsia="zh-CN" w:bidi="ar-SA"/>
        </w:rPr>
        <w:t>2024年度</w:t>
      </w:r>
      <w:bookmarkEnd w:id="1"/>
      <w:r>
        <w:rPr>
          <w:rFonts w:hint="eastAsia" w:ascii="方正小标宋简体" w:hAnsi="宋体" w:eastAsia="方正小标宋简体" w:cs="Times New Roman"/>
          <w:color w:val="auto"/>
          <w:w w:val="90"/>
          <w:kern w:val="2"/>
          <w:sz w:val="44"/>
          <w:szCs w:val="44"/>
          <w:highlight w:val="none"/>
          <w:lang w:val="en-US" w:eastAsia="zh-CN" w:bidi="ar-SA"/>
        </w:rPr>
        <w:t>广元市国土整治中心</w:t>
      </w:r>
      <w:r>
        <w:rPr>
          <w:rFonts w:hint="eastAsia" w:ascii="方正小标宋简体" w:hAnsi="宋体" w:eastAsia="方正小标宋简体" w:cs="Times New Roman"/>
          <w:color w:val="auto"/>
          <w:kern w:val="2"/>
          <w:sz w:val="44"/>
          <w:szCs w:val="44"/>
          <w:highlight w:val="none"/>
          <w:lang w:val="en" w:eastAsia="zh-CN" w:bidi="ar-SA"/>
        </w:rPr>
        <w:t>单位</w:t>
      </w:r>
      <w:r>
        <w:rPr>
          <w:rFonts w:hint="eastAsia" w:ascii="方正小标宋简体" w:hAnsi="宋体" w:eastAsia="方正小标宋简体" w:cs="Times New Roman"/>
          <w:color w:val="auto"/>
          <w:kern w:val="2"/>
          <w:sz w:val="44"/>
          <w:szCs w:val="44"/>
          <w:highlight w:val="none"/>
          <w:lang w:val="en-US" w:eastAsia="zh-CN" w:bidi="ar-SA"/>
        </w:rPr>
        <w:t>决算</w:t>
      </w:r>
    </w:p>
    <w:bookmarkEnd w:id="0"/>
    <w:p>
      <w:pPr>
        <w:jc w:val="center"/>
        <w:rPr>
          <w:rFonts w:ascii="黑体" w:hAnsi="黑体" w:eastAsia="黑体" w:cs="Times New Roman"/>
          <w:color w:val="auto"/>
          <w:sz w:val="28"/>
          <w:szCs w:val="28"/>
          <w:highlight w:val="none"/>
        </w:rPr>
      </w:pPr>
      <w:r>
        <w:rPr>
          <w:rFonts w:ascii="方正小标宋_GBK" w:hAnsi="宋体" w:eastAsia="方正小标宋_GBK"/>
          <w:color w:val="auto"/>
          <w:sz w:val="36"/>
          <w:szCs w:val="36"/>
        </w:rPr>
        <w:br w:type="page"/>
      </w:r>
      <w:r>
        <w:rPr>
          <w:rFonts w:hint="eastAsia" w:ascii="方正小标宋_GBK" w:hAnsi="方正小标宋_GBK" w:eastAsia="方正小标宋_GBK" w:cs="方正小标宋_GBK"/>
          <w:color w:val="auto"/>
          <w:sz w:val="44"/>
          <w:szCs w:val="44"/>
          <w:highlight w:val="none"/>
        </w:rPr>
        <w:t>目</w:t>
      </w:r>
      <w:r>
        <w:rPr>
          <w:rFonts w:hint="eastAsia" w:ascii="方正小标宋_GBK" w:hAnsi="方正小标宋_GBK" w:eastAsia="方正小标宋_GBK" w:cs="方正小标宋_GBK"/>
          <w:color w:val="auto"/>
          <w:sz w:val="44"/>
          <w:szCs w:val="44"/>
          <w:highlight w:val="none"/>
          <w:lang w:val="en-US" w:eastAsia="zh-CN"/>
        </w:rPr>
        <w:t xml:space="preserve">  </w:t>
      </w:r>
      <w:r>
        <w:rPr>
          <w:rFonts w:hint="eastAsia" w:ascii="方正小标宋_GBK" w:hAnsi="方正小标宋_GBK" w:eastAsia="方正小标宋_GBK" w:cs="方正小标宋_GBK"/>
          <w:color w:val="auto"/>
          <w:sz w:val="44"/>
          <w:szCs w:val="44"/>
          <w:highlight w:val="none"/>
        </w:rPr>
        <w:t>录</w:t>
      </w:r>
    </w:p>
    <w:p>
      <w:pPr>
        <w:pStyle w:val="11"/>
        <w:pageBreakBefore w:val="0"/>
        <w:kinsoku/>
        <w:wordWrap/>
        <w:overflowPunct/>
        <w:topLinePunct w:val="0"/>
        <w:autoSpaceDE/>
        <w:autoSpaceDN/>
        <w:bidi w:val="0"/>
        <w:spacing w:before="0" w:line="576"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公开时间：20</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14</w:t>
      </w:r>
      <w:r>
        <w:rPr>
          <w:rFonts w:hint="eastAsia" w:ascii="仿宋_GB2312" w:hAnsi="仿宋_GB2312" w:eastAsia="仿宋_GB2312" w:cs="仿宋_GB2312"/>
          <w:color w:val="auto"/>
          <w:sz w:val="32"/>
          <w:szCs w:val="32"/>
          <w:highlight w:val="none"/>
        </w:rPr>
        <w:t>日</w:t>
      </w:r>
    </w:p>
    <w:sdt>
      <w:sdtPr>
        <w:rPr>
          <w:rFonts w:hint="eastAsia" w:ascii="仿宋_GB2312" w:hAnsi="仿宋_GB2312" w:eastAsia="仿宋_GB2312" w:cs="仿宋_GB2312"/>
          <w:kern w:val="2"/>
          <w:sz w:val="32"/>
          <w:szCs w:val="32"/>
          <w:lang w:val="en-US" w:eastAsia="zh-CN" w:bidi="ar-SA"/>
        </w:rPr>
        <w:id w:val="147454322"/>
        <w15:color w:val="DBDBDB"/>
        <w:docPartObj>
          <w:docPartGallery w:val="Table of Contents"/>
          <w:docPartUnique/>
        </w:docPartObj>
      </w:sdtPr>
      <w:sdtEndPr>
        <w:rPr>
          <w:rFonts w:hint="eastAsia" w:ascii="仿宋_GB2312" w:hAnsi="仿宋_GB2312" w:eastAsia="仿宋_GB2312" w:cs="仿宋_GB2312"/>
          <w:b/>
          <w:color w:val="auto"/>
          <w:kern w:val="2"/>
          <w:sz w:val="21"/>
          <w:szCs w:val="32"/>
          <w:highlight w:val="none"/>
          <w:lang w:val="en-US" w:eastAsia="zh-CN" w:bidi="ar-SA"/>
        </w:rPr>
      </w:sdtEndPr>
      <w:sdtContent>
        <w:p>
          <w:pPr>
            <w:keepNext w:val="0"/>
            <w:keepLines w:val="0"/>
            <w:pageBreakBefore w:val="0"/>
            <w:kinsoku/>
            <w:wordWrap/>
            <w:overflowPunct/>
            <w:topLinePunct w:val="0"/>
            <w:autoSpaceDE/>
            <w:autoSpaceDN/>
            <w:bidi w:val="0"/>
            <w:adjustRightInd/>
            <w:snapToGrid/>
            <w:spacing w:before="0" w:beforeLines="0" w:after="0" w:afterLines="0" w:line="576" w:lineRule="exact"/>
            <w:ind w:left="0" w:leftChars="0" w:right="0" w:rightChars="0" w:firstLine="0" w:firstLineChars="0"/>
            <w:jc w:val="center"/>
            <w:textAlignment w:val="auto"/>
            <w:rPr>
              <w:rFonts w:hint="eastAsia" w:ascii="仿宋_GB2312" w:hAnsi="仿宋_GB2312" w:eastAsia="仿宋_GB2312" w:cs="仿宋_GB2312"/>
              <w:sz w:val="32"/>
              <w:szCs w:val="32"/>
            </w:rPr>
          </w:pPr>
        </w:p>
        <w:p>
          <w:pPr>
            <w:pStyle w:val="33"/>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TOC \o "1-2" \h \u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
              <w:color w:val="auto"/>
              <w:sz w:val="32"/>
              <w:szCs w:val="32"/>
              <w:highlight w:val="none"/>
            </w:rPr>
            <w:fldChar w:fldCharType="begin"/>
          </w:r>
          <w:r>
            <w:rPr>
              <w:rFonts w:hint="eastAsia" w:ascii="仿宋_GB2312" w:hAnsi="仿宋_GB2312" w:eastAsia="仿宋_GB2312" w:cs="仿宋_GB2312"/>
              <w:b/>
              <w:sz w:val="32"/>
              <w:szCs w:val="32"/>
              <w:highlight w:val="none"/>
            </w:rPr>
            <w:instrText xml:space="preserve"> HYPERLINK \l _Toc14725 </w:instrText>
          </w:r>
          <w:r>
            <w:rPr>
              <w:rFonts w:hint="eastAsia" w:ascii="仿宋_GB2312" w:hAnsi="仿宋_GB2312" w:eastAsia="仿宋_GB2312" w:cs="仿宋_GB2312"/>
              <w:b/>
              <w:sz w:val="32"/>
              <w:szCs w:val="32"/>
              <w:highlight w:val="none"/>
            </w:rPr>
            <w:fldChar w:fldCharType="separate"/>
          </w:r>
          <w:r>
            <w:rPr>
              <w:rFonts w:hint="eastAsia" w:ascii="仿宋_GB2312" w:hAnsi="仿宋_GB2312" w:eastAsia="仿宋_GB2312" w:cs="仿宋_GB2312"/>
              <w:b/>
              <w:sz w:val="32"/>
              <w:szCs w:val="32"/>
              <w:highlight w:val="none"/>
            </w:rPr>
            <w:t xml:space="preserve">第一部分 </w:t>
          </w:r>
          <w:r>
            <w:rPr>
              <w:rFonts w:hint="eastAsia" w:ascii="仿宋_GB2312" w:hAnsi="仿宋_GB2312" w:eastAsia="仿宋_GB2312" w:cs="仿宋_GB2312"/>
              <w:b/>
              <w:sz w:val="32"/>
              <w:szCs w:val="32"/>
              <w:highlight w:val="none"/>
              <w:lang w:eastAsia="zh-CN"/>
            </w:rPr>
            <w:t>单位</w:t>
          </w:r>
          <w:r>
            <w:rPr>
              <w:rFonts w:hint="eastAsia" w:ascii="仿宋_GB2312" w:hAnsi="仿宋_GB2312" w:eastAsia="仿宋_GB2312" w:cs="仿宋_GB2312"/>
              <w:b/>
              <w:sz w:val="32"/>
              <w:szCs w:val="32"/>
              <w:highlight w:val="none"/>
            </w:rPr>
            <w:t>概况</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_Toc14725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1</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color w:val="auto"/>
              <w:sz w:val="32"/>
              <w:szCs w:val="32"/>
              <w:highlight w:val="none"/>
            </w:rPr>
            <w:fldChar w:fldCharType="end"/>
          </w:r>
        </w:p>
        <w:p>
          <w:pPr>
            <w:pStyle w:val="34"/>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bCs w:val="0"/>
              <w:sz w:val="32"/>
              <w:szCs w:val="32"/>
              <w:highlight w:val="none"/>
              <w:lang w:eastAsia="zh-CN"/>
            </w:rPr>
            <w:t>主要职责</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_Toc945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highlight w:val="none"/>
            </w:rPr>
            <w:fldChar w:fldCharType="end"/>
          </w:r>
        </w:p>
        <w:p>
          <w:pPr>
            <w:pStyle w:val="34"/>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_Toc20090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val="0"/>
              <w:i w:val="0"/>
              <w:iCs w:val="0"/>
              <w:caps w:val="0"/>
              <w:spacing w:val="0"/>
              <w:kern w:val="2"/>
              <w:sz w:val="32"/>
              <w:szCs w:val="32"/>
              <w:lang w:val="en-US" w:eastAsia="zh-CN" w:bidi="ar-SA"/>
            </w:rPr>
            <w:t>二、</w:t>
          </w:r>
          <w:r>
            <w:rPr>
              <w:rFonts w:hint="eastAsia" w:ascii="仿宋_GB2312" w:hAnsi="仿宋_GB2312" w:eastAsia="仿宋_GB2312" w:cs="仿宋_GB2312"/>
              <w:bCs w:val="0"/>
              <w:i w:val="0"/>
              <w:iCs w:val="0"/>
              <w:caps w:val="0"/>
              <w:spacing w:val="0"/>
              <w:sz w:val="32"/>
              <w:szCs w:val="32"/>
              <w:highlight w:val="none"/>
            </w:rPr>
            <w:t>机构设置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_Toc20090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highlight w:val="none"/>
            </w:rPr>
            <w:fldChar w:fldCharType="end"/>
          </w:r>
        </w:p>
        <w:p>
          <w:pPr>
            <w:pStyle w:val="33"/>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color w:val="auto"/>
              <w:sz w:val="32"/>
              <w:szCs w:val="32"/>
              <w:highlight w:val="none"/>
            </w:rPr>
            <w:fldChar w:fldCharType="begin"/>
          </w:r>
          <w:r>
            <w:rPr>
              <w:rFonts w:hint="eastAsia" w:ascii="仿宋_GB2312" w:hAnsi="仿宋_GB2312" w:eastAsia="仿宋_GB2312" w:cs="仿宋_GB2312"/>
              <w:b/>
              <w:sz w:val="32"/>
              <w:szCs w:val="32"/>
              <w:highlight w:val="none"/>
            </w:rPr>
            <w:instrText xml:space="preserve"> HYPERLINK \l _Toc12133 </w:instrText>
          </w:r>
          <w:r>
            <w:rPr>
              <w:rFonts w:hint="eastAsia" w:ascii="仿宋_GB2312" w:hAnsi="仿宋_GB2312" w:eastAsia="仿宋_GB2312" w:cs="仿宋_GB2312"/>
              <w:b/>
              <w:sz w:val="32"/>
              <w:szCs w:val="32"/>
              <w:highlight w:val="none"/>
            </w:rPr>
            <w:fldChar w:fldCharType="separate"/>
          </w:r>
          <w:r>
            <w:rPr>
              <w:rFonts w:hint="eastAsia" w:ascii="仿宋_GB2312" w:hAnsi="仿宋_GB2312" w:eastAsia="仿宋_GB2312" w:cs="仿宋_GB2312"/>
              <w:b/>
              <w:sz w:val="32"/>
              <w:szCs w:val="32"/>
              <w:highlight w:val="none"/>
            </w:rPr>
            <w:t xml:space="preserve">第二部分 </w:t>
          </w:r>
          <w:r>
            <w:rPr>
              <w:rFonts w:hint="eastAsia" w:ascii="仿宋_GB2312" w:hAnsi="仿宋_GB2312" w:eastAsia="仿宋_GB2312" w:cs="仿宋_GB2312"/>
              <w:b/>
              <w:sz w:val="32"/>
              <w:szCs w:val="32"/>
              <w:highlight w:val="none"/>
              <w:lang w:val="en-US" w:eastAsia="zh-CN"/>
            </w:rPr>
            <w:t>2024年度</w:t>
          </w:r>
          <w:r>
            <w:rPr>
              <w:rFonts w:hint="eastAsia" w:ascii="仿宋_GB2312" w:hAnsi="仿宋_GB2312" w:eastAsia="仿宋_GB2312" w:cs="仿宋_GB2312"/>
              <w:b/>
              <w:sz w:val="32"/>
              <w:szCs w:val="32"/>
              <w:highlight w:val="none"/>
              <w:lang w:eastAsia="zh-CN"/>
            </w:rPr>
            <w:t>单位</w:t>
          </w:r>
          <w:r>
            <w:rPr>
              <w:rFonts w:hint="eastAsia" w:ascii="仿宋_GB2312" w:hAnsi="仿宋_GB2312" w:eastAsia="仿宋_GB2312" w:cs="仿宋_GB2312"/>
              <w:b/>
              <w:sz w:val="32"/>
              <w:szCs w:val="32"/>
              <w:highlight w:val="none"/>
            </w:rPr>
            <w:t>决算情况说明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_Toc12133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2</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color w:val="auto"/>
              <w:sz w:val="32"/>
              <w:szCs w:val="32"/>
              <w:highlight w:val="none"/>
            </w:rPr>
            <w:fldChar w:fldCharType="end"/>
          </w:r>
        </w:p>
        <w:p>
          <w:pPr>
            <w:pStyle w:val="34"/>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_Toc20799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val="0"/>
              <w:sz w:val="32"/>
              <w:szCs w:val="32"/>
              <w:highlight w:val="none"/>
              <w:lang w:eastAsia="zh-CN"/>
            </w:rPr>
            <w:t>一、收入支出决算总体情况说明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_Toc20799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highlight w:val="none"/>
            </w:rPr>
            <w:fldChar w:fldCharType="end"/>
          </w:r>
        </w:p>
        <w:p>
          <w:pPr>
            <w:pStyle w:val="34"/>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_Toc17555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val="0"/>
              <w:sz w:val="32"/>
              <w:szCs w:val="32"/>
              <w:highlight w:val="none"/>
              <w:lang w:eastAsia="zh-CN"/>
            </w:rPr>
            <w:t>二、收入决算情况说明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_Toc17555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highlight w:val="none"/>
            </w:rPr>
            <w:fldChar w:fldCharType="end"/>
          </w:r>
        </w:p>
        <w:p>
          <w:pPr>
            <w:pStyle w:val="34"/>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_Toc11232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val="0"/>
              <w:sz w:val="32"/>
              <w:szCs w:val="32"/>
              <w:highlight w:val="none"/>
              <w:lang w:eastAsia="zh-CN"/>
            </w:rPr>
            <w:t>三、支出决算情况说明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_Toc11232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highlight w:val="none"/>
            </w:rPr>
            <w:fldChar w:fldCharType="end"/>
          </w:r>
        </w:p>
        <w:p>
          <w:pPr>
            <w:pStyle w:val="34"/>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_Toc18806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val="0"/>
              <w:sz w:val="32"/>
              <w:szCs w:val="32"/>
              <w:highlight w:val="none"/>
              <w:lang w:eastAsia="zh-CN"/>
            </w:rPr>
            <w:t>四、财政拨款收入支出决算总体情况说明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_Toc18806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highlight w:val="none"/>
            </w:rPr>
            <w:fldChar w:fldCharType="end"/>
          </w:r>
        </w:p>
        <w:p>
          <w:pPr>
            <w:pStyle w:val="34"/>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val="0"/>
              <w:sz w:val="32"/>
              <w:szCs w:val="32"/>
              <w:highlight w:val="none"/>
              <w:lang w:eastAsia="zh-CN"/>
            </w:rPr>
            <w:t>五、一般公共预算财政拨款支出决算情况说明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_Toc11861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highlight w:val="none"/>
            </w:rPr>
            <w:fldChar w:fldCharType="end"/>
          </w:r>
        </w:p>
        <w:p>
          <w:pPr>
            <w:pStyle w:val="34"/>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_Toc25356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_Toc25356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highlight w:val="none"/>
            </w:rPr>
            <w:fldChar w:fldCharType="end"/>
          </w:r>
        </w:p>
        <w:p>
          <w:pPr>
            <w:pStyle w:val="34"/>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_Toc9530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val="0"/>
              <w:sz w:val="32"/>
              <w:szCs w:val="32"/>
              <w:highlight w:val="none"/>
              <w:lang w:eastAsia="zh-CN"/>
            </w:rPr>
            <w:t>七、</w:t>
          </w:r>
          <w:r>
            <w:rPr>
              <w:rFonts w:hint="eastAsia" w:ascii="仿宋_GB2312" w:hAnsi="仿宋_GB2312" w:eastAsia="仿宋_GB2312" w:cs="仿宋_GB2312"/>
              <w:bCs w:val="0"/>
              <w:sz w:val="32"/>
              <w:szCs w:val="32"/>
              <w:highlight w:val="none"/>
            </w:rPr>
            <w:t>财政拨款“三公”经费支出决算情况说明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_Toc9530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highlight w:val="none"/>
            </w:rPr>
            <w:fldChar w:fldCharType="end"/>
          </w:r>
        </w:p>
        <w:p>
          <w:pPr>
            <w:pStyle w:val="34"/>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val="0"/>
              <w:sz w:val="32"/>
              <w:szCs w:val="32"/>
              <w:highlight w:val="none"/>
              <w:lang w:eastAsia="zh-CN"/>
            </w:rPr>
            <w:t>八、政府性基金预算支出决算情况说明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_Toc594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highlight w:val="none"/>
            </w:rPr>
            <w:fldChar w:fldCharType="end"/>
          </w:r>
        </w:p>
        <w:p>
          <w:pPr>
            <w:pStyle w:val="34"/>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_Toc12816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val="0"/>
              <w:sz w:val="32"/>
              <w:szCs w:val="32"/>
              <w:highlight w:val="none"/>
              <w:lang w:eastAsia="zh-CN"/>
            </w:rPr>
            <w:t>九、国有资本经营预算支出决算情况说明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_Toc12816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highlight w:val="none"/>
            </w:rPr>
            <w:fldChar w:fldCharType="end"/>
          </w:r>
        </w:p>
        <w:p>
          <w:pPr>
            <w:pStyle w:val="34"/>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_Toc30711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val="0"/>
              <w:sz w:val="32"/>
              <w:szCs w:val="32"/>
              <w:highlight w:val="none"/>
              <w:lang w:eastAsia="zh-CN"/>
            </w:rPr>
            <w:t>十、</w:t>
          </w:r>
          <w:r>
            <w:rPr>
              <w:rFonts w:hint="eastAsia" w:ascii="仿宋_GB2312" w:hAnsi="仿宋_GB2312" w:eastAsia="仿宋_GB2312" w:cs="仿宋_GB2312"/>
              <w:bCs w:val="0"/>
              <w:sz w:val="32"/>
              <w:szCs w:val="32"/>
              <w:highlight w:val="none"/>
            </w:rPr>
            <w:t>其他重要事项的情况说明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_Toc30711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highlight w:val="none"/>
            </w:rPr>
            <w:fldChar w:fldCharType="end"/>
          </w:r>
        </w:p>
        <w:p>
          <w:pPr>
            <w:pStyle w:val="33"/>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color w:val="auto"/>
              <w:sz w:val="32"/>
              <w:szCs w:val="32"/>
              <w:highlight w:val="none"/>
            </w:rPr>
            <w:fldChar w:fldCharType="begin"/>
          </w:r>
          <w:r>
            <w:rPr>
              <w:rFonts w:hint="eastAsia" w:ascii="仿宋_GB2312" w:hAnsi="仿宋_GB2312" w:eastAsia="仿宋_GB2312" w:cs="仿宋_GB2312"/>
              <w:b/>
              <w:sz w:val="32"/>
              <w:szCs w:val="32"/>
              <w:highlight w:val="none"/>
            </w:rPr>
            <w:instrText xml:space="preserve"> HYPERLINK \l _Toc26702 </w:instrText>
          </w:r>
          <w:r>
            <w:rPr>
              <w:rFonts w:hint="eastAsia" w:ascii="仿宋_GB2312" w:hAnsi="仿宋_GB2312" w:eastAsia="仿宋_GB2312" w:cs="仿宋_GB2312"/>
              <w:b/>
              <w:sz w:val="32"/>
              <w:szCs w:val="32"/>
              <w:highlight w:val="none"/>
            </w:rPr>
            <w:fldChar w:fldCharType="separate"/>
          </w:r>
          <w:r>
            <w:rPr>
              <w:rFonts w:hint="eastAsia" w:ascii="仿宋_GB2312" w:hAnsi="仿宋_GB2312" w:eastAsia="仿宋_GB2312" w:cs="仿宋_GB2312"/>
              <w:b/>
              <w:sz w:val="32"/>
              <w:szCs w:val="32"/>
              <w:highlight w:val="none"/>
              <w:lang w:eastAsia="zh-CN"/>
            </w:rPr>
            <w:t>第三部分</w:t>
          </w:r>
          <w:r>
            <w:rPr>
              <w:rFonts w:hint="eastAsia" w:ascii="仿宋_GB2312" w:hAnsi="仿宋_GB2312" w:eastAsia="仿宋_GB2312" w:cs="仿宋_GB2312"/>
              <w:b/>
              <w:sz w:val="32"/>
              <w:szCs w:val="32"/>
              <w:highlight w:val="none"/>
              <w:lang w:val="en-US" w:eastAsia="zh-CN"/>
            </w:rPr>
            <w:t xml:space="preserve">  </w:t>
          </w:r>
          <w:r>
            <w:rPr>
              <w:rFonts w:hint="eastAsia" w:ascii="仿宋_GB2312" w:hAnsi="仿宋_GB2312" w:eastAsia="仿宋_GB2312" w:cs="仿宋_GB2312"/>
              <w:b/>
              <w:sz w:val="32"/>
              <w:szCs w:val="32"/>
              <w:highlight w:val="none"/>
            </w:rPr>
            <w:t>名词解释</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_Toc26702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11</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color w:val="auto"/>
              <w:sz w:val="32"/>
              <w:szCs w:val="32"/>
              <w:highlight w:val="none"/>
            </w:rPr>
            <w:fldChar w:fldCharType="end"/>
          </w:r>
        </w:p>
        <w:p>
          <w:pPr>
            <w:pStyle w:val="33"/>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color w:val="auto"/>
              <w:sz w:val="32"/>
              <w:szCs w:val="32"/>
              <w:highlight w:val="none"/>
            </w:rPr>
            <w:fldChar w:fldCharType="begin"/>
          </w:r>
          <w:r>
            <w:rPr>
              <w:rFonts w:hint="eastAsia" w:ascii="仿宋_GB2312" w:hAnsi="仿宋_GB2312" w:eastAsia="仿宋_GB2312" w:cs="仿宋_GB2312"/>
              <w:b/>
              <w:sz w:val="32"/>
              <w:szCs w:val="32"/>
              <w:highlight w:val="none"/>
            </w:rPr>
            <w:instrText xml:space="preserve"> HYPERLINK \l _Toc19326 </w:instrText>
          </w:r>
          <w:r>
            <w:rPr>
              <w:rFonts w:hint="eastAsia" w:ascii="仿宋_GB2312" w:hAnsi="仿宋_GB2312" w:eastAsia="仿宋_GB2312" w:cs="仿宋_GB2312"/>
              <w:b/>
              <w:sz w:val="32"/>
              <w:szCs w:val="32"/>
              <w:highlight w:val="none"/>
            </w:rPr>
            <w:fldChar w:fldCharType="separate"/>
          </w:r>
          <w:r>
            <w:rPr>
              <w:rFonts w:hint="eastAsia" w:ascii="仿宋_GB2312" w:hAnsi="仿宋_GB2312" w:eastAsia="仿宋_GB2312" w:cs="仿宋_GB2312"/>
              <w:b/>
              <w:bCs/>
              <w:kern w:val="44"/>
              <w:sz w:val="32"/>
              <w:szCs w:val="32"/>
              <w:highlight w:val="none"/>
              <w:lang w:val="en-US" w:eastAsia="zh-CN" w:bidi="ar-SA"/>
            </w:rPr>
            <w:t>第四</w:t>
          </w:r>
          <w:r>
            <w:rPr>
              <w:rFonts w:hint="eastAsia" w:ascii="仿宋_GB2312" w:hAnsi="仿宋_GB2312" w:eastAsia="仿宋_GB2312" w:cs="仿宋_GB2312"/>
              <w:b/>
              <w:sz w:val="32"/>
              <w:szCs w:val="32"/>
              <w:highlight w:val="none"/>
              <w:lang w:val="en-US" w:eastAsia="zh-CN"/>
            </w:rPr>
            <w:t xml:space="preserve">部分  </w:t>
          </w:r>
          <w:r>
            <w:rPr>
              <w:rFonts w:hint="eastAsia" w:ascii="仿宋_GB2312" w:hAnsi="仿宋_GB2312" w:eastAsia="仿宋_GB2312" w:cs="仿宋_GB2312"/>
              <w:b/>
              <w:bCs/>
              <w:kern w:val="44"/>
              <w:sz w:val="32"/>
              <w:szCs w:val="32"/>
              <w:highlight w:val="none"/>
              <w:lang w:val="en-US" w:eastAsia="zh-CN" w:bidi="ar-SA"/>
            </w:rPr>
            <w:t>附件</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_Toc19326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13</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color w:val="auto"/>
              <w:sz w:val="32"/>
              <w:szCs w:val="32"/>
              <w:highlight w:val="none"/>
            </w:rPr>
            <w:fldChar w:fldCharType="end"/>
          </w:r>
        </w:p>
        <w:p>
          <w:pPr>
            <w:pStyle w:val="33"/>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color w:val="auto"/>
              <w:sz w:val="32"/>
              <w:szCs w:val="32"/>
              <w:highlight w:val="none"/>
            </w:rPr>
            <w:fldChar w:fldCharType="begin"/>
          </w:r>
          <w:r>
            <w:rPr>
              <w:rFonts w:hint="eastAsia" w:ascii="仿宋_GB2312" w:hAnsi="仿宋_GB2312" w:eastAsia="仿宋_GB2312" w:cs="仿宋_GB2312"/>
              <w:b/>
              <w:sz w:val="32"/>
              <w:szCs w:val="32"/>
              <w:highlight w:val="none"/>
            </w:rPr>
            <w:instrText xml:space="preserve"> HYPERLINK \l _Toc20963 </w:instrText>
          </w:r>
          <w:r>
            <w:rPr>
              <w:rFonts w:hint="eastAsia" w:ascii="仿宋_GB2312" w:hAnsi="仿宋_GB2312" w:eastAsia="仿宋_GB2312" w:cs="仿宋_GB2312"/>
              <w:b/>
              <w:sz w:val="32"/>
              <w:szCs w:val="32"/>
              <w:highlight w:val="none"/>
            </w:rPr>
            <w:fldChar w:fldCharType="separate"/>
          </w:r>
          <w:r>
            <w:rPr>
              <w:rFonts w:hint="eastAsia" w:ascii="仿宋_GB2312" w:hAnsi="仿宋_GB2312" w:eastAsia="仿宋_GB2312" w:cs="仿宋_GB2312"/>
              <w:b/>
              <w:sz w:val="32"/>
              <w:szCs w:val="32"/>
              <w:highlight w:val="none"/>
              <w:lang w:val="en-US" w:eastAsia="zh-CN"/>
            </w:rPr>
            <w:t>第五部分  附表</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_Toc20963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14</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color w:val="auto"/>
              <w:sz w:val="32"/>
              <w:szCs w:val="32"/>
              <w:highlight w:val="none"/>
            </w:rPr>
            <w:fldChar w:fldCharType="end"/>
          </w:r>
        </w:p>
        <w:p>
          <w:pPr>
            <w:pStyle w:val="34"/>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_Toc17628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kern w:val="0"/>
              <w:sz w:val="32"/>
              <w:szCs w:val="32"/>
              <w:highlight w:val="none"/>
              <w:lang w:val="en-US" w:eastAsia="zh-CN" w:bidi="ar-SA"/>
            </w:rPr>
            <w:t>一、收入支出决算总表</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14</w:t>
          </w:r>
        </w:p>
        <w:p>
          <w:pPr>
            <w:pStyle w:val="34"/>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_Toc19811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kern w:val="0"/>
              <w:sz w:val="32"/>
              <w:szCs w:val="32"/>
              <w:highlight w:val="none"/>
              <w:lang w:val="en-US" w:eastAsia="zh-CN" w:bidi="ar-SA"/>
            </w:rPr>
            <w:t>二、收入决算表</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14</w:t>
          </w:r>
        </w:p>
        <w:p>
          <w:pPr>
            <w:pStyle w:val="34"/>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_Toc18347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kern w:val="0"/>
              <w:sz w:val="32"/>
              <w:szCs w:val="32"/>
              <w:highlight w:val="none"/>
              <w:lang w:val="en-US" w:eastAsia="zh-CN" w:bidi="ar-SA"/>
            </w:rPr>
            <w:t>三、支出决算表</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14</w:t>
          </w:r>
        </w:p>
        <w:p>
          <w:pPr>
            <w:pStyle w:val="34"/>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_Toc13479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kern w:val="0"/>
              <w:sz w:val="32"/>
              <w:szCs w:val="32"/>
              <w:highlight w:val="none"/>
              <w:lang w:val="en-US" w:eastAsia="zh-CN" w:bidi="ar-SA"/>
            </w:rPr>
            <w:t>四、财政拨款收入支出决算总表</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14</w:t>
          </w:r>
        </w:p>
        <w:p>
          <w:pPr>
            <w:pStyle w:val="34"/>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_Toc21483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kern w:val="0"/>
              <w:sz w:val="32"/>
              <w:szCs w:val="32"/>
              <w:highlight w:val="none"/>
              <w:lang w:val="en-US" w:eastAsia="zh-CN" w:bidi="ar-SA"/>
            </w:rPr>
            <w:t>五、财政拨款支出决算明细表</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14</w:t>
          </w:r>
        </w:p>
        <w:p>
          <w:pPr>
            <w:pStyle w:val="34"/>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_Toc5734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kern w:val="0"/>
              <w:sz w:val="32"/>
              <w:szCs w:val="32"/>
              <w:highlight w:val="none"/>
              <w:lang w:val="en-US" w:eastAsia="zh-CN" w:bidi="ar-SA"/>
            </w:rPr>
            <w:t>六、一般公共预算财政拨款支出决算表</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14</w:t>
          </w:r>
        </w:p>
        <w:p>
          <w:pPr>
            <w:pStyle w:val="34"/>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_Toc13646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kern w:val="0"/>
              <w:sz w:val="32"/>
              <w:szCs w:val="32"/>
              <w:highlight w:val="none"/>
              <w:lang w:val="en-US" w:eastAsia="zh-CN" w:bidi="ar-SA"/>
            </w:rPr>
            <w:t>七、一般公共预算财政拨款支出决算明细表</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14</w:t>
          </w:r>
        </w:p>
        <w:p>
          <w:pPr>
            <w:pStyle w:val="34"/>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_Toc4094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kern w:val="0"/>
              <w:sz w:val="32"/>
              <w:szCs w:val="32"/>
              <w:highlight w:val="none"/>
              <w:lang w:val="en-US" w:eastAsia="zh-CN" w:bidi="ar-SA"/>
            </w:rPr>
            <w:t>八、一般公共预算财政拨款基本支出决算表</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14</w:t>
          </w:r>
        </w:p>
        <w:p>
          <w:pPr>
            <w:pStyle w:val="34"/>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_Toc23140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kern w:val="0"/>
              <w:sz w:val="32"/>
              <w:szCs w:val="32"/>
              <w:highlight w:val="none"/>
              <w:lang w:val="en-US" w:eastAsia="zh-CN" w:bidi="ar-SA"/>
            </w:rPr>
            <w:t>九、一般公共预算财政拨款项目支出决算表</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14</w:t>
          </w:r>
        </w:p>
        <w:p>
          <w:pPr>
            <w:pStyle w:val="34"/>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_Toc10687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kern w:val="0"/>
              <w:sz w:val="32"/>
              <w:szCs w:val="32"/>
              <w:highlight w:val="none"/>
              <w:lang w:val="en-US" w:eastAsia="zh-CN" w:bidi="ar-SA"/>
            </w:rPr>
            <w:t>十、政府性基金预算财政拨款收入支出决算表</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14</w:t>
          </w:r>
        </w:p>
        <w:p>
          <w:pPr>
            <w:pStyle w:val="34"/>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_Toc13883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kern w:val="0"/>
              <w:sz w:val="32"/>
              <w:szCs w:val="32"/>
              <w:highlight w:val="none"/>
              <w:lang w:val="en-US" w:eastAsia="zh-CN" w:bidi="ar-SA"/>
            </w:rPr>
            <w:t>十一、国有资本经营预算财政拨款收入支出决算表</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14</w:t>
          </w:r>
        </w:p>
        <w:p>
          <w:pPr>
            <w:pStyle w:val="34"/>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_Toc20111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kern w:val="0"/>
              <w:sz w:val="32"/>
              <w:szCs w:val="32"/>
              <w:highlight w:val="none"/>
              <w:lang w:val="en-US" w:eastAsia="zh-CN" w:bidi="ar-SA"/>
            </w:rPr>
            <w:t>十二、国有资本经营预算财政拨款支出决算表</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14</w:t>
          </w:r>
        </w:p>
        <w:p>
          <w:pPr>
            <w:pStyle w:val="34"/>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_Toc997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kern w:val="0"/>
              <w:sz w:val="32"/>
              <w:szCs w:val="32"/>
              <w:highlight w:val="none"/>
              <w:lang w:val="en-US" w:eastAsia="zh-CN" w:bidi="ar-SA"/>
            </w:rPr>
            <w:t>十三、财政拨款“三公”经费支出决算表</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14</w:t>
          </w:r>
        </w:p>
        <w:p>
          <w:pPr>
            <w:keepNext w:val="0"/>
            <w:keepLines w:val="0"/>
            <w:pageBreakBefore w:val="0"/>
            <w:kinsoku/>
            <w:wordWrap/>
            <w:overflowPunct/>
            <w:topLinePunct w:val="0"/>
            <w:autoSpaceDE/>
            <w:autoSpaceDN/>
            <w:bidi w:val="0"/>
            <w:adjustRightInd/>
            <w:snapToGrid/>
            <w:spacing w:line="576" w:lineRule="exact"/>
            <w:ind w:left="0" w:leftChars="0" w:firstLine="642" w:firstLineChars="200"/>
            <w:jc w:val="both"/>
            <w:textAlignment w:val="auto"/>
            <w:rPr>
              <w:rFonts w:hint="eastAsia" w:ascii="仿宋_GB2312" w:hAnsi="仿宋_GB2312" w:eastAsia="仿宋_GB2312" w:cs="仿宋_GB2312"/>
              <w:b/>
              <w:color w:val="auto"/>
              <w:kern w:val="2"/>
              <w:sz w:val="21"/>
              <w:szCs w:val="32"/>
              <w:highlight w:val="none"/>
              <w:lang w:val="en-US" w:eastAsia="zh-CN" w:bidi="ar-SA"/>
            </w:rPr>
          </w:pPr>
          <w:r>
            <w:rPr>
              <w:rFonts w:hint="eastAsia" w:ascii="仿宋_GB2312" w:hAnsi="仿宋_GB2312" w:eastAsia="仿宋_GB2312" w:cs="仿宋_GB2312"/>
              <w:b/>
              <w:color w:val="auto"/>
              <w:sz w:val="32"/>
              <w:szCs w:val="32"/>
              <w:highlight w:val="none"/>
            </w:rPr>
            <w:fldChar w:fldCharType="end"/>
          </w:r>
        </w:p>
      </w:sdtContent>
    </w:sdt>
    <w:p>
      <w:pPr>
        <w:pStyle w:val="2"/>
        <w:rPr>
          <w:rFonts w:hint="eastAsia"/>
        </w:rPr>
      </w:pPr>
    </w:p>
    <w:p>
      <w:pPr>
        <w:pageBreakBefore w:val="0"/>
        <w:kinsoku/>
        <w:wordWrap/>
        <w:overflowPunct/>
        <w:topLinePunct w:val="0"/>
        <w:autoSpaceDE/>
        <w:autoSpaceDN/>
        <w:bidi w:val="0"/>
        <w:spacing w:line="576" w:lineRule="exact"/>
        <w:ind w:left="0" w:leftChars="0" w:firstLine="642" w:firstLineChars="200"/>
        <w:jc w:val="both"/>
        <w:textAlignment w:val="auto"/>
        <w:rPr>
          <w:rFonts w:hint="eastAsia" w:ascii="仿宋_GB2312" w:hAnsi="仿宋_GB2312" w:eastAsia="仿宋_GB2312" w:cs="仿宋_GB2312"/>
          <w:color w:val="auto"/>
          <w:sz w:val="32"/>
          <w:szCs w:val="32"/>
          <w:lang w:val="en-US" w:eastAsia="zh-CN"/>
        </w:rPr>
        <w:sectPr>
          <w:headerReference r:id="rId3" w:type="default"/>
          <w:pgSz w:w="11906" w:h="16838"/>
          <w:pgMar w:top="2098" w:right="1474" w:bottom="1984" w:left="1587" w:header="851" w:footer="992" w:gutter="0"/>
          <w:pgNumType w:fmt="decimal" w:start="1"/>
          <w:cols w:space="0" w:num="1"/>
          <w:rtlGutter w:val="0"/>
          <w:docGrid w:type="lines" w:linePitch="312" w:charSpace="0"/>
        </w:sectPr>
      </w:pPr>
      <w:r>
        <w:rPr>
          <w:rFonts w:hint="eastAsia" w:ascii="仿宋_GB2312" w:hAnsi="仿宋_GB2312" w:eastAsia="仿宋_GB2312" w:cs="仿宋_GB2312"/>
          <w:b/>
          <w:color w:val="auto"/>
          <w:sz w:val="32"/>
          <w:szCs w:val="32"/>
          <w:highlight w:val="none"/>
        </w:rPr>
        <w:br w:type="page"/>
      </w:r>
    </w:p>
    <w:p>
      <w:pPr>
        <w:pStyle w:val="3"/>
        <w:keepNext/>
        <w:keepLines/>
        <w:pageBreakBefore w:val="0"/>
        <w:widowControl w:val="0"/>
        <w:kinsoku/>
        <w:wordWrap/>
        <w:overflowPunct/>
        <w:topLinePunct w:val="0"/>
        <w:autoSpaceDE/>
        <w:autoSpaceDN/>
        <w:bidi w:val="0"/>
        <w:adjustRightInd/>
        <w:snapToGrid/>
        <w:spacing w:before="0" w:after="0" w:line="576" w:lineRule="exact"/>
        <w:ind w:left="0" w:leftChars="0" w:firstLine="0" w:firstLineChars="0"/>
        <w:jc w:val="center"/>
        <w:textAlignment w:val="auto"/>
        <w:rPr>
          <w:rFonts w:hint="eastAsia" w:ascii="黑体" w:hAnsi="黑体" w:eastAsia="黑体" w:cs="黑体"/>
          <w:b w:val="0"/>
          <w:color w:val="auto"/>
          <w:highlight w:val="none"/>
        </w:rPr>
      </w:pPr>
      <w:bookmarkStart w:id="2" w:name="_Toc14725"/>
      <w:r>
        <w:rPr>
          <w:rFonts w:hint="eastAsia" w:ascii="黑体" w:hAnsi="黑体" w:eastAsia="黑体" w:cs="黑体"/>
          <w:b w:val="0"/>
          <w:color w:val="auto"/>
          <w:highlight w:val="none"/>
        </w:rPr>
        <w:t xml:space="preserve">第一部分 </w:t>
      </w:r>
      <w:r>
        <w:rPr>
          <w:rFonts w:hint="eastAsia" w:ascii="黑体" w:hAnsi="黑体" w:eastAsia="黑体" w:cs="黑体"/>
          <w:b w:val="0"/>
          <w:color w:val="auto"/>
          <w:highlight w:val="none"/>
          <w:lang w:eastAsia="zh-CN"/>
        </w:rPr>
        <w:t>单位</w:t>
      </w:r>
      <w:r>
        <w:rPr>
          <w:rFonts w:hint="eastAsia" w:ascii="黑体" w:hAnsi="黑体" w:eastAsia="黑体" w:cs="黑体"/>
          <w:b w:val="0"/>
          <w:color w:val="auto"/>
          <w:highlight w:val="none"/>
        </w:rPr>
        <w:t>概况</w:t>
      </w:r>
      <w:bookmarkEnd w:id="2"/>
    </w:p>
    <w:p>
      <w:pPr>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color w:val="auto"/>
          <w:sz w:val="32"/>
          <w:szCs w:val="32"/>
        </w:rPr>
      </w:pPr>
    </w:p>
    <w:p>
      <w:pPr>
        <w:pStyle w:val="4"/>
        <w:pageBreakBefore w:val="0"/>
        <w:kinsoku/>
        <w:wordWrap/>
        <w:overflowPunct/>
        <w:topLinePunct w:val="0"/>
        <w:autoSpaceDE/>
        <w:autoSpaceDN/>
        <w:bidi w:val="0"/>
        <w:adjustRightInd/>
        <w:snapToGrid/>
        <w:spacing w:before="0" w:after="0" w:line="540" w:lineRule="exact"/>
        <w:ind w:left="0" w:leftChars="0" w:firstLine="642" w:firstLineChars="200"/>
        <w:jc w:val="both"/>
        <w:textAlignment w:val="auto"/>
        <w:rPr>
          <w:rFonts w:hint="eastAsia"/>
          <w:lang w:eastAsia="zh-CN"/>
        </w:rPr>
      </w:pPr>
      <w:bookmarkStart w:id="3" w:name="_Toc13503"/>
      <w:bookmarkStart w:id="4" w:name="_Toc945"/>
      <w:bookmarkStart w:id="5" w:name="_Toc15396600"/>
      <w:bookmarkStart w:id="6" w:name="_Toc15377197"/>
      <w:r>
        <w:rPr>
          <w:rFonts w:hint="eastAsia"/>
          <w:lang w:val="en-US" w:eastAsia="zh-CN"/>
        </w:rPr>
        <w:t>一、</w:t>
      </w:r>
      <w:bookmarkEnd w:id="3"/>
      <w:r>
        <w:rPr>
          <w:rStyle w:val="20"/>
          <w:rFonts w:hint="eastAsia" w:ascii="黑体" w:hAnsi="黑体" w:eastAsia="黑体"/>
          <w:b w:val="0"/>
          <w:bCs w:val="0"/>
          <w:color w:val="auto"/>
          <w:highlight w:val="none"/>
          <w:lang w:eastAsia="zh-CN"/>
        </w:rPr>
        <w:t>主要职责</w:t>
      </w:r>
      <w:bookmarkEnd w:id="4"/>
    </w:p>
    <w:bookmarkEnd w:id="5"/>
    <w:bookmarkEnd w:id="6"/>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bookmarkStart w:id="7" w:name="_Toc8332"/>
      <w:bookmarkStart w:id="8" w:name="_Toc20090"/>
      <w:bookmarkStart w:id="9" w:name="_Toc15396602"/>
      <w:bookmarkStart w:id="10" w:name="_Toc15377204"/>
      <w:r>
        <w:rPr>
          <w:rFonts w:hint="eastAsia" w:ascii="仿宋_GB2312" w:hAnsi="仿宋_GB2312" w:eastAsia="仿宋_GB2312" w:cs="仿宋_GB2312"/>
          <w:sz w:val="32"/>
          <w:szCs w:val="32"/>
          <w:lang w:val="en-US" w:eastAsia="zh-CN"/>
        </w:rPr>
        <w:t>负责全市土地开发项目的规划、设计、论证和立项材料的组织上报工作，开展土地开发整理咨询服务和建设项目用地与预审评价工作，提供土地开发整理项目面积复核和技术资料收集整理工作，实施市本级使用新增建设用地有偿使用费必须完成的土地开发整理项目。</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ascii="黑体" w:hAnsi="宋体" w:eastAsia="黑体" w:cs="黑体"/>
          <w:b w:val="0"/>
          <w:bCs w:val="0"/>
          <w:i w:val="0"/>
          <w:iCs w:val="0"/>
          <w:caps w:val="0"/>
          <w:color w:val="000000"/>
          <w:spacing w:val="0"/>
          <w:sz w:val="32"/>
          <w:szCs w:val="32"/>
          <w:highlight w:val="none"/>
        </w:rPr>
      </w:pPr>
      <w:r>
        <w:rPr>
          <w:rFonts w:hint="eastAsia" w:ascii="黑体" w:hAnsi="宋体" w:eastAsia="黑体" w:cs="黑体"/>
          <w:b w:val="0"/>
          <w:bCs w:val="0"/>
          <w:i w:val="0"/>
          <w:iCs w:val="0"/>
          <w:caps w:val="0"/>
          <w:color w:val="000000"/>
          <w:spacing w:val="0"/>
          <w:kern w:val="2"/>
          <w:sz w:val="32"/>
          <w:szCs w:val="32"/>
          <w:lang w:val="en-US" w:eastAsia="zh-CN" w:bidi="ar-SA"/>
        </w:rPr>
        <w:t>二、</w:t>
      </w:r>
      <w:r>
        <w:rPr>
          <w:rFonts w:ascii="黑体" w:hAnsi="宋体" w:eastAsia="黑体" w:cs="黑体"/>
          <w:b w:val="0"/>
          <w:bCs w:val="0"/>
          <w:i w:val="0"/>
          <w:iCs w:val="0"/>
          <w:caps w:val="0"/>
          <w:color w:val="000000"/>
          <w:spacing w:val="0"/>
          <w:sz w:val="32"/>
          <w:szCs w:val="32"/>
          <w:highlight w:val="none"/>
        </w:rPr>
        <w:t>机构设置</w:t>
      </w:r>
      <w:bookmarkEnd w:id="7"/>
      <w:bookmarkEnd w:id="8"/>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我单位为</w:t>
      </w:r>
      <w:r>
        <w:rPr>
          <w:rFonts w:hint="eastAsia" w:ascii="仿宋_GB2312" w:hAnsi="仿宋_GB2312" w:eastAsia="仿宋_GB2312" w:cs="仿宋_GB2312"/>
          <w:b w:val="0"/>
          <w:color w:val="auto"/>
          <w:sz w:val="32"/>
          <w:szCs w:val="32"/>
          <w:lang w:val="en-US" w:eastAsia="zh-CN"/>
        </w:rPr>
        <w:t>广元市自然资源局</w:t>
      </w:r>
      <w:r>
        <w:rPr>
          <w:rFonts w:hint="eastAsia" w:ascii="仿宋_GB2312" w:hAnsi="仿宋_GB2312" w:eastAsia="仿宋_GB2312" w:cs="仿宋_GB2312"/>
          <w:sz w:val="32"/>
          <w:szCs w:val="32"/>
          <w:lang w:val="en-US" w:eastAsia="zh-CN"/>
        </w:rPr>
        <w:t>下属二级预算单位，</w:t>
      </w:r>
      <w:r>
        <w:rPr>
          <w:rFonts w:hint="eastAsia" w:ascii="仿宋_GB2312" w:hAnsi="仿宋_GB2312" w:eastAsia="仿宋_GB2312" w:cs="仿宋_GB2312"/>
          <w:color w:val="auto"/>
          <w:sz w:val="32"/>
          <w:szCs w:val="32"/>
          <w:highlight w:val="none"/>
          <w:lang w:val="en-US" w:eastAsia="zh-CN"/>
        </w:rPr>
        <w:t>根据单位职责分工，</w:t>
      </w:r>
      <w:r>
        <w:rPr>
          <w:rFonts w:hint="eastAsia" w:ascii="仿宋_GB2312" w:hAnsi="仿宋_GB2312" w:eastAsia="仿宋_GB2312" w:cs="仿宋_GB2312"/>
          <w:sz w:val="32"/>
          <w:szCs w:val="32"/>
          <w:lang w:val="en-US" w:eastAsia="zh-CN"/>
        </w:rPr>
        <w:t>本单位无内设机构</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本单位无下属机构。</w:t>
      </w:r>
    </w:p>
    <w:bookmarkEnd w:id="9"/>
    <w:bookmarkEnd w:id="10"/>
    <w:p>
      <w:pPr>
        <w:pageBreakBefore w:val="0"/>
        <w:kinsoku/>
        <w:wordWrap/>
        <w:overflowPunct/>
        <w:topLinePunct w:val="0"/>
        <w:autoSpaceDE/>
        <w:autoSpaceDN/>
        <w:bidi w:val="0"/>
        <w:spacing w:line="576" w:lineRule="exact"/>
        <w:ind w:left="0" w:leftChars="0" w:firstLine="420" w:firstLineChars="200"/>
        <w:jc w:val="both"/>
        <w:textAlignment w:val="auto"/>
        <w:rPr>
          <w:rFonts w:hint="eastAsia" w:ascii="黑体" w:hAnsi="黑体" w:eastAsia="黑体"/>
          <w:b w:val="0"/>
          <w:bCs/>
          <w:color w:val="auto"/>
          <w:highlight w:val="none"/>
        </w:rPr>
      </w:pPr>
      <w:r>
        <w:rPr>
          <w:rFonts w:hint="eastAsia" w:ascii="黑体" w:hAnsi="黑体" w:eastAsia="黑体"/>
          <w:b w:val="0"/>
          <w:bCs/>
          <w:color w:val="auto"/>
          <w:highlight w:val="none"/>
        </w:rPr>
        <w:br w:type="page"/>
      </w:r>
    </w:p>
    <w:p>
      <w:pPr>
        <w:pStyle w:val="3"/>
        <w:keepNext/>
        <w:keepLines/>
        <w:pageBreakBefore w:val="0"/>
        <w:widowControl w:val="0"/>
        <w:kinsoku/>
        <w:wordWrap/>
        <w:overflowPunct/>
        <w:topLinePunct w:val="0"/>
        <w:autoSpaceDE/>
        <w:autoSpaceDN/>
        <w:bidi w:val="0"/>
        <w:adjustRightInd/>
        <w:snapToGrid/>
        <w:spacing w:before="0" w:after="0" w:line="576" w:lineRule="exact"/>
        <w:ind w:left="0" w:leftChars="0" w:firstLine="0" w:firstLineChars="0"/>
        <w:jc w:val="center"/>
        <w:textAlignment w:val="auto"/>
        <w:rPr>
          <w:rFonts w:hint="eastAsia" w:ascii="黑体" w:hAnsi="黑体" w:eastAsia="黑体" w:cs="黑体"/>
          <w:b w:val="0"/>
          <w:color w:val="auto"/>
          <w:highlight w:val="none"/>
        </w:rPr>
      </w:pPr>
      <w:bookmarkStart w:id="11" w:name="_Toc12133"/>
      <w:r>
        <w:rPr>
          <w:rFonts w:hint="eastAsia" w:ascii="黑体" w:hAnsi="黑体" w:eastAsia="黑体" w:cs="黑体"/>
          <w:b w:val="0"/>
          <w:color w:val="auto"/>
          <w:highlight w:val="none"/>
        </w:rPr>
        <w:t xml:space="preserve">第二部分 </w:t>
      </w:r>
      <w:r>
        <w:rPr>
          <w:rFonts w:hint="eastAsia" w:ascii="黑体" w:hAnsi="黑体" w:eastAsia="黑体" w:cs="黑体"/>
          <w:b w:val="0"/>
          <w:color w:val="auto"/>
          <w:highlight w:val="none"/>
          <w:lang w:val="en-US" w:eastAsia="zh-CN"/>
        </w:rPr>
        <w:t>2024年度</w:t>
      </w:r>
      <w:r>
        <w:rPr>
          <w:rFonts w:hint="eastAsia" w:ascii="黑体" w:hAnsi="黑体" w:eastAsia="黑体" w:cs="黑体"/>
          <w:b w:val="0"/>
          <w:color w:val="auto"/>
          <w:highlight w:val="none"/>
          <w:lang w:eastAsia="zh-CN"/>
        </w:rPr>
        <w:t>单位</w:t>
      </w:r>
      <w:r>
        <w:rPr>
          <w:rFonts w:hint="eastAsia" w:ascii="黑体" w:hAnsi="黑体" w:eastAsia="黑体" w:cs="黑体"/>
          <w:b w:val="0"/>
          <w:color w:val="auto"/>
          <w:highlight w:val="none"/>
        </w:rPr>
        <w:t>决算情况说明</w:t>
      </w:r>
      <w:bookmarkEnd w:id="11"/>
    </w:p>
    <w:p>
      <w:pPr>
        <w:pageBreakBefore w:val="0"/>
        <w:widowControl w:val="0"/>
        <w:kinsoku/>
        <w:wordWrap/>
        <w:overflowPunct/>
        <w:topLinePunct w:val="0"/>
        <w:bidi w:val="0"/>
        <w:spacing w:line="576" w:lineRule="exact"/>
        <w:ind w:left="0" w:right="0" w:firstLine="0" w:firstLineChars="0"/>
        <w:jc w:val="both"/>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76" w:lineRule="exact"/>
        <w:ind w:left="0" w:right="0" w:firstLine="640" w:firstLineChars="200"/>
        <w:jc w:val="both"/>
        <w:textAlignment w:val="auto"/>
        <w:outlineLvl w:val="1"/>
        <w:rPr>
          <w:rFonts w:hint="eastAsia" w:ascii="黑体" w:hAnsi="黑体" w:eastAsia="黑体" w:cs="黑体"/>
          <w:b w:val="0"/>
          <w:bCs w:val="0"/>
          <w:color w:val="auto"/>
          <w:sz w:val="32"/>
          <w:szCs w:val="32"/>
          <w:highlight w:val="none"/>
          <w:u w:val="none"/>
          <w:lang w:eastAsia="zh-CN"/>
        </w:rPr>
      </w:pPr>
      <w:bookmarkStart w:id="12" w:name="_Toc20799"/>
      <w:bookmarkStart w:id="13" w:name="_Toc15377205"/>
      <w:bookmarkStart w:id="14" w:name="_Toc15396603"/>
      <w:bookmarkStart w:id="15" w:name="_Toc18582"/>
      <w:r>
        <w:rPr>
          <w:rFonts w:hint="eastAsia" w:ascii="黑体" w:hAnsi="黑体" w:eastAsia="黑体" w:cs="黑体"/>
          <w:b w:val="0"/>
          <w:bCs w:val="0"/>
          <w:color w:val="auto"/>
          <w:sz w:val="32"/>
          <w:szCs w:val="32"/>
          <w:highlight w:val="none"/>
          <w:u w:val="none"/>
          <w:lang w:eastAsia="zh-CN"/>
        </w:rPr>
        <w:t>一、收入支出决算总体情况说明</w:t>
      </w:r>
      <w:bookmarkEnd w:id="12"/>
      <w:bookmarkEnd w:id="13"/>
      <w:bookmarkEnd w:id="14"/>
      <w:bookmarkEnd w:id="15"/>
    </w:p>
    <w:p>
      <w:pPr>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年度收、支总计</w:t>
      </w:r>
      <w:r>
        <w:rPr>
          <w:rFonts w:hint="eastAsia" w:ascii="仿宋_GB2312" w:hAnsi="仿宋_GB2312" w:eastAsia="仿宋_GB2312" w:cs="仿宋_GB2312"/>
          <w:color w:val="auto"/>
          <w:sz w:val="32"/>
          <w:szCs w:val="32"/>
          <w:highlight w:val="none"/>
          <w:lang w:eastAsia="zh-CN"/>
        </w:rPr>
        <w:t>均为</w:t>
      </w:r>
      <w:r>
        <w:rPr>
          <w:rFonts w:hint="eastAsia" w:ascii="仿宋_GB2312" w:hAnsi="仿宋_GB2312" w:eastAsia="仿宋_GB2312" w:cs="仿宋_GB2312"/>
          <w:color w:val="auto"/>
          <w:sz w:val="32"/>
          <w:szCs w:val="32"/>
          <w:highlight w:val="none"/>
          <w:lang w:val="en-US" w:eastAsia="zh-CN"/>
        </w:rPr>
        <w:t>358.62</w:t>
      </w:r>
      <w:r>
        <w:rPr>
          <w:rFonts w:hint="eastAsia" w:ascii="仿宋_GB2312" w:hAnsi="仿宋_GB2312" w:eastAsia="仿宋_GB2312" w:cs="仿宋_GB2312"/>
          <w:color w:val="auto"/>
          <w:sz w:val="32"/>
          <w:szCs w:val="32"/>
          <w:highlight w:val="none"/>
        </w:rPr>
        <w:t>万元。与</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rPr>
        <w:t>相比，收、支总计各</w:t>
      </w:r>
      <w:r>
        <w:rPr>
          <w:rFonts w:hint="eastAsia" w:ascii="仿宋_GB2312" w:hAnsi="仿宋_GB2312" w:eastAsia="仿宋_GB2312" w:cs="仿宋_GB2312"/>
          <w:color w:val="auto"/>
          <w:sz w:val="32"/>
          <w:szCs w:val="32"/>
          <w:highlight w:val="none"/>
          <w:lang w:eastAsia="zh-CN"/>
        </w:rPr>
        <w:t>增加</w:t>
      </w:r>
      <w:r>
        <w:rPr>
          <w:rFonts w:hint="eastAsia" w:ascii="仿宋_GB2312" w:hAnsi="仿宋_GB2312" w:eastAsia="仿宋_GB2312" w:cs="仿宋_GB2312"/>
          <w:color w:val="auto"/>
          <w:sz w:val="32"/>
          <w:szCs w:val="32"/>
          <w:highlight w:val="none"/>
          <w:lang w:val="en-US" w:eastAsia="zh-CN"/>
        </w:rPr>
        <w:t>22.09</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增长</w:t>
      </w:r>
      <w:r>
        <w:rPr>
          <w:rFonts w:hint="eastAsia" w:ascii="仿宋_GB2312" w:hAnsi="仿宋_GB2312" w:eastAsia="仿宋_GB2312" w:cs="仿宋_GB2312"/>
          <w:color w:val="auto"/>
          <w:sz w:val="32"/>
          <w:szCs w:val="32"/>
          <w:highlight w:val="none"/>
          <w:lang w:val="en-US" w:eastAsia="zh-CN"/>
        </w:rPr>
        <w:t>6.56</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eastAsia="zh-CN"/>
        </w:rPr>
        <w:t>项目经费</w:t>
      </w:r>
      <w:r>
        <w:rPr>
          <w:rFonts w:hint="eastAsia" w:ascii="仿宋_GB2312" w:hAnsi="仿宋_GB2312" w:eastAsia="仿宋_GB2312" w:cs="仿宋_GB2312"/>
          <w:color w:val="auto"/>
          <w:sz w:val="32"/>
          <w:szCs w:val="32"/>
          <w:lang w:eastAsia="zh-CN"/>
        </w:rPr>
        <w:t>增加</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both"/>
        <w:textAlignment w:val="auto"/>
        <w:rPr>
          <w:rFonts w:hint="eastAsia" w:ascii="仿宋_GB2312" w:hAnsi="仿宋_GB2312" w:eastAsia="仿宋_GB2312" w:cs="仿宋_GB2312"/>
          <w:color w:val="auto"/>
          <w:sz w:val="32"/>
          <w:szCs w:val="32"/>
        </w:rPr>
      </w:pPr>
    </w:p>
    <w:p>
      <w:pPr>
        <w:pStyle w:val="22"/>
        <w:keepNext w:val="0"/>
        <w:keepLines w:val="0"/>
        <w:pageBreakBefore w:val="0"/>
        <w:widowControl w:val="0"/>
        <w:kinsoku/>
        <w:wordWrap/>
        <w:overflowPunct/>
        <w:topLinePunct w:val="0"/>
        <w:autoSpaceDE w:val="0"/>
        <w:autoSpaceDN w:val="0"/>
        <w:bidi w:val="0"/>
        <w:adjustRightInd w:val="0"/>
        <w:snapToGrid/>
        <w:spacing w:line="240" w:lineRule="auto"/>
        <w:ind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drawing>
          <wp:inline distT="0" distB="0" distL="114300" distR="114300">
            <wp:extent cx="4960620" cy="3139440"/>
            <wp:effectExtent l="4445" t="4445" r="18415" b="1079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keepNext w:val="0"/>
        <w:keepLines w:val="0"/>
        <w:pageBreakBefore w:val="0"/>
        <w:widowControl w:val="0"/>
        <w:kinsoku/>
        <w:wordWrap/>
        <w:overflowPunct/>
        <w:topLinePunct w:val="0"/>
        <w:bidi w:val="0"/>
        <w:snapToGrid/>
        <w:spacing w:line="576" w:lineRule="exact"/>
        <w:ind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（图1：收、支决算总计变动情况图）</w:t>
      </w:r>
    </w:p>
    <w:p>
      <w:pPr>
        <w:keepNext w:val="0"/>
        <w:keepLines w:val="0"/>
        <w:pageBreakBefore w:val="0"/>
        <w:widowControl w:val="0"/>
        <w:kinsoku/>
        <w:wordWrap/>
        <w:overflowPunct/>
        <w:topLinePunct w:val="0"/>
        <w:autoSpaceDE/>
        <w:autoSpaceDN/>
        <w:bidi w:val="0"/>
        <w:adjustRightInd w:val="0"/>
        <w:snapToGrid w:val="0"/>
        <w:spacing w:line="576" w:lineRule="exact"/>
        <w:ind w:left="0" w:right="0" w:firstLine="640" w:firstLineChars="200"/>
        <w:jc w:val="both"/>
        <w:textAlignment w:val="auto"/>
        <w:outlineLvl w:val="9"/>
        <w:rPr>
          <w:rFonts w:hint="eastAsia" w:ascii="黑体" w:hAnsi="黑体" w:eastAsia="黑体" w:cs="黑体"/>
          <w:b w:val="0"/>
          <w:bCs w:val="0"/>
          <w:color w:val="auto"/>
          <w:sz w:val="32"/>
          <w:szCs w:val="32"/>
          <w:highlight w:val="none"/>
          <w:u w:val="none"/>
          <w:lang w:eastAsia="zh-CN"/>
        </w:rPr>
      </w:pPr>
      <w:bookmarkStart w:id="16" w:name="_Toc19917"/>
      <w:bookmarkStart w:id="17" w:name="_Toc15396604"/>
      <w:bookmarkStart w:id="18" w:name="_Toc15377206"/>
    </w:p>
    <w:p>
      <w:pPr>
        <w:keepNext w:val="0"/>
        <w:keepLines w:val="0"/>
        <w:pageBreakBefore w:val="0"/>
        <w:widowControl w:val="0"/>
        <w:kinsoku/>
        <w:wordWrap/>
        <w:overflowPunct/>
        <w:topLinePunct w:val="0"/>
        <w:autoSpaceDE/>
        <w:autoSpaceDN/>
        <w:bidi w:val="0"/>
        <w:adjustRightInd w:val="0"/>
        <w:snapToGrid w:val="0"/>
        <w:spacing w:line="576" w:lineRule="exact"/>
        <w:ind w:left="0" w:right="0" w:firstLine="640" w:firstLineChars="200"/>
        <w:jc w:val="both"/>
        <w:textAlignment w:val="auto"/>
        <w:outlineLvl w:val="1"/>
        <w:rPr>
          <w:rFonts w:hint="eastAsia" w:ascii="黑体" w:hAnsi="黑体" w:eastAsia="黑体" w:cs="黑体"/>
          <w:b w:val="0"/>
          <w:bCs w:val="0"/>
          <w:color w:val="auto"/>
          <w:sz w:val="32"/>
          <w:szCs w:val="32"/>
          <w:highlight w:val="none"/>
          <w:u w:val="none"/>
          <w:lang w:eastAsia="zh-CN"/>
        </w:rPr>
      </w:pPr>
      <w:bookmarkStart w:id="19" w:name="_Toc17555"/>
      <w:r>
        <w:rPr>
          <w:rFonts w:hint="eastAsia" w:ascii="黑体" w:hAnsi="黑体" w:eastAsia="黑体" w:cs="黑体"/>
          <w:b w:val="0"/>
          <w:bCs w:val="0"/>
          <w:color w:val="auto"/>
          <w:sz w:val="32"/>
          <w:szCs w:val="32"/>
          <w:highlight w:val="none"/>
          <w:u w:val="none"/>
          <w:lang w:eastAsia="zh-CN"/>
        </w:rPr>
        <w:t>二、收入决算情况说明</w:t>
      </w:r>
      <w:bookmarkEnd w:id="16"/>
      <w:bookmarkEnd w:id="17"/>
      <w:bookmarkEnd w:id="18"/>
      <w:bookmarkEnd w:id="19"/>
    </w:p>
    <w:p>
      <w:pPr>
        <w:adjustRightInd w:val="0"/>
        <w:snapToGrid w:val="0"/>
        <w:spacing w:beforeLines="0" w:afterLines="0" w:line="576"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年度本年收入合计</w:t>
      </w:r>
      <w:r>
        <w:rPr>
          <w:rFonts w:hint="eastAsia" w:ascii="仿宋_GB2312" w:hAnsi="仿宋_GB2312" w:eastAsia="仿宋_GB2312" w:cs="仿宋_GB2312"/>
          <w:color w:val="auto"/>
          <w:sz w:val="32"/>
          <w:szCs w:val="32"/>
          <w:lang w:val="en-US" w:eastAsia="zh-CN"/>
        </w:rPr>
        <w:t>358.62</w:t>
      </w:r>
      <w:r>
        <w:rPr>
          <w:rFonts w:hint="eastAsia" w:ascii="仿宋_GB2312" w:hAnsi="仿宋_GB2312" w:eastAsia="仿宋_GB2312" w:cs="仿宋_GB2312"/>
          <w:color w:val="auto"/>
          <w:sz w:val="32"/>
          <w:szCs w:val="32"/>
        </w:rPr>
        <w:t>万元，其中：一般公共预算财政拨款收入</w:t>
      </w:r>
      <w:r>
        <w:rPr>
          <w:rFonts w:hint="eastAsia" w:ascii="仿宋_GB2312" w:hAnsi="仿宋_GB2312" w:eastAsia="仿宋_GB2312" w:cs="仿宋_GB2312"/>
          <w:color w:val="auto"/>
          <w:sz w:val="32"/>
          <w:szCs w:val="32"/>
          <w:lang w:val="en-US" w:eastAsia="zh-CN"/>
        </w:rPr>
        <w:t>285.89万元</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val="en-US" w:eastAsia="zh-CN"/>
        </w:rPr>
        <w:t>79.72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 w:eastAsia="zh-CN"/>
        </w:rPr>
        <w:t>；其他收入</w:t>
      </w:r>
      <w:r>
        <w:rPr>
          <w:rFonts w:hint="eastAsia" w:ascii="仿宋_GB2312" w:hAnsi="仿宋_GB2312" w:eastAsia="仿宋_GB2312" w:cs="仿宋_GB2312"/>
          <w:color w:val="auto"/>
          <w:sz w:val="32"/>
          <w:szCs w:val="32"/>
          <w:lang w:val="en-US" w:eastAsia="zh-CN"/>
        </w:rPr>
        <w:t>72.73万元，占20.28%。</w:t>
      </w:r>
    </w:p>
    <w:p>
      <w:pPr>
        <w:pStyle w:val="22"/>
        <w:spacing w:beforeLines="0" w:afterLines="0"/>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rPr>
        <w:drawing>
          <wp:inline distT="0" distB="0" distL="114300" distR="114300">
            <wp:extent cx="4547235" cy="2495550"/>
            <wp:effectExtent l="4445" t="4445" r="20320"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beforeLines="0" w:afterLines="0" w:line="576"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（图2：收入决算结构图）</w:t>
      </w:r>
    </w:p>
    <w:p>
      <w:pPr>
        <w:keepNext w:val="0"/>
        <w:keepLines w:val="0"/>
        <w:pageBreakBefore w:val="0"/>
        <w:widowControl w:val="0"/>
        <w:kinsoku/>
        <w:wordWrap/>
        <w:overflowPunct/>
        <w:topLinePunct w:val="0"/>
        <w:autoSpaceDE/>
        <w:autoSpaceDN/>
        <w:bidi w:val="0"/>
        <w:adjustRightInd w:val="0"/>
        <w:snapToGrid w:val="0"/>
        <w:spacing w:line="576" w:lineRule="exact"/>
        <w:ind w:right="0" w:firstLine="640" w:firstLineChars="200"/>
        <w:jc w:val="both"/>
        <w:textAlignment w:val="auto"/>
        <w:outlineLvl w:val="1"/>
        <w:rPr>
          <w:rFonts w:hint="eastAsia" w:ascii="黑体" w:hAnsi="黑体" w:eastAsia="黑体" w:cs="黑体"/>
          <w:b w:val="0"/>
          <w:bCs w:val="0"/>
          <w:color w:val="auto"/>
          <w:sz w:val="32"/>
          <w:szCs w:val="32"/>
          <w:highlight w:val="none"/>
          <w:u w:val="none"/>
          <w:lang w:eastAsia="zh-CN"/>
        </w:rPr>
      </w:pPr>
      <w:bookmarkStart w:id="20" w:name="_Toc15377207"/>
      <w:bookmarkStart w:id="21" w:name="_Toc11232"/>
      <w:bookmarkStart w:id="22" w:name="_Toc15396605"/>
      <w:bookmarkStart w:id="23" w:name="_Toc9664"/>
    </w:p>
    <w:p>
      <w:pPr>
        <w:keepNext w:val="0"/>
        <w:keepLines w:val="0"/>
        <w:pageBreakBefore w:val="0"/>
        <w:widowControl w:val="0"/>
        <w:kinsoku/>
        <w:wordWrap/>
        <w:overflowPunct/>
        <w:topLinePunct w:val="0"/>
        <w:autoSpaceDE/>
        <w:autoSpaceDN/>
        <w:bidi w:val="0"/>
        <w:adjustRightInd w:val="0"/>
        <w:snapToGrid w:val="0"/>
        <w:spacing w:line="576" w:lineRule="exact"/>
        <w:ind w:right="0" w:firstLine="640" w:firstLineChars="200"/>
        <w:jc w:val="both"/>
        <w:textAlignment w:val="auto"/>
        <w:outlineLvl w:val="1"/>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三、支出决算情况说明</w:t>
      </w:r>
      <w:bookmarkEnd w:id="20"/>
      <w:bookmarkEnd w:id="21"/>
      <w:bookmarkEnd w:id="22"/>
      <w:bookmarkEnd w:id="23"/>
    </w:p>
    <w:p>
      <w:pPr>
        <w:keepNext w:val="0"/>
        <w:keepLines w:val="0"/>
        <w:pageBreakBefore w:val="0"/>
        <w:widowControl w:val="0"/>
        <w:kinsoku/>
        <w:wordWrap/>
        <w:overflowPunct/>
        <w:topLinePunct w:val="0"/>
        <w:bidi w:val="0"/>
        <w:snapToGrid/>
        <w:spacing w:line="576" w:lineRule="exact"/>
        <w:ind w:left="0" w:leftChars="0" w:right="0" w:firstLine="640" w:firstLineChars="200"/>
        <w:jc w:val="both"/>
        <w:textAlignment w:val="auto"/>
        <w:outlineLvl w:val="1"/>
        <w:rPr>
          <w:rFonts w:hint="eastAsia" w:ascii="仿宋_GB2312" w:hAnsi="仿宋_GB2312" w:eastAsia="仿宋_GB2312" w:cs="仿宋_GB2312"/>
          <w:color w:val="auto"/>
          <w:sz w:val="32"/>
          <w:szCs w:val="32"/>
        </w:rPr>
      </w:pPr>
      <w:bookmarkStart w:id="24" w:name="_Toc3662"/>
      <w:bookmarkStart w:id="25" w:name="_Toc15361"/>
      <w:bookmarkStart w:id="26" w:name="_Toc30226"/>
      <w:bookmarkStart w:id="27" w:name="_Toc8949"/>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度</w:t>
      </w:r>
      <w:r>
        <w:rPr>
          <w:rFonts w:hint="eastAsia" w:ascii="仿宋_GB2312" w:hAnsi="仿宋_GB2312" w:eastAsia="仿宋_GB2312" w:cs="仿宋_GB2312"/>
          <w:color w:val="auto"/>
          <w:sz w:val="32"/>
          <w:szCs w:val="32"/>
        </w:rPr>
        <w:t>本年支出合计</w:t>
      </w:r>
      <w:r>
        <w:rPr>
          <w:rFonts w:hint="eastAsia" w:ascii="仿宋_GB2312" w:hAnsi="仿宋_GB2312" w:eastAsia="仿宋_GB2312" w:cs="仿宋_GB2312"/>
          <w:color w:val="auto"/>
          <w:sz w:val="32"/>
          <w:szCs w:val="32"/>
          <w:lang w:val="en-US" w:eastAsia="zh-CN"/>
        </w:rPr>
        <w:t>358.62万</w:t>
      </w:r>
      <w:r>
        <w:rPr>
          <w:rFonts w:hint="eastAsia" w:ascii="仿宋_GB2312" w:hAnsi="仿宋_GB2312" w:eastAsia="仿宋_GB2312" w:cs="仿宋_GB2312"/>
          <w:color w:val="auto"/>
          <w:sz w:val="32"/>
          <w:szCs w:val="32"/>
        </w:rPr>
        <w:t>元，其中：基本支出</w:t>
      </w:r>
      <w:r>
        <w:rPr>
          <w:rFonts w:hint="eastAsia" w:ascii="仿宋_GB2312" w:hAnsi="仿宋_GB2312" w:eastAsia="仿宋_GB2312" w:cs="仿宋_GB2312"/>
          <w:color w:val="auto"/>
          <w:sz w:val="32"/>
          <w:szCs w:val="32"/>
          <w:lang w:val="en-US" w:eastAsia="zh-CN"/>
        </w:rPr>
        <w:t>262.39</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73.17</w:t>
      </w:r>
      <w:r>
        <w:rPr>
          <w:rFonts w:hint="eastAsia" w:ascii="仿宋_GB2312" w:hAnsi="仿宋_GB2312" w:eastAsia="仿宋_GB2312" w:cs="仿宋_GB2312"/>
          <w:color w:val="auto"/>
          <w:sz w:val="32"/>
          <w:szCs w:val="32"/>
        </w:rPr>
        <w:t>%；项目支出</w:t>
      </w:r>
      <w:r>
        <w:rPr>
          <w:rFonts w:hint="eastAsia" w:ascii="仿宋_GB2312" w:hAnsi="仿宋_GB2312" w:eastAsia="仿宋_GB2312" w:cs="仿宋_GB2312"/>
          <w:color w:val="auto"/>
          <w:sz w:val="32"/>
          <w:szCs w:val="32"/>
          <w:lang w:val="en-US" w:eastAsia="zh-CN"/>
        </w:rPr>
        <w:t>96.23</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26.83</w:t>
      </w:r>
      <w:r>
        <w:rPr>
          <w:rFonts w:hint="eastAsia" w:ascii="仿宋_GB2312" w:hAnsi="仿宋_GB2312" w:eastAsia="仿宋_GB2312" w:cs="仿宋_GB2312"/>
          <w:color w:val="auto"/>
          <w:sz w:val="32"/>
          <w:szCs w:val="32"/>
        </w:rPr>
        <w:t>%。</w:t>
      </w:r>
      <w:bookmarkEnd w:id="24"/>
      <w:bookmarkEnd w:id="25"/>
      <w:bookmarkEnd w:id="26"/>
      <w:bookmarkEnd w:id="27"/>
    </w:p>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drawing>
          <wp:inline distT="0" distB="0" distL="114300" distR="114300">
            <wp:extent cx="4906645" cy="2644775"/>
            <wp:effectExtent l="4445" t="4445" r="11430" b="1778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widowControl w:val="0"/>
        <w:kinsoku/>
        <w:wordWrap/>
        <w:overflowPunct/>
        <w:topLinePunct w:val="0"/>
        <w:bidi w:val="0"/>
        <w:snapToGrid/>
        <w:spacing w:line="576" w:lineRule="exact"/>
        <w:ind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（图3：支出决算结构图）</w:t>
      </w:r>
    </w:p>
    <w:p>
      <w:pPr>
        <w:keepNext w:val="0"/>
        <w:keepLines w:val="0"/>
        <w:pageBreakBefore w:val="0"/>
        <w:widowControl w:val="0"/>
        <w:kinsoku/>
        <w:wordWrap/>
        <w:overflowPunct/>
        <w:topLinePunct w:val="0"/>
        <w:autoSpaceDE/>
        <w:autoSpaceDN/>
        <w:bidi w:val="0"/>
        <w:adjustRightInd w:val="0"/>
        <w:snapToGrid w:val="0"/>
        <w:spacing w:line="576" w:lineRule="exact"/>
        <w:ind w:left="0" w:right="0" w:firstLine="640" w:firstLineChars="200"/>
        <w:jc w:val="both"/>
        <w:textAlignment w:val="auto"/>
        <w:outlineLvl w:val="1"/>
        <w:rPr>
          <w:rFonts w:hint="eastAsia" w:ascii="黑体" w:hAnsi="黑体" w:eastAsia="黑体" w:cs="黑体"/>
          <w:b w:val="0"/>
          <w:bCs w:val="0"/>
          <w:color w:val="auto"/>
          <w:sz w:val="32"/>
          <w:szCs w:val="32"/>
          <w:highlight w:val="none"/>
          <w:u w:val="none"/>
          <w:lang w:eastAsia="zh-CN"/>
        </w:rPr>
      </w:pPr>
      <w:bookmarkStart w:id="28" w:name="_Toc4043"/>
      <w:bookmarkStart w:id="29" w:name="_Toc18806"/>
      <w:bookmarkStart w:id="30" w:name="_Toc15377208"/>
      <w:bookmarkStart w:id="31" w:name="_Toc15396606"/>
      <w:r>
        <w:rPr>
          <w:rFonts w:hint="eastAsia" w:ascii="黑体" w:hAnsi="黑体" w:eastAsia="黑体" w:cs="黑体"/>
          <w:b w:val="0"/>
          <w:bCs w:val="0"/>
          <w:color w:val="auto"/>
          <w:sz w:val="32"/>
          <w:szCs w:val="32"/>
          <w:highlight w:val="none"/>
          <w:u w:val="none"/>
          <w:lang w:eastAsia="zh-CN"/>
        </w:rPr>
        <w:t>四、财政拨款收入支出决算总体情况说明</w:t>
      </w:r>
      <w:bookmarkEnd w:id="28"/>
      <w:bookmarkEnd w:id="29"/>
      <w:bookmarkEnd w:id="30"/>
      <w:bookmarkEnd w:id="31"/>
    </w:p>
    <w:p>
      <w:pPr>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度</w:t>
      </w:r>
      <w:r>
        <w:rPr>
          <w:rFonts w:hint="eastAsia" w:ascii="仿宋_GB2312" w:hAnsi="仿宋_GB2312" w:eastAsia="仿宋_GB2312" w:cs="仿宋_GB2312"/>
          <w:color w:val="auto"/>
          <w:sz w:val="32"/>
          <w:szCs w:val="32"/>
        </w:rPr>
        <w:t>财政拨款收、支总计</w:t>
      </w:r>
      <w:r>
        <w:rPr>
          <w:rFonts w:hint="eastAsia" w:ascii="仿宋_GB2312" w:hAnsi="仿宋_GB2312" w:eastAsia="仿宋_GB2312" w:cs="仿宋_GB2312"/>
          <w:color w:val="auto"/>
          <w:sz w:val="32"/>
          <w:szCs w:val="32"/>
          <w:highlight w:val="none"/>
          <w:lang w:eastAsia="zh-CN"/>
        </w:rPr>
        <w:t>均为</w:t>
      </w:r>
      <w:r>
        <w:rPr>
          <w:rFonts w:hint="eastAsia" w:ascii="仿宋_GB2312" w:hAnsi="仿宋_GB2312" w:eastAsia="仿宋_GB2312" w:cs="仿宋_GB2312"/>
          <w:color w:val="auto"/>
          <w:sz w:val="32"/>
          <w:szCs w:val="32"/>
          <w:lang w:val="en-US" w:eastAsia="zh-CN"/>
        </w:rPr>
        <w:t>285.89</w:t>
      </w:r>
      <w:r>
        <w:rPr>
          <w:rFonts w:hint="eastAsia" w:ascii="仿宋_GB2312" w:hAnsi="仿宋_GB2312" w:eastAsia="仿宋_GB2312" w:cs="仿宋_GB2312"/>
          <w:color w:val="auto"/>
          <w:sz w:val="32"/>
          <w:szCs w:val="32"/>
        </w:rPr>
        <w:t>万元。与202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度</w:t>
      </w:r>
      <w:r>
        <w:rPr>
          <w:rFonts w:hint="eastAsia" w:ascii="仿宋_GB2312" w:hAnsi="仿宋_GB2312" w:eastAsia="仿宋_GB2312" w:cs="仿宋_GB2312"/>
          <w:color w:val="auto"/>
          <w:sz w:val="32"/>
          <w:szCs w:val="32"/>
        </w:rPr>
        <w:t>相比，财政拨款收、支总计</w:t>
      </w:r>
      <w:r>
        <w:rPr>
          <w:rFonts w:hint="eastAsia" w:ascii="仿宋_GB2312" w:hAnsi="仿宋_GB2312" w:eastAsia="仿宋_GB2312" w:cs="仿宋_GB2312"/>
          <w:color w:val="auto"/>
          <w:sz w:val="32"/>
          <w:szCs w:val="32"/>
          <w:lang w:eastAsia="zh-CN"/>
        </w:rPr>
        <w:t>各增加</w:t>
      </w:r>
      <w:r>
        <w:rPr>
          <w:rFonts w:hint="eastAsia" w:ascii="仿宋_GB2312" w:hAnsi="仿宋_GB2312" w:eastAsia="仿宋_GB2312" w:cs="仿宋_GB2312"/>
          <w:color w:val="auto"/>
          <w:sz w:val="32"/>
          <w:szCs w:val="32"/>
          <w:highlight w:val="none"/>
          <w:lang w:val="en-US" w:eastAsia="zh-CN"/>
        </w:rPr>
        <w:t>13.82</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增长</w:t>
      </w:r>
      <w:r>
        <w:rPr>
          <w:rFonts w:hint="eastAsia" w:ascii="仿宋_GB2312" w:hAnsi="仿宋_GB2312" w:eastAsia="仿宋_GB2312" w:cs="仿宋_GB2312"/>
          <w:color w:val="auto"/>
          <w:sz w:val="32"/>
          <w:szCs w:val="32"/>
          <w:highlight w:val="none"/>
          <w:lang w:val="en-US" w:eastAsia="zh-CN"/>
        </w:rPr>
        <w:t>4.83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lang w:eastAsia="zh-CN"/>
        </w:rPr>
        <w:t>项目经费增加</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bidi w:val="0"/>
        <w:snapToGrid/>
        <w:spacing w:line="576" w:lineRule="exact"/>
        <w:ind w:left="0" w:leftChars="0" w:right="0" w:firstLine="640" w:firstLineChars="200"/>
        <w:jc w:val="both"/>
        <w:textAlignment w:val="auto"/>
        <w:rPr>
          <w:rFonts w:hint="eastAsia" w:ascii="仿宋_GB2312" w:hAnsi="仿宋_GB2312" w:eastAsia="仿宋_GB2312" w:cs="仿宋_GB2312"/>
          <w:color w:val="auto"/>
          <w:sz w:val="32"/>
          <w:szCs w:val="32"/>
        </w:rPr>
      </w:pPr>
    </w:p>
    <w:p>
      <w:pPr>
        <w:pStyle w:val="22"/>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drawing>
          <wp:inline distT="0" distB="0" distL="114300" distR="114300">
            <wp:extent cx="5332095" cy="2769235"/>
            <wp:effectExtent l="4445" t="4445" r="16510" b="762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pageBreakBefore w:val="0"/>
        <w:widowControl w:val="0"/>
        <w:kinsoku/>
        <w:wordWrap/>
        <w:overflowPunct/>
        <w:topLinePunct w:val="0"/>
        <w:bidi w:val="0"/>
        <w:snapToGrid/>
        <w:spacing w:line="576" w:lineRule="exact"/>
        <w:ind w:right="0"/>
        <w:jc w:val="center"/>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（图4：财政拨款收、支决算总计变动情况）</w:t>
      </w:r>
    </w:p>
    <w:p>
      <w:pPr>
        <w:keepNext w:val="0"/>
        <w:keepLines w:val="0"/>
        <w:pageBreakBefore w:val="0"/>
        <w:widowControl w:val="0"/>
        <w:kinsoku/>
        <w:wordWrap/>
        <w:overflowPunct/>
        <w:topLinePunct w:val="0"/>
        <w:autoSpaceDE/>
        <w:autoSpaceDN/>
        <w:bidi w:val="0"/>
        <w:adjustRightInd w:val="0"/>
        <w:snapToGrid w:val="0"/>
        <w:spacing w:line="576" w:lineRule="exact"/>
        <w:ind w:left="0" w:right="0" w:firstLine="640" w:firstLineChars="200"/>
        <w:jc w:val="both"/>
        <w:textAlignment w:val="auto"/>
        <w:outlineLvl w:val="9"/>
        <w:rPr>
          <w:rFonts w:hint="eastAsia" w:ascii="黑体" w:hAnsi="黑体" w:eastAsia="黑体" w:cs="黑体"/>
          <w:b w:val="0"/>
          <w:bCs w:val="0"/>
          <w:color w:val="auto"/>
          <w:sz w:val="32"/>
          <w:szCs w:val="32"/>
          <w:highlight w:val="none"/>
          <w:u w:val="none"/>
          <w:lang w:eastAsia="zh-CN"/>
        </w:rPr>
      </w:pPr>
      <w:bookmarkStart w:id="32" w:name="_Toc15396607"/>
      <w:bookmarkStart w:id="33" w:name="_Toc10498"/>
      <w:bookmarkStart w:id="34" w:name="_Toc15377209"/>
    </w:p>
    <w:p>
      <w:pPr>
        <w:keepNext w:val="0"/>
        <w:keepLines w:val="0"/>
        <w:pageBreakBefore w:val="0"/>
        <w:widowControl w:val="0"/>
        <w:kinsoku/>
        <w:wordWrap/>
        <w:overflowPunct/>
        <w:topLinePunct w:val="0"/>
        <w:autoSpaceDE/>
        <w:autoSpaceDN/>
        <w:bidi w:val="0"/>
        <w:adjustRightInd w:val="0"/>
        <w:snapToGrid w:val="0"/>
        <w:spacing w:line="576" w:lineRule="exact"/>
        <w:ind w:left="0" w:right="0" w:firstLine="640" w:firstLineChars="200"/>
        <w:jc w:val="both"/>
        <w:textAlignment w:val="auto"/>
        <w:outlineLvl w:val="1"/>
        <w:rPr>
          <w:rFonts w:hint="eastAsia" w:ascii="黑体" w:hAnsi="黑体" w:eastAsia="黑体" w:cs="黑体"/>
          <w:b w:val="0"/>
          <w:bCs w:val="0"/>
          <w:color w:val="auto"/>
          <w:sz w:val="32"/>
          <w:szCs w:val="32"/>
          <w:highlight w:val="none"/>
          <w:u w:val="none"/>
          <w:lang w:eastAsia="zh-CN"/>
        </w:rPr>
      </w:pPr>
      <w:bookmarkStart w:id="35" w:name="_Toc11861"/>
      <w:r>
        <w:rPr>
          <w:rFonts w:hint="eastAsia" w:ascii="黑体" w:hAnsi="黑体" w:eastAsia="黑体" w:cs="黑体"/>
          <w:b w:val="0"/>
          <w:bCs w:val="0"/>
          <w:color w:val="auto"/>
          <w:sz w:val="32"/>
          <w:szCs w:val="32"/>
          <w:highlight w:val="none"/>
          <w:u w:val="none"/>
          <w:lang w:eastAsia="zh-CN"/>
        </w:rPr>
        <w:t>五、一般公共预算财政拨款支出决算情况说明</w:t>
      </w:r>
      <w:bookmarkEnd w:id="32"/>
      <w:bookmarkEnd w:id="33"/>
      <w:bookmarkEnd w:id="34"/>
      <w:bookmarkEnd w:id="35"/>
    </w:p>
    <w:p>
      <w:pPr>
        <w:autoSpaceDE w:val="0"/>
        <w:autoSpaceDN w:val="0"/>
        <w:adjustRightInd w:val="0"/>
        <w:spacing w:line="600" w:lineRule="exact"/>
        <w:ind w:firstLine="640" w:firstLineChars="200"/>
        <w:jc w:val="left"/>
        <w:outlineLvl w:val="2"/>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（一）一般公共预算财政拨款支出决算总体情况</w:t>
      </w:r>
    </w:p>
    <w:p>
      <w:pPr>
        <w:keepNext w:val="0"/>
        <w:keepLines w:val="0"/>
        <w:pageBreakBefore w:val="0"/>
        <w:widowControl w:val="0"/>
        <w:kinsoku/>
        <w:wordWrap/>
        <w:overflowPunct/>
        <w:topLinePunct w:val="0"/>
        <w:bidi w:val="0"/>
        <w:snapToGrid/>
        <w:spacing w:line="576" w:lineRule="exact"/>
        <w:ind w:left="0" w:leftChars="0"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度</w:t>
      </w:r>
      <w:r>
        <w:rPr>
          <w:rFonts w:hint="eastAsia" w:ascii="仿宋_GB2312" w:hAnsi="仿宋_GB2312" w:eastAsia="仿宋_GB2312" w:cs="仿宋_GB2312"/>
          <w:color w:val="auto"/>
          <w:sz w:val="32"/>
          <w:szCs w:val="32"/>
        </w:rPr>
        <w:t>一般公共预算财政拨款支出</w:t>
      </w:r>
      <w:r>
        <w:rPr>
          <w:rFonts w:hint="eastAsia" w:ascii="仿宋_GB2312" w:hAnsi="仿宋_GB2312" w:eastAsia="仿宋_GB2312" w:cs="仿宋_GB2312"/>
          <w:color w:val="auto"/>
          <w:sz w:val="32"/>
          <w:szCs w:val="32"/>
          <w:lang w:val="en-US" w:eastAsia="zh-CN"/>
        </w:rPr>
        <w:t>285.89</w:t>
      </w:r>
      <w:r>
        <w:rPr>
          <w:rFonts w:hint="eastAsia" w:ascii="仿宋_GB2312" w:hAnsi="仿宋_GB2312" w:eastAsia="仿宋_GB2312" w:cs="仿宋_GB2312"/>
          <w:color w:val="auto"/>
          <w:sz w:val="32"/>
          <w:szCs w:val="32"/>
        </w:rPr>
        <w:t>万元，占本年支出合计的</w:t>
      </w:r>
      <w:r>
        <w:rPr>
          <w:rFonts w:hint="eastAsia" w:ascii="仿宋_GB2312" w:hAnsi="仿宋_GB2312" w:eastAsia="仿宋_GB2312" w:cs="仿宋_GB2312"/>
          <w:color w:val="auto"/>
          <w:sz w:val="32"/>
          <w:szCs w:val="32"/>
          <w:lang w:val="en-US" w:eastAsia="zh-CN"/>
        </w:rPr>
        <w:t>79.72</w:t>
      </w:r>
      <w:r>
        <w:rPr>
          <w:rFonts w:hint="eastAsia" w:ascii="仿宋_GB2312" w:hAnsi="仿宋_GB2312" w:eastAsia="仿宋_GB2312" w:cs="仿宋_GB2312"/>
          <w:color w:val="auto"/>
          <w:sz w:val="32"/>
          <w:szCs w:val="32"/>
        </w:rPr>
        <w:t>%。与202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度</w:t>
      </w:r>
      <w:r>
        <w:rPr>
          <w:rFonts w:hint="eastAsia" w:ascii="仿宋_GB2312" w:hAnsi="仿宋_GB2312" w:eastAsia="仿宋_GB2312" w:cs="仿宋_GB2312"/>
          <w:color w:val="auto"/>
          <w:sz w:val="32"/>
          <w:szCs w:val="32"/>
        </w:rPr>
        <w:t>相比，一般公共预算财政拨款支出</w:t>
      </w:r>
      <w:r>
        <w:rPr>
          <w:rFonts w:hint="eastAsia" w:ascii="仿宋_GB2312" w:hAnsi="仿宋_GB2312" w:eastAsia="仿宋_GB2312" w:cs="仿宋_GB2312"/>
          <w:color w:val="auto"/>
          <w:sz w:val="32"/>
          <w:szCs w:val="32"/>
          <w:lang w:eastAsia="zh-CN"/>
        </w:rPr>
        <w:t>增加</w:t>
      </w:r>
      <w:r>
        <w:rPr>
          <w:rFonts w:hint="eastAsia" w:ascii="仿宋_GB2312" w:hAnsi="仿宋_GB2312" w:eastAsia="仿宋_GB2312" w:cs="仿宋_GB2312"/>
          <w:color w:val="auto"/>
          <w:sz w:val="32"/>
          <w:szCs w:val="32"/>
          <w:lang w:val="en-US" w:eastAsia="zh-CN"/>
        </w:rPr>
        <w:t>13.82</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highlight w:val="none"/>
          <w:lang w:eastAsia="zh-CN"/>
        </w:rPr>
        <w:t>增长</w:t>
      </w:r>
      <w:r>
        <w:rPr>
          <w:rFonts w:hint="eastAsia" w:ascii="仿宋_GB2312" w:hAnsi="仿宋_GB2312" w:eastAsia="仿宋_GB2312" w:cs="仿宋_GB2312"/>
          <w:color w:val="auto"/>
          <w:sz w:val="32"/>
          <w:szCs w:val="32"/>
          <w:highlight w:val="none"/>
          <w:lang w:val="en-US" w:eastAsia="zh-CN"/>
        </w:rPr>
        <w:t>5.1</w:t>
      </w:r>
      <w:r>
        <w:rPr>
          <w:rFonts w:hint="eastAsia" w:ascii="仿宋_GB2312" w:hAnsi="仿宋_GB2312" w:eastAsia="仿宋_GB2312" w:cs="仿宋_GB2312"/>
          <w:color w:val="auto"/>
          <w:sz w:val="32"/>
          <w:szCs w:val="32"/>
        </w:rPr>
        <w:t>%。主要变动原因是</w:t>
      </w:r>
      <w:r>
        <w:rPr>
          <w:rFonts w:hint="eastAsia" w:ascii="仿宋_GB2312" w:hAnsi="仿宋_GB2312" w:eastAsia="仿宋_GB2312" w:cs="仿宋_GB2312"/>
          <w:color w:val="auto"/>
          <w:sz w:val="32"/>
          <w:szCs w:val="32"/>
          <w:lang w:eastAsia="zh-CN"/>
        </w:rPr>
        <w:t>项目经费增加。</w:t>
      </w:r>
    </w:p>
    <w:p>
      <w:pPr>
        <w:pStyle w:val="22"/>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drawing>
          <wp:inline distT="0" distB="0" distL="114300" distR="114300">
            <wp:extent cx="5197475" cy="2328545"/>
            <wp:effectExtent l="4445" t="4445" r="10160" b="1397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pageBreakBefore w:val="0"/>
        <w:widowControl w:val="0"/>
        <w:kinsoku/>
        <w:wordWrap/>
        <w:overflowPunct/>
        <w:topLinePunct w:val="0"/>
        <w:bidi w:val="0"/>
        <w:snapToGrid/>
        <w:spacing w:line="576" w:lineRule="exact"/>
        <w:ind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（图5：一般公共预算财政拨款支出决算变动情况）</w:t>
      </w:r>
    </w:p>
    <w:p>
      <w:pPr>
        <w:autoSpaceDE w:val="0"/>
        <w:autoSpaceDN w:val="0"/>
        <w:adjustRightInd w:val="0"/>
        <w:spacing w:line="600" w:lineRule="exact"/>
        <w:ind w:firstLine="640" w:firstLineChars="200"/>
        <w:jc w:val="left"/>
        <w:outlineLvl w:val="2"/>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（二）一般公共预算财政拨款支出决算结构情况</w:t>
      </w:r>
    </w:p>
    <w:p>
      <w:pPr>
        <w:keepNext w:val="0"/>
        <w:keepLines w:val="0"/>
        <w:pageBreakBefore w:val="0"/>
        <w:widowControl w:val="0"/>
        <w:kinsoku/>
        <w:wordWrap/>
        <w:overflowPunct/>
        <w:topLinePunct w:val="0"/>
        <w:bidi w:val="0"/>
        <w:snapToGrid/>
        <w:spacing w:line="576"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度</w:t>
      </w:r>
      <w:r>
        <w:rPr>
          <w:rFonts w:hint="eastAsia" w:ascii="仿宋_GB2312" w:hAnsi="仿宋_GB2312" w:eastAsia="仿宋_GB2312" w:cs="仿宋_GB2312"/>
          <w:color w:val="auto"/>
          <w:sz w:val="32"/>
          <w:szCs w:val="32"/>
        </w:rPr>
        <w:t>一般公共预算财政拨款支出</w:t>
      </w:r>
      <w:r>
        <w:rPr>
          <w:rFonts w:hint="eastAsia" w:ascii="仿宋_GB2312" w:hAnsi="仿宋_GB2312" w:eastAsia="仿宋_GB2312" w:cs="仿宋_GB2312"/>
          <w:color w:val="auto"/>
          <w:sz w:val="32"/>
          <w:szCs w:val="32"/>
          <w:lang w:val="en-US" w:eastAsia="zh-CN"/>
        </w:rPr>
        <w:t>285.89</w:t>
      </w:r>
      <w:r>
        <w:rPr>
          <w:rFonts w:hint="eastAsia" w:ascii="仿宋_GB2312" w:hAnsi="仿宋_GB2312" w:eastAsia="仿宋_GB2312" w:cs="仿宋_GB2312"/>
          <w:color w:val="auto"/>
          <w:sz w:val="32"/>
          <w:szCs w:val="32"/>
        </w:rPr>
        <w:t>万元，主要用于以下方面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val="0"/>
          <w:color w:val="auto"/>
          <w:sz w:val="32"/>
          <w:szCs w:val="32"/>
        </w:rPr>
        <w:t>社会保障和就业（类</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color w:val="auto"/>
          <w:sz w:val="32"/>
          <w:szCs w:val="32"/>
        </w:rPr>
        <w:t>支出</w:t>
      </w:r>
      <w:r>
        <w:rPr>
          <w:rFonts w:hint="eastAsia" w:ascii="仿宋_GB2312" w:hAnsi="仿宋_GB2312" w:eastAsia="仿宋_GB2312" w:cs="仿宋_GB2312"/>
          <w:color w:val="auto"/>
          <w:sz w:val="32"/>
          <w:szCs w:val="32"/>
          <w:lang w:val="en-US" w:eastAsia="zh-CN"/>
        </w:rPr>
        <w:t>26.29</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9.19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rPr>
        <w:t>卫生健康支出</w:t>
      </w:r>
      <w:r>
        <w:rPr>
          <w:rFonts w:hint="eastAsia" w:ascii="仿宋_GB2312" w:hAnsi="仿宋_GB2312" w:eastAsia="仿宋_GB2312" w:cs="仿宋_GB2312"/>
          <w:b/>
          <w:bCs/>
          <w:color w:val="auto"/>
          <w:sz w:val="32"/>
          <w:szCs w:val="32"/>
          <w:lang w:val="en-US" w:eastAsia="zh-CN"/>
        </w:rPr>
        <w:t>7.47</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2.61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000000"/>
          <w:sz w:val="32"/>
          <w:szCs w:val="32"/>
        </w:rPr>
        <w:t>自然资源海洋气象等</w:t>
      </w:r>
      <w:r>
        <w:rPr>
          <w:rFonts w:hint="eastAsia" w:ascii="仿宋_GB2312" w:hAnsi="仿宋_GB2312" w:eastAsia="仿宋_GB2312" w:cs="仿宋_GB2312"/>
          <w:b/>
          <w:bCs/>
          <w:color w:val="000000"/>
          <w:sz w:val="32"/>
          <w:szCs w:val="32"/>
          <w:lang w:eastAsia="zh-CN"/>
        </w:rPr>
        <w:t>支出</w:t>
      </w:r>
      <w:r>
        <w:rPr>
          <w:rFonts w:hint="eastAsia" w:ascii="仿宋_GB2312" w:hAnsi="仿宋_GB2312" w:eastAsia="仿宋_GB2312" w:cs="仿宋_GB2312"/>
          <w:color w:val="auto"/>
          <w:sz w:val="32"/>
          <w:szCs w:val="32"/>
          <w:lang w:val="en-US" w:eastAsia="zh-CN"/>
        </w:rPr>
        <w:t>227.18</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79.46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rPr>
        <w:t>住房保障支出</w:t>
      </w:r>
      <w:r>
        <w:rPr>
          <w:rFonts w:hint="eastAsia" w:ascii="仿宋_GB2312" w:hAnsi="仿宋_GB2312" w:eastAsia="仿宋_GB2312" w:cs="仿宋_GB2312"/>
          <w:color w:val="auto"/>
          <w:sz w:val="32"/>
          <w:szCs w:val="32"/>
          <w:lang w:val="en-US" w:eastAsia="zh-CN"/>
        </w:rPr>
        <w:t>24.95</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8.72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pStyle w:val="22"/>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drawing>
          <wp:inline distT="0" distB="0" distL="114300" distR="114300">
            <wp:extent cx="4437380" cy="2493645"/>
            <wp:effectExtent l="4445" t="5080" r="8255" b="1587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widowControl w:val="0"/>
        <w:kinsoku/>
        <w:wordWrap/>
        <w:overflowPunct/>
        <w:topLinePunct w:val="0"/>
        <w:bidi w:val="0"/>
        <w:snapToGrid/>
        <w:spacing w:line="576" w:lineRule="exact"/>
        <w:ind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（图6：一般公共预算财政拨款支出决算结构）</w:t>
      </w:r>
    </w:p>
    <w:p>
      <w:pPr>
        <w:autoSpaceDE w:val="0"/>
        <w:autoSpaceDN w:val="0"/>
        <w:adjustRightInd w:val="0"/>
        <w:spacing w:line="600" w:lineRule="exact"/>
        <w:ind w:firstLine="640" w:firstLineChars="200"/>
        <w:jc w:val="left"/>
        <w:outlineLvl w:val="2"/>
        <w:rPr>
          <w:rFonts w:hint="eastAsia" w:ascii="楷体_GB2312" w:hAnsi="楷体_GB2312" w:eastAsia="楷体_GB2312" w:cs="楷体_GB2312"/>
          <w:b w:val="0"/>
          <w:bCs/>
          <w:color w:val="auto"/>
          <w:sz w:val="32"/>
          <w:szCs w:val="32"/>
          <w:highlight w:val="none"/>
        </w:rPr>
      </w:pPr>
      <w:bookmarkStart w:id="36" w:name="_Toc15378460"/>
      <w:bookmarkStart w:id="37" w:name="_Toc16406"/>
      <w:bookmarkStart w:id="38" w:name="_Toc18099"/>
      <w:bookmarkStart w:id="39" w:name="_Toc22244"/>
      <w:bookmarkStart w:id="40" w:name="_Toc15377444"/>
      <w:bookmarkStart w:id="41" w:name="_Toc15377213"/>
      <w:r>
        <w:rPr>
          <w:rFonts w:hint="eastAsia" w:ascii="楷体_GB2312" w:hAnsi="楷体_GB2312" w:eastAsia="楷体_GB2312" w:cs="楷体_GB2312"/>
          <w:b w:val="0"/>
          <w:bCs/>
          <w:color w:val="auto"/>
          <w:sz w:val="32"/>
          <w:szCs w:val="32"/>
          <w:highlight w:val="none"/>
        </w:rPr>
        <w:t>（三）一般公共预算财政拨款支出决算具体情况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2" w:firstLineChars="200"/>
        <w:jc w:val="both"/>
        <w:textAlignment w:val="auto"/>
        <w:outlineLvl w:val="1"/>
        <w:rPr>
          <w:rFonts w:hint="eastAsia" w:ascii="仿宋_GB2312" w:hAnsi="仿宋_GB2312" w:eastAsia="仿宋_GB2312" w:cs="仿宋_GB2312"/>
          <w:b/>
          <w:color w:val="auto"/>
          <w:sz w:val="32"/>
          <w:szCs w:val="32"/>
        </w:rPr>
      </w:pPr>
      <w:bookmarkStart w:id="42" w:name="_Toc17320"/>
      <w:r>
        <w:rPr>
          <w:rFonts w:hint="eastAsia" w:ascii="仿宋_GB2312" w:hAnsi="仿宋_GB2312" w:eastAsia="仿宋_GB2312" w:cs="仿宋_GB2312"/>
          <w:b/>
          <w:color w:val="auto"/>
          <w:sz w:val="32"/>
          <w:szCs w:val="32"/>
        </w:rPr>
        <w:t>202</w:t>
      </w:r>
      <w:r>
        <w:rPr>
          <w:rFonts w:hint="eastAsia" w:ascii="仿宋_GB2312" w:hAnsi="仿宋_GB2312" w:eastAsia="仿宋_GB2312" w:cs="仿宋_GB2312"/>
          <w:b/>
          <w:color w:val="auto"/>
          <w:sz w:val="32"/>
          <w:szCs w:val="32"/>
          <w:lang w:val="en-US" w:eastAsia="zh-CN"/>
        </w:rPr>
        <w:t>4</w:t>
      </w:r>
      <w:r>
        <w:rPr>
          <w:rFonts w:hint="eastAsia" w:ascii="仿宋_GB2312" w:hAnsi="仿宋_GB2312" w:eastAsia="仿宋_GB2312" w:cs="仿宋_GB2312"/>
          <w:b/>
          <w:color w:val="auto"/>
          <w:sz w:val="32"/>
          <w:szCs w:val="32"/>
        </w:rPr>
        <w:t>年</w:t>
      </w:r>
      <w:r>
        <w:rPr>
          <w:rFonts w:hint="eastAsia" w:ascii="仿宋_GB2312" w:hAnsi="仿宋_GB2312" w:eastAsia="仿宋_GB2312" w:cs="仿宋_GB2312"/>
          <w:b/>
          <w:color w:val="auto"/>
          <w:sz w:val="32"/>
          <w:szCs w:val="32"/>
          <w:lang w:eastAsia="zh-CN"/>
        </w:rPr>
        <w:t>度</w:t>
      </w:r>
      <w:r>
        <w:rPr>
          <w:rFonts w:hint="eastAsia" w:ascii="仿宋_GB2312" w:hAnsi="仿宋_GB2312" w:eastAsia="仿宋_GB2312" w:cs="仿宋_GB2312"/>
          <w:b/>
          <w:color w:val="auto"/>
          <w:sz w:val="32"/>
          <w:szCs w:val="32"/>
        </w:rPr>
        <w:t>一般公共预算支出决算数为</w:t>
      </w:r>
      <w:r>
        <w:rPr>
          <w:rFonts w:hint="eastAsia" w:ascii="仿宋_GB2312" w:hAnsi="仿宋_GB2312" w:eastAsia="仿宋_GB2312" w:cs="仿宋_GB2312"/>
          <w:b/>
          <w:color w:val="auto"/>
          <w:sz w:val="32"/>
          <w:szCs w:val="32"/>
          <w:lang w:val="en-US" w:eastAsia="zh-CN"/>
        </w:rPr>
        <w:t>285.89</w:t>
      </w:r>
      <w:r>
        <w:rPr>
          <w:rFonts w:hint="eastAsia" w:ascii="仿宋_GB2312" w:hAnsi="仿宋_GB2312" w:eastAsia="仿宋_GB2312" w:cs="仿宋_GB2312"/>
          <w:b/>
          <w:color w:val="auto"/>
          <w:sz w:val="32"/>
          <w:szCs w:val="32"/>
        </w:rPr>
        <w:t>万元</w:t>
      </w:r>
      <w:r>
        <w:rPr>
          <w:rFonts w:hint="eastAsia" w:ascii="仿宋_GB2312" w:hAnsi="仿宋_GB2312" w:eastAsia="仿宋_GB2312" w:cs="仿宋_GB2312"/>
          <w:color w:val="auto"/>
          <w:sz w:val="32"/>
          <w:szCs w:val="32"/>
        </w:rPr>
        <w:t>，</w:t>
      </w:r>
      <w:r>
        <w:rPr>
          <w:rStyle w:val="17"/>
          <w:rFonts w:hint="eastAsia" w:ascii="仿宋_GB2312" w:hAnsi="仿宋_GB2312" w:eastAsia="仿宋_GB2312" w:cs="仿宋_GB2312"/>
          <w:bCs/>
          <w:color w:val="auto"/>
          <w:sz w:val="32"/>
          <w:szCs w:val="32"/>
        </w:rPr>
        <w:t>完成预算</w:t>
      </w:r>
      <w:r>
        <w:rPr>
          <w:rStyle w:val="17"/>
          <w:rFonts w:hint="eastAsia" w:ascii="仿宋_GB2312" w:hAnsi="仿宋_GB2312" w:eastAsia="仿宋_GB2312" w:cs="仿宋_GB2312"/>
          <w:bCs/>
          <w:color w:val="auto"/>
          <w:sz w:val="32"/>
          <w:szCs w:val="32"/>
          <w:lang w:val="en-US" w:eastAsia="zh-CN"/>
        </w:rPr>
        <w:t>100</w:t>
      </w:r>
      <w:r>
        <w:rPr>
          <w:rStyle w:val="17"/>
          <w:rFonts w:hint="eastAsia" w:ascii="仿宋_GB2312" w:hAnsi="仿宋_GB2312" w:eastAsia="仿宋_GB2312" w:cs="仿宋_GB2312"/>
          <w:bCs/>
          <w:color w:val="auto"/>
          <w:sz w:val="32"/>
          <w:szCs w:val="32"/>
        </w:rPr>
        <w:t>%。其中：</w:t>
      </w:r>
      <w:bookmarkEnd w:id="36"/>
      <w:bookmarkEnd w:id="37"/>
      <w:bookmarkEnd w:id="38"/>
      <w:bookmarkEnd w:id="39"/>
      <w:bookmarkEnd w:id="40"/>
      <w:bookmarkEnd w:id="41"/>
      <w:bookmarkEnd w:id="42"/>
    </w:p>
    <w:p>
      <w:pPr>
        <w:numPr>
          <w:ilvl w:val="0"/>
          <w:numId w:val="0"/>
        </w:numPr>
        <w:spacing w:beforeLines="0" w:afterLines="0" w:line="600" w:lineRule="exact"/>
        <w:ind w:firstLine="642" w:firstLineChars="200"/>
        <w:rPr>
          <w:rStyle w:val="17"/>
          <w:rFonts w:hint="eastAsia" w:ascii="仿宋_GB2312" w:hAnsi="仿宋_GB2312" w:eastAsia="仿宋_GB2312" w:cs="仿宋_GB2312"/>
          <w:bCs/>
          <w:color w:val="000000"/>
          <w:sz w:val="32"/>
          <w:szCs w:val="32"/>
        </w:rPr>
      </w:pPr>
      <w:bookmarkStart w:id="43" w:name="_Toc15396608"/>
      <w:bookmarkStart w:id="44" w:name="_Toc15377214"/>
      <w:bookmarkStart w:id="45" w:name="_Toc6814"/>
      <w:bookmarkStart w:id="46" w:name="_Toc25356"/>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社会保障和就业（类）行政事业单位</w:t>
      </w:r>
      <w:r>
        <w:rPr>
          <w:rFonts w:hint="eastAsia" w:ascii="仿宋_GB2312" w:hAnsi="仿宋_GB2312" w:eastAsia="仿宋_GB2312" w:cs="仿宋_GB2312"/>
          <w:b/>
          <w:bCs/>
          <w:color w:val="auto"/>
          <w:sz w:val="32"/>
          <w:szCs w:val="32"/>
          <w:lang w:eastAsia="zh-CN"/>
        </w:rPr>
        <w:t>养老支出</w:t>
      </w:r>
      <w:r>
        <w:rPr>
          <w:rFonts w:hint="eastAsia" w:ascii="仿宋_GB2312" w:hAnsi="仿宋_GB2312" w:eastAsia="仿宋_GB2312" w:cs="仿宋_GB2312"/>
          <w:b/>
          <w:bCs/>
          <w:color w:val="auto"/>
          <w:sz w:val="32"/>
          <w:szCs w:val="32"/>
        </w:rPr>
        <w:t>（款）事业单位离退休（项）</w:t>
      </w:r>
      <w:r>
        <w:rPr>
          <w:rFonts w:hint="eastAsia" w:ascii="仿宋_GB2312" w:hAnsi="仿宋_GB2312" w:eastAsia="仿宋_GB2312" w:cs="仿宋_GB2312"/>
          <w:b/>
          <w:bCs/>
          <w:color w:val="auto"/>
          <w:sz w:val="32"/>
          <w:szCs w:val="32"/>
          <w:lang w:eastAsia="zh-CN"/>
        </w:rPr>
        <w:t>：</w:t>
      </w:r>
      <w:r>
        <w:rPr>
          <w:rStyle w:val="17"/>
          <w:rFonts w:hint="eastAsia" w:ascii="仿宋_GB2312" w:hAnsi="仿宋_GB2312" w:eastAsia="仿宋_GB2312" w:cs="仿宋_GB2312"/>
          <w:b w:val="0"/>
          <w:bCs/>
          <w:color w:val="auto"/>
          <w:sz w:val="32"/>
          <w:szCs w:val="32"/>
        </w:rPr>
        <w:t>支出决算为</w:t>
      </w:r>
      <w:r>
        <w:rPr>
          <w:rStyle w:val="17"/>
          <w:rFonts w:hint="eastAsia" w:ascii="仿宋_GB2312" w:hAnsi="仿宋_GB2312" w:eastAsia="仿宋_GB2312" w:cs="仿宋_GB2312"/>
          <w:b w:val="0"/>
          <w:bCs/>
          <w:color w:val="auto"/>
          <w:sz w:val="32"/>
          <w:szCs w:val="32"/>
          <w:lang w:val="en-US" w:eastAsia="zh-CN"/>
        </w:rPr>
        <w:t>2.52</w:t>
      </w:r>
      <w:r>
        <w:rPr>
          <w:rStyle w:val="17"/>
          <w:rFonts w:hint="eastAsia" w:ascii="仿宋_GB2312" w:hAnsi="仿宋_GB2312" w:eastAsia="仿宋_GB2312" w:cs="仿宋_GB2312"/>
          <w:b w:val="0"/>
          <w:bCs/>
          <w:color w:val="auto"/>
          <w:sz w:val="32"/>
          <w:szCs w:val="32"/>
        </w:rPr>
        <w:t>万元，完成预算100%，</w:t>
      </w:r>
      <w:r>
        <w:rPr>
          <w:rFonts w:hint="eastAsia" w:ascii="仿宋_GB2312" w:hAnsi="仿宋_GB2312" w:eastAsia="仿宋_GB2312" w:cs="仿宋_GB2312"/>
          <w:color w:val="auto"/>
          <w:sz w:val="32"/>
          <w:szCs w:val="32"/>
        </w:rPr>
        <w:t>决算数与预算数基本持平</w:t>
      </w:r>
      <w:r>
        <w:rPr>
          <w:rStyle w:val="17"/>
          <w:rFonts w:hint="eastAsia" w:ascii="仿宋_GB2312" w:hAnsi="仿宋_GB2312" w:eastAsia="仿宋_GB2312" w:cs="仿宋_GB2312"/>
          <w:b w:val="0"/>
          <w:bCs/>
          <w:color w:val="auto"/>
          <w:sz w:val="32"/>
          <w:szCs w:val="32"/>
        </w:rPr>
        <w:t>。</w:t>
      </w:r>
    </w:p>
    <w:p>
      <w:pPr>
        <w:spacing w:line="520" w:lineRule="exact"/>
        <w:ind w:firstLine="642" w:firstLineChars="200"/>
        <w:rPr>
          <w:rStyle w:val="17"/>
          <w:rFonts w:hint="eastAsia" w:ascii="仿宋_GB2312" w:hAnsi="仿宋_GB2312" w:eastAsia="仿宋_GB2312" w:cs="仿宋_GB2312"/>
          <w:b w:val="0"/>
          <w:bCs/>
          <w:sz w:val="32"/>
          <w:szCs w:val="32"/>
        </w:rPr>
      </w:pPr>
      <w:r>
        <w:rPr>
          <w:rStyle w:val="17"/>
          <w:rFonts w:hint="eastAsia" w:ascii="仿宋_GB2312" w:hAnsi="仿宋_GB2312" w:eastAsia="仿宋_GB2312" w:cs="仿宋_GB2312"/>
          <w:bCs/>
          <w:color w:val="000000"/>
          <w:sz w:val="32"/>
          <w:szCs w:val="32"/>
          <w:lang w:val="en-US" w:eastAsia="zh-CN"/>
        </w:rPr>
        <w:t>2</w:t>
      </w:r>
      <w:r>
        <w:rPr>
          <w:rStyle w:val="17"/>
          <w:rFonts w:hint="eastAsia" w:ascii="仿宋_GB2312" w:hAnsi="仿宋_GB2312" w:eastAsia="仿宋_GB2312" w:cs="仿宋_GB2312"/>
          <w:bCs/>
          <w:color w:val="000000"/>
          <w:sz w:val="32"/>
          <w:szCs w:val="32"/>
        </w:rPr>
        <w:t>.社会保障和就业支出（类）行政事业单位养老支出（款）机关事业单位基本养老保险缴费支出（项）</w:t>
      </w:r>
      <w:r>
        <w:rPr>
          <w:rStyle w:val="17"/>
          <w:rFonts w:hint="eastAsia" w:ascii="仿宋_GB2312" w:hAnsi="仿宋_GB2312" w:eastAsia="仿宋_GB2312" w:cs="仿宋_GB2312"/>
          <w:bCs/>
          <w:color w:val="000000"/>
          <w:sz w:val="32"/>
          <w:szCs w:val="32"/>
          <w:lang w:eastAsia="zh-CN"/>
        </w:rPr>
        <w:t>：</w:t>
      </w:r>
      <w:r>
        <w:rPr>
          <w:rStyle w:val="17"/>
          <w:rFonts w:hint="eastAsia" w:ascii="仿宋_GB2312" w:hAnsi="仿宋_GB2312" w:eastAsia="仿宋_GB2312" w:cs="仿宋_GB2312"/>
          <w:b w:val="0"/>
          <w:bCs/>
          <w:color w:val="000000"/>
          <w:sz w:val="32"/>
          <w:szCs w:val="32"/>
        </w:rPr>
        <w:t>支出决算为</w:t>
      </w:r>
      <w:r>
        <w:rPr>
          <w:rStyle w:val="17"/>
          <w:rFonts w:hint="eastAsia" w:ascii="仿宋_GB2312" w:hAnsi="仿宋_GB2312" w:eastAsia="仿宋_GB2312" w:cs="仿宋_GB2312"/>
          <w:b w:val="0"/>
          <w:bCs/>
          <w:color w:val="000000"/>
          <w:sz w:val="32"/>
          <w:szCs w:val="32"/>
          <w:lang w:val="en-US" w:eastAsia="zh-CN"/>
        </w:rPr>
        <w:t>22.6</w:t>
      </w:r>
      <w:r>
        <w:rPr>
          <w:rStyle w:val="17"/>
          <w:rFonts w:hint="eastAsia" w:ascii="仿宋_GB2312" w:hAnsi="仿宋_GB2312" w:eastAsia="仿宋_GB2312" w:cs="仿宋_GB2312"/>
          <w:b w:val="0"/>
          <w:bCs/>
          <w:color w:val="000000"/>
          <w:sz w:val="32"/>
          <w:szCs w:val="32"/>
        </w:rPr>
        <w:t>万元，完成预算100%</w:t>
      </w:r>
      <w:r>
        <w:rPr>
          <w:rStyle w:val="17"/>
          <w:rFonts w:hint="eastAsia" w:ascii="仿宋_GB2312" w:hAnsi="仿宋_GB2312" w:eastAsia="仿宋_GB2312" w:cs="仿宋_GB2312"/>
          <w:b w:val="0"/>
          <w:bCs/>
          <w:sz w:val="32"/>
          <w:szCs w:val="32"/>
        </w:rPr>
        <w:t>；</w:t>
      </w:r>
    </w:p>
    <w:p>
      <w:pPr>
        <w:spacing w:line="520" w:lineRule="exact"/>
        <w:ind w:firstLine="642" w:firstLineChars="200"/>
        <w:rPr>
          <w:rStyle w:val="17"/>
          <w:rFonts w:ascii="仿宋_GB2312" w:hAnsi="仿宋_GB2312" w:eastAsia="仿宋_GB2312" w:cs="仿宋_GB2312"/>
          <w:b w:val="0"/>
          <w:bCs/>
          <w:color w:val="000000"/>
          <w:sz w:val="32"/>
          <w:szCs w:val="32"/>
        </w:rPr>
      </w:pPr>
      <w:r>
        <w:rPr>
          <w:rStyle w:val="17"/>
          <w:rFonts w:hint="eastAsia" w:ascii="仿宋_GB2312" w:hAnsi="仿宋_GB2312" w:eastAsia="仿宋_GB2312" w:cs="仿宋_GB2312"/>
          <w:bCs/>
          <w:color w:val="000000"/>
          <w:sz w:val="32"/>
          <w:szCs w:val="32"/>
          <w:lang w:val="en-US" w:eastAsia="zh-CN"/>
        </w:rPr>
        <w:t>3.</w:t>
      </w:r>
      <w:r>
        <w:rPr>
          <w:rStyle w:val="17"/>
          <w:rFonts w:hint="eastAsia" w:ascii="仿宋_GB2312" w:hAnsi="仿宋_GB2312" w:eastAsia="仿宋_GB2312" w:cs="仿宋_GB2312"/>
          <w:bCs/>
          <w:color w:val="000000"/>
          <w:sz w:val="32"/>
          <w:szCs w:val="32"/>
        </w:rPr>
        <w:t>社会保障和就业支出（类）其他社会和保障就业支出（款）其他社会和保障就业支出（项）</w:t>
      </w:r>
      <w:r>
        <w:rPr>
          <w:rStyle w:val="17"/>
          <w:rFonts w:hint="eastAsia" w:ascii="仿宋_GB2312" w:hAnsi="仿宋_GB2312" w:eastAsia="仿宋_GB2312" w:cs="仿宋_GB2312"/>
          <w:bCs/>
          <w:color w:val="000000"/>
          <w:sz w:val="32"/>
          <w:szCs w:val="32"/>
          <w:lang w:eastAsia="zh-CN"/>
        </w:rPr>
        <w:t>：</w:t>
      </w:r>
      <w:r>
        <w:rPr>
          <w:rStyle w:val="17"/>
          <w:rFonts w:hint="eastAsia" w:ascii="仿宋_GB2312" w:hAnsi="仿宋_GB2312" w:eastAsia="仿宋_GB2312" w:cs="仿宋_GB2312"/>
          <w:b w:val="0"/>
          <w:bCs/>
          <w:color w:val="000000"/>
          <w:sz w:val="32"/>
          <w:szCs w:val="32"/>
        </w:rPr>
        <w:t>支出决算为</w:t>
      </w:r>
      <w:r>
        <w:rPr>
          <w:rStyle w:val="17"/>
          <w:rFonts w:hint="eastAsia" w:ascii="仿宋_GB2312" w:hAnsi="仿宋_GB2312" w:eastAsia="仿宋_GB2312" w:cs="仿宋_GB2312"/>
          <w:b w:val="0"/>
          <w:bCs/>
          <w:color w:val="000000"/>
          <w:sz w:val="32"/>
          <w:szCs w:val="32"/>
          <w:lang w:val="en-US" w:eastAsia="zh-CN"/>
        </w:rPr>
        <w:t>1.17</w:t>
      </w:r>
      <w:r>
        <w:rPr>
          <w:rStyle w:val="17"/>
          <w:rFonts w:hint="eastAsia" w:ascii="仿宋_GB2312" w:hAnsi="仿宋_GB2312" w:eastAsia="仿宋_GB2312" w:cs="仿宋_GB2312"/>
          <w:b w:val="0"/>
          <w:bCs/>
          <w:color w:val="000000"/>
          <w:sz w:val="32"/>
          <w:szCs w:val="32"/>
        </w:rPr>
        <w:t>万元，完成预算100%。</w:t>
      </w:r>
    </w:p>
    <w:p>
      <w:pPr>
        <w:spacing w:line="520" w:lineRule="exact"/>
        <w:ind w:firstLine="642" w:firstLineChars="200"/>
        <w:rPr>
          <w:rFonts w:ascii="仿宋_GB2312" w:hAnsi="仿宋_GB2312" w:eastAsia="仿宋_GB2312" w:cs="仿宋_GB2312"/>
          <w:b/>
          <w:sz w:val="32"/>
          <w:szCs w:val="32"/>
        </w:rPr>
      </w:pPr>
      <w:r>
        <w:rPr>
          <w:rStyle w:val="17"/>
          <w:rFonts w:hint="eastAsia" w:ascii="仿宋_GB2312" w:hAnsi="仿宋_GB2312" w:eastAsia="仿宋_GB2312" w:cs="仿宋_GB2312"/>
          <w:bCs/>
          <w:sz w:val="32"/>
          <w:szCs w:val="32"/>
          <w:lang w:val="en-US" w:eastAsia="zh-CN"/>
        </w:rPr>
        <w:t>4</w:t>
      </w:r>
      <w:r>
        <w:rPr>
          <w:rStyle w:val="17"/>
          <w:rFonts w:hint="eastAsia" w:ascii="仿宋_GB2312" w:hAnsi="仿宋_GB2312" w:eastAsia="仿宋_GB2312" w:cs="仿宋_GB2312"/>
          <w:bCs/>
          <w:sz w:val="32"/>
          <w:szCs w:val="32"/>
        </w:rPr>
        <w:t>.</w:t>
      </w:r>
      <w:r>
        <w:rPr>
          <w:rStyle w:val="17"/>
          <w:rFonts w:hint="eastAsia" w:ascii="仿宋_GB2312" w:hAnsi="仿宋_GB2312" w:eastAsia="仿宋_GB2312" w:cs="仿宋_GB2312"/>
          <w:bCs/>
          <w:color w:val="000000"/>
          <w:sz w:val="32"/>
          <w:szCs w:val="32"/>
        </w:rPr>
        <w:t>卫生健康支出（类）行政事业单位医疗（款）事业单位医疗（项）</w:t>
      </w:r>
      <w:r>
        <w:rPr>
          <w:rStyle w:val="17"/>
          <w:rFonts w:hint="eastAsia" w:ascii="仿宋_GB2312" w:hAnsi="仿宋_GB2312" w:eastAsia="仿宋_GB2312" w:cs="仿宋_GB2312"/>
          <w:bCs/>
          <w:color w:val="000000"/>
          <w:sz w:val="32"/>
          <w:szCs w:val="32"/>
          <w:lang w:eastAsia="zh-CN"/>
        </w:rPr>
        <w:t>：</w:t>
      </w:r>
      <w:r>
        <w:rPr>
          <w:rStyle w:val="17"/>
          <w:rFonts w:hint="eastAsia" w:ascii="仿宋_GB2312" w:hAnsi="仿宋_GB2312" w:eastAsia="仿宋_GB2312" w:cs="仿宋_GB2312"/>
          <w:b w:val="0"/>
          <w:bCs/>
          <w:sz w:val="32"/>
          <w:szCs w:val="32"/>
        </w:rPr>
        <w:t>支出决算为</w:t>
      </w:r>
      <w:r>
        <w:rPr>
          <w:rStyle w:val="17"/>
          <w:rFonts w:hint="eastAsia" w:ascii="仿宋_GB2312" w:hAnsi="仿宋_GB2312" w:eastAsia="仿宋_GB2312" w:cs="仿宋_GB2312"/>
          <w:b w:val="0"/>
          <w:bCs/>
          <w:sz w:val="32"/>
          <w:szCs w:val="32"/>
          <w:lang w:val="en-US" w:eastAsia="zh-CN"/>
        </w:rPr>
        <w:t>7.47</w:t>
      </w:r>
      <w:r>
        <w:rPr>
          <w:rStyle w:val="17"/>
          <w:rFonts w:hint="eastAsia" w:ascii="仿宋_GB2312" w:hAnsi="仿宋_GB2312" w:eastAsia="仿宋_GB2312" w:cs="仿宋_GB2312"/>
          <w:b w:val="0"/>
          <w:bCs/>
          <w:sz w:val="32"/>
          <w:szCs w:val="32"/>
        </w:rPr>
        <w:t>万元，完成预算100%。</w:t>
      </w:r>
    </w:p>
    <w:p>
      <w:pPr>
        <w:keepNext w:val="0"/>
        <w:keepLines w:val="0"/>
        <w:pageBreakBefore w:val="0"/>
        <w:widowControl/>
        <w:kinsoku/>
        <w:wordWrap/>
        <w:overflowPunct/>
        <w:topLinePunct w:val="0"/>
        <w:autoSpaceDE/>
        <w:autoSpaceDN/>
        <w:bidi w:val="0"/>
        <w:adjustRightInd/>
        <w:snapToGrid/>
        <w:spacing w:line="520" w:lineRule="exact"/>
        <w:ind w:left="0" w:firstLine="642" w:firstLineChars="200"/>
        <w:jc w:val="left"/>
        <w:textAlignment w:val="auto"/>
        <w:rPr>
          <w:rStyle w:val="17"/>
          <w:rFonts w:hint="eastAsia" w:ascii="仿宋_GB2312" w:hAnsi="仿宋_GB2312" w:eastAsia="仿宋_GB2312" w:cs="仿宋_GB2312"/>
          <w:b w:val="0"/>
          <w:bCs/>
          <w:sz w:val="32"/>
          <w:szCs w:val="32"/>
        </w:rPr>
      </w:pPr>
      <w:r>
        <w:rPr>
          <w:rStyle w:val="17"/>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
          <w:bCs/>
          <w:color w:val="000000"/>
          <w:sz w:val="32"/>
          <w:szCs w:val="32"/>
          <w:highlight w:val="none"/>
        </w:rPr>
        <w:t>.自然资源海洋气象等支出（类）自然资源事务（款）自然资源利用与保护</w:t>
      </w:r>
      <w:r>
        <w:rPr>
          <w:rFonts w:hint="eastAsia" w:ascii="仿宋_GB2312" w:hAnsi="仿宋_GB2312" w:eastAsia="仿宋_GB2312" w:cs="仿宋_GB2312"/>
          <w:b/>
          <w:bCs/>
          <w:color w:val="000000"/>
          <w:sz w:val="32"/>
          <w:szCs w:val="32"/>
          <w:highlight w:val="none"/>
          <w:lang w:eastAsia="zh-CN"/>
        </w:rPr>
        <w:t>（</w:t>
      </w:r>
      <w:r>
        <w:rPr>
          <w:rFonts w:hint="eastAsia" w:ascii="仿宋_GB2312" w:hAnsi="仿宋_GB2312" w:eastAsia="仿宋_GB2312" w:cs="仿宋_GB2312"/>
          <w:b/>
          <w:bCs/>
          <w:color w:val="000000"/>
          <w:sz w:val="32"/>
          <w:szCs w:val="32"/>
          <w:highlight w:val="none"/>
        </w:rPr>
        <w:t>项）：</w:t>
      </w:r>
      <w:r>
        <w:rPr>
          <w:rFonts w:hint="eastAsia" w:ascii="仿宋_GB2312" w:hAnsi="仿宋_GB2312" w:eastAsia="仿宋_GB2312" w:cs="仿宋_GB2312"/>
          <w:color w:val="000000"/>
          <w:sz w:val="32"/>
          <w:szCs w:val="32"/>
          <w:highlight w:val="none"/>
        </w:rPr>
        <w:t>支出决算为</w:t>
      </w:r>
      <w:r>
        <w:rPr>
          <w:rFonts w:hint="eastAsia" w:ascii="仿宋_GB2312" w:hAnsi="仿宋_GB2312" w:eastAsia="仿宋_GB2312" w:cs="仿宋_GB2312"/>
          <w:color w:val="000000"/>
          <w:sz w:val="32"/>
          <w:szCs w:val="32"/>
          <w:highlight w:val="none"/>
          <w:lang w:val="en-US" w:eastAsia="zh-CN"/>
        </w:rPr>
        <w:t>23.5</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sz w:val="32"/>
          <w:szCs w:val="32"/>
          <w:highlight w:val="none"/>
        </w:rPr>
        <w:t>完成预算</w:t>
      </w:r>
      <w:r>
        <w:rPr>
          <w:rFonts w:hint="eastAsia" w:ascii="仿宋_GB2312" w:hAnsi="仿宋_GB2312" w:eastAsia="仿宋_GB2312" w:cs="仿宋_GB2312"/>
          <w:sz w:val="32"/>
          <w:szCs w:val="32"/>
          <w:highlight w:val="none"/>
          <w:lang w:val="en"/>
        </w:rPr>
        <w:t>10</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决算数与预算数持平</w:t>
      </w:r>
      <w:r>
        <w:rPr>
          <w:rStyle w:val="17"/>
          <w:rFonts w:hint="eastAsia" w:ascii="仿宋_GB2312" w:hAnsi="仿宋_GB2312" w:eastAsia="仿宋_GB2312" w:cs="仿宋_GB2312"/>
          <w:b w:val="0"/>
          <w:bCs/>
          <w:sz w:val="32"/>
          <w:szCs w:val="32"/>
        </w:rPr>
        <w:t>。</w:t>
      </w:r>
    </w:p>
    <w:p>
      <w:pPr>
        <w:pStyle w:val="2"/>
        <w:keepNext w:val="0"/>
        <w:keepLines w:val="0"/>
        <w:pageBreakBefore w:val="0"/>
        <w:kinsoku/>
        <w:wordWrap/>
        <w:overflowPunct/>
        <w:topLinePunct w:val="0"/>
        <w:autoSpaceDE/>
        <w:autoSpaceDN/>
        <w:bidi w:val="0"/>
        <w:adjustRightInd/>
        <w:snapToGrid/>
        <w:spacing w:beforeLines="0" w:line="520" w:lineRule="exact"/>
        <w:ind w:firstLine="642" w:firstLineChars="200"/>
        <w:textAlignment w:val="auto"/>
        <w:rPr>
          <w:rFonts w:hint="eastAsia"/>
        </w:rPr>
      </w:pPr>
      <w:r>
        <w:rPr>
          <w:rFonts w:hint="eastAsia" w:hAnsi="仿宋_GB2312" w:cs="仿宋_GB2312"/>
          <w:b/>
          <w:bCs/>
          <w:color w:val="000000"/>
          <w:sz w:val="32"/>
          <w:szCs w:val="32"/>
          <w:highlight w:val="none"/>
          <w:lang w:val="en-US" w:eastAsia="zh-CN"/>
        </w:rPr>
        <w:t>6</w:t>
      </w:r>
      <w:r>
        <w:rPr>
          <w:rFonts w:hint="eastAsia" w:ascii="仿宋_GB2312" w:hAnsi="仿宋_GB2312" w:eastAsia="仿宋_GB2312" w:cs="仿宋_GB2312"/>
          <w:b/>
          <w:bCs/>
          <w:color w:val="000000"/>
          <w:sz w:val="32"/>
          <w:szCs w:val="32"/>
          <w:highlight w:val="none"/>
        </w:rPr>
        <w:t>.自然资源海洋气象等支出（类）自然资源事务（款）</w:t>
      </w:r>
      <w:r>
        <w:rPr>
          <w:rFonts w:hint="eastAsia" w:hAnsi="仿宋_GB2312" w:cs="仿宋_GB2312"/>
          <w:b/>
          <w:bCs/>
          <w:color w:val="000000"/>
          <w:sz w:val="32"/>
          <w:szCs w:val="32"/>
          <w:highlight w:val="none"/>
          <w:lang w:eastAsia="zh-CN"/>
        </w:rPr>
        <w:t>事业运行（</w:t>
      </w:r>
      <w:r>
        <w:rPr>
          <w:rFonts w:hint="eastAsia" w:ascii="仿宋_GB2312" w:hAnsi="仿宋_GB2312" w:eastAsia="仿宋_GB2312" w:cs="仿宋_GB2312"/>
          <w:b/>
          <w:bCs/>
          <w:color w:val="000000"/>
          <w:sz w:val="32"/>
          <w:szCs w:val="32"/>
          <w:highlight w:val="none"/>
        </w:rPr>
        <w:t>项）：</w:t>
      </w:r>
      <w:r>
        <w:rPr>
          <w:rFonts w:hint="eastAsia" w:ascii="仿宋_GB2312" w:hAnsi="仿宋_GB2312" w:eastAsia="仿宋_GB2312" w:cs="仿宋_GB2312"/>
          <w:color w:val="000000"/>
          <w:sz w:val="32"/>
          <w:szCs w:val="32"/>
          <w:highlight w:val="none"/>
        </w:rPr>
        <w:t>支出决算为</w:t>
      </w:r>
      <w:r>
        <w:rPr>
          <w:rFonts w:hint="eastAsia" w:hAnsi="仿宋_GB2312" w:cs="仿宋_GB2312"/>
          <w:color w:val="000000"/>
          <w:sz w:val="32"/>
          <w:szCs w:val="32"/>
          <w:highlight w:val="none"/>
          <w:lang w:val="en-US" w:eastAsia="zh-CN"/>
        </w:rPr>
        <w:t>203.68</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sz w:val="32"/>
          <w:szCs w:val="32"/>
          <w:highlight w:val="none"/>
        </w:rPr>
        <w:t>完成预算</w:t>
      </w:r>
      <w:r>
        <w:rPr>
          <w:rFonts w:hint="eastAsia" w:ascii="仿宋_GB2312" w:hAnsi="仿宋_GB2312" w:eastAsia="仿宋_GB2312" w:cs="仿宋_GB2312"/>
          <w:sz w:val="32"/>
          <w:szCs w:val="32"/>
          <w:highlight w:val="none"/>
          <w:lang w:val="en"/>
        </w:rPr>
        <w:t>10</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决算数与预算数持平</w:t>
      </w:r>
      <w:r>
        <w:rPr>
          <w:rStyle w:val="17"/>
          <w:rFonts w:hint="eastAsia" w:ascii="仿宋_GB2312" w:hAnsi="仿宋_GB2312" w:eastAsia="仿宋_GB2312" w:cs="仿宋_GB2312"/>
          <w:b w:val="0"/>
          <w:bCs/>
          <w:sz w:val="32"/>
          <w:szCs w:val="32"/>
        </w:rPr>
        <w:t>。</w:t>
      </w:r>
    </w:p>
    <w:p>
      <w:pPr>
        <w:spacing w:line="520" w:lineRule="exact"/>
        <w:ind w:firstLine="642" w:firstLineChars="200"/>
        <w:rPr>
          <w:rFonts w:ascii="仿宋_GB2312" w:hAnsi="仿宋_GB2312" w:eastAsia="仿宋_GB2312" w:cs="仿宋_GB2312"/>
          <w:b/>
          <w:sz w:val="32"/>
          <w:szCs w:val="32"/>
        </w:rPr>
      </w:pPr>
      <w:r>
        <w:rPr>
          <w:rStyle w:val="17"/>
          <w:rFonts w:hint="eastAsia" w:ascii="仿宋_GB2312" w:hAnsi="仿宋_GB2312" w:eastAsia="仿宋_GB2312" w:cs="仿宋_GB2312"/>
          <w:bCs/>
          <w:sz w:val="32"/>
          <w:szCs w:val="32"/>
          <w:lang w:val="en-US" w:eastAsia="zh-CN"/>
        </w:rPr>
        <w:t>7</w:t>
      </w:r>
      <w:r>
        <w:rPr>
          <w:rStyle w:val="17"/>
          <w:rFonts w:hint="eastAsia" w:ascii="仿宋_GB2312" w:hAnsi="仿宋_GB2312" w:eastAsia="仿宋_GB2312" w:cs="仿宋_GB2312"/>
          <w:bCs/>
          <w:sz w:val="32"/>
          <w:szCs w:val="32"/>
        </w:rPr>
        <w:t>.</w:t>
      </w:r>
      <w:r>
        <w:rPr>
          <w:rStyle w:val="17"/>
          <w:rFonts w:hint="eastAsia" w:ascii="仿宋_GB2312" w:hAnsi="仿宋_GB2312" w:eastAsia="仿宋_GB2312" w:cs="仿宋_GB2312"/>
          <w:bCs/>
          <w:color w:val="000000"/>
          <w:sz w:val="32"/>
          <w:szCs w:val="32"/>
        </w:rPr>
        <w:t>住房保障（类）住房改革支出（款）住房公积金（项）</w:t>
      </w:r>
      <w:r>
        <w:rPr>
          <w:rStyle w:val="17"/>
          <w:rFonts w:hint="eastAsia" w:ascii="仿宋_GB2312" w:hAnsi="仿宋_GB2312" w:eastAsia="仿宋_GB2312" w:cs="仿宋_GB2312"/>
          <w:bCs/>
          <w:color w:val="000000"/>
          <w:sz w:val="32"/>
          <w:szCs w:val="32"/>
          <w:lang w:eastAsia="zh-CN"/>
        </w:rPr>
        <w:t>：</w:t>
      </w:r>
      <w:r>
        <w:rPr>
          <w:rStyle w:val="17"/>
          <w:rFonts w:hint="eastAsia" w:ascii="仿宋_GB2312" w:hAnsi="仿宋_GB2312" w:eastAsia="仿宋_GB2312" w:cs="仿宋_GB2312"/>
          <w:b w:val="0"/>
          <w:bCs/>
          <w:sz w:val="32"/>
          <w:szCs w:val="32"/>
        </w:rPr>
        <w:t>支出决算为</w:t>
      </w:r>
      <w:r>
        <w:rPr>
          <w:rStyle w:val="17"/>
          <w:rFonts w:hint="eastAsia" w:ascii="仿宋_GB2312" w:hAnsi="仿宋_GB2312" w:eastAsia="仿宋_GB2312" w:cs="仿宋_GB2312"/>
          <w:b w:val="0"/>
          <w:bCs/>
          <w:sz w:val="32"/>
          <w:szCs w:val="32"/>
          <w:lang w:val="en-US" w:eastAsia="zh-CN"/>
        </w:rPr>
        <w:t>24.95</w:t>
      </w:r>
      <w:r>
        <w:rPr>
          <w:rStyle w:val="17"/>
          <w:rFonts w:hint="eastAsia" w:ascii="仿宋_GB2312" w:hAnsi="仿宋_GB2312" w:eastAsia="仿宋_GB2312" w:cs="仿宋_GB2312"/>
          <w:b w:val="0"/>
          <w:bCs/>
          <w:sz w:val="32"/>
          <w:szCs w:val="32"/>
        </w:rPr>
        <w:t>万元，完成预算100%。</w:t>
      </w:r>
    </w:p>
    <w:p>
      <w:pPr>
        <w:keepNext w:val="0"/>
        <w:keepLines w:val="0"/>
        <w:pageBreakBefore w:val="0"/>
        <w:widowControl w:val="0"/>
        <w:kinsoku/>
        <w:wordWrap/>
        <w:overflowPunct/>
        <w:topLinePunct w:val="0"/>
        <w:autoSpaceDE/>
        <w:autoSpaceDN/>
        <w:bidi w:val="0"/>
        <w:adjustRightInd w:val="0"/>
        <w:snapToGrid w:val="0"/>
        <w:spacing w:line="576" w:lineRule="exact"/>
        <w:ind w:left="0" w:right="0" w:firstLine="640" w:firstLineChars="200"/>
        <w:jc w:val="both"/>
        <w:textAlignment w:val="auto"/>
        <w:outlineLvl w:val="1"/>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六、一般公共预算财政拨款基本支出决算情况说明</w:t>
      </w:r>
      <w:bookmarkEnd w:id="43"/>
      <w:bookmarkEnd w:id="44"/>
      <w:bookmarkEnd w:id="45"/>
      <w:bookmarkEnd w:id="46"/>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度</w:t>
      </w:r>
      <w:r>
        <w:rPr>
          <w:rFonts w:hint="eastAsia" w:ascii="仿宋_GB2312" w:hAnsi="仿宋_GB2312" w:eastAsia="仿宋_GB2312" w:cs="仿宋_GB2312"/>
          <w:color w:val="auto"/>
          <w:sz w:val="32"/>
          <w:szCs w:val="32"/>
        </w:rPr>
        <w:t>一般公共预算财政拨款基本支出</w:t>
      </w:r>
      <w:r>
        <w:rPr>
          <w:rFonts w:hint="eastAsia" w:ascii="仿宋_GB2312" w:hAnsi="仿宋_GB2312" w:eastAsia="仿宋_GB2312" w:cs="仿宋_GB2312"/>
          <w:color w:val="auto"/>
          <w:sz w:val="32"/>
          <w:szCs w:val="32"/>
          <w:lang w:val="en-US" w:eastAsia="zh-CN"/>
        </w:rPr>
        <w:t>262.39</w:t>
      </w:r>
      <w:r>
        <w:rPr>
          <w:rFonts w:hint="eastAsia" w:ascii="仿宋_GB2312" w:hAnsi="仿宋_GB2312" w:eastAsia="仿宋_GB2312" w:cs="仿宋_GB2312"/>
          <w:color w:val="auto"/>
          <w:sz w:val="32"/>
          <w:szCs w:val="32"/>
        </w:rPr>
        <w:t>万元，其中：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人员经费</w:t>
      </w:r>
      <w:r>
        <w:rPr>
          <w:rFonts w:hint="eastAsia" w:ascii="仿宋_GB2312" w:hAnsi="仿宋_GB2312" w:eastAsia="仿宋_GB2312" w:cs="仿宋_GB2312"/>
          <w:color w:val="auto"/>
          <w:sz w:val="32"/>
          <w:szCs w:val="32"/>
          <w:lang w:val="en-US" w:eastAsia="zh-CN"/>
        </w:rPr>
        <w:t>240.87</w:t>
      </w:r>
      <w:r>
        <w:rPr>
          <w:rFonts w:hint="eastAsia" w:ascii="仿宋_GB2312" w:hAnsi="仿宋_GB2312" w:eastAsia="仿宋_GB2312" w:cs="仿宋_GB2312"/>
          <w:color w:val="auto"/>
          <w:sz w:val="32"/>
          <w:szCs w:val="32"/>
        </w:rPr>
        <w:t>万元，主要包括：基本工资、津贴补贴、奖金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绩效工资、机关事业单位基本养老保险缴费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职工基本医疗保险缴费、其他社会保障缴费、住房公积金</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生活补助</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黑体" w:hAnsi="黑体" w:eastAsia="黑体" w:cs="黑体"/>
          <w:b w:val="0"/>
          <w:bCs w:val="0"/>
          <w:color w:val="auto"/>
          <w:sz w:val="32"/>
          <w:szCs w:val="32"/>
          <w:highlight w:val="none"/>
          <w:u w:val="none"/>
          <w:lang w:eastAsia="zh-CN"/>
        </w:rPr>
      </w:pPr>
      <w:r>
        <w:rPr>
          <w:rFonts w:hint="eastAsia" w:ascii="仿宋_GB2312" w:hAnsi="仿宋_GB2312" w:eastAsia="仿宋_GB2312" w:cs="仿宋_GB2312"/>
          <w:color w:val="auto"/>
          <w:sz w:val="32"/>
          <w:szCs w:val="32"/>
        </w:rPr>
        <w:t>公用经费</w:t>
      </w:r>
      <w:r>
        <w:rPr>
          <w:rFonts w:hint="eastAsia" w:ascii="仿宋_GB2312" w:hAnsi="仿宋_GB2312" w:eastAsia="仿宋_GB2312" w:cs="仿宋_GB2312"/>
          <w:color w:val="auto"/>
          <w:sz w:val="32"/>
          <w:szCs w:val="32"/>
          <w:lang w:val="en-US" w:eastAsia="zh-CN"/>
        </w:rPr>
        <w:t>21.52</w:t>
      </w:r>
      <w:r>
        <w:rPr>
          <w:rFonts w:hint="eastAsia" w:ascii="仿宋_GB2312" w:hAnsi="仿宋_GB2312" w:eastAsia="仿宋_GB2312" w:cs="仿宋_GB2312"/>
          <w:color w:val="auto"/>
          <w:sz w:val="32"/>
          <w:szCs w:val="32"/>
        </w:rPr>
        <w:t>万元，主要包括：办公费、</w:t>
      </w:r>
      <w:r>
        <w:rPr>
          <w:rFonts w:hint="eastAsia" w:ascii="仿宋_GB2312" w:hAnsi="仿宋_GB2312" w:eastAsia="仿宋_GB2312" w:cs="仿宋_GB2312"/>
          <w:color w:val="auto"/>
          <w:sz w:val="32"/>
          <w:szCs w:val="32"/>
          <w:lang w:eastAsia="zh-CN"/>
        </w:rPr>
        <w:t>印刷费、电费、</w:t>
      </w:r>
      <w:r>
        <w:rPr>
          <w:rFonts w:hint="eastAsia" w:ascii="仿宋_GB2312" w:hAnsi="仿宋_GB2312" w:eastAsia="仿宋_GB2312" w:cs="仿宋_GB2312"/>
          <w:color w:val="auto"/>
          <w:sz w:val="32"/>
          <w:szCs w:val="32"/>
          <w:lang w:val="en-US" w:eastAsia="zh-CN"/>
        </w:rPr>
        <w:t>邮电费、</w:t>
      </w:r>
      <w:r>
        <w:rPr>
          <w:rFonts w:hint="eastAsia" w:ascii="仿宋_GB2312" w:hAnsi="仿宋_GB2312" w:eastAsia="仿宋_GB2312" w:cs="仿宋_GB2312"/>
          <w:color w:val="auto"/>
          <w:sz w:val="32"/>
          <w:szCs w:val="32"/>
        </w:rPr>
        <w:t>差旅费、</w:t>
      </w:r>
      <w:r>
        <w:rPr>
          <w:rFonts w:hint="eastAsia" w:ascii="仿宋_GB2312" w:hAnsi="仿宋_GB2312" w:eastAsia="仿宋_GB2312" w:cs="仿宋_GB2312"/>
          <w:color w:val="auto"/>
          <w:sz w:val="32"/>
          <w:szCs w:val="32"/>
          <w:lang w:val="en-US" w:eastAsia="zh-CN"/>
        </w:rPr>
        <w:t>公务接待费、</w:t>
      </w:r>
      <w:r>
        <w:rPr>
          <w:rFonts w:hint="eastAsia" w:ascii="仿宋_GB2312" w:hAnsi="仿宋_GB2312" w:eastAsia="仿宋_GB2312" w:cs="仿宋_GB2312"/>
          <w:color w:val="auto"/>
          <w:sz w:val="32"/>
          <w:szCs w:val="32"/>
        </w:rPr>
        <w:t>工会经费、福利费、</w:t>
      </w:r>
      <w:r>
        <w:rPr>
          <w:rFonts w:hint="eastAsia" w:ascii="仿宋_GB2312" w:hAnsi="仿宋_GB2312" w:eastAsia="仿宋_GB2312" w:cs="仿宋_GB2312"/>
          <w:color w:val="auto"/>
          <w:sz w:val="32"/>
          <w:szCs w:val="32"/>
          <w:lang w:eastAsia="zh-CN"/>
        </w:rPr>
        <w:t>公务用车维护费、其他交通费用、</w:t>
      </w:r>
      <w:r>
        <w:rPr>
          <w:rFonts w:hint="eastAsia" w:ascii="仿宋_GB2312" w:hAnsi="仿宋_GB2312" w:eastAsia="仿宋_GB2312" w:cs="仿宋_GB2312"/>
          <w:color w:val="auto"/>
          <w:sz w:val="32"/>
          <w:szCs w:val="32"/>
        </w:rPr>
        <w:t>其他商品和服务支出。</w:t>
      </w:r>
      <w:bookmarkStart w:id="47" w:name="_Toc31105"/>
      <w:bookmarkStart w:id="48" w:name="_Toc15396609"/>
      <w:bookmarkStart w:id="49" w:name="_Toc15377215"/>
    </w:p>
    <w:p>
      <w:pPr>
        <w:pStyle w:val="4"/>
        <w:pageBreakBefore w:val="0"/>
        <w:widowControl w:val="0"/>
        <w:shd w:val="clear"/>
        <w:kinsoku/>
        <w:wordWrap/>
        <w:overflowPunct/>
        <w:topLinePunct w:val="0"/>
        <w:autoSpaceDE/>
        <w:autoSpaceDN/>
        <w:bidi w:val="0"/>
        <w:adjustRightInd/>
        <w:spacing w:before="0" w:after="0" w:line="576" w:lineRule="exact"/>
        <w:ind w:firstLine="640" w:firstLineChars="200"/>
        <w:textAlignment w:val="auto"/>
        <w:rPr>
          <w:rFonts w:hint="eastAsia" w:ascii="黑体" w:hAnsi="黑体" w:eastAsia="黑体" w:cs="黑体"/>
          <w:b w:val="0"/>
          <w:bCs w:val="0"/>
          <w:color w:val="auto"/>
          <w:sz w:val="32"/>
          <w:szCs w:val="32"/>
        </w:rPr>
      </w:pPr>
      <w:bookmarkStart w:id="50" w:name="_Toc9530"/>
      <w:r>
        <w:rPr>
          <w:rFonts w:hint="eastAsia" w:ascii="黑体" w:hAnsi="黑体" w:eastAsia="黑体" w:cs="黑体"/>
          <w:b w:val="0"/>
          <w:bCs w:val="0"/>
          <w:color w:val="auto"/>
          <w:sz w:val="32"/>
          <w:szCs w:val="32"/>
          <w:highlight w:val="none"/>
          <w:u w:val="none"/>
          <w:lang w:eastAsia="zh-CN"/>
        </w:rPr>
        <w:t>七、</w:t>
      </w:r>
      <w:bookmarkEnd w:id="47"/>
      <w:bookmarkEnd w:id="48"/>
      <w:bookmarkEnd w:id="49"/>
      <w:r>
        <w:rPr>
          <w:rStyle w:val="20"/>
          <w:rFonts w:hint="eastAsia" w:ascii="黑体" w:hAnsi="黑体" w:eastAsia="黑体"/>
          <w:b w:val="0"/>
          <w:bCs w:val="0"/>
          <w:color w:val="auto"/>
          <w:highlight w:val="none"/>
        </w:rPr>
        <w:t>财政拨款“三公”经费支出决算情况说明</w:t>
      </w:r>
      <w:bookmarkEnd w:id="50"/>
    </w:p>
    <w:p>
      <w:pPr>
        <w:autoSpaceDE w:val="0"/>
        <w:autoSpaceDN w:val="0"/>
        <w:adjustRightInd w:val="0"/>
        <w:spacing w:line="600" w:lineRule="exact"/>
        <w:ind w:firstLine="640" w:firstLineChars="200"/>
        <w:jc w:val="left"/>
        <w:outlineLvl w:val="2"/>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（一）“三公”经费财政拨款支出决算总体情况说明</w:t>
      </w:r>
    </w:p>
    <w:p>
      <w:pPr>
        <w:spacing w:line="600" w:lineRule="exact"/>
        <w:ind w:firstLine="640"/>
        <w:rPr>
          <w:rFonts w:hint="eastAsia"/>
        </w:rPr>
      </w:pP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rPr>
        <w:t>“三公”经费财政拨款支出决算为</w:t>
      </w:r>
      <w:r>
        <w:rPr>
          <w:rFonts w:hint="eastAsia" w:ascii="仿宋_GB2312" w:hAnsi="仿宋_GB2312" w:eastAsia="仿宋_GB2312" w:cs="仿宋_GB2312"/>
          <w:color w:val="auto"/>
          <w:sz w:val="32"/>
          <w:szCs w:val="32"/>
          <w:highlight w:val="none"/>
          <w:lang w:val="en-US" w:eastAsia="zh-CN"/>
        </w:rPr>
        <w:t>2.76</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较上年度减少</w:t>
      </w:r>
      <w:r>
        <w:rPr>
          <w:rFonts w:hint="eastAsia" w:ascii="仿宋_GB2312" w:hAnsi="仿宋_GB2312" w:eastAsia="仿宋_GB2312" w:cs="仿宋_GB2312"/>
          <w:color w:val="auto"/>
          <w:sz w:val="32"/>
          <w:szCs w:val="32"/>
          <w:highlight w:val="none"/>
          <w:lang w:val="en-US" w:eastAsia="zh-CN"/>
        </w:rPr>
        <w:t>0.56万元，下降16.86%，决算数与预算数持平。</w:t>
      </w:r>
    </w:p>
    <w:p>
      <w:pPr>
        <w:autoSpaceDE w:val="0"/>
        <w:autoSpaceDN w:val="0"/>
        <w:adjustRightInd w:val="0"/>
        <w:spacing w:line="600" w:lineRule="exact"/>
        <w:ind w:firstLine="640" w:firstLineChars="200"/>
        <w:jc w:val="left"/>
        <w:outlineLvl w:val="2"/>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（二）“三公”经费财政拨款支出决算具体情况说明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年“三公”经费财政拨款支出决算中，因公出国（境）费支出决算0万元，</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rPr>
        <w:t>；公务用车购置及运行维护费支出决算</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68.84</w:t>
      </w:r>
      <w:r>
        <w:rPr>
          <w:rFonts w:hint="eastAsia" w:ascii="仿宋_GB2312" w:hAnsi="仿宋_GB2312" w:eastAsia="仿宋_GB2312" w:cs="仿宋_GB2312"/>
          <w:color w:val="auto"/>
          <w:sz w:val="32"/>
          <w:szCs w:val="32"/>
        </w:rPr>
        <w:t>%；公务接待费支出决算</w:t>
      </w:r>
      <w:r>
        <w:rPr>
          <w:rFonts w:hint="eastAsia" w:ascii="仿宋_GB2312" w:hAnsi="仿宋_GB2312" w:eastAsia="仿宋_GB2312" w:cs="仿宋_GB2312"/>
          <w:color w:val="auto"/>
          <w:sz w:val="32"/>
          <w:szCs w:val="32"/>
          <w:lang w:val="en-US" w:eastAsia="zh-CN"/>
        </w:rPr>
        <w:t>0.86</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31.16</w:t>
      </w:r>
      <w:r>
        <w:rPr>
          <w:rFonts w:hint="eastAsia" w:ascii="仿宋_GB2312" w:hAnsi="仿宋_GB2312" w:eastAsia="仿宋_GB2312" w:cs="仿宋_GB2312"/>
          <w:color w:val="auto"/>
          <w:sz w:val="32"/>
          <w:szCs w:val="32"/>
        </w:rPr>
        <w:t>%。具体情况如下：</w:t>
      </w:r>
    </w:p>
    <w:p>
      <w:pPr>
        <w:pStyle w:val="22"/>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drawing>
          <wp:inline distT="0" distB="0" distL="114300" distR="114300">
            <wp:extent cx="4166870" cy="2873375"/>
            <wp:effectExtent l="4445" t="4445" r="19685" b="1778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widowControl w:val="0"/>
        <w:kinsoku/>
        <w:wordWrap/>
        <w:overflowPunct/>
        <w:topLinePunct w:val="0"/>
        <w:bidi w:val="0"/>
        <w:snapToGrid/>
        <w:spacing w:line="576" w:lineRule="exact"/>
        <w:ind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（图7：“三公”经费财政拨款支出结构）</w:t>
      </w:r>
    </w:p>
    <w:p>
      <w:pPr>
        <w:keepNext w:val="0"/>
        <w:keepLines w:val="0"/>
        <w:pageBreakBefore w:val="0"/>
        <w:widowControl w:val="0"/>
        <w:kinsoku/>
        <w:wordWrap/>
        <w:overflowPunct/>
        <w:topLinePunct w:val="0"/>
        <w:bidi w:val="0"/>
        <w:snapToGrid/>
        <w:spacing w:line="576" w:lineRule="exact"/>
        <w:ind w:left="0" w:leftChars="0" w:right="0" w:firstLine="642"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1.因公出国（境）经费支出0</w:t>
      </w:r>
      <w:r>
        <w:rPr>
          <w:rFonts w:hint="eastAsia" w:ascii="仿宋_GB2312" w:hAnsi="仿宋_GB2312" w:eastAsia="仿宋_GB2312" w:cs="仿宋_GB2312"/>
          <w:color w:val="auto"/>
          <w:sz w:val="32"/>
          <w:szCs w:val="32"/>
        </w:rPr>
        <w:t>万元，</w:t>
      </w:r>
      <w:r>
        <w:rPr>
          <w:rStyle w:val="17"/>
          <w:rFonts w:hint="eastAsia" w:ascii="仿宋_GB2312" w:hAnsi="仿宋_GB2312" w:eastAsia="仿宋_GB2312" w:cs="仿宋_GB2312"/>
          <w:b w:val="0"/>
          <w:bCs/>
          <w:color w:val="auto"/>
          <w:sz w:val="32"/>
          <w:szCs w:val="32"/>
        </w:rPr>
        <w:t>年初未安排预算</w:t>
      </w:r>
      <w:r>
        <w:rPr>
          <w:rStyle w:val="17"/>
          <w:rFonts w:hint="eastAsia" w:ascii="仿宋_GB2312" w:hAnsi="仿宋_GB2312" w:eastAsia="仿宋_GB2312" w:cs="仿宋_GB2312"/>
          <w:b w:val="0"/>
          <w:bCs/>
          <w:color w:val="auto"/>
          <w:sz w:val="32"/>
          <w:szCs w:val="32"/>
          <w:lang w:eastAsia="zh-CN"/>
        </w:rPr>
        <w:t>，较上年无变化。</w:t>
      </w:r>
    </w:p>
    <w:p>
      <w:pPr>
        <w:keepNext w:val="0"/>
        <w:keepLines w:val="0"/>
        <w:pageBreakBefore w:val="0"/>
        <w:widowControl/>
        <w:suppressLineNumbers w:val="0"/>
        <w:kinsoku/>
        <w:wordWrap/>
        <w:overflowPunct/>
        <w:topLinePunct w:val="0"/>
        <w:bidi w:val="0"/>
        <w:snapToGrid/>
        <w:spacing w:before="0" w:beforeAutospacing="0" w:after="0" w:afterAutospacing="0" w:line="576" w:lineRule="exact"/>
        <w:ind w:left="0" w:leftChars="0" w:right="0" w:firstLine="642" w:firstLineChars="200"/>
        <w:jc w:val="both"/>
        <w:textAlignment w:val="auto"/>
        <w:rPr>
          <w:rFonts w:hint="eastAsia" w:ascii="仿宋_GB2312" w:hAnsi="仿宋_GB2312" w:eastAsia="仿宋_GB2312" w:cs="仿宋_GB2312"/>
          <w:b/>
          <w:color w:val="auto"/>
          <w:sz w:val="32"/>
          <w:szCs w:val="32"/>
          <w:highlight w:val="yellow"/>
        </w:rPr>
      </w:pPr>
      <w:r>
        <w:rPr>
          <w:rFonts w:hint="eastAsia" w:ascii="仿宋_GB2312" w:hAnsi="仿宋_GB2312" w:eastAsia="仿宋_GB2312" w:cs="仿宋_GB2312"/>
          <w:b/>
          <w:color w:val="auto"/>
          <w:sz w:val="32"/>
          <w:szCs w:val="32"/>
        </w:rPr>
        <w:t>2.公务用车购置及运行维护费支出</w:t>
      </w:r>
      <w:r>
        <w:rPr>
          <w:rFonts w:hint="eastAsia" w:ascii="仿宋_GB2312" w:hAnsi="仿宋_GB2312" w:eastAsia="仿宋_GB2312" w:cs="仿宋_GB2312"/>
          <w:color w:val="auto"/>
          <w:sz w:val="32"/>
          <w:szCs w:val="32"/>
          <w:lang w:val="en-US" w:eastAsia="zh-CN"/>
        </w:rPr>
        <w:t xml:space="preserve"> 1.9</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Style w:val="17"/>
          <w:rFonts w:hint="eastAsia" w:ascii="仿宋_GB2312" w:hAnsi="仿宋_GB2312" w:eastAsia="仿宋_GB2312" w:cs="仿宋_GB2312"/>
          <w:b w:val="0"/>
          <w:bCs/>
          <w:color w:val="auto"/>
          <w:sz w:val="32"/>
          <w:szCs w:val="32"/>
        </w:rPr>
        <w:t>完成预算</w:t>
      </w:r>
      <w:r>
        <w:rPr>
          <w:rStyle w:val="17"/>
          <w:rFonts w:hint="eastAsia" w:ascii="仿宋_GB2312" w:hAnsi="仿宋_GB2312" w:eastAsia="仿宋_GB2312" w:cs="仿宋_GB2312"/>
          <w:b w:val="0"/>
          <w:bCs/>
          <w:color w:val="auto"/>
          <w:sz w:val="32"/>
          <w:szCs w:val="32"/>
          <w:lang w:val="en-US" w:eastAsia="zh-CN"/>
        </w:rPr>
        <w:t>100</w:t>
      </w:r>
      <w:r>
        <w:rPr>
          <w:rStyle w:val="17"/>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color w:val="auto"/>
          <w:sz w:val="32"/>
          <w:szCs w:val="32"/>
        </w:rPr>
        <w:t>公务用车购置及运行维护费支出决算比202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减少</w:t>
      </w:r>
      <w:r>
        <w:rPr>
          <w:rFonts w:hint="eastAsia" w:ascii="仿宋_GB2312" w:hAnsi="仿宋_GB2312" w:eastAsia="仿宋_GB2312" w:cs="仿宋_GB2312"/>
          <w:color w:val="auto"/>
          <w:sz w:val="32"/>
          <w:szCs w:val="32"/>
          <w:lang w:val="en-US" w:eastAsia="zh-CN"/>
        </w:rPr>
        <w:t>0.08</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下降</w:t>
      </w:r>
      <w:r>
        <w:rPr>
          <w:rFonts w:hint="eastAsia" w:ascii="仿宋_GB2312" w:hAnsi="仿宋_GB2312" w:eastAsia="仿宋_GB2312" w:cs="仿宋_GB2312"/>
          <w:color w:val="auto"/>
          <w:sz w:val="32"/>
          <w:szCs w:val="32"/>
          <w:lang w:val="en-US" w:eastAsia="zh-CN"/>
        </w:rPr>
        <w:t>4.04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rPr>
        <w:t>。</w:t>
      </w:r>
      <w:r>
        <w:rPr>
          <w:rFonts w:ascii="仿宋_GB2312" w:hAnsi="Times New Roman" w:eastAsia="仿宋_GB2312" w:cs="仿宋_GB2312"/>
          <w:i w:val="0"/>
          <w:iCs w:val="0"/>
          <w:caps w:val="0"/>
          <w:color w:val="000000"/>
          <w:spacing w:val="0"/>
          <w:kern w:val="0"/>
          <w:sz w:val="32"/>
          <w:szCs w:val="32"/>
          <w:highlight w:val="none"/>
          <w:lang w:val="en-US" w:eastAsia="zh-CN" w:bidi="ar"/>
        </w:rPr>
        <w:t>主要原因是</w:t>
      </w:r>
      <w:r>
        <w:rPr>
          <w:rFonts w:hint="eastAsia" w:ascii="仿宋_GB2312" w:eastAsia="仿宋_GB2312" w:cs="仿宋_GB2312"/>
          <w:i w:val="0"/>
          <w:iCs w:val="0"/>
          <w:caps w:val="0"/>
          <w:color w:val="000000"/>
          <w:spacing w:val="0"/>
          <w:kern w:val="0"/>
          <w:sz w:val="32"/>
          <w:szCs w:val="32"/>
          <w:highlight w:val="none"/>
          <w:lang w:val="en-US" w:eastAsia="zh-CN" w:bidi="ar"/>
        </w:rPr>
        <w:t>厉行节约，压减公务用车费用。</w:t>
      </w:r>
    </w:p>
    <w:p>
      <w:pPr>
        <w:spacing w:line="600" w:lineRule="exact"/>
        <w:ind w:firstLine="640"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其中：</w:t>
      </w:r>
      <w:r>
        <w:rPr>
          <w:rFonts w:hint="eastAsia" w:ascii="仿宋_GB2312" w:hAnsi="仿宋_GB2312" w:eastAsia="仿宋_GB2312" w:cs="仿宋_GB2312"/>
          <w:b/>
          <w:color w:val="auto"/>
          <w:sz w:val="32"/>
          <w:szCs w:val="32"/>
        </w:rPr>
        <w:t>公务用车购置支出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万元。全年按规定更新购置公务用车0辆。截至202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年12月底，单位共有公务用车</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其</w:t>
      </w:r>
      <w:r>
        <w:rPr>
          <w:rFonts w:hint="eastAsia" w:ascii="仿宋_GB2312" w:hAnsi="仿宋_GB2312" w:eastAsia="仿宋_GB2312" w:cs="仿宋_GB2312"/>
          <w:color w:val="auto"/>
          <w:sz w:val="32"/>
          <w:szCs w:val="32"/>
          <w:highlight w:val="none"/>
        </w:rPr>
        <w:t>中：越野车</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w:t>
      </w:r>
    </w:p>
    <w:p>
      <w:pPr>
        <w:keepNext w:val="0"/>
        <w:keepLines w:val="0"/>
        <w:pageBreakBefore w:val="0"/>
        <w:widowControl w:val="0"/>
        <w:kinsoku/>
        <w:wordWrap/>
        <w:overflowPunct/>
        <w:topLinePunct w:val="0"/>
        <w:bidi w:val="0"/>
        <w:snapToGrid/>
        <w:spacing w:line="576" w:lineRule="exact"/>
        <w:ind w:left="0"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auto"/>
          <w:sz w:val="32"/>
          <w:szCs w:val="32"/>
        </w:rPr>
        <w:t>公务用车运行维护费支出</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sz w:val="32"/>
          <w:szCs w:val="32"/>
        </w:rPr>
        <w:t>主要用于全市</w:t>
      </w:r>
      <w:r>
        <w:rPr>
          <w:rFonts w:hint="eastAsia" w:ascii="仿宋_GB2312" w:hAnsi="仿宋_GB2312" w:eastAsia="仿宋_GB2312" w:cs="仿宋_GB2312"/>
          <w:color w:val="000000"/>
          <w:sz w:val="32"/>
          <w:szCs w:val="32"/>
        </w:rPr>
        <w:t>开展国土整治相关工作</w:t>
      </w:r>
      <w:r>
        <w:rPr>
          <w:rFonts w:hint="eastAsia" w:ascii="仿宋_GB2312" w:hAnsi="仿宋_GB2312" w:eastAsia="仿宋_GB2312" w:cs="仿宋_GB2312"/>
          <w:sz w:val="32"/>
          <w:szCs w:val="32"/>
        </w:rPr>
        <w:t>等所需的公务用车燃料费、维修费、过路过桥费、保险费等支出。</w:t>
      </w:r>
    </w:p>
    <w:p>
      <w:pPr>
        <w:keepNext w:val="0"/>
        <w:keepLines w:val="0"/>
        <w:pageBreakBefore w:val="0"/>
        <w:widowControl w:val="0"/>
        <w:kinsoku/>
        <w:wordWrap/>
        <w:overflowPunct/>
        <w:topLinePunct w:val="0"/>
        <w:bidi w:val="0"/>
        <w:snapToGrid/>
        <w:spacing w:line="576" w:lineRule="exact"/>
        <w:ind w:left="0" w:leftChars="0" w:right="0"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3.公务接待费支出</w:t>
      </w:r>
      <w:r>
        <w:rPr>
          <w:rFonts w:hint="eastAsia" w:ascii="仿宋_GB2312" w:hAnsi="仿宋_GB2312" w:eastAsia="仿宋_GB2312" w:cs="仿宋_GB2312"/>
          <w:color w:val="auto"/>
          <w:sz w:val="32"/>
          <w:szCs w:val="32"/>
          <w:lang w:val="en-US" w:eastAsia="zh-CN"/>
        </w:rPr>
        <w:t>0.86</w:t>
      </w:r>
      <w:r>
        <w:rPr>
          <w:rFonts w:hint="eastAsia" w:ascii="仿宋_GB2312" w:hAnsi="仿宋_GB2312" w:eastAsia="仿宋_GB2312" w:cs="仿宋_GB2312"/>
          <w:color w:val="auto"/>
          <w:sz w:val="32"/>
          <w:szCs w:val="32"/>
        </w:rPr>
        <w:t>万元，</w:t>
      </w:r>
      <w:r>
        <w:rPr>
          <w:rStyle w:val="17"/>
          <w:rFonts w:hint="eastAsia" w:ascii="仿宋_GB2312" w:hAnsi="仿宋_GB2312" w:eastAsia="仿宋_GB2312" w:cs="仿宋_GB2312"/>
          <w:b w:val="0"/>
          <w:bCs/>
          <w:color w:val="auto"/>
          <w:sz w:val="32"/>
          <w:szCs w:val="32"/>
        </w:rPr>
        <w:t>完成预算</w:t>
      </w:r>
      <w:r>
        <w:rPr>
          <w:rStyle w:val="17"/>
          <w:rFonts w:hint="eastAsia" w:ascii="仿宋_GB2312" w:hAnsi="仿宋_GB2312" w:eastAsia="仿宋_GB2312" w:cs="仿宋_GB2312"/>
          <w:b w:val="0"/>
          <w:bCs/>
          <w:color w:val="auto"/>
          <w:sz w:val="32"/>
          <w:szCs w:val="32"/>
          <w:lang w:val="en-US" w:eastAsia="zh-CN"/>
        </w:rPr>
        <w:t>100</w:t>
      </w:r>
      <w:r>
        <w:rPr>
          <w:rStyle w:val="17"/>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color w:val="auto"/>
          <w:sz w:val="32"/>
          <w:szCs w:val="32"/>
        </w:rPr>
        <w:t>公务接待费支出决算比202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减少</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lang w:val="en-US" w:eastAsia="zh-CN"/>
        </w:rPr>
        <w:t>48</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下降</w:t>
      </w:r>
      <w:r>
        <w:rPr>
          <w:rFonts w:hint="eastAsia" w:ascii="仿宋_GB2312" w:hAnsi="仿宋_GB2312" w:eastAsia="仿宋_GB2312" w:cs="仿宋_GB2312"/>
          <w:color w:val="auto"/>
          <w:sz w:val="32"/>
          <w:szCs w:val="32"/>
          <w:lang w:val="en-US" w:eastAsia="zh-CN"/>
        </w:rPr>
        <w:t>35.82</w:t>
      </w:r>
      <w:r>
        <w:rPr>
          <w:rFonts w:hint="eastAsia" w:ascii="仿宋_GB2312" w:hAnsi="仿宋_GB2312" w:eastAsia="仿宋_GB2312" w:cs="仿宋_GB2312"/>
          <w:color w:val="auto"/>
          <w:sz w:val="32"/>
          <w:szCs w:val="32"/>
        </w:rPr>
        <w:t>%。主要原因是</w:t>
      </w:r>
      <w:r>
        <w:rPr>
          <w:rFonts w:hint="eastAsia" w:ascii="仿宋_GB2312" w:eastAsia="仿宋_GB2312" w:cs="仿宋_GB2312"/>
          <w:i w:val="0"/>
          <w:iCs w:val="0"/>
          <w:caps w:val="0"/>
          <w:color w:val="000000"/>
          <w:spacing w:val="0"/>
          <w:kern w:val="0"/>
          <w:sz w:val="32"/>
          <w:szCs w:val="32"/>
          <w:highlight w:val="none"/>
          <w:lang w:val="en-US" w:eastAsia="zh-CN" w:bidi="ar"/>
        </w:rPr>
        <w:t>厉行节约，压减公务接待费用。</w:t>
      </w:r>
      <w:r>
        <w:rPr>
          <w:rFonts w:hint="eastAsia" w:ascii="仿宋_GB2312" w:hAnsi="仿宋_GB2312" w:eastAsia="仿宋_GB2312" w:cs="仿宋_GB2312"/>
          <w:color w:val="auto"/>
          <w:sz w:val="32"/>
          <w:szCs w:val="32"/>
        </w:rPr>
        <w:t>其中：</w:t>
      </w:r>
    </w:p>
    <w:p>
      <w:pPr>
        <w:keepNext w:val="0"/>
        <w:keepLines w:val="0"/>
        <w:pageBreakBefore w:val="0"/>
        <w:widowControl w:val="0"/>
        <w:kinsoku/>
        <w:wordWrap/>
        <w:overflowPunct/>
        <w:topLinePunct w:val="0"/>
        <w:bidi w:val="0"/>
        <w:snapToGrid/>
        <w:spacing w:line="576" w:lineRule="exact"/>
        <w:ind w:left="0" w:leftChars="0" w:right="0"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rPr>
        <w:t>国内公务接待支出</w:t>
      </w:r>
      <w:r>
        <w:rPr>
          <w:rFonts w:hint="eastAsia" w:ascii="仿宋_GB2312" w:hAnsi="仿宋_GB2312" w:eastAsia="仿宋_GB2312" w:cs="仿宋_GB2312"/>
          <w:color w:val="auto"/>
          <w:sz w:val="32"/>
          <w:szCs w:val="32"/>
          <w:lang w:val="en-US" w:eastAsia="zh-CN"/>
        </w:rPr>
        <w:t>0.86</w:t>
      </w:r>
      <w:r>
        <w:rPr>
          <w:rFonts w:hint="eastAsia" w:ascii="仿宋_GB2312" w:hAnsi="仿宋_GB2312" w:eastAsia="仿宋_GB2312" w:cs="仿宋_GB2312"/>
          <w:color w:val="auto"/>
          <w:sz w:val="32"/>
          <w:szCs w:val="32"/>
        </w:rPr>
        <w:t>万元，主要用于执行公务、开展业务活动开支的用餐费等。国内公务接待</w:t>
      </w: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批次，</w:t>
      </w:r>
      <w:r>
        <w:rPr>
          <w:rFonts w:hint="eastAsia" w:ascii="仿宋_GB2312" w:hAnsi="仿宋_GB2312" w:eastAsia="仿宋_GB2312" w:cs="仿宋_GB2312"/>
          <w:color w:val="auto"/>
          <w:sz w:val="32"/>
          <w:szCs w:val="32"/>
          <w:lang w:val="en-US" w:eastAsia="zh-CN"/>
        </w:rPr>
        <w:t>79</w:t>
      </w:r>
      <w:r>
        <w:rPr>
          <w:rFonts w:hint="eastAsia" w:ascii="仿宋_GB2312" w:hAnsi="仿宋_GB2312" w:eastAsia="仿宋_GB2312" w:cs="仿宋_GB2312"/>
          <w:color w:val="auto"/>
          <w:sz w:val="32"/>
          <w:szCs w:val="32"/>
        </w:rPr>
        <w:t>人次（不包括陪同人员），共计支出</w:t>
      </w:r>
      <w:r>
        <w:rPr>
          <w:rFonts w:hint="eastAsia" w:ascii="仿宋_GB2312" w:hAnsi="仿宋_GB2312" w:eastAsia="仿宋_GB2312" w:cs="仿宋_GB2312"/>
          <w:color w:val="auto"/>
          <w:sz w:val="32"/>
          <w:szCs w:val="32"/>
          <w:lang w:val="en-US" w:eastAsia="zh-CN"/>
        </w:rPr>
        <w:t>0.86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highlight w:val="none"/>
        </w:rPr>
        <w:t>具体内容包括</w:t>
      </w:r>
      <w:r>
        <w:rPr>
          <w:rFonts w:hint="eastAsia" w:ascii="仿宋_GB2312" w:hAnsi="仿宋_GB2312" w:eastAsia="仿宋_GB2312" w:cs="仿宋_GB2312"/>
          <w:color w:val="FF0000"/>
          <w:sz w:val="32"/>
          <w:szCs w:val="32"/>
          <w:highlight w:val="none"/>
        </w:rPr>
        <w:t>：</w:t>
      </w:r>
      <w:r>
        <w:rPr>
          <w:rFonts w:hint="eastAsia" w:ascii="仿宋_GB2312" w:hAnsi="仿宋_GB2312" w:eastAsia="仿宋_GB2312" w:cs="仿宋_GB2312"/>
          <w:color w:val="auto"/>
          <w:sz w:val="32"/>
          <w:szCs w:val="32"/>
          <w:highlight w:val="none"/>
        </w:rPr>
        <w:t>接待各县区</w:t>
      </w:r>
      <w:r>
        <w:rPr>
          <w:rFonts w:hint="eastAsia" w:ascii="仿宋_GB2312" w:hAnsi="仿宋_GB2312" w:eastAsia="仿宋_GB2312" w:cs="仿宋_GB2312"/>
          <w:color w:val="auto"/>
          <w:sz w:val="32"/>
          <w:szCs w:val="32"/>
          <w:highlight w:val="none"/>
          <w:lang w:eastAsia="zh-CN"/>
        </w:rPr>
        <w:t>办理排查整改新增耕地核定工作</w:t>
      </w:r>
      <w:r>
        <w:rPr>
          <w:rFonts w:hint="eastAsia" w:ascii="仿宋_GB2312" w:hAnsi="仿宋_GB2312" w:eastAsia="仿宋_GB2312" w:cs="仿宋_GB2312"/>
          <w:color w:val="auto"/>
          <w:sz w:val="32"/>
          <w:szCs w:val="32"/>
          <w:highlight w:val="none"/>
        </w:rPr>
        <w:t>接待费0.</w:t>
      </w:r>
      <w:r>
        <w:rPr>
          <w:rFonts w:hint="default" w:ascii="仿宋_GB2312" w:hAnsi="仿宋_GB2312" w:eastAsia="仿宋_GB2312" w:cs="仿宋_GB2312"/>
          <w:color w:val="auto"/>
          <w:sz w:val="32"/>
          <w:szCs w:val="32"/>
          <w:highlight w:val="none"/>
          <w:lang w:eastAsia="zh-CN"/>
        </w:rPr>
        <w:t>74</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，接待省国土整治中心来广检查等接待费</w:t>
      </w:r>
      <w:r>
        <w:rPr>
          <w:rFonts w:hint="eastAsia" w:ascii="仿宋_GB2312" w:hAnsi="仿宋_GB2312" w:eastAsia="仿宋_GB2312" w:cs="仿宋_GB2312"/>
          <w:color w:val="auto"/>
          <w:sz w:val="32"/>
          <w:szCs w:val="32"/>
          <w:highlight w:val="none"/>
          <w:lang w:val="en-US" w:eastAsia="zh-CN"/>
        </w:rPr>
        <w:t>0.12万元</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bidi w:val="0"/>
        <w:snapToGrid/>
        <w:spacing w:line="576" w:lineRule="exact"/>
        <w:ind w:left="0" w:leftChars="0" w:right="0" w:firstLine="642"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color w:val="auto"/>
          <w:sz w:val="32"/>
          <w:szCs w:val="32"/>
        </w:rPr>
        <w:t>外事接待支出</w:t>
      </w:r>
      <w:r>
        <w:rPr>
          <w:rFonts w:hint="eastAsia" w:ascii="仿宋_GB2312" w:hAnsi="仿宋_GB2312" w:eastAsia="仿宋_GB2312" w:cs="仿宋_GB2312"/>
          <w:color w:val="auto"/>
          <w:sz w:val="32"/>
          <w:szCs w:val="32"/>
        </w:rPr>
        <w:t>0万元</w:t>
      </w:r>
      <w:bookmarkStart w:id="51" w:name="_Toc15396610"/>
      <w:bookmarkStart w:id="52" w:name="_Toc15377218"/>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较202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年无变化</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left="0" w:right="0" w:firstLine="640" w:firstLineChars="200"/>
        <w:jc w:val="both"/>
        <w:textAlignment w:val="auto"/>
        <w:outlineLvl w:val="1"/>
        <w:rPr>
          <w:rFonts w:hint="eastAsia" w:ascii="黑体" w:hAnsi="黑体" w:eastAsia="黑体" w:cs="黑体"/>
          <w:b w:val="0"/>
          <w:bCs w:val="0"/>
          <w:color w:val="auto"/>
          <w:sz w:val="32"/>
          <w:szCs w:val="32"/>
          <w:highlight w:val="none"/>
          <w:u w:val="none"/>
          <w:lang w:eastAsia="zh-CN"/>
        </w:rPr>
      </w:pPr>
      <w:bookmarkStart w:id="53" w:name="_Toc594"/>
      <w:bookmarkStart w:id="54" w:name="_Toc26637"/>
      <w:r>
        <w:rPr>
          <w:rFonts w:hint="eastAsia" w:ascii="黑体" w:hAnsi="黑体" w:eastAsia="黑体" w:cs="黑体"/>
          <w:b w:val="0"/>
          <w:bCs w:val="0"/>
          <w:color w:val="auto"/>
          <w:sz w:val="32"/>
          <w:szCs w:val="32"/>
          <w:highlight w:val="none"/>
          <w:u w:val="none"/>
          <w:lang w:eastAsia="zh-CN"/>
        </w:rPr>
        <w:t>八、政府性基金预算支出决算情况说明</w:t>
      </w:r>
      <w:bookmarkEnd w:id="51"/>
      <w:bookmarkEnd w:id="52"/>
      <w:bookmarkEnd w:id="53"/>
      <w:bookmarkEnd w:id="54"/>
    </w:p>
    <w:p>
      <w:pPr>
        <w:keepNext w:val="0"/>
        <w:keepLines w:val="0"/>
        <w:pageBreakBefore w:val="0"/>
        <w:widowControl w:val="0"/>
        <w:kinsoku/>
        <w:wordWrap/>
        <w:overflowPunct/>
        <w:topLinePunct w:val="0"/>
        <w:bidi w:val="0"/>
        <w:snapToGrid/>
        <w:spacing w:line="576"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度</w:t>
      </w:r>
      <w:r>
        <w:rPr>
          <w:rFonts w:hint="eastAsia" w:ascii="仿宋_GB2312" w:hAnsi="仿宋_GB2312" w:eastAsia="仿宋_GB2312" w:cs="仿宋_GB2312"/>
          <w:color w:val="auto"/>
          <w:sz w:val="32"/>
          <w:szCs w:val="32"/>
        </w:rPr>
        <w:t>政府性基金预算财政拨款支出0万元。</w:t>
      </w:r>
    </w:p>
    <w:p>
      <w:pPr>
        <w:keepNext w:val="0"/>
        <w:keepLines w:val="0"/>
        <w:pageBreakBefore w:val="0"/>
        <w:widowControl w:val="0"/>
        <w:kinsoku/>
        <w:wordWrap/>
        <w:overflowPunct/>
        <w:topLinePunct w:val="0"/>
        <w:autoSpaceDE/>
        <w:autoSpaceDN/>
        <w:bidi w:val="0"/>
        <w:adjustRightInd w:val="0"/>
        <w:snapToGrid w:val="0"/>
        <w:spacing w:line="576" w:lineRule="exact"/>
        <w:ind w:left="0" w:right="0" w:firstLine="640" w:firstLineChars="200"/>
        <w:jc w:val="both"/>
        <w:textAlignment w:val="auto"/>
        <w:outlineLvl w:val="1"/>
        <w:rPr>
          <w:rFonts w:hint="eastAsia" w:ascii="黑体" w:hAnsi="黑体" w:eastAsia="黑体" w:cs="黑体"/>
          <w:b w:val="0"/>
          <w:bCs w:val="0"/>
          <w:color w:val="auto"/>
          <w:sz w:val="32"/>
          <w:szCs w:val="32"/>
          <w:highlight w:val="none"/>
          <w:u w:val="none"/>
          <w:lang w:eastAsia="zh-CN"/>
        </w:rPr>
      </w:pPr>
      <w:bookmarkStart w:id="55" w:name="_Toc15377219"/>
      <w:bookmarkStart w:id="56" w:name="_Toc7802"/>
      <w:bookmarkStart w:id="57" w:name="_Toc12816"/>
      <w:bookmarkStart w:id="58" w:name="_Toc15396611"/>
      <w:r>
        <w:rPr>
          <w:rFonts w:hint="eastAsia" w:ascii="黑体" w:hAnsi="黑体" w:eastAsia="黑体" w:cs="黑体"/>
          <w:b w:val="0"/>
          <w:bCs w:val="0"/>
          <w:color w:val="auto"/>
          <w:sz w:val="32"/>
          <w:szCs w:val="32"/>
          <w:highlight w:val="none"/>
          <w:u w:val="none"/>
          <w:lang w:eastAsia="zh-CN"/>
        </w:rPr>
        <w:t>九、国有资本经营预算支出决算情况说明</w:t>
      </w:r>
      <w:bookmarkEnd w:id="55"/>
      <w:bookmarkEnd w:id="56"/>
      <w:bookmarkEnd w:id="57"/>
      <w:bookmarkEnd w:id="58"/>
    </w:p>
    <w:p>
      <w:pPr>
        <w:keepNext w:val="0"/>
        <w:keepLines w:val="0"/>
        <w:pageBreakBefore w:val="0"/>
        <w:widowControl w:val="0"/>
        <w:kinsoku/>
        <w:wordWrap/>
        <w:overflowPunct/>
        <w:topLinePunct w:val="0"/>
        <w:bidi w:val="0"/>
        <w:snapToGrid/>
        <w:spacing w:line="576"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度</w:t>
      </w:r>
      <w:r>
        <w:rPr>
          <w:rFonts w:hint="eastAsia" w:ascii="仿宋_GB2312" w:hAnsi="仿宋_GB2312" w:eastAsia="仿宋_GB2312" w:cs="仿宋_GB2312"/>
          <w:color w:val="auto"/>
          <w:sz w:val="32"/>
          <w:szCs w:val="32"/>
        </w:rPr>
        <w:t>国有资本经营预算财政拨款支出0万元。</w:t>
      </w:r>
    </w:p>
    <w:p>
      <w:pPr>
        <w:keepNext w:val="0"/>
        <w:keepLines w:val="0"/>
        <w:pageBreakBefore w:val="0"/>
        <w:widowControl w:val="0"/>
        <w:kinsoku/>
        <w:wordWrap/>
        <w:overflowPunct/>
        <w:topLinePunct w:val="0"/>
        <w:autoSpaceDE/>
        <w:autoSpaceDN/>
        <w:bidi w:val="0"/>
        <w:adjustRightInd w:val="0"/>
        <w:snapToGrid w:val="0"/>
        <w:spacing w:line="576" w:lineRule="exact"/>
        <w:ind w:left="0" w:right="0" w:firstLine="640" w:firstLineChars="200"/>
        <w:jc w:val="both"/>
        <w:textAlignment w:val="auto"/>
        <w:outlineLvl w:val="1"/>
        <w:rPr>
          <w:rFonts w:hint="eastAsia" w:ascii="黑体" w:hAnsi="黑体" w:eastAsia="黑体" w:cs="黑体"/>
          <w:b w:val="0"/>
          <w:bCs w:val="0"/>
          <w:color w:val="auto"/>
          <w:sz w:val="32"/>
          <w:szCs w:val="32"/>
          <w:highlight w:val="none"/>
          <w:u w:val="none"/>
        </w:rPr>
      </w:pPr>
      <w:bookmarkStart w:id="59" w:name="_Toc15377221"/>
      <w:bookmarkStart w:id="60" w:name="_Toc15396612"/>
      <w:bookmarkStart w:id="61" w:name="_Toc30711"/>
      <w:bookmarkStart w:id="62" w:name="_Toc18931"/>
      <w:bookmarkStart w:id="63" w:name="_Toc25840"/>
      <w:r>
        <w:rPr>
          <w:rFonts w:hint="eastAsia" w:ascii="黑体" w:hAnsi="黑体" w:eastAsia="黑体" w:cs="黑体"/>
          <w:b w:val="0"/>
          <w:bCs w:val="0"/>
          <w:color w:val="auto"/>
          <w:sz w:val="32"/>
          <w:szCs w:val="32"/>
          <w:highlight w:val="none"/>
          <w:u w:val="none"/>
          <w:lang w:eastAsia="zh-CN"/>
        </w:rPr>
        <w:t>十、</w:t>
      </w:r>
      <w:r>
        <w:rPr>
          <w:rFonts w:hint="eastAsia" w:ascii="黑体" w:hAnsi="黑体" w:eastAsia="黑体" w:cs="黑体"/>
          <w:b w:val="0"/>
          <w:bCs w:val="0"/>
          <w:color w:val="auto"/>
          <w:sz w:val="32"/>
          <w:szCs w:val="32"/>
          <w:highlight w:val="none"/>
          <w:u w:val="none"/>
        </w:rPr>
        <w:t>其他重要事项的情况说明</w:t>
      </w:r>
      <w:bookmarkEnd w:id="59"/>
      <w:bookmarkEnd w:id="60"/>
      <w:bookmarkEnd w:id="61"/>
      <w:bookmarkEnd w:id="62"/>
      <w:bookmarkEnd w:id="63"/>
    </w:p>
    <w:p>
      <w:pPr>
        <w:autoSpaceDE w:val="0"/>
        <w:autoSpaceDN w:val="0"/>
        <w:adjustRightInd w:val="0"/>
        <w:spacing w:line="600" w:lineRule="exact"/>
        <w:ind w:firstLine="640" w:firstLineChars="200"/>
        <w:jc w:val="left"/>
        <w:outlineLvl w:val="2"/>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（一）机关运行经费支出情况</w:t>
      </w:r>
    </w:p>
    <w:p>
      <w:pPr>
        <w:keepNext w:val="0"/>
        <w:keepLines w:val="0"/>
        <w:pageBreakBefore w:val="0"/>
        <w:widowControl w:val="0"/>
        <w:kinsoku/>
        <w:wordWrap/>
        <w:overflowPunct/>
        <w:topLinePunct w:val="0"/>
        <w:bidi w:val="0"/>
        <w:snapToGrid/>
        <w:spacing w:line="576"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本单位为事业单位，</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度</w:t>
      </w:r>
      <w:r>
        <w:rPr>
          <w:rFonts w:hint="eastAsia" w:ascii="仿宋_GB2312" w:hAnsi="仿宋_GB2312" w:eastAsia="仿宋_GB2312" w:cs="仿宋_GB2312"/>
          <w:color w:val="auto"/>
          <w:sz w:val="32"/>
          <w:szCs w:val="32"/>
        </w:rPr>
        <w:t>未发生机关运行经费，与202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决算数持平</w:t>
      </w:r>
      <w:r>
        <w:rPr>
          <w:rFonts w:hint="eastAsia" w:ascii="仿宋_GB2312" w:hAnsi="仿宋_GB2312" w:eastAsia="仿宋_GB2312" w:cs="仿宋_GB2312"/>
          <w:color w:val="auto"/>
          <w:sz w:val="32"/>
          <w:szCs w:val="32"/>
        </w:rPr>
        <w:t>。</w:t>
      </w:r>
    </w:p>
    <w:p>
      <w:pPr>
        <w:autoSpaceDE w:val="0"/>
        <w:autoSpaceDN w:val="0"/>
        <w:adjustRightInd w:val="0"/>
        <w:spacing w:line="600" w:lineRule="exact"/>
        <w:ind w:firstLine="640" w:firstLineChars="200"/>
        <w:jc w:val="left"/>
        <w:outlineLvl w:val="2"/>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（二）政府采购支出情况</w:t>
      </w:r>
    </w:p>
    <w:p>
      <w:pPr>
        <w:spacing w:line="600" w:lineRule="exact"/>
        <w:ind w:firstLine="640" w:firstLineChars="200"/>
        <w:rPr>
          <w:rFonts w:ascii="仿宋_GB2312" w:eastAsia="仿宋_GB2312"/>
          <w:color w:val="auto"/>
          <w:sz w:val="32"/>
          <w:szCs w:val="32"/>
          <w:highlight w:val="none"/>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度</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Start w:id="107" w:name="_GoBack"/>
      <w:bookmarkEnd w:id="107"/>
      <w:r>
        <w:rPr>
          <w:rFonts w:hint="eastAsia" w:ascii="仿宋_GB2312" w:eastAsia="仿宋_GB2312"/>
          <w:color w:val="auto"/>
          <w:sz w:val="32"/>
          <w:szCs w:val="32"/>
          <w:highlight w:val="none"/>
        </w:rPr>
        <w:t>。</w:t>
      </w:r>
    </w:p>
    <w:p>
      <w:pPr>
        <w:autoSpaceDE w:val="0"/>
        <w:autoSpaceDN w:val="0"/>
        <w:adjustRightInd w:val="0"/>
        <w:spacing w:line="600" w:lineRule="exact"/>
        <w:ind w:firstLine="640" w:firstLineChars="200"/>
        <w:jc w:val="left"/>
        <w:outlineLvl w:val="2"/>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（三）国有资产占有使用情况</w:t>
      </w:r>
    </w:p>
    <w:p>
      <w:pPr>
        <w:keepNext w:val="0"/>
        <w:keepLines w:val="0"/>
        <w:pageBreakBefore w:val="0"/>
        <w:widowControl w:val="0"/>
        <w:kinsoku/>
        <w:wordWrap/>
        <w:overflowPunct/>
        <w:topLinePunct w:val="0"/>
        <w:autoSpaceDE w:val="0"/>
        <w:autoSpaceDN w:val="0"/>
        <w:bidi w:val="0"/>
        <w:adjustRightInd w:val="0"/>
        <w:snapToGrid/>
        <w:spacing w:line="576"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年12月31日，共有车辆</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sz w:val="32"/>
          <w:szCs w:val="32"/>
        </w:rPr>
        <w:t>其中：其他用车1辆，其他用车主要是用于</w:t>
      </w:r>
      <w:r>
        <w:rPr>
          <w:rFonts w:hint="eastAsia" w:ascii="仿宋_GB2312" w:hAnsi="仿宋_GB2312" w:eastAsia="仿宋_GB2312" w:cs="仿宋_GB2312"/>
          <w:color w:val="000000"/>
          <w:sz w:val="32"/>
          <w:szCs w:val="32"/>
        </w:rPr>
        <w:t>一般公务、业务用车。</w:t>
      </w:r>
      <w:r>
        <w:rPr>
          <w:rFonts w:hint="eastAsia" w:ascii="仿宋_GB2312" w:eastAsia="仿宋_GB2312"/>
          <w:sz w:val="32"/>
          <w:szCs w:val="32"/>
        </w:rPr>
        <w:t>单价</w:t>
      </w:r>
      <w:r>
        <w:rPr>
          <w:rFonts w:ascii="仿宋_GB2312" w:eastAsia="仿宋_GB2312"/>
          <w:sz w:val="32"/>
          <w:szCs w:val="32"/>
        </w:rPr>
        <w:t>50</w:t>
      </w:r>
      <w:r>
        <w:rPr>
          <w:rFonts w:hint="eastAsia" w:ascii="仿宋_GB2312" w:eastAsia="仿宋_GB2312"/>
          <w:sz w:val="32"/>
          <w:szCs w:val="32"/>
        </w:rPr>
        <w:t>万元以上通用设备0台（套），单价</w:t>
      </w:r>
      <w:r>
        <w:rPr>
          <w:rFonts w:ascii="仿宋_GB2312" w:eastAsia="仿宋_GB2312"/>
          <w:sz w:val="32"/>
          <w:szCs w:val="32"/>
        </w:rPr>
        <w:t>100</w:t>
      </w:r>
      <w:r>
        <w:rPr>
          <w:rFonts w:hint="eastAsia" w:ascii="仿宋_GB2312" w:eastAsia="仿宋_GB2312"/>
          <w:sz w:val="32"/>
          <w:szCs w:val="32"/>
        </w:rPr>
        <w:t>万元以上专用设备0台（套）</w:t>
      </w:r>
      <w:r>
        <w:rPr>
          <w:rFonts w:hint="eastAsia" w:ascii="仿宋_GB2312" w:hAnsi="仿宋_GB2312" w:eastAsia="仿宋_GB2312" w:cs="仿宋_GB2312"/>
          <w:color w:val="auto"/>
          <w:sz w:val="32"/>
          <w:szCs w:val="32"/>
        </w:rPr>
        <w:t>。</w:t>
      </w:r>
    </w:p>
    <w:p>
      <w:pPr>
        <w:autoSpaceDE w:val="0"/>
        <w:autoSpaceDN w:val="0"/>
        <w:adjustRightInd w:val="0"/>
        <w:spacing w:line="600" w:lineRule="exact"/>
        <w:ind w:firstLine="640" w:firstLineChars="200"/>
        <w:jc w:val="left"/>
        <w:outlineLvl w:val="2"/>
        <w:rPr>
          <w:rFonts w:hint="eastAsia" w:ascii="楷体_GB2312" w:hAnsi="楷体_GB2312" w:eastAsia="楷体_GB2312" w:cs="楷体_GB2312"/>
          <w:b w:val="0"/>
          <w:bCs/>
          <w:color w:val="auto"/>
          <w:sz w:val="32"/>
          <w:szCs w:val="32"/>
          <w:highlight w:val="none"/>
          <w:lang w:eastAsia="zh-CN"/>
        </w:rPr>
      </w:pPr>
      <w:r>
        <w:rPr>
          <w:rFonts w:hint="eastAsia" w:ascii="楷体_GB2312" w:hAnsi="楷体_GB2312" w:eastAsia="楷体_GB2312" w:cs="楷体_GB2312"/>
          <w:b w:val="0"/>
          <w:bCs/>
          <w:color w:val="auto"/>
          <w:sz w:val="32"/>
          <w:szCs w:val="32"/>
          <w:highlight w:val="none"/>
        </w:rPr>
        <w:t>（四）预算绩效管理情况</w:t>
      </w:r>
    </w:p>
    <w:p>
      <w:pPr>
        <w:pageBreakBefore w:val="0"/>
        <w:widowControl w:val="0"/>
        <w:kinsoku/>
        <w:wordWrap/>
        <w:overflowPunct/>
        <w:topLinePunct w:val="0"/>
        <w:bidi w:val="0"/>
        <w:spacing w:line="576" w:lineRule="exact"/>
        <w:ind w:left="0" w:right="0" w:firstLine="640" w:firstLineChars="200"/>
        <w:jc w:val="both"/>
        <w:textAlignment w:val="auto"/>
        <w:rPr>
          <w:rFonts w:hint="eastAsia" w:ascii="仿宋_GB2312" w:hAnsi="仿宋_GB2312" w:eastAsia="仿宋_GB2312" w:cs="仿宋_GB2312"/>
          <w:b/>
          <w:color w:val="auto"/>
          <w:sz w:val="32"/>
          <w:szCs w:val="32"/>
        </w:rPr>
      </w:pPr>
      <w:r>
        <w:rPr>
          <w:rFonts w:hint="eastAsia" w:ascii="仿宋_GB2312" w:hAnsi="Times New Roman" w:eastAsia="仿宋_GB2312" w:cs="Times New Roman"/>
          <w:color w:val="auto"/>
          <w:sz w:val="32"/>
          <w:szCs w:val="32"/>
          <w:highlight w:val="none"/>
          <w:lang w:eastAsia="zh-CN"/>
        </w:rPr>
        <w:t>根据预算绩效管理要求，本单位在</w:t>
      </w:r>
      <w:r>
        <w:rPr>
          <w:rFonts w:hint="eastAsia" w:ascii="仿宋_GB2312" w:hAnsi="Times New Roman" w:eastAsia="仿宋_GB2312" w:cs="Times New Roman"/>
          <w:color w:val="auto"/>
          <w:sz w:val="32"/>
          <w:szCs w:val="32"/>
          <w:highlight w:val="none"/>
          <w:lang w:val="en-US" w:eastAsia="zh-CN"/>
        </w:rPr>
        <w:t>202</w:t>
      </w:r>
      <w:r>
        <w:rPr>
          <w:rFonts w:hint="eastAsia" w:ascii="仿宋_GB2312" w:eastAsia="仿宋_GB2312" w:cs="Times New Roman"/>
          <w:color w:val="auto"/>
          <w:sz w:val="32"/>
          <w:szCs w:val="32"/>
          <w:highlight w:val="none"/>
          <w:lang w:val="en-US" w:eastAsia="zh-CN"/>
        </w:rPr>
        <w:t>4</w:t>
      </w:r>
      <w:r>
        <w:rPr>
          <w:rFonts w:hint="eastAsia" w:ascii="仿宋_GB2312" w:hAnsi="Times New Roman" w:eastAsia="仿宋_GB2312" w:cs="Times New Roman"/>
          <w:color w:val="auto"/>
          <w:sz w:val="32"/>
          <w:szCs w:val="32"/>
          <w:highlight w:val="none"/>
          <w:lang w:val="en-US" w:eastAsia="zh-CN"/>
        </w:rPr>
        <w:t>年度</w:t>
      </w:r>
      <w:r>
        <w:rPr>
          <w:rFonts w:hint="eastAsia" w:ascii="仿宋_GB2312" w:hAnsi="Times New Roman" w:eastAsia="仿宋_GB2312" w:cs="Times New Roman"/>
          <w:color w:val="auto"/>
          <w:sz w:val="32"/>
          <w:szCs w:val="32"/>
          <w:highlight w:val="none"/>
          <w:lang w:eastAsia="zh-CN"/>
        </w:rPr>
        <w:t>预算编制阶段，组织对土地整治和土地开发复垦项目可研与规划设计审查工作经费项目等</w:t>
      </w:r>
      <w:r>
        <w:rPr>
          <w:rFonts w:hint="eastAsia" w:ascii="仿宋_GB2312" w:hAnsi="Times New Roman" w:eastAsia="仿宋_GB2312" w:cs="Times New Roman"/>
          <w:color w:val="auto"/>
          <w:sz w:val="32"/>
          <w:szCs w:val="32"/>
          <w:highlight w:val="none"/>
          <w:lang w:val="en-US" w:eastAsia="zh-CN"/>
        </w:rPr>
        <w:t>1</w:t>
      </w:r>
      <w:r>
        <w:rPr>
          <w:rFonts w:hint="eastAsia" w:ascii="仿宋_GB2312" w:eastAsia="仿宋_GB2312" w:cs="Times New Roman"/>
          <w:color w:val="auto"/>
          <w:sz w:val="32"/>
          <w:szCs w:val="32"/>
          <w:highlight w:val="none"/>
          <w:lang w:val="en-US" w:eastAsia="zh-CN"/>
        </w:rPr>
        <w:t>1</w:t>
      </w:r>
      <w:r>
        <w:rPr>
          <w:rFonts w:hint="eastAsia" w:ascii="仿宋_GB2312" w:hAnsi="Times New Roman" w:eastAsia="仿宋_GB2312" w:cs="Times New Roman"/>
          <w:color w:val="auto"/>
          <w:sz w:val="32"/>
          <w:szCs w:val="32"/>
          <w:highlight w:val="none"/>
          <w:lang w:val="en-US" w:eastAsia="zh-CN"/>
        </w:rPr>
        <w:t>个项目</w:t>
      </w:r>
      <w:r>
        <w:rPr>
          <w:rFonts w:hint="eastAsia" w:ascii="仿宋_GB2312" w:hAnsi="Times New Roman" w:eastAsia="仿宋_GB2312" w:cs="Times New Roman"/>
          <w:color w:val="auto"/>
          <w:sz w:val="32"/>
          <w:szCs w:val="32"/>
          <w:highlight w:val="none"/>
          <w:lang w:eastAsia="zh-CN"/>
        </w:rPr>
        <w:t>开展了预算事前绩效评估，对</w:t>
      </w:r>
      <w:r>
        <w:rPr>
          <w:rFonts w:hint="eastAsia" w:ascii="仿宋_GB2312" w:hAnsi="Times New Roman" w:eastAsia="仿宋_GB2312" w:cs="Times New Roman"/>
          <w:color w:val="auto"/>
          <w:sz w:val="32"/>
          <w:szCs w:val="32"/>
          <w:highlight w:val="none"/>
          <w:lang w:val="en-US" w:eastAsia="zh-CN"/>
        </w:rPr>
        <w:t>1</w:t>
      </w:r>
      <w:r>
        <w:rPr>
          <w:rFonts w:hint="eastAsia" w:ascii="仿宋_GB2312" w:eastAsia="仿宋_GB2312" w:cs="Times New Roman"/>
          <w:color w:val="auto"/>
          <w:sz w:val="32"/>
          <w:szCs w:val="32"/>
          <w:highlight w:val="none"/>
          <w:lang w:val="en-US" w:eastAsia="zh-CN"/>
        </w:rPr>
        <w:t>1</w:t>
      </w:r>
      <w:r>
        <w:rPr>
          <w:rFonts w:hint="eastAsia" w:ascii="仿宋_GB2312" w:hAnsi="Times New Roman" w:eastAsia="仿宋_GB2312" w:cs="Times New Roman"/>
          <w:color w:val="auto"/>
          <w:sz w:val="32"/>
          <w:szCs w:val="32"/>
          <w:highlight w:val="none"/>
          <w:lang w:eastAsia="zh-CN"/>
        </w:rPr>
        <w:t>个项目编制了绩效目标，预算执行过程中，选取</w:t>
      </w:r>
      <w:r>
        <w:rPr>
          <w:rFonts w:hint="eastAsia" w:ascii="仿宋_GB2312" w:hAnsi="Times New Roman" w:eastAsia="仿宋_GB2312" w:cs="Times New Roman"/>
          <w:color w:val="auto"/>
          <w:sz w:val="32"/>
          <w:szCs w:val="32"/>
          <w:highlight w:val="none"/>
          <w:lang w:val="en-US" w:eastAsia="zh-CN"/>
        </w:rPr>
        <w:t>1</w:t>
      </w:r>
      <w:r>
        <w:rPr>
          <w:rFonts w:hint="eastAsia" w:ascii="仿宋_GB2312" w:eastAsia="仿宋_GB2312" w:cs="Times New Roman"/>
          <w:color w:val="auto"/>
          <w:sz w:val="32"/>
          <w:szCs w:val="32"/>
          <w:highlight w:val="none"/>
          <w:lang w:val="en-US" w:eastAsia="zh-CN"/>
        </w:rPr>
        <w:t>1</w:t>
      </w:r>
      <w:r>
        <w:rPr>
          <w:rFonts w:hint="eastAsia" w:ascii="仿宋_GB2312" w:hAnsi="Times New Roman" w:eastAsia="仿宋_GB2312" w:cs="Times New Roman"/>
          <w:color w:val="auto"/>
          <w:sz w:val="32"/>
          <w:szCs w:val="32"/>
          <w:highlight w:val="none"/>
          <w:lang w:eastAsia="zh-CN"/>
        </w:rPr>
        <w:t>个项目开展绩效监控，组织对</w:t>
      </w:r>
      <w:r>
        <w:rPr>
          <w:rFonts w:hint="eastAsia" w:ascii="仿宋_GB2312" w:hAnsi="Times New Roman" w:eastAsia="仿宋_GB2312" w:cs="Times New Roman"/>
          <w:color w:val="auto"/>
          <w:sz w:val="32"/>
          <w:szCs w:val="32"/>
          <w:highlight w:val="none"/>
          <w:lang w:val="en-US" w:eastAsia="zh-CN"/>
        </w:rPr>
        <w:t>1</w:t>
      </w:r>
      <w:r>
        <w:rPr>
          <w:rFonts w:hint="eastAsia" w:ascii="仿宋_GB2312" w:eastAsia="仿宋_GB2312" w:cs="Times New Roman"/>
          <w:color w:val="auto"/>
          <w:sz w:val="32"/>
          <w:szCs w:val="32"/>
          <w:highlight w:val="none"/>
          <w:lang w:val="en-US" w:eastAsia="zh-CN"/>
        </w:rPr>
        <w:t>1</w:t>
      </w:r>
      <w:r>
        <w:rPr>
          <w:rFonts w:hint="eastAsia" w:ascii="仿宋_GB2312" w:hAnsi="Times New Roman" w:eastAsia="仿宋_GB2312" w:cs="Times New Roman"/>
          <w:color w:val="auto"/>
          <w:sz w:val="32"/>
          <w:szCs w:val="32"/>
          <w:highlight w:val="none"/>
          <w:lang w:val="en-US" w:eastAsia="zh-CN"/>
        </w:rPr>
        <w:t>个项目开展绩效自评，绩效自评表详见第四部分附件。</w:t>
      </w:r>
      <w:r>
        <w:rPr>
          <w:rFonts w:hint="eastAsia" w:ascii="仿宋_GB2312" w:hAnsi="仿宋_GB2312" w:eastAsia="仿宋_GB2312" w:cs="仿宋_GB2312"/>
          <w:b/>
          <w:color w:val="auto"/>
          <w:sz w:val="32"/>
          <w:szCs w:val="32"/>
        </w:rPr>
        <w:br w:type="page"/>
      </w:r>
    </w:p>
    <w:p>
      <w:pPr>
        <w:pStyle w:val="3"/>
        <w:keepNext/>
        <w:keepLines/>
        <w:pageBreakBefore w:val="0"/>
        <w:widowControl w:val="0"/>
        <w:kinsoku/>
        <w:wordWrap/>
        <w:overflowPunct/>
        <w:topLinePunct w:val="0"/>
        <w:autoSpaceDE/>
        <w:autoSpaceDN/>
        <w:bidi w:val="0"/>
        <w:adjustRightInd/>
        <w:snapToGrid/>
        <w:spacing w:before="0" w:after="0" w:line="576" w:lineRule="exact"/>
        <w:ind w:left="0" w:leftChars="0" w:firstLine="0" w:firstLineChars="0"/>
        <w:jc w:val="center"/>
        <w:textAlignment w:val="auto"/>
        <w:rPr>
          <w:rFonts w:hint="eastAsia" w:ascii="方正小标宋_GBK" w:hAnsi="方正小标宋_GBK" w:eastAsia="方正小标宋_GBK" w:cs="方正小标宋_GBK"/>
          <w:b w:val="0"/>
          <w:color w:val="auto"/>
          <w:highlight w:val="none"/>
        </w:rPr>
      </w:pPr>
      <w:bookmarkStart w:id="64" w:name="_Toc7293"/>
      <w:bookmarkStart w:id="65" w:name="_Toc26702"/>
      <w:bookmarkStart w:id="66" w:name="_Toc15396613"/>
      <w:bookmarkStart w:id="67" w:name="_Toc15377225"/>
      <w:r>
        <w:rPr>
          <w:rFonts w:hint="eastAsia" w:ascii="方正小标宋_GBK" w:hAnsi="方正小标宋_GBK" w:eastAsia="方正小标宋_GBK" w:cs="方正小标宋_GBK"/>
          <w:b w:val="0"/>
          <w:color w:val="auto"/>
          <w:highlight w:val="none"/>
          <w:lang w:eastAsia="zh-CN"/>
        </w:rPr>
        <w:t>第三部分</w:t>
      </w:r>
      <w:r>
        <w:rPr>
          <w:rFonts w:hint="eastAsia" w:ascii="方正小标宋_GBK" w:hAnsi="方正小标宋_GBK" w:eastAsia="方正小标宋_GBK" w:cs="方正小标宋_GBK"/>
          <w:b w:val="0"/>
          <w:color w:val="auto"/>
          <w:highlight w:val="none"/>
          <w:lang w:val="en-US" w:eastAsia="zh-CN"/>
        </w:rPr>
        <w:t xml:space="preserve">  </w:t>
      </w:r>
      <w:r>
        <w:rPr>
          <w:rFonts w:hint="eastAsia" w:ascii="方正小标宋_GBK" w:hAnsi="方正小标宋_GBK" w:eastAsia="方正小标宋_GBK" w:cs="方正小标宋_GBK"/>
          <w:b w:val="0"/>
          <w:color w:val="auto"/>
          <w:highlight w:val="none"/>
        </w:rPr>
        <w:t>名词解释</w:t>
      </w:r>
      <w:bookmarkEnd w:id="64"/>
      <w:bookmarkEnd w:id="65"/>
      <w:bookmarkEnd w:id="66"/>
      <w:bookmarkEnd w:id="67"/>
    </w:p>
    <w:p>
      <w:pPr>
        <w:pageBreakBefore w:val="0"/>
        <w:widowControl w:val="0"/>
        <w:kinsoku/>
        <w:wordWrap/>
        <w:overflowPunct/>
        <w:topLinePunct w:val="0"/>
        <w:bidi w:val="0"/>
        <w:spacing w:line="576" w:lineRule="exact"/>
        <w:ind w:left="0" w:right="0" w:firstLine="0" w:firstLineChars="0"/>
        <w:jc w:val="both"/>
        <w:textAlignment w:val="auto"/>
        <w:rPr>
          <w:rFonts w:hint="eastAsia" w:ascii="仿宋_GB2312" w:hAnsi="仿宋_GB2312" w:eastAsia="仿宋_GB2312" w:cs="仿宋_GB2312"/>
          <w:b/>
          <w:color w:val="auto"/>
          <w:sz w:val="32"/>
          <w:szCs w:val="32"/>
        </w:rPr>
      </w:pPr>
    </w:p>
    <w:p>
      <w:pPr>
        <w:pStyle w:val="22"/>
        <w:keepNext w:val="0"/>
        <w:keepLines w:val="0"/>
        <w:pageBreakBefore w:val="0"/>
        <w:widowControl w:val="0"/>
        <w:numPr>
          <w:ilvl w:val="0"/>
          <w:numId w:val="0"/>
        </w:numPr>
        <w:kinsoku/>
        <w:wordWrap/>
        <w:overflowPunct/>
        <w:topLinePunct w:val="0"/>
        <w:bidi w:val="0"/>
        <w:snapToGrid/>
        <w:spacing w:line="576" w:lineRule="exact"/>
        <w:ind w:firstLine="640" w:firstLineChars="200"/>
        <w:jc w:val="both"/>
        <w:textAlignment w:val="auto"/>
        <w:outlineLvl w:val="1"/>
        <w:rPr>
          <w:rFonts w:hint="eastAsia" w:ascii="仿宋_GB2312" w:hAnsi="Times New Roman" w:eastAsia="仿宋_GB2312" w:cs="Times New Roman"/>
          <w:color w:val="auto"/>
          <w:kern w:val="2"/>
          <w:sz w:val="32"/>
          <w:szCs w:val="32"/>
          <w:lang w:val="en-US" w:eastAsia="zh-CN" w:bidi="ar-SA"/>
        </w:rPr>
      </w:pPr>
      <w:bookmarkStart w:id="68" w:name="_Toc5139"/>
      <w:bookmarkStart w:id="69" w:name="_Toc15377226"/>
      <w:r>
        <w:rPr>
          <w:rFonts w:hint="eastAsia" w:ascii="仿宋_GB2312" w:hAnsi="Times New Roman" w:eastAsia="仿宋_GB2312" w:cs="Times New Roman"/>
          <w:color w:val="auto"/>
          <w:kern w:val="2"/>
          <w:sz w:val="32"/>
          <w:szCs w:val="32"/>
          <w:lang w:val="en-US" w:eastAsia="zh-CN" w:bidi="ar-SA"/>
        </w:rPr>
        <w:t>1.财政拨款收入：指单位从同级财政部门取得的财政预算资金。</w:t>
      </w:r>
      <w:bookmarkEnd w:id="68"/>
    </w:p>
    <w:p>
      <w:pPr>
        <w:pStyle w:val="22"/>
        <w:keepNext w:val="0"/>
        <w:keepLines w:val="0"/>
        <w:pageBreakBefore w:val="0"/>
        <w:widowControl w:val="0"/>
        <w:numPr>
          <w:ilvl w:val="0"/>
          <w:numId w:val="0"/>
        </w:numPr>
        <w:kinsoku/>
        <w:wordWrap/>
        <w:overflowPunct/>
        <w:topLinePunct w:val="0"/>
        <w:bidi w:val="0"/>
        <w:snapToGrid/>
        <w:spacing w:line="576" w:lineRule="exact"/>
        <w:ind w:firstLine="640" w:firstLineChars="200"/>
        <w:jc w:val="both"/>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2.其他收入：指单位取得的除上述收入以外的各项收入，主要用于核算银行存款收入。</w:t>
      </w:r>
    </w:p>
    <w:p>
      <w:pPr>
        <w:pStyle w:val="22"/>
        <w:keepNext w:val="0"/>
        <w:keepLines w:val="0"/>
        <w:pageBreakBefore w:val="0"/>
        <w:widowControl w:val="0"/>
        <w:numPr>
          <w:ilvl w:val="0"/>
          <w:numId w:val="0"/>
        </w:numPr>
        <w:kinsoku/>
        <w:wordWrap/>
        <w:overflowPunct/>
        <w:topLinePunct w:val="0"/>
        <w:bidi w:val="0"/>
        <w:snapToGrid/>
        <w:spacing w:line="576" w:lineRule="exact"/>
        <w:ind w:firstLine="640" w:firstLineChars="200"/>
        <w:jc w:val="both"/>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7．社会保障和就业支出（类）行政事业单位养老支出（款）事业单位离退休（项）：指事业单位退休职工生活补助。</w:t>
      </w:r>
    </w:p>
    <w:p>
      <w:pPr>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eastAsia="仿宋_GB2312" w:cs="Times New Roman"/>
          <w:color w:val="auto"/>
          <w:kern w:val="2"/>
          <w:sz w:val="32"/>
          <w:szCs w:val="32"/>
          <w:lang w:val="en-US" w:eastAsia="zh-CN" w:bidi="ar-SA"/>
        </w:rPr>
        <w:t>3.</w:t>
      </w:r>
      <w:r>
        <w:rPr>
          <w:rFonts w:hint="eastAsia" w:ascii="仿宋_GB2312" w:hAnsi="Times New Roman" w:eastAsia="仿宋_GB2312" w:cs="Times New Roman"/>
          <w:color w:val="auto"/>
          <w:kern w:val="2"/>
          <w:sz w:val="32"/>
          <w:szCs w:val="32"/>
          <w:lang w:val="en-US" w:eastAsia="zh-CN" w:bidi="ar-SA"/>
        </w:rPr>
        <w:t>社会保障和就业支出（类）行政事业单位养老支出（款）机关事业单位基本养老保险缴费支出（项）：指反映机关事业单位实施养老保险制度由单位缴纳的基本养老保险支出。</w:t>
      </w:r>
    </w:p>
    <w:p>
      <w:pPr>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eastAsia="仿宋_GB2312" w:cs="Times New Roman"/>
          <w:color w:val="auto"/>
          <w:kern w:val="2"/>
          <w:sz w:val="32"/>
          <w:szCs w:val="32"/>
          <w:lang w:val="en-US" w:eastAsia="zh-CN" w:bidi="ar-SA"/>
        </w:rPr>
        <w:t>4.</w:t>
      </w:r>
      <w:r>
        <w:rPr>
          <w:rFonts w:hint="eastAsia" w:ascii="仿宋_GB2312" w:hAnsi="Times New Roman" w:eastAsia="仿宋_GB2312" w:cs="Times New Roman"/>
          <w:color w:val="auto"/>
          <w:kern w:val="2"/>
          <w:sz w:val="32"/>
          <w:szCs w:val="32"/>
          <w:lang w:val="en-US" w:eastAsia="zh-CN" w:bidi="ar-SA"/>
        </w:rPr>
        <w:t>社会保障和就业支出（类）其他社会和保障就业支出（款）其他社会和保障就业支出（项）</w:t>
      </w:r>
      <w:r>
        <w:rPr>
          <w:rFonts w:hint="eastAsia" w:ascii="仿宋_GB2312" w:eastAsia="仿宋_GB2312" w:cs="Times New Roman"/>
          <w:color w:val="auto"/>
          <w:kern w:val="2"/>
          <w:sz w:val="32"/>
          <w:szCs w:val="32"/>
          <w:lang w:val="en-US" w:eastAsia="zh-CN" w:bidi="ar-SA"/>
        </w:rPr>
        <w:t>：</w:t>
      </w:r>
      <w:r>
        <w:rPr>
          <w:rFonts w:hint="eastAsia" w:ascii="仿宋_GB2312" w:hAnsi="Times New Roman" w:eastAsia="仿宋_GB2312" w:cs="Times New Roman"/>
          <w:color w:val="auto"/>
          <w:kern w:val="2"/>
          <w:sz w:val="32"/>
          <w:szCs w:val="32"/>
          <w:lang w:val="en-US" w:eastAsia="zh-CN" w:bidi="ar-SA"/>
        </w:rPr>
        <w:t>指反映机关事业单位实施保险制度由单位缴纳的其他社会和保障就业支出。</w:t>
      </w:r>
    </w:p>
    <w:p>
      <w:pPr>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eastAsia="仿宋_GB2312" w:cs="Times New Roman"/>
          <w:color w:val="auto"/>
          <w:kern w:val="2"/>
          <w:sz w:val="32"/>
          <w:szCs w:val="32"/>
          <w:lang w:val="en-US" w:eastAsia="zh-CN" w:bidi="ar-SA"/>
        </w:rPr>
        <w:t>5.</w:t>
      </w:r>
      <w:r>
        <w:rPr>
          <w:rFonts w:hint="eastAsia" w:ascii="仿宋_GB2312" w:hAnsi="Times New Roman" w:eastAsia="仿宋_GB2312" w:cs="Times New Roman"/>
          <w:color w:val="auto"/>
          <w:kern w:val="2"/>
          <w:sz w:val="32"/>
          <w:szCs w:val="32"/>
          <w:lang w:val="en-US" w:eastAsia="zh-CN" w:bidi="ar-SA"/>
        </w:rPr>
        <w:t>卫生健康支出（类）行政事业单位医疗（款）事业单位医疗（项）：指反映财政部门集中安排的事业单位基本医疗保险缴费经费，未参加医疗保险的事业单位的公费医疗经费，按国家规定享受离休人员待遇的医疗经费。</w:t>
      </w:r>
    </w:p>
    <w:p>
      <w:pPr>
        <w:keepNext w:val="0"/>
        <w:keepLines w:val="0"/>
        <w:pageBreakBefore w:val="0"/>
        <w:widowControl w:val="0"/>
        <w:kinsoku/>
        <w:wordWrap/>
        <w:overflowPunct/>
        <w:topLinePunct w:val="0"/>
        <w:bidi w:val="0"/>
        <w:snapToGrid/>
        <w:spacing w:line="576" w:lineRule="exact"/>
        <w:ind w:firstLine="640" w:firstLineChars="200"/>
        <w:textAlignment w:val="auto"/>
        <w:rPr>
          <w:rStyle w:val="17"/>
          <w:rFonts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sz w:val="32"/>
          <w:szCs w:val="32"/>
          <w:shd w:val="clear" w:color="auto" w:fill="FFFFFF"/>
          <w:lang w:val="en-US" w:eastAsia="zh-CN"/>
        </w:rPr>
        <w:t>6.</w:t>
      </w:r>
      <w:r>
        <w:rPr>
          <w:rStyle w:val="17"/>
          <w:rFonts w:hint="eastAsia" w:ascii="仿宋_GB2312" w:hAnsi="仿宋_GB2312" w:eastAsia="仿宋_GB2312" w:cs="仿宋_GB2312"/>
          <w:b w:val="0"/>
          <w:bCs w:val="0"/>
          <w:color w:val="000000"/>
          <w:sz w:val="32"/>
          <w:szCs w:val="32"/>
        </w:rPr>
        <w:t>自然资源海洋气象等支出（类）自然资源事务（款）自然资源利用与保护（项）：指地质环境治理和土地整治方面的支出。</w:t>
      </w:r>
    </w:p>
    <w:p>
      <w:pPr>
        <w:keepNext w:val="0"/>
        <w:keepLines w:val="0"/>
        <w:pageBreakBefore w:val="0"/>
        <w:widowControl w:val="0"/>
        <w:numPr>
          <w:ilvl w:val="0"/>
          <w:numId w:val="0"/>
        </w:numPr>
        <w:kinsoku/>
        <w:wordWrap/>
        <w:overflowPunct/>
        <w:topLinePunct w:val="0"/>
        <w:bidi w:val="0"/>
        <w:snapToGrid/>
        <w:spacing w:line="560" w:lineRule="exact"/>
        <w:ind w:right="0" w:rightChars="0" w:firstLine="640" w:firstLineChars="200"/>
        <w:jc w:val="both"/>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仿宋_GB2312" w:eastAsia="仿宋_GB2312" w:cs="仿宋_GB2312"/>
          <w:b w:val="0"/>
          <w:bCs w:val="0"/>
          <w:color w:val="000000"/>
          <w:sz w:val="32"/>
          <w:szCs w:val="32"/>
          <w:lang w:val="en-US" w:eastAsia="zh-CN"/>
        </w:rPr>
        <w:t>7.</w:t>
      </w:r>
      <w:r>
        <w:rPr>
          <w:rFonts w:hint="eastAsia" w:ascii="仿宋_GB2312" w:hAnsi="仿宋_GB2312" w:eastAsia="仿宋_GB2312" w:cs="仿宋_GB2312"/>
          <w:b w:val="0"/>
          <w:bCs w:val="0"/>
          <w:color w:val="auto"/>
          <w:sz w:val="32"/>
          <w:szCs w:val="32"/>
        </w:rPr>
        <w:t>自然资源海洋气象等（类）自然资源事务（款</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事业运行（项）：指</w:t>
      </w:r>
      <w:r>
        <w:rPr>
          <w:rFonts w:hint="eastAsia" w:ascii="仿宋_GB2312" w:hAnsi="仿宋_GB2312" w:eastAsia="仿宋_GB2312" w:cs="仿宋_GB2312"/>
          <w:b w:val="0"/>
          <w:bCs w:val="0"/>
          <w:color w:val="auto"/>
          <w:sz w:val="32"/>
          <w:szCs w:val="32"/>
          <w:shd w:val="clear" w:color="auto" w:fill="FFFFFF"/>
        </w:rPr>
        <w:t>事业单位用于保障机构正常运行、开展日常工作的基本支出。</w:t>
      </w:r>
    </w:p>
    <w:p>
      <w:pPr>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eastAsia="仿宋_GB2312" w:cs="Times New Roman"/>
          <w:color w:val="auto"/>
          <w:kern w:val="2"/>
          <w:sz w:val="32"/>
          <w:szCs w:val="32"/>
          <w:lang w:val="en-US" w:eastAsia="zh-CN" w:bidi="ar-SA"/>
        </w:rPr>
        <w:t>8.</w:t>
      </w:r>
      <w:r>
        <w:rPr>
          <w:rFonts w:hint="eastAsia" w:ascii="仿宋_GB2312" w:hAnsi="Times New Roman" w:eastAsia="仿宋_GB2312" w:cs="Times New Roman"/>
          <w:color w:val="auto"/>
          <w:kern w:val="2"/>
          <w:sz w:val="32"/>
          <w:szCs w:val="32"/>
          <w:lang w:val="en-US" w:eastAsia="zh-CN" w:bidi="ar-SA"/>
        </w:rPr>
        <w:t>住房保障（类）住房改革支出（款）住房公积金（项）：指反映行政事业单位按人力资源和社会保障部、财政部规定的基本工资和津贴补贴以及规定比例为职工缴纳住房公积金。</w:t>
      </w:r>
    </w:p>
    <w:p>
      <w:pPr>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eastAsia="仿宋_GB2312" w:cs="Times New Roman"/>
          <w:color w:val="auto"/>
          <w:kern w:val="2"/>
          <w:sz w:val="32"/>
          <w:szCs w:val="32"/>
          <w:lang w:val="en-US" w:eastAsia="zh-CN" w:bidi="ar-SA"/>
        </w:rPr>
        <w:t>9.</w:t>
      </w:r>
      <w:r>
        <w:rPr>
          <w:rFonts w:hint="eastAsia" w:ascii="仿宋_GB2312" w:hAnsi="Times New Roman" w:eastAsia="仿宋_GB2312" w:cs="Times New Roman"/>
          <w:color w:val="auto"/>
          <w:kern w:val="2"/>
          <w:sz w:val="32"/>
          <w:szCs w:val="32"/>
          <w:lang w:val="en-US" w:eastAsia="zh-CN" w:bidi="ar-SA"/>
        </w:rPr>
        <w:t>基本支出：指为保障机构正常运转、完成日常工作任务而发生的人员支出和公用支出。</w:t>
      </w:r>
    </w:p>
    <w:p>
      <w:pPr>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eastAsia="仿宋_GB2312" w:cs="Times New Roman"/>
          <w:color w:val="auto"/>
          <w:kern w:val="2"/>
          <w:sz w:val="32"/>
          <w:szCs w:val="32"/>
          <w:lang w:val="en-US" w:eastAsia="zh-CN" w:bidi="ar-SA"/>
        </w:rPr>
        <w:t>10.</w:t>
      </w:r>
      <w:r>
        <w:rPr>
          <w:rFonts w:hint="eastAsia" w:ascii="仿宋_GB2312" w:hAnsi="Times New Roman" w:eastAsia="仿宋_GB2312" w:cs="Times New Roman"/>
          <w:color w:val="auto"/>
          <w:kern w:val="2"/>
          <w:sz w:val="32"/>
          <w:szCs w:val="32"/>
          <w:lang w:val="en-US" w:eastAsia="zh-CN" w:bidi="ar-SA"/>
        </w:rPr>
        <w:t>项目支出：指在基本支出之外为完成特定行政任务和事业发展目标所发生的支出。</w:t>
      </w:r>
    </w:p>
    <w:p>
      <w:pPr>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eastAsia="仿宋_GB2312" w:cs="Times New Roman"/>
          <w:color w:val="auto"/>
          <w:kern w:val="2"/>
          <w:sz w:val="32"/>
          <w:szCs w:val="32"/>
          <w:lang w:val="en-US" w:eastAsia="zh-CN" w:bidi="ar-SA"/>
        </w:rPr>
        <w:t>11.</w:t>
      </w:r>
      <w:r>
        <w:rPr>
          <w:rFonts w:hint="eastAsia" w:ascii="仿宋_GB2312" w:hAnsi="Times New Roman" w:eastAsia="仿宋_GB2312" w:cs="Times New Roman"/>
          <w:color w:val="auto"/>
          <w:kern w:val="2"/>
          <w:sz w:val="32"/>
          <w:szCs w:val="32"/>
          <w:lang w:val="en-US" w:eastAsia="zh-CN" w:bidi="ar-SA"/>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keepNext w:val="0"/>
        <w:keepLines w:val="0"/>
        <w:pageBreakBefore w:val="0"/>
        <w:widowControl w:val="0"/>
        <w:numPr>
          <w:ilvl w:val="0"/>
          <w:numId w:val="0"/>
        </w:numPr>
        <w:kinsoku/>
        <w:wordWrap/>
        <w:overflowPunct/>
        <w:topLinePunct w:val="0"/>
        <w:bidi w:val="0"/>
        <w:snapToGrid/>
        <w:spacing w:line="560" w:lineRule="exact"/>
        <w:ind w:left="403" w:leftChars="0" w:right="0" w:rightChars="0" w:firstLine="640" w:firstLineChars="200"/>
        <w:jc w:val="both"/>
        <w:textAlignment w:val="auto"/>
        <w:rPr>
          <w:rFonts w:hint="eastAsia" w:ascii="仿宋_GB2312" w:hAnsi="仿宋_GB2312" w:eastAsia="仿宋_GB2312" w:cs="仿宋_GB2312"/>
          <w:b w:val="0"/>
          <w:bCs w:val="0"/>
          <w:color w:val="auto"/>
          <w:sz w:val="32"/>
          <w:szCs w:val="32"/>
        </w:rPr>
      </w:pPr>
    </w:p>
    <w:p>
      <w:pPr>
        <w:pStyle w:val="3"/>
        <w:keepNext/>
        <w:keepLines/>
        <w:pageBreakBefore w:val="0"/>
        <w:widowControl w:val="0"/>
        <w:kinsoku/>
        <w:wordWrap/>
        <w:overflowPunct/>
        <w:topLinePunct w:val="0"/>
        <w:autoSpaceDE/>
        <w:autoSpaceDN/>
        <w:bidi w:val="0"/>
        <w:adjustRightInd/>
        <w:snapToGrid/>
        <w:spacing w:before="0" w:after="0" w:line="576" w:lineRule="exact"/>
        <w:ind w:left="0" w:leftChars="0" w:firstLine="640" w:firstLineChars="200"/>
        <w:jc w:val="center"/>
        <w:textAlignment w:val="auto"/>
        <w:rPr>
          <w:rFonts w:hint="eastAsia" w:ascii="方正小标宋_GBK" w:hAnsi="方正小标宋_GBK" w:eastAsia="方正小标宋_GBK" w:cs="方正小标宋_GBK"/>
          <w:b w:val="0"/>
          <w:bCs/>
          <w:color w:val="auto"/>
          <w:kern w:val="44"/>
          <w:sz w:val="44"/>
          <w:szCs w:val="44"/>
          <w:highlight w:val="none"/>
          <w:lang w:val="en-US" w:eastAsia="zh-CN" w:bidi="ar-SA"/>
        </w:rPr>
      </w:pPr>
      <w:r>
        <w:rPr>
          <w:rFonts w:hint="eastAsia" w:ascii="仿宋_GB2312" w:hAnsi="仿宋_GB2312" w:eastAsia="仿宋_GB2312" w:cs="仿宋_GB2312"/>
          <w:b w:val="0"/>
          <w:bCs w:val="0"/>
          <w:color w:val="auto"/>
          <w:sz w:val="32"/>
          <w:szCs w:val="32"/>
        </w:rPr>
        <w:br w:type="page"/>
      </w:r>
      <w:bookmarkStart w:id="70" w:name="_Toc25230"/>
      <w:bookmarkStart w:id="71" w:name="_Toc15396614"/>
      <w:bookmarkStart w:id="72" w:name="_Toc19326"/>
      <w:r>
        <w:rPr>
          <w:rFonts w:hint="eastAsia" w:ascii="方正小标宋_GBK" w:hAnsi="方正小标宋_GBK" w:eastAsia="方正小标宋_GBK" w:cs="方正小标宋_GBK"/>
          <w:b w:val="0"/>
          <w:bCs/>
          <w:color w:val="auto"/>
          <w:kern w:val="44"/>
          <w:sz w:val="44"/>
          <w:szCs w:val="44"/>
          <w:highlight w:val="none"/>
          <w:lang w:val="en-US" w:eastAsia="zh-CN" w:bidi="ar-SA"/>
        </w:rPr>
        <w:t>第四</w:t>
      </w:r>
      <w:r>
        <w:rPr>
          <w:rFonts w:hint="eastAsia" w:ascii="方正小标宋_GBK" w:hAnsi="方正小标宋_GBK" w:eastAsia="方正小标宋_GBK" w:cs="方正小标宋_GBK"/>
          <w:b w:val="0"/>
          <w:color w:val="auto"/>
          <w:highlight w:val="none"/>
          <w:lang w:val="en-US" w:eastAsia="zh-CN"/>
        </w:rPr>
        <w:t xml:space="preserve">部分  </w:t>
      </w:r>
      <w:r>
        <w:rPr>
          <w:rFonts w:hint="eastAsia" w:ascii="方正小标宋_GBK" w:hAnsi="方正小标宋_GBK" w:eastAsia="方正小标宋_GBK" w:cs="方正小标宋_GBK"/>
          <w:b w:val="0"/>
          <w:bCs/>
          <w:color w:val="auto"/>
          <w:kern w:val="44"/>
          <w:sz w:val="44"/>
          <w:szCs w:val="44"/>
          <w:highlight w:val="none"/>
          <w:lang w:val="en-US" w:eastAsia="zh-CN" w:bidi="ar-SA"/>
        </w:rPr>
        <w:t>附件</w:t>
      </w:r>
      <w:bookmarkEnd w:id="70"/>
      <w:bookmarkEnd w:id="71"/>
      <w:bookmarkEnd w:id="72"/>
    </w:p>
    <w:p>
      <w:pPr>
        <w:pStyle w:val="2"/>
        <w:pageBreakBefore w:val="0"/>
        <w:widowControl w:val="0"/>
        <w:kinsoku/>
        <w:wordWrap/>
        <w:overflowPunct/>
        <w:topLinePunct w:val="0"/>
        <w:bidi w:val="0"/>
        <w:spacing w:beforeLines="0" w:line="576" w:lineRule="exact"/>
        <w:ind w:left="0" w:right="0" w:firstLine="0" w:firstLineChars="0"/>
        <w:jc w:val="both"/>
        <w:textAlignment w:val="auto"/>
        <w:rPr>
          <w:rFonts w:hint="eastAsia" w:ascii="黑体" w:hAnsi="黑体" w:eastAsia="黑体" w:cs="黑体"/>
          <w:color w:val="auto"/>
          <w:sz w:val="32"/>
          <w:szCs w:val="32"/>
          <w:shd w:val="clear" w:color="auto" w:fill="FFFFFF"/>
          <w:lang w:val="zh-CN"/>
        </w:rPr>
      </w:pPr>
    </w:p>
    <w:p>
      <w:pPr>
        <w:pageBreakBefore w:val="0"/>
        <w:widowControl w:val="0"/>
        <w:kinsoku/>
        <w:wordWrap/>
        <w:overflowPunct/>
        <w:topLinePunct w:val="0"/>
        <w:bidi w:val="0"/>
        <w:spacing w:line="576" w:lineRule="exact"/>
        <w:ind w:left="0" w:right="0" w:firstLine="0" w:firstLineChars="0"/>
        <w:jc w:val="center"/>
        <w:textAlignment w:val="auto"/>
        <w:rPr>
          <w:rFonts w:hint="eastAsia" w:ascii="方正小标宋_GBK" w:hAnsi="方正小标宋_GBK" w:eastAsia="方正小标宋_GBK" w:cs="方正小标宋_GBK"/>
          <w:color w:val="auto"/>
          <w:sz w:val="36"/>
          <w:szCs w:val="36"/>
        </w:rPr>
      </w:pPr>
    </w:p>
    <w:p>
      <w:pPr>
        <w:spacing w:line="600" w:lineRule="exact"/>
        <w:jc w:val="center"/>
        <w:outlineLvl w:val="1"/>
        <w:rPr>
          <w:rFonts w:hint="eastAsia" w:ascii="仿宋_GB2312" w:hAnsi="仿宋_GB2312" w:eastAsia="仿宋_GB2312" w:cs="仿宋_GB2312"/>
          <w:color w:val="auto"/>
          <w:kern w:val="0"/>
          <w:sz w:val="32"/>
          <w:szCs w:val="32"/>
          <w:highlight w:val="none"/>
          <w:lang w:val="en-US" w:eastAsia="zh-CN" w:bidi="ar-SA"/>
        </w:rPr>
      </w:pPr>
      <w:bookmarkStart w:id="73" w:name="_Toc9199"/>
      <w:bookmarkStart w:id="74" w:name="_Toc2928"/>
      <w:bookmarkStart w:id="75" w:name="_Toc3136"/>
      <w:bookmarkStart w:id="76" w:name="_Toc32746"/>
      <w:bookmarkStart w:id="77" w:name="_Toc15396618"/>
      <w:r>
        <w:rPr>
          <w:rFonts w:hint="eastAsia" w:ascii="仿宋_GB2312" w:hAnsi="仿宋_GB2312" w:eastAsia="仿宋_GB2312" w:cs="仿宋_GB2312"/>
          <w:color w:val="auto"/>
          <w:kern w:val="0"/>
          <w:sz w:val="32"/>
          <w:szCs w:val="32"/>
          <w:highlight w:val="none"/>
          <w:lang w:val="en-US" w:eastAsia="zh-CN" w:bidi="ar-SA"/>
        </w:rPr>
        <w:t>部门预算项目支出绩效自评表（2024年度）</w:t>
      </w:r>
      <w:bookmarkEnd w:id="73"/>
      <w:bookmarkEnd w:id="74"/>
      <w:bookmarkEnd w:id="75"/>
      <w:bookmarkEnd w:id="76"/>
    </w:p>
    <w:p>
      <w:pPr>
        <w:spacing w:line="600" w:lineRule="exact"/>
        <w:jc w:val="left"/>
        <w:outlineLvl w:val="9"/>
        <w:rPr>
          <w:rFonts w:hint="eastAsia" w:ascii="仿宋_GB2312" w:hAnsi="仿宋_GB2312" w:eastAsia="仿宋_GB2312" w:cs="仿宋_GB2312"/>
          <w:color w:val="auto"/>
          <w:kern w:val="0"/>
          <w:sz w:val="32"/>
          <w:szCs w:val="32"/>
          <w:highlight w:val="none"/>
          <w:lang w:val="en-US" w:eastAsia="zh-CN" w:bidi="ar-SA"/>
        </w:rPr>
      </w:pPr>
    </w:p>
    <w:p>
      <w:pPr>
        <w:pStyle w:val="2"/>
        <w:rPr>
          <w:rFonts w:hint="eastAsia" w:ascii="仿宋_GB2312" w:hAnsi="仿宋_GB2312" w:eastAsia="仿宋_GB2312" w:cs="仿宋_GB2312"/>
          <w:color w:val="auto"/>
          <w:kern w:val="0"/>
          <w:sz w:val="32"/>
          <w:szCs w:val="32"/>
          <w:highlight w:val="none"/>
          <w:lang w:val="en-US" w:eastAsia="zh-CN" w:bidi="ar-SA"/>
        </w:rPr>
      </w:pPr>
    </w:p>
    <w:p>
      <w:pPr>
        <w:pStyle w:val="9"/>
        <w:rPr>
          <w:rFonts w:hint="eastAsia" w:ascii="仿宋_GB2312" w:hAnsi="仿宋_GB2312" w:eastAsia="仿宋_GB2312" w:cs="仿宋_GB2312"/>
          <w:color w:val="auto"/>
          <w:sz w:val="32"/>
          <w:szCs w:val="32"/>
        </w:rPr>
      </w:pPr>
    </w:p>
    <w:p>
      <w:pPr>
        <w:pStyle w:val="9"/>
        <w:rPr>
          <w:rFonts w:hint="eastAsia" w:ascii="仿宋_GB2312" w:hAnsi="仿宋_GB2312" w:eastAsia="仿宋_GB2312" w:cs="仿宋_GB2312"/>
          <w:color w:val="auto"/>
          <w:sz w:val="32"/>
          <w:szCs w:val="32"/>
        </w:rPr>
      </w:pPr>
    </w:p>
    <w:p>
      <w:pPr>
        <w:pStyle w:val="9"/>
        <w:rPr>
          <w:rFonts w:hint="eastAsia" w:ascii="仿宋_GB2312" w:hAnsi="仿宋_GB2312" w:eastAsia="仿宋_GB2312" w:cs="仿宋_GB2312"/>
          <w:color w:val="auto"/>
          <w:sz w:val="32"/>
          <w:szCs w:val="32"/>
        </w:rPr>
      </w:pPr>
    </w:p>
    <w:p>
      <w:pPr>
        <w:pStyle w:val="9"/>
        <w:rPr>
          <w:rFonts w:hint="eastAsia" w:ascii="仿宋_GB2312" w:hAnsi="仿宋_GB2312" w:eastAsia="仿宋_GB2312" w:cs="仿宋_GB2312"/>
          <w:color w:val="auto"/>
          <w:sz w:val="32"/>
          <w:szCs w:val="32"/>
        </w:rPr>
      </w:pPr>
    </w:p>
    <w:p>
      <w:pPr>
        <w:pStyle w:val="9"/>
        <w:rPr>
          <w:rFonts w:hint="eastAsia" w:ascii="仿宋_GB2312" w:hAnsi="仿宋_GB2312" w:eastAsia="仿宋_GB2312" w:cs="仿宋_GB2312"/>
          <w:color w:val="auto"/>
          <w:sz w:val="32"/>
          <w:szCs w:val="32"/>
        </w:rPr>
      </w:pPr>
    </w:p>
    <w:p>
      <w:pPr>
        <w:pStyle w:val="9"/>
        <w:rPr>
          <w:rFonts w:hint="eastAsia" w:ascii="仿宋_GB2312" w:hAnsi="仿宋_GB2312" w:eastAsia="仿宋_GB2312" w:cs="仿宋_GB2312"/>
          <w:color w:val="auto"/>
          <w:sz w:val="32"/>
          <w:szCs w:val="32"/>
        </w:rPr>
      </w:pPr>
    </w:p>
    <w:p>
      <w:pPr>
        <w:pStyle w:val="9"/>
        <w:rPr>
          <w:rFonts w:hint="eastAsia" w:ascii="仿宋_GB2312" w:hAnsi="仿宋_GB2312" w:eastAsia="仿宋_GB2312" w:cs="仿宋_GB2312"/>
          <w:color w:val="auto"/>
          <w:sz w:val="32"/>
          <w:szCs w:val="32"/>
        </w:rPr>
      </w:pPr>
    </w:p>
    <w:p>
      <w:pPr>
        <w:pStyle w:val="9"/>
        <w:rPr>
          <w:rFonts w:hint="eastAsia" w:ascii="仿宋_GB2312" w:hAnsi="仿宋_GB2312" w:eastAsia="仿宋_GB2312" w:cs="仿宋_GB2312"/>
          <w:color w:val="auto"/>
          <w:sz w:val="32"/>
          <w:szCs w:val="32"/>
        </w:rPr>
      </w:pPr>
    </w:p>
    <w:p>
      <w:pPr>
        <w:pStyle w:val="9"/>
        <w:rPr>
          <w:rFonts w:hint="eastAsia" w:ascii="仿宋_GB2312" w:hAnsi="仿宋_GB2312" w:eastAsia="仿宋_GB2312" w:cs="仿宋_GB2312"/>
          <w:color w:val="auto"/>
          <w:sz w:val="32"/>
          <w:szCs w:val="32"/>
        </w:rPr>
      </w:pPr>
    </w:p>
    <w:p>
      <w:pPr>
        <w:pStyle w:val="9"/>
        <w:rPr>
          <w:rFonts w:hint="eastAsia" w:ascii="仿宋_GB2312" w:hAnsi="仿宋_GB2312" w:eastAsia="仿宋_GB2312" w:cs="仿宋_GB2312"/>
          <w:color w:val="auto"/>
          <w:sz w:val="32"/>
          <w:szCs w:val="32"/>
        </w:rPr>
      </w:pPr>
    </w:p>
    <w:p>
      <w:pPr>
        <w:pStyle w:val="9"/>
        <w:rPr>
          <w:rFonts w:hint="eastAsia" w:ascii="仿宋_GB2312" w:hAnsi="仿宋_GB2312" w:eastAsia="仿宋_GB2312" w:cs="仿宋_GB2312"/>
          <w:color w:val="auto"/>
          <w:sz w:val="32"/>
          <w:szCs w:val="32"/>
        </w:rPr>
      </w:pPr>
    </w:p>
    <w:p>
      <w:pPr>
        <w:pStyle w:val="9"/>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pStyle w:val="3"/>
        <w:keepNext/>
        <w:keepLines/>
        <w:pageBreakBefore w:val="0"/>
        <w:widowControl w:val="0"/>
        <w:kinsoku/>
        <w:wordWrap/>
        <w:overflowPunct/>
        <w:topLinePunct w:val="0"/>
        <w:autoSpaceDE/>
        <w:autoSpaceDN/>
        <w:bidi w:val="0"/>
        <w:adjustRightInd/>
        <w:snapToGrid/>
        <w:spacing w:before="0" w:after="0" w:line="576" w:lineRule="exact"/>
        <w:ind w:left="0" w:leftChars="0" w:firstLine="0" w:firstLineChars="0"/>
        <w:jc w:val="center"/>
        <w:textAlignment w:val="auto"/>
        <w:rPr>
          <w:rFonts w:hint="eastAsia" w:ascii="方正小标宋_GBK" w:hAnsi="方正小标宋_GBK" w:eastAsia="方正小标宋_GBK" w:cs="方正小标宋_GBK"/>
          <w:b w:val="0"/>
          <w:color w:val="auto"/>
          <w:highlight w:val="none"/>
          <w:lang w:val="en-US" w:eastAsia="zh-CN"/>
        </w:rPr>
      </w:pPr>
      <w:bookmarkStart w:id="78" w:name="_Toc20963"/>
      <w:bookmarkStart w:id="79" w:name="_Toc28988"/>
      <w:r>
        <w:rPr>
          <w:rFonts w:hint="eastAsia" w:ascii="方正小标宋_GBK" w:hAnsi="方正小标宋_GBK" w:eastAsia="方正小标宋_GBK" w:cs="方正小标宋_GBK"/>
          <w:b w:val="0"/>
          <w:color w:val="auto"/>
          <w:highlight w:val="none"/>
          <w:lang w:val="en-US" w:eastAsia="zh-CN"/>
        </w:rPr>
        <w:t>第五部分  附表</w:t>
      </w:r>
      <w:bookmarkEnd w:id="69"/>
      <w:bookmarkEnd w:id="77"/>
      <w:bookmarkEnd w:id="78"/>
      <w:bookmarkEnd w:id="79"/>
      <w:bookmarkStart w:id="80" w:name="_Toc15396619"/>
    </w:p>
    <w:p>
      <w:pPr>
        <w:pStyle w:val="14"/>
        <w:rPr>
          <w:color w:val="auto"/>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kern w:val="0"/>
          <w:sz w:val="32"/>
          <w:szCs w:val="32"/>
          <w:highlight w:val="none"/>
          <w:lang w:val="en-US" w:eastAsia="zh-CN" w:bidi="ar-SA"/>
        </w:rPr>
      </w:pPr>
      <w:bookmarkStart w:id="81" w:name="_Toc17628"/>
      <w:bookmarkStart w:id="82" w:name="_Toc31620"/>
      <w:r>
        <w:rPr>
          <w:rFonts w:hint="eastAsia" w:ascii="仿宋_GB2312" w:hAnsi="仿宋_GB2312" w:eastAsia="仿宋_GB2312" w:cs="仿宋_GB2312"/>
          <w:color w:val="auto"/>
          <w:kern w:val="0"/>
          <w:sz w:val="32"/>
          <w:szCs w:val="32"/>
          <w:highlight w:val="none"/>
          <w:lang w:val="en-US" w:eastAsia="zh-CN" w:bidi="ar-SA"/>
        </w:rPr>
        <w:t>一、收入支出决算总表</w:t>
      </w:r>
      <w:bookmarkEnd w:id="80"/>
      <w:bookmarkEnd w:id="81"/>
      <w:bookmarkEnd w:id="8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kern w:val="0"/>
          <w:sz w:val="32"/>
          <w:szCs w:val="32"/>
          <w:highlight w:val="none"/>
          <w:lang w:val="en-US" w:eastAsia="zh-CN" w:bidi="ar-SA"/>
        </w:rPr>
      </w:pPr>
      <w:bookmarkStart w:id="83" w:name="_Toc19811"/>
      <w:bookmarkStart w:id="84" w:name="_Toc21156"/>
      <w:r>
        <w:rPr>
          <w:rFonts w:hint="eastAsia" w:ascii="仿宋_GB2312" w:hAnsi="仿宋_GB2312" w:eastAsia="仿宋_GB2312" w:cs="仿宋_GB2312"/>
          <w:color w:val="auto"/>
          <w:kern w:val="0"/>
          <w:sz w:val="32"/>
          <w:szCs w:val="32"/>
          <w:highlight w:val="none"/>
          <w:lang w:val="en-US" w:eastAsia="zh-CN" w:bidi="ar-SA"/>
        </w:rPr>
        <w:t>二、收入决算表</w:t>
      </w:r>
      <w:bookmarkEnd w:id="83"/>
    </w:p>
    <w:bookmarkEnd w:id="84"/>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kern w:val="0"/>
          <w:sz w:val="32"/>
          <w:szCs w:val="32"/>
          <w:highlight w:val="none"/>
          <w:lang w:val="en-US" w:eastAsia="zh-CN" w:bidi="ar-SA"/>
        </w:rPr>
      </w:pPr>
      <w:bookmarkStart w:id="85" w:name="_Toc18347"/>
      <w:bookmarkStart w:id="86" w:name="_Toc17992"/>
      <w:r>
        <w:rPr>
          <w:rFonts w:hint="eastAsia" w:ascii="仿宋_GB2312" w:hAnsi="仿宋_GB2312" w:eastAsia="仿宋_GB2312" w:cs="仿宋_GB2312"/>
          <w:color w:val="auto"/>
          <w:kern w:val="0"/>
          <w:sz w:val="32"/>
          <w:szCs w:val="32"/>
          <w:highlight w:val="none"/>
          <w:lang w:val="en-US" w:eastAsia="zh-CN" w:bidi="ar-SA"/>
        </w:rPr>
        <w:t>三、支出决算表</w:t>
      </w:r>
      <w:bookmarkEnd w:id="85"/>
    </w:p>
    <w:bookmarkEnd w:id="86"/>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kern w:val="0"/>
          <w:sz w:val="32"/>
          <w:szCs w:val="32"/>
          <w:highlight w:val="none"/>
          <w:lang w:val="en-US" w:eastAsia="zh-CN" w:bidi="ar-SA"/>
        </w:rPr>
      </w:pPr>
      <w:bookmarkStart w:id="87" w:name="_Toc13479"/>
      <w:bookmarkStart w:id="88" w:name="_Toc12166"/>
      <w:r>
        <w:rPr>
          <w:rFonts w:hint="eastAsia" w:ascii="仿宋_GB2312" w:hAnsi="仿宋_GB2312" w:eastAsia="仿宋_GB2312" w:cs="仿宋_GB2312"/>
          <w:color w:val="auto"/>
          <w:kern w:val="0"/>
          <w:sz w:val="32"/>
          <w:szCs w:val="32"/>
          <w:highlight w:val="none"/>
          <w:lang w:val="en-US" w:eastAsia="zh-CN" w:bidi="ar-SA"/>
        </w:rPr>
        <w:t>四、财政拨款收入支出决算总表</w:t>
      </w:r>
      <w:bookmarkEnd w:id="87"/>
    </w:p>
    <w:bookmarkEnd w:id="88"/>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kern w:val="0"/>
          <w:sz w:val="32"/>
          <w:szCs w:val="32"/>
          <w:highlight w:val="none"/>
          <w:lang w:val="en-US" w:eastAsia="zh-CN" w:bidi="ar-SA"/>
        </w:rPr>
      </w:pPr>
      <w:bookmarkStart w:id="89" w:name="_Toc21483"/>
      <w:bookmarkStart w:id="90" w:name="_Toc22974"/>
      <w:r>
        <w:rPr>
          <w:rFonts w:hint="eastAsia" w:ascii="仿宋_GB2312" w:hAnsi="仿宋_GB2312" w:eastAsia="仿宋_GB2312" w:cs="仿宋_GB2312"/>
          <w:color w:val="auto"/>
          <w:kern w:val="0"/>
          <w:sz w:val="32"/>
          <w:szCs w:val="32"/>
          <w:highlight w:val="none"/>
          <w:lang w:val="en-US" w:eastAsia="zh-CN" w:bidi="ar-SA"/>
        </w:rPr>
        <w:t>五、财政拨款支出决算明细表</w:t>
      </w:r>
      <w:bookmarkEnd w:id="89"/>
    </w:p>
    <w:bookmarkEnd w:id="90"/>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kern w:val="0"/>
          <w:sz w:val="32"/>
          <w:szCs w:val="32"/>
          <w:highlight w:val="none"/>
          <w:lang w:val="en-US" w:eastAsia="zh-CN" w:bidi="ar-SA"/>
        </w:rPr>
      </w:pPr>
      <w:bookmarkStart w:id="91" w:name="_Toc5734"/>
      <w:bookmarkStart w:id="92" w:name="_Toc20975"/>
      <w:r>
        <w:rPr>
          <w:rFonts w:hint="eastAsia" w:ascii="仿宋_GB2312" w:hAnsi="仿宋_GB2312" w:eastAsia="仿宋_GB2312" w:cs="仿宋_GB2312"/>
          <w:color w:val="auto"/>
          <w:kern w:val="0"/>
          <w:sz w:val="32"/>
          <w:szCs w:val="32"/>
          <w:highlight w:val="none"/>
          <w:lang w:val="en-US" w:eastAsia="zh-CN" w:bidi="ar-SA"/>
        </w:rPr>
        <w:t>六、一般公共预算财政拨款支出决算表</w:t>
      </w:r>
      <w:bookmarkEnd w:id="91"/>
    </w:p>
    <w:bookmarkEnd w:id="92"/>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kern w:val="0"/>
          <w:sz w:val="32"/>
          <w:szCs w:val="32"/>
          <w:highlight w:val="none"/>
          <w:lang w:val="en-US" w:eastAsia="zh-CN" w:bidi="ar-SA"/>
        </w:rPr>
      </w:pPr>
      <w:bookmarkStart w:id="93" w:name="_Toc13646"/>
      <w:bookmarkStart w:id="94" w:name="_Toc19138"/>
      <w:r>
        <w:rPr>
          <w:rFonts w:hint="eastAsia" w:ascii="仿宋_GB2312" w:hAnsi="仿宋_GB2312" w:eastAsia="仿宋_GB2312" w:cs="仿宋_GB2312"/>
          <w:color w:val="auto"/>
          <w:kern w:val="0"/>
          <w:sz w:val="32"/>
          <w:szCs w:val="32"/>
          <w:highlight w:val="none"/>
          <w:lang w:val="en-US" w:eastAsia="zh-CN" w:bidi="ar-SA"/>
        </w:rPr>
        <w:t>七、一般公共预算财政拨款支出决算明细表</w:t>
      </w:r>
      <w:bookmarkEnd w:id="93"/>
    </w:p>
    <w:bookmarkEnd w:id="94"/>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kern w:val="0"/>
          <w:sz w:val="32"/>
          <w:szCs w:val="32"/>
          <w:highlight w:val="none"/>
          <w:lang w:val="en-US" w:eastAsia="zh-CN" w:bidi="ar-SA"/>
        </w:rPr>
      </w:pPr>
      <w:bookmarkStart w:id="95" w:name="_Toc4094"/>
      <w:bookmarkStart w:id="96" w:name="_Toc10822"/>
      <w:r>
        <w:rPr>
          <w:rFonts w:hint="eastAsia" w:ascii="仿宋_GB2312" w:hAnsi="仿宋_GB2312" w:eastAsia="仿宋_GB2312" w:cs="仿宋_GB2312"/>
          <w:color w:val="auto"/>
          <w:kern w:val="0"/>
          <w:sz w:val="32"/>
          <w:szCs w:val="32"/>
          <w:highlight w:val="none"/>
          <w:lang w:val="en-US" w:eastAsia="zh-CN" w:bidi="ar-SA"/>
        </w:rPr>
        <w:t>八、一般公共预算财政拨款基本支出决算表</w:t>
      </w:r>
      <w:bookmarkEnd w:id="95"/>
    </w:p>
    <w:bookmarkEnd w:id="96"/>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kern w:val="0"/>
          <w:sz w:val="32"/>
          <w:szCs w:val="32"/>
          <w:highlight w:val="none"/>
          <w:lang w:val="en-US" w:eastAsia="zh-CN" w:bidi="ar-SA"/>
        </w:rPr>
      </w:pPr>
      <w:bookmarkStart w:id="97" w:name="_Toc23140"/>
      <w:bookmarkStart w:id="98" w:name="_Toc9008"/>
      <w:r>
        <w:rPr>
          <w:rFonts w:hint="eastAsia" w:ascii="仿宋_GB2312" w:hAnsi="仿宋_GB2312" w:eastAsia="仿宋_GB2312" w:cs="仿宋_GB2312"/>
          <w:color w:val="auto"/>
          <w:kern w:val="0"/>
          <w:sz w:val="32"/>
          <w:szCs w:val="32"/>
          <w:highlight w:val="none"/>
          <w:lang w:val="en-US" w:eastAsia="zh-CN" w:bidi="ar-SA"/>
        </w:rPr>
        <w:t>九、一般公共预算财政拨款项目支出决算表</w:t>
      </w:r>
      <w:bookmarkEnd w:id="97"/>
    </w:p>
    <w:bookmarkEnd w:id="98"/>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kern w:val="0"/>
          <w:sz w:val="32"/>
          <w:szCs w:val="32"/>
          <w:highlight w:val="none"/>
          <w:lang w:val="en-US" w:eastAsia="zh-CN" w:bidi="ar-SA"/>
        </w:rPr>
      </w:pPr>
      <w:bookmarkStart w:id="99" w:name="_Toc10687"/>
      <w:bookmarkStart w:id="100" w:name="_Toc20931"/>
      <w:r>
        <w:rPr>
          <w:rFonts w:hint="eastAsia" w:ascii="仿宋_GB2312" w:hAnsi="仿宋_GB2312" w:eastAsia="仿宋_GB2312" w:cs="仿宋_GB2312"/>
          <w:color w:val="auto"/>
          <w:kern w:val="0"/>
          <w:sz w:val="32"/>
          <w:szCs w:val="32"/>
          <w:highlight w:val="none"/>
          <w:lang w:val="en-US" w:eastAsia="zh-CN" w:bidi="ar-SA"/>
        </w:rPr>
        <w:t>十、政府性基金预算财政拨款收入支出决算表</w:t>
      </w:r>
      <w:bookmarkEnd w:id="99"/>
    </w:p>
    <w:bookmarkEnd w:id="100"/>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kern w:val="0"/>
          <w:sz w:val="32"/>
          <w:szCs w:val="32"/>
          <w:highlight w:val="none"/>
          <w:lang w:val="en-US" w:eastAsia="zh-CN" w:bidi="ar-SA"/>
        </w:rPr>
      </w:pPr>
      <w:bookmarkStart w:id="101" w:name="_Toc13883"/>
      <w:bookmarkStart w:id="102" w:name="_Toc6912"/>
      <w:r>
        <w:rPr>
          <w:rFonts w:hint="eastAsia" w:ascii="仿宋_GB2312" w:hAnsi="仿宋_GB2312" w:eastAsia="仿宋_GB2312" w:cs="仿宋_GB2312"/>
          <w:color w:val="auto"/>
          <w:kern w:val="0"/>
          <w:sz w:val="32"/>
          <w:szCs w:val="32"/>
          <w:highlight w:val="none"/>
          <w:lang w:val="en-US" w:eastAsia="zh-CN" w:bidi="ar-SA"/>
        </w:rPr>
        <w:t>十一、国有资本经营预算财政拨款收入支出决算表</w:t>
      </w:r>
      <w:bookmarkEnd w:id="101"/>
    </w:p>
    <w:bookmarkEnd w:id="102"/>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kern w:val="0"/>
          <w:sz w:val="32"/>
          <w:szCs w:val="32"/>
          <w:highlight w:val="none"/>
          <w:lang w:val="en-US" w:eastAsia="zh-CN" w:bidi="ar-SA"/>
        </w:rPr>
      </w:pPr>
      <w:bookmarkStart w:id="103" w:name="_Toc20111"/>
      <w:bookmarkStart w:id="104" w:name="_Toc7576"/>
      <w:r>
        <w:rPr>
          <w:rFonts w:hint="eastAsia" w:ascii="仿宋_GB2312" w:hAnsi="仿宋_GB2312" w:eastAsia="仿宋_GB2312" w:cs="仿宋_GB2312"/>
          <w:color w:val="auto"/>
          <w:kern w:val="0"/>
          <w:sz w:val="32"/>
          <w:szCs w:val="32"/>
          <w:highlight w:val="none"/>
          <w:lang w:val="en-US" w:eastAsia="zh-CN" w:bidi="ar-SA"/>
        </w:rPr>
        <w:t>十二、国有资本经营预算财政拨款支出决算表</w:t>
      </w:r>
      <w:bookmarkEnd w:id="103"/>
    </w:p>
    <w:bookmarkEnd w:id="104"/>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kern w:val="0"/>
          <w:sz w:val="32"/>
          <w:szCs w:val="32"/>
          <w:highlight w:val="none"/>
          <w:lang w:val="en-US" w:eastAsia="zh-CN" w:bidi="ar-SA"/>
        </w:rPr>
      </w:pPr>
      <w:bookmarkStart w:id="105" w:name="_Toc997"/>
      <w:bookmarkStart w:id="106" w:name="_Toc9043"/>
      <w:r>
        <w:rPr>
          <w:rFonts w:hint="eastAsia" w:ascii="仿宋_GB2312" w:hAnsi="仿宋_GB2312" w:eastAsia="仿宋_GB2312" w:cs="仿宋_GB2312"/>
          <w:color w:val="auto"/>
          <w:kern w:val="0"/>
          <w:sz w:val="32"/>
          <w:szCs w:val="32"/>
          <w:highlight w:val="none"/>
          <w:lang w:val="en-US" w:eastAsia="zh-CN" w:bidi="ar-SA"/>
        </w:rPr>
        <w:t>十三、财政拨款“三公”经费支出决算表</w:t>
      </w:r>
      <w:bookmarkEnd w:id="105"/>
    </w:p>
    <w:bookmarkEnd w:id="106"/>
    <w:sectPr>
      <w:footerReference r:id="rId4" w:type="default"/>
      <w:pgSz w:w="11906" w:h="16838"/>
      <w:pgMar w:top="2098" w:right="1474" w:bottom="1984" w:left="1587" w:header="851" w:footer="1559"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172A27"/>
    <w:rsid w:val="000222C6"/>
    <w:rsid w:val="0002549F"/>
    <w:rsid w:val="000468DB"/>
    <w:rsid w:val="0006487A"/>
    <w:rsid w:val="00065F8F"/>
    <w:rsid w:val="00070A43"/>
    <w:rsid w:val="000768F2"/>
    <w:rsid w:val="0009184B"/>
    <w:rsid w:val="00094236"/>
    <w:rsid w:val="00095050"/>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0EAF"/>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347E2"/>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436F"/>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58D6"/>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3BB0"/>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50CDF"/>
    <w:rsid w:val="00F602DF"/>
    <w:rsid w:val="00F754A1"/>
    <w:rsid w:val="00F81FD9"/>
    <w:rsid w:val="00F841AA"/>
    <w:rsid w:val="00F84A94"/>
    <w:rsid w:val="00F87E96"/>
    <w:rsid w:val="00FA23E8"/>
    <w:rsid w:val="00FD3CC1"/>
    <w:rsid w:val="00FF1E02"/>
    <w:rsid w:val="00FF30B4"/>
    <w:rsid w:val="013E50E2"/>
    <w:rsid w:val="02C46466"/>
    <w:rsid w:val="033308D5"/>
    <w:rsid w:val="03A04752"/>
    <w:rsid w:val="07FF8F32"/>
    <w:rsid w:val="09267C87"/>
    <w:rsid w:val="093A184A"/>
    <w:rsid w:val="0A2032A3"/>
    <w:rsid w:val="0B8A37D8"/>
    <w:rsid w:val="0C5027C1"/>
    <w:rsid w:val="10154878"/>
    <w:rsid w:val="10C055FF"/>
    <w:rsid w:val="118107EC"/>
    <w:rsid w:val="11DD6519"/>
    <w:rsid w:val="128F1FA8"/>
    <w:rsid w:val="16321CA0"/>
    <w:rsid w:val="16BB723D"/>
    <w:rsid w:val="17297CE3"/>
    <w:rsid w:val="18015F3F"/>
    <w:rsid w:val="188F365D"/>
    <w:rsid w:val="197A7DA1"/>
    <w:rsid w:val="1AD33B7B"/>
    <w:rsid w:val="1BA97497"/>
    <w:rsid w:val="1BE8440E"/>
    <w:rsid w:val="1CCE660E"/>
    <w:rsid w:val="1D155CEE"/>
    <w:rsid w:val="1EF40970"/>
    <w:rsid w:val="1F67BB88"/>
    <w:rsid w:val="1FEA3DD3"/>
    <w:rsid w:val="20F57F95"/>
    <w:rsid w:val="240371BF"/>
    <w:rsid w:val="243279D1"/>
    <w:rsid w:val="252E0CE2"/>
    <w:rsid w:val="25770175"/>
    <w:rsid w:val="25C741E6"/>
    <w:rsid w:val="27842671"/>
    <w:rsid w:val="29FD04D3"/>
    <w:rsid w:val="29FD282F"/>
    <w:rsid w:val="2ABE7A3E"/>
    <w:rsid w:val="2B4C0D09"/>
    <w:rsid w:val="2BE7C598"/>
    <w:rsid w:val="2D6009A2"/>
    <w:rsid w:val="2DFE2AF2"/>
    <w:rsid w:val="2EFA178C"/>
    <w:rsid w:val="30B46D73"/>
    <w:rsid w:val="31322DBE"/>
    <w:rsid w:val="317F000C"/>
    <w:rsid w:val="319F7F4E"/>
    <w:rsid w:val="3434719C"/>
    <w:rsid w:val="35134A0C"/>
    <w:rsid w:val="356B9E1F"/>
    <w:rsid w:val="371FE82E"/>
    <w:rsid w:val="386A72E1"/>
    <w:rsid w:val="399F434D"/>
    <w:rsid w:val="39AE70AB"/>
    <w:rsid w:val="3B0F2544"/>
    <w:rsid w:val="3B586984"/>
    <w:rsid w:val="3C0C0783"/>
    <w:rsid w:val="3CCAAF3B"/>
    <w:rsid w:val="3F795B0E"/>
    <w:rsid w:val="3F9F3A96"/>
    <w:rsid w:val="401F7E48"/>
    <w:rsid w:val="40350D30"/>
    <w:rsid w:val="41215ADF"/>
    <w:rsid w:val="41876D06"/>
    <w:rsid w:val="425E25FE"/>
    <w:rsid w:val="463D2CCF"/>
    <w:rsid w:val="46A43EC2"/>
    <w:rsid w:val="46DE39E7"/>
    <w:rsid w:val="491C608F"/>
    <w:rsid w:val="493C27E9"/>
    <w:rsid w:val="496F39ED"/>
    <w:rsid w:val="49FF41D3"/>
    <w:rsid w:val="4A185DC8"/>
    <w:rsid w:val="4B295AB3"/>
    <w:rsid w:val="4BE068DB"/>
    <w:rsid w:val="4BEB8525"/>
    <w:rsid w:val="4BF6002B"/>
    <w:rsid w:val="4C7D77B7"/>
    <w:rsid w:val="4ECE2238"/>
    <w:rsid w:val="4F0B3776"/>
    <w:rsid w:val="50903205"/>
    <w:rsid w:val="516F0562"/>
    <w:rsid w:val="5196408D"/>
    <w:rsid w:val="51DB4B86"/>
    <w:rsid w:val="51F55903"/>
    <w:rsid w:val="54406A2F"/>
    <w:rsid w:val="55333C3E"/>
    <w:rsid w:val="56215030"/>
    <w:rsid w:val="56660C21"/>
    <w:rsid w:val="58312DDA"/>
    <w:rsid w:val="591B75C2"/>
    <w:rsid w:val="5AF6E6DD"/>
    <w:rsid w:val="5D1FB36F"/>
    <w:rsid w:val="5DB9675E"/>
    <w:rsid w:val="5DDFA015"/>
    <w:rsid w:val="5EDF6E2A"/>
    <w:rsid w:val="5F59EA40"/>
    <w:rsid w:val="5F7F9A68"/>
    <w:rsid w:val="613746B8"/>
    <w:rsid w:val="61D45C65"/>
    <w:rsid w:val="64622266"/>
    <w:rsid w:val="64CA39A1"/>
    <w:rsid w:val="65052EF2"/>
    <w:rsid w:val="66A1350B"/>
    <w:rsid w:val="67E6C563"/>
    <w:rsid w:val="68A6351C"/>
    <w:rsid w:val="69AD3941"/>
    <w:rsid w:val="6BE5C713"/>
    <w:rsid w:val="6C4A05C8"/>
    <w:rsid w:val="6D195FA7"/>
    <w:rsid w:val="6D7F8892"/>
    <w:rsid w:val="6E4709D1"/>
    <w:rsid w:val="6EF70EE2"/>
    <w:rsid w:val="6F722E40"/>
    <w:rsid w:val="6F9FACD4"/>
    <w:rsid w:val="6FCA4990"/>
    <w:rsid w:val="6FFFE176"/>
    <w:rsid w:val="70AD3C34"/>
    <w:rsid w:val="72734D90"/>
    <w:rsid w:val="72E01A57"/>
    <w:rsid w:val="733FE794"/>
    <w:rsid w:val="757FD089"/>
    <w:rsid w:val="75F75951"/>
    <w:rsid w:val="773D4264"/>
    <w:rsid w:val="78FB5F09"/>
    <w:rsid w:val="79AE02B1"/>
    <w:rsid w:val="79E7B28D"/>
    <w:rsid w:val="7A6F97CB"/>
    <w:rsid w:val="7AF7F523"/>
    <w:rsid w:val="7AFA3931"/>
    <w:rsid w:val="7B7B7596"/>
    <w:rsid w:val="7BBADB53"/>
    <w:rsid w:val="7BFC04B5"/>
    <w:rsid w:val="7C775BAB"/>
    <w:rsid w:val="7C7F533B"/>
    <w:rsid w:val="7D5F88DB"/>
    <w:rsid w:val="7DE35785"/>
    <w:rsid w:val="7E3B3840"/>
    <w:rsid w:val="7E9F7B57"/>
    <w:rsid w:val="7EF75D58"/>
    <w:rsid w:val="7F9F20EE"/>
    <w:rsid w:val="7FDF0E84"/>
    <w:rsid w:val="7FE231CE"/>
    <w:rsid w:val="7FEF6E00"/>
    <w:rsid w:val="9E3A10E2"/>
    <w:rsid w:val="A9BA607B"/>
    <w:rsid w:val="A9DFE2C9"/>
    <w:rsid w:val="AD777FEB"/>
    <w:rsid w:val="B7FE5479"/>
    <w:rsid w:val="B9734D1F"/>
    <w:rsid w:val="BB7602DE"/>
    <w:rsid w:val="BD9FF6A8"/>
    <w:rsid w:val="BEBF9D10"/>
    <w:rsid w:val="BEC98B1D"/>
    <w:rsid w:val="BFE67050"/>
    <w:rsid w:val="BFFD11B8"/>
    <w:rsid w:val="BFFF9241"/>
    <w:rsid w:val="D7BED59B"/>
    <w:rsid w:val="D7FD5077"/>
    <w:rsid w:val="DEED8122"/>
    <w:rsid w:val="DFBED8B5"/>
    <w:rsid w:val="E7F749C4"/>
    <w:rsid w:val="E7FB5B88"/>
    <w:rsid w:val="ECB96F8D"/>
    <w:rsid w:val="EF6BACCC"/>
    <w:rsid w:val="EFDFA2D4"/>
    <w:rsid w:val="F23FD9B1"/>
    <w:rsid w:val="F2E1F9D4"/>
    <w:rsid w:val="F3D82795"/>
    <w:rsid w:val="F4CF6D64"/>
    <w:rsid w:val="F6FE144D"/>
    <w:rsid w:val="F7880819"/>
    <w:rsid w:val="F7BA3755"/>
    <w:rsid w:val="F7DF2350"/>
    <w:rsid w:val="F7FE2FEB"/>
    <w:rsid w:val="FAFFC5A1"/>
    <w:rsid w:val="FBCD4D2A"/>
    <w:rsid w:val="FBEF0FB9"/>
    <w:rsid w:val="FC3F751E"/>
    <w:rsid w:val="FDD565B0"/>
    <w:rsid w:val="FEFB66E3"/>
    <w:rsid w:val="FF56BED4"/>
    <w:rsid w:val="FF6DF58E"/>
    <w:rsid w:val="FFAF0C26"/>
    <w:rsid w:val="FFFFD66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8"/>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420" w:leftChars="200"/>
    </w:pPr>
    <w:rPr>
      <w:rFonts w:cs="Calibri"/>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1"/>
    <w:semiHidden/>
    <w:unhideWhenUsed/>
    <w:qFormat/>
    <w:uiPriority w:val="99"/>
    <w:rPr>
      <w:sz w:val="18"/>
      <w:szCs w:val="18"/>
    </w:rPr>
  </w:style>
  <w:style w:type="paragraph" w:styleId="9">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4">
    <w:name w:val="Body Text First Indent 2"/>
    <w:basedOn w:val="6"/>
    <w:next w:val="1"/>
    <w:qFormat/>
    <w:uiPriority w:val="0"/>
    <w:pPr>
      <w:ind w:firstLine="420" w:firstLineChars="200"/>
    </w:pPr>
    <w:rPr>
      <w:rFonts w:cs="Times New Roman"/>
    </w:r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标题 1 Char"/>
    <w:basedOn w:val="16"/>
    <w:link w:val="3"/>
    <w:qFormat/>
    <w:uiPriority w:val="9"/>
    <w:rPr>
      <w:rFonts w:ascii="Times New Roman" w:hAnsi="Times New Roman"/>
      <w:b/>
      <w:bCs/>
      <w:kern w:val="44"/>
      <w:sz w:val="44"/>
      <w:szCs w:val="44"/>
    </w:rPr>
  </w:style>
  <w:style w:type="character" w:customStyle="1" w:styleId="20">
    <w:name w:val="标题 2 Char"/>
    <w:basedOn w:val="16"/>
    <w:link w:val="4"/>
    <w:qFormat/>
    <w:uiPriority w:val="9"/>
    <w:rPr>
      <w:rFonts w:asciiTheme="majorHAnsi" w:hAnsiTheme="majorHAnsi" w:eastAsiaTheme="majorEastAsia" w:cstheme="majorBidi"/>
      <w:b/>
      <w:bCs/>
      <w:kern w:val="2"/>
      <w:sz w:val="32"/>
      <w:szCs w:val="32"/>
    </w:rPr>
  </w:style>
  <w:style w:type="character" w:customStyle="1" w:styleId="21">
    <w:name w:val="标题 3 Char"/>
    <w:basedOn w:val="16"/>
    <w:link w:val="5"/>
    <w:qFormat/>
    <w:uiPriority w:val="9"/>
    <w:rPr>
      <w:rFonts w:ascii="Times New Roman" w:hAnsi="Times New Roman"/>
      <w:b/>
      <w:bCs/>
      <w:kern w:val="2"/>
      <w:sz w:val="32"/>
      <w:szCs w:val="32"/>
    </w:rPr>
  </w:style>
  <w:style w:type="paragraph" w:customStyle="1" w:styleId="22">
    <w:name w:val="Default"/>
    <w:next w:val="1"/>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3">
    <w:name w:val="Header Char"/>
    <w:basedOn w:val="16"/>
    <w:semiHidden/>
    <w:qFormat/>
    <w:uiPriority w:val="99"/>
    <w:rPr>
      <w:rFonts w:ascii="Times New Roman" w:hAnsi="Times New Roman"/>
      <w:sz w:val="18"/>
      <w:szCs w:val="18"/>
    </w:rPr>
  </w:style>
  <w:style w:type="character" w:customStyle="1" w:styleId="24">
    <w:name w:val="页眉 Char"/>
    <w:link w:val="10"/>
    <w:semiHidden/>
    <w:qFormat/>
    <w:locked/>
    <w:uiPriority w:val="99"/>
    <w:rPr>
      <w:sz w:val="18"/>
    </w:rPr>
  </w:style>
  <w:style w:type="character" w:customStyle="1" w:styleId="25">
    <w:name w:val="Footer Char"/>
    <w:basedOn w:val="16"/>
    <w:semiHidden/>
    <w:qFormat/>
    <w:uiPriority w:val="99"/>
    <w:rPr>
      <w:rFonts w:ascii="Times New Roman" w:hAnsi="Times New Roman"/>
      <w:sz w:val="18"/>
      <w:szCs w:val="18"/>
    </w:rPr>
  </w:style>
  <w:style w:type="character" w:customStyle="1" w:styleId="26">
    <w:name w:val="页脚 Char"/>
    <w:link w:val="9"/>
    <w:qFormat/>
    <w:locked/>
    <w:uiPriority w:val="99"/>
    <w:rPr>
      <w:sz w:val="18"/>
    </w:rPr>
  </w:style>
  <w:style w:type="character" w:customStyle="1" w:styleId="27">
    <w:name w:val="Body Text Char"/>
    <w:basedOn w:val="16"/>
    <w:semiHidden/>
    <w:qFormat/>
    <w:uiPriority w:val="99"/>
    <w:rPr>
      <w:rFonts w:ascii="Times New Roman" w:hAnsi="Times New Roman"/>
      <w:szCs w:val="24"/>
    </w:rPr>
  </w:style>
  <w:style w:type="character" w:customStyle="1" w:styleId="28">
    <w:name w:val="正文文本 Char"/>
    <w:link w:val="2"/>
    <w:qFormat/>
    <w:locked/>
    <w:uiPriority w:val="99"/>
    <w:rPr>
      <w:rFonts w:ascii="仿宋_GB2312" w:hAnsi="Times New Roman" w:eastAsia="仿宋_GB2312"/>
      <w:sz w:val="24"/>
    </w:rPr>
  </w:style>
  <w:style w:type="paragraph" w:styleId="29">
    <w:name w:val="List Paragraph"/>
    <w:basedOn w:val="1"/>
    <w:qFormat/>
    <w:uiPriority w:val="34"/>
    <w:pPr>
      <w:ind w:firstLine="420" w:firstLineChars="200"/>
    </w:p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8"/>
    <w:semiHidden/>
    <w:qFormat/>
    <w:uiPriority w:val="99"/>
    <w:rPr>
      <w:rFonts w:ascii="Times New Roman" w:hAnsi="Times New Roman"/>
      <w:kern w:val="2"/>
      <w:sz w:val="18"/>
      <w:szCs w:val="18"/>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paragraph" w:customStyle="1" w:styleId="34">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1" vertOverflow="ellipsis" vert="horz" wrap="square" anchor="ctr" anchorCtr="true"/>
        <a:lstStyle/>
        <a:p>
          <a:pPr>
            <a:defRPr lang="zh-CN" sz="1200" b="0" i="0" u="none" strike="noStrike" kern="1200" spc="0" baseline="0">
              <a:solidFill>
                <a:schemeClr val="tx1">
                  <a:lumMod val="65000"/>
                  <a:lumOff val="35000"/>
                </a:schemeClr>
              </a:solidFill>
              <a:latin typeface="+mn-lt"/>
              <a:ea typeface="+mn-ea"/>
              <a:cs typeface="+mn-cs"/>
            </a:defRPr>
          </a:pPr>
        </a:p>
      </c:txPr>
    </c:title>
    <c:autoTitleDeleted val="false"/>
    <c:plotArea>
      <c:layout>
        <c:manualLayout>
          <c:layoutTarget val="inner"/>
          <c:xMode val="edge"/>
          <c:yMode val="edge"/>
          <c:x val="0.0632218024824609"/>
          <c:y val="0.1232779587405"/>
          <c:w val="0.85355"/>
          <c:h val="0.709566666666667"/>
        </c:manualLayout>
      </c:layout>
      <c:barChart>
        <c:barDir val="col"/>
        <c:grouping val="clustered"/>
        <c:varyColors val="false"/>
        <c:ser>
          <c:idx val="0"/>
          <c:order val="0"/>
          <c:tx>
            <c:strRef>
              <c:f>Sheet1!$B$1</c:f>
              <c:strCache>
                <c:ptCount val="1"/>
                <c:pt idx="0">
                  <c:v>收、支决算总计变动情况图（单位：万元）</c:v>
                </c:pt>
              </c:strCache>
            </c:strRef>
          </c:tx>
          <c:spPr>
            <a:solidFill>
              <a:schemeClr val="accent1"/>
            </a:solidFill>
            <a:ln>
              <a:noFill/>
            </a:ln>
            <a:effectLst/>
          </c:spPr>
          <c:invertIfNegative val="false"/>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2023年度收、支总计</c:v>
                </c:pt>
                <c:pt idx="1">
                  <c:v>2024年度收、支总计</c:v>
                </c:pt>
              </c:strCache>
            </c:strRef>
          </c:cat>
          <c:val>
            <c:numRef>
              <c:f>Sheet1!$B$2:$B$3</c:f>
              <c:numCache>
                <c:formatCode>General</c:formatCode>
                <c:ptCount val="2"/>
                <c:pt idx="0">
                  <c:v>336.53</c:v>
                </c:pt>
                <c:pt idx="1">
                  <c:v>358.62</c:v>
                </c:pt>
              </c:numCache>
            </c:numRef>
          </c:val>
        </c:ser>
        <c:dLbls>
          <c:showLegendKey val="false"/>
          <c:showVal val="false"/>
          <c:showCatName val="false"/>
          <c:showSerName val="false"/>
          <c:showPercent val="false"/>
          <c:showBubbleSize val="false"/>
        </c:dLbls>
        <c:gapWidth val="219"/>
        <c:overlap val="-27"/>
        <c:axId val="213112008"/>
        <c:axId val="213112400"/>
      </c:barChart>
      <c:catAx>
        <c:axId val="213112008"/>
        <c:scaling>
          <c:orientation val="minMax"/>
        </c:scaling>
        <c:delete val="false"/>
        <c:axPos val="b"/>
        <c:numFmt formatCode="General" sourceLinked="fals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13112400"/>
        <c:crosses val="autoZero"/>
        <c:auto val="true"/>
        <c:lblAlgn val="ctr"/>
        <c:lblOffset val="100"/>
        <c:noMultiLvlLbl val="false"/>
      </c:catAx>
      <c:valAx>
        <c:axId val="213112400"/>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13112008"/>
        <c:crosses val="autoZero"/>
        <c:crossBetween val="between"/>
      </c:valAx>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1" vertOverflow="ellipsis" vert="horz" wrap="square" anchor="ctr" anchorCtr="true"/>
        <a:lstStyle/>
        <a:p>
          <a:pPr>
            <a:defRPr lang="zh-CN" sz="12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收入决算结构图（单位：万元）</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285.89</c:v>
                </c:pt>
                <c:pt idx="1">
                  <c:v>72.73</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manualLayout>
          <c:xMode val="edge"/>
          <c:yMode val="edge"/>
          <c:x val="0.2869375"/>
          <c:y val="0.922666666666667"/>
        </c:manualLayout>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40908502653035"/>
          <c:y val="0.0288115246098439"/>
        </c:manualLayout>
      </c:layout>
      <c:overlay val="false"/>
      <c:spPr>
        <a:noFill/>
        <a:ln>
          <a:noFill/>
        </a:ln>
        <a:effectLst/>
      </c:spPr>
      <c:txPr>
        <a:bodyPr rot="0" spcFirstLastPara="1" vertOverflow="ellipsis" vert="horz" wrap="square" anchor="ctr" anchorCtr="true"/>
        <a:lstStyle/>
        <a:p>
          <a:pPr>
            <a:defRPr lang="zh-CN" sz="12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支出决算结构图（单位：万元）</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262.39</c:v>
                </c:pt>
                <c:pt idx="1">
                  <c:v>96.23</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14106201864613"/>
          <c:y val="0.023231031543052"/>
        </c:manualLayout>
      </c:layout>
      <c:overlay val="false"/>
      <c:spPr>
        <a:noFill/>
        <a:ln>
          <a:noFill/>
        </a:ln>
        <a:effectLst/>
      </c:spPr>
      <c:txPr>
        <a:bodyPr rot="0" spcFirstLastPara="0" vertOverflow="ellipsis" vert="horz" wrap="square" anchor="ctr" anchorCtr="true"/>
        <a:lstStyle/>
        <a:p>
          <a:pPr>
            <a:defRPr lang="zh-CN" sz="1200" b="0" i="0" u="none" strike="noStrike" kern="1200" spc="0" baseline="0">
              <a:solidFill>
                <a:schemeClr val="tx1">
                  <a:lumMod val="65000"/>
                  <a:lumOff val="35000"/>
                </a:schemeClr>
              </a:solidFill>
              <a:latin typeface="+mn-lt"/>
              <a:ea typeface="+mn-ea"/>
              <a:cs typeface="+mn-cs"/>
            </a:defRPr>
          </a:pPr>
        </a:p>
      </c:txPr>
    </c:title>
    <c:autoTitleDeleted val="false"/>
    <c:plotArea>
      <c:layout/>
      <c:barChart>
        <c:barDir val="col"/>
        <c:grouping val="clustered"/>
        <c:varyColors val="false"/>
        <c:ser>
          <c:idx val="0"/>
          <c:order val="0"/>
          <c:tx>
            <c:strRef>
              <c:f>Sheet1!$B$1</c:f>
              <c:strCache>
                <c:ptCount val="1"/>
                <c:pt idx="0">
                  <c:v>财政拨款收、支决算总计变动情况（单位：万元）</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2023年财政拨款收、支总计</c:v>
                </c:pt>
                <c:pt idx="1">
                  <c:v>2024年财政拨款收、支总计</c:v>
                </c:pt>
              </c:strCache>
            </c:strRef>
          </c:cat>
          <c:val>
            <c:numRef>
              <c:f>Sheet1!$B$2:$B$3</c:f>
              <c:numCache>
                <c:formatCode>General</c:formatCode>
                <c:ptCount val="2"/>
                <c:pt idx="0">
                  <c:v>272.07</c:v>
                </c:pt>
                <c:pt idx="1">
                  <c:v>285.89</c:v>
                </c:pt>
              </c:numCache>
            </c:numRef>
          </c:val>
        </c:ser>
        <c:dLbls>
          <c:showLegendKey val="false"/>
          <c:showVal val="false"/>
          <c:showCatName val="false"/>
          <c:showSerName val="false"/>
          <c:showPercent val="false"/>
          <c:showBubbleSize val="false"/>
        </c:dLbls>
        <c:gapWidth val="219"/>
        <c:overlap val="-27"/>
        <c:axId val="294736912"/>
        <c:axId val="294737304"/>
      </c:barChart>
      <c:catAx>
        <c:axId val="294736912"/>
        <c:scaling>
          <c:orientation val="minMax"/>
        </c:scaling>
        <c:delete val="false"/>
        <c:axPos val="b"/>
        <c:numFmt formatCode="General" sourceLinked="fals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94737304"/>
        <c:crosses val="autoZero"/>
        <c:auto val="true"/>
        <c:lblAlgn val="ctr"/>
        <c:lblOffset val="100"/>
        <c:noMultiLvlLbl val="false"/>
      </c:catAx>
      <c:valAx>
        <c:axId val="294737304"/>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94736912"/>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1" vertOverflow="ellipsis" vert="horz" wrap="square" anchor="ctr" anchorCtr="true"/>
        <a:lstStyle/>
        <a:p>
          <a:pPr>
            <a:defRPr lang="zh-CN" sz="1200" b="0" i="0" u="none" strike="noStrike" kern="1200" spc="0" baseline="0">
              <a:solidFill>
                <a:schemeClr val="tx1">
                  <a:lumMod val="65000"/>
                  <a:lumOff val="35000"/>
                </a:schemeClr>
              </a:solidFill>
              <a:latin typeface="+mn-lt"/>
              <a:ea typeface="+mn-ea"/>
              <a:cs typeface="+mn-cs"/>
            </a:defRPr>
          </a:pPr>
        </a:p>
      </c:txPr>
    </c:title>
    <c:autoTitleDeleted val="false"/>
    <c:plotArea>
      <c:layout/>
      <c:barChart>
        <c:barDir val="col"/>
        <c:grouping val="clustered"/>
        <c:varyColors val="false"/>
        <c:ser>
          <c:idx val="0"/>
          <c:order val="0"/>
          <c:tx>
            <c:strRef>
              <c:f>Sheet1!$B$1</c:f>
              <c:strCache>
                <c:ptCount val="1"/>
                <c:pt idx="0">
                  <c:v>一般公共预算财政拨款支出决算变动情况（单位：万元）</c:v>
                </c:pt>
              </c:strCache>
            </c:strRef>
          </c:tx>
          <c:spPr>
            <a:solidFill>
              <a:schemeClr val="accent1"/>
            </a:solidFill>
            <a:ln>
              <a:noFill/>
            </a:ln>
            <a:effectLst/>
          </c:spPr>
          <c:invertIfNegative val="false"/>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2023年一般公共预算财政拨款支出</c:v>
                </c:pt>
                <c:pt idx="1">
                  <c:v>2024年一般公共预算财政拨款支出</c:v>
                </c:pt>
              </c:strCache>
            </c:strRef>
          </c:cat>
          <c:val>
            <c:numRef>
              <c:f>Sheet1!$B$2:$B$3</c:f>
              <c:numCache>
                <c:formatCode>General</c:formatCode>
                <c:ptCount val="2"/>
                <c:pt idx="0">
                  <c:v>272.07</c:v>
                </c:pt>
                <c:pt idx="1">
                  <c:v>285.89</c:v>
                </c:pt>
              </c:numCache>
            </c:numRef>
          </c:val>
        </c:ser>
        <c:dLbls>
          <c:showLegendKey val="false"/>
          <c:showVal val="false"/>
          <c:showCatName val="false"/>
          <c:showSerName val="false"/>
          <c:showPercent val="false"/>
          <c:showBubbleSize val="false"/>
        </c:dLbls>
        <c:gapWidth val="219"/>
        <c:overlap val="-27"/>
        <c:axId val="213090680"/>
        <c:axId val="213091072"/>
      </c:barChart>
      <c:catAx>
        <c:axId val="213090680"/>
        <c:scaling>
          <c:orientation val="minMax"/>
        </c:scaling>
        <c:delete val="false"/>
        <c:axPos val="b"/>
        <c:numFmt formatCode="General" sourceLinked="fals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13091072"/>
        <c:crosses val="autoZero"/>
        <c:auto val="true"/>
        <c:lblAlgn val="ctr"/>
        <c:lblOffset val="100"/>
        <c:noMultiLvlLbl val="false"/>
      </c:catAx>
      <c:valAx>
        <c:axId val="213091072"/>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13090680"/>
        <c:crosses val="autoZero"/>
        <c:crossBetween val="between"/>
      </c:valAx>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1" vertOverflow="ellipsis" vert="horz" wrap="square" anchor="ctr" anchorCtr="true"/>
        <a:lstStyle/>
        <a:p>
          <a:pPr>
            <a:defRPr lang="zh-CN" sz="12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一般公共预算财政拨款支出决算结构（单位：万元）</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Sheet1!$A$2:$A$5</c:f>
              <c:strCache>
                <c:ptCount val="4"/>
                <c:pt idx="0">
                  <c:v>社会保障和就业（类）支出</c:v>
                </c:pt>
                <c:pt idx="1">
                  <c:v>卫生健康支出</c:v>
                </c:pt>
                <c:pt idx="2">
                  <c:v>自然资源海洋气象等支出</c:v>
                </c:pt>
                <c:pt idx="3">
                  <c:v>住房保障支出</c:v>
                </c:pt>
              </c:strCache>
            </c:strRef>
          </c:cat>
          <c:val>
            <c:numRef>
              <c:f>Sheet1!$B$2:$B$5</c:f>
              <c:numCache>
                <c:formatCode>General</c:formatCode>
                <c:ptCount val="4"/>
                <c:pt idx="0">
                  <c:v>26.29</c:v>
                </c:pt>
                <c:pt idx="1">
                  <c:v>7.47</c:v>
                </c:pt>
                <c:pt idx="2">
                  <c:v>227.18</c:v>
                </c:pt>
                <c:pt idx="3">
                  <c:v>24.95</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1" vertOverflow="ellipsis" vert="horz" wrap="square" anchor="ctr" anchorCtr="true"/>
        <a:lstStyle/>
        <a:p>
          <a:pPr>
            <a:defRPr lang="zh-CN" sz="12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“三公”经费财政拨款支出结构（单位：万元）</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dLbl>
              <c:idx val="2"/>
              <c:layout>
                <c:manualLayout>
                  <c:x val="-0.0198217020798606"/>
                  <c:y val="0.00236173686758923"/>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公务接待费支出决算</c:v>
                </c:pt>
              </c:strCache>
            </c:strRef>
          </c:cat>
          <c:val>
            <c:numRef>
              <c:f>Sheet1!$B$2:$B$4</c:f>
              <c:numCache>
                <c:formatCode>General</c:formatCode>
                <c:ptCount val="3"/>
                <c:pt idx="0">
                  <c:v>0</c:v>
                </c:pt>
                <c:pt idx="1">
                  <c:v>1.9</c:v>
                </c:pt>
                <c:pt idx="2">
                  <c:v>0.86</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17</Pages>
  <Words>4003</Words>
  <Characters>4415</Characters>
  <Lines>80</Lines>
  <Paragraphs>22</Paragraphs>
  <TotalTime>25</TotalTime>
  <ScaleCrop>false</ScaleCrop>
  <LinksUpToDate>false</LinksUpToDate>
  <CharactersWithSpaces>4464</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2020-08-13T17:49:00Z</dcterms:created>
  <dc:creator>曹颖</dc:creator>
  <cp:lastModifiedBy> </cp:lastModifiedBy>
  <cp:lastPrinted>2023-10-24T13:41:00Z</cp:lastPrinted>
  <dcterms:modified xsi:type="dcterms:W3CDTF">2025-10-11T16:04:39Z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18C4299B72334D3095585539B3212D20</vt:lpwstr>
  </property>
  <property fmtid="{D5CDD505-2E9C-101B-9397-08002B2CF9AE}" pid="4" name="KSOTemplateDocerSaveRecord">
    <vt:lpwstr>eyJoZGlkIjoiYTc2ZGZiNzZiNDVlOGViOWVmM2JhOTY0NGJkNjUyYzgiLCJ1c2VySWQiOiIyMjA2OTAwNTAifQ==</vt:lpwstr>
  </property>
</Properties>
</file>