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D4F0B">
      <w:pPr>
        <w:spacing w:line="600" w:lineRule="exact"/>
        <w:jc w:val="left"/>
        <w:outlineLvl w:val="9"/>
        <w:rPr>
          <w:rFonts w:ascii="方正小标宋简体" w:hAnsi="宋体" w:eastAsia="方正小标宋简体"/>
          <w:color w:val="auto"/>
          <w:sz w:val="21"/>
          <w:szCs w:val="21"/>
          <w:highlight w:val="none"/>
        </w:rPr>
      </w:pPr>
      <w:bookmarkStart w:id="0" w:name="_Toc15306267"/>
    </w:p>
    <w:p w14:paraId="65F22822">
      <w:pPr>
        <w:spacing w:line="600" w:lineRule="exact"/>
        <w:jc w:val="center"/>
        <w:outlineLvl w:val="9"/>
        <w:rPr>
          <w:rFonts w:ascii="方正小标宋简体" w:hAnsi="宋体" w:eastAsia="方正小标宋简体"/>
          <w:color w:val="auto"/>
          <w:sz w:val="72"/>
          <w:szCs w:val="72"/>
          <w:highlight w:val="none"/>
        </w:rPr>
      </w:pPr>
    </w:p>
    <w:p w14:paraId="35179EA9">
      <w:pPr>
        <w:spacing w:line="360" w:lineRule="auto"/>
        <w:jc w:val="center"/>
        <w:outlineLvl w:val="9"/>
        <w:rPr>
          <w:rFonts w:ascii="方正小标宋简体" w:hAnsi="宋体" w:eastAsia="方正小标宋简体"/>
          <w:color w:val="auto"/>
          <w:sz w:val="72"/>
          <w:szCs w:val="72"/>
          <w:highlight w:val="none"/>
        </w:rPr>
      </w:pPr>
    </w:p>
    <w:p w14:paraId="70812B14">
      <w:pPr>
        <w:keepNext w:val="0"/>
        <w:keepLines w:val="0"/>
        <w:pageBreakBefore w:val="0"/>
        <w:kinsoku/>
        <w:wordWrap/>
        <w:overflowPunct/>
        <w:topLinePunct w:val="0"/>
        <w:autoSpaceDE/>
        <w:autoSpaceDN/>
        <w:bidi w:val="0"/>
        <w:adjustRightInd w:val="0"/>
        <w:snapToGrid w:val="0"/>
        <w:spacing w:line="360" w:lineRule="auto"/>
        <w:ind w:leftChars="0"/>
        <w:jc w:val="center"/>
        <w:textAlignment w:val="auto"/>
        <w:outlineLvl w:val="0"/>
        <w:rPr>
          <w:rFonts w:hint="eastAsia" w:ascii="仿宋_GB2312" w:hAnsi="仿宋_GB2312" w:eastAsia="仿宋_GB2312" w:cs="仿宋_GB2312"/>
          <w:color w:val="auto"/>
          <w:sz w:val="32"/>
          <w:szCs w:val="32"/>
          <w:highlight w:val="none"/>
        </w:rPr>
      </w:pPr>
      <w:bookmarkStart w:id="1" w:name="_Toc15396597"/>
      <w:bookmarkStart w:id="2" w:name="_Toc15378441"/>
      <w:bookmarkStart w:id="3" w:name="_Toc15396475"/>
      <w:bookmarkStart w:id="4" w:name="_Toc28101"/>
      <w:bookmarkStart w:id="5" w:name="_Toc11368"/>
      <w:bookmarkStart w:id="6" w:name="_Toc15377425"/>
      <w:bookmarkStart w:id="7" w:name="_Toc8833"/>
      <w:bookmarkStart w:id="8" w:name="_Toc15377193"/>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24</w:t>
      </w:r>
      <w:r>
        <w:rPr>
          <w:rFonts w:hint="eastAsia" w:ascii="方正小标宋简体" w:hAnsi="方正小标宋简体" w:eastAsia="方正小标宋简体" w:cs="方正小标宋简体"/>
          <w:color w:val="auto"/>
          <w:sz w:val="52"/>
          <w:szCs w:val="52"/>
          <w:highlight w:val="none"/>
        </w:rPr>
        <w:t>年度</w:t>
      </w:r>
      <w:bookmarkEnd w:id="1"/>
      <w:bookmarkEnd w:id="2"/>
      <w:bookmarkEnd w:id="3"/>
      <w:bookmarkEnd w:id="4"/>
      <w:bookmarkEnd w:id="5"/>
      <w:bookmarkEnd w:id="6"/>
      <w:bookmarkEnd w:id="7"/>
      <w:bookmarkEnd w:id="8"/>
    </w:p>
    <w:p w14:paraId="634639B5">
      <w:pPr>
        <w:keepNext w:val="0"/>
        <w:keepLines w:val="0"/>
        <w:pageBreakBefore w:val="0"/>
        <w:kinsoku/>
        <w:wordWrap/>
        <w:overflowPunct/>
        <w:topLinePunct w:val="0"/>
        <w:autoSpaceDE/>
        <w:autoSpaceDN/>
        <w:bidi w:val="0"/>
        <w:adjustRightInd w:val="0"/>
        <w:snapToGrid w:val="0"/>
        <w:spacing w:line="360" w:lineRule="auto"/>
        <w:ind w:leftChars="0"/>
        <w:jc w:val="center"/>
        <w:textAlignment w:val="auto"/>
        <w:outlineLvl w:val="0"/>
        <w:rPr>
          <w:rFonts w:hint="eastAsia" w:ascii="方正小标宋简体" w:hAnsi="方正小标宋简体" w:eastAsia="方正小标宋简体" w:cs="方正小标宋简体"/>
          <w:color w:val="auto"/>
          <w:sz w:val="52"/>
          <w:szCs w:val="52"/>
          <w:highlight w:val="none"/>
        </w:rPr>
      </w:pPr>
      <w:bookmarkStart w:id="9" w:name="_Toc29981"/>
      <w:bookmarkStart w:id="10" w:name="_Toc15377194"/>
      <w:bookmarkStart w:id="11" w:name="_Toc15396598"/>
      <w:bookmarkStart w:id="12" w:name="_Toc15378442"/>
      <w:bookmarkStart w:id="13" w:name="_Toc15396476"/>
      <w:bookmarkStart w:id="14" w:name="_Toc9727"/>
      <w:bookmarkStart w:id="15" w:name="_Toc13020"/>
      <w:bookmarkStart w:id="16" w:name="_Toc15377426"/>
      <w:r>
        <w:rPr>
          <w:rFonts w:hint="eastAsia" w:ascii="方正小标宋简体" w:hAnsi="方正小标宋简体" w:eastAsia="方正小标宋简体" w:cs="方正小标宋简体"/>
          <w:color w:val="auto"/>
          <w:sz w:val="52"/>
          <w:szCs w:val="52"/>
          <w:highlight w:val="none"/>
          <w:lang w:eastAsia="zh-CN"/>
        </w:rPr>
        <w:t>广元市</w:t>
      </w:r>
      <w:bookmarkEnd w:id="0"/>
      <w:bookmarkStart w:id="17" w:name="_Toc15306268"/>
      <w:r>
        <w:rPr>
          <w:rFonts w:hint="eastAsia" w:ascii="方正小标宋简体" w:hAnsi="方正小标宋简体" w:eastAsia="方正小标宋简体" w:cs="方正小标宋简体"/>
          <w:color w:val="auto"/>
          <w:sz w:val="52"/>
          <w:szCs w:val="52"/>
          <w:highlight w:val="none"/>
          <w:lang w:val="en-US" w:eastAsia="zh-CN"/>
        </w:rPr>
        <w:t>自然资源局</w:t>
      </w:r>
      <w:r>
        <w:rPr>
          <w:rFonts w:hint="eastAsia" w:ascii="方正小标宋简体" w:hAnsi="方正小标宋简体" w:eastAsia="方正小标宋简体" w:cs="方正小标宋简体"/>
          <w:color w:val="auto"/>
          <w:sz w:val="52"/>
          <w:szCs w:val="52"/>
          <w:highlight w:val="none"/>
          <w:lang w:eastAsia="zh-CN"/>
        </w:rPr>
        <w:t>单位</w:t>
      </w:r>
      <w:r>
        <w:rPr>
          <w:rFonts w:hint="eastAsia" w:ascii="方正小标宋简体" w:hAnsi="方正小标宋简体" w:eastAsia="方正小标宋简体" w:cs="方正小标宋简体"/>
          <w:color w:val="auto"/>
          <w:sz w:val="52"/>
          <w:szCs w:val="52"/>
          <w:highlight w:val="none"/>
        </w:rPr>
        <w:t>决算</w:t>
      </w:r>
      <w:bookmarkEnd w:id="9"/>
      <w:bookmarkEnd w:id="10"/>
      <w:bookmarkEnd w:id="11"/>
      <w:bookmarkEnd w:id="12"/>
      <w:bookmarkEnd w:id="13"/>
      <w:bookmarkEnd w:id="14"/>
      <w:bookmarkEnd w:id="15"/>
      <w:bookmarkEnd w:id="16"/>
      <w:bookmarkEnd w:id="17"/>
    </w:p>
    <w:p w14:paraId="2AC72E35">
      <w:pPr>
        <w:keepNext w:val="0"/>
        <w:keepLines w:val="0"/>
        <w:pageBreakBefore w:val="0"/>
        <w:kinsoku/>
        <w:wordWrap/>
        <w:overflowPunct/>
        <w:topLinePunct w:val="0"/>
        <w:autoSpaceDE/>
        <w:autoSpaceDN/>
        <w:bidi w:val="0"/>
        <w:adjustRightInd w:val="0"/>
        <w:snapToGrid w:val="0"/>
        <w:spacing w:line="576" w:lineRule="exact"/>
        <w:ind w:leftChars="0"/>
        <w:jc w:val="center"/>
        <w:textAlignment w:val="auto"/>
        <w:outlineLvl w:val="9"/>
        <w:rPr>
          <w:rFonts w:hint="eastAsia" w:ascii="仿宋_GB2312" w:hAnsi="仿宋_GB2312" w:eastAsia="仿宋_GB2312" w:cs="仿宋_GB2312"/>
          <w:color w:val="auto"/>
          <w:sz w:val="32"/>
          <w:szCs w:val="32"/>
          <w:highlight w:val="none"/>
        </w:rPr>
      </w:pPr>
    </w:p>
    <w:p w14:paraId="06A472F2">
      <w:pPr>
        <w:keepNext w:val="0"/>
        <w:keepLines w:val="0"/>
        <w:pageBreakBefore w:val="0"/>
        <w:widowControl/>
        <w:kinsoku/>
        <w:wordWrap/>
        <w:overflowPunct/>
        <w:topLinePunct w:val="0"/>
        <w:autoSpaceDE/>
        <w:autoSpaceDN/>
        <w:bidi w:val="0"/>
        <w:spacing w:line="576" w:lineRule="exact"/>
        <w:ind w:left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14:paraId="44C38823">
      <w:pPr>
        <w:pStyle w:val="11"/>
        <w:keepNext w:val="0"/>
        <w:keepLines w:val="0"/>
        <w:pageBreakBefore w:val="0"/>
        <w:kinsoku/>
        <w:wordWrap/>
        <w:overflowPunct/>
        <w:topLinePunct w:val="0"/>
        <w:autoSpaceDE/>
        <w:autoSpaceDN/>
        <w:bidi w:val="0"/>
        <w:spacing w:before="0" w:line="576" w:lineRule="exact"/>
        <w:ind w:lef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10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13</w:t>
      </w:r>
      <w:bookmarkStart w:id="170" w:name="_GoBack"/>
      <w:bookmarkEnd w:id="170"/>
      <w:r>
        <w:rPr>
          <w:rFonts w:hint="eastAsia" w:ascii="仿宋_GB2312" w:hAnsi="仿宋_GB2312"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6083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F430A00">
          <w:pPr>
            <w:rPr>
              <w:rFonts w:ascii="Times New Roman" w:hAnsi="Times New Roman" w:eastAsia="宋体" w:cs="Times New Roman"/>
              <w:kern w:val="2"/>
              <w:sz w:val="21"/>
              <w:szCs w:val="24"/>
              <w:lang w:val="en-US" w:eastAsia="zh-CN" w:bidi="ar-SA"/>
            </w:rPr>
          </w:pPr>
          <w:bookmarkStart w:id="18" w:name="_Toc15377196"/>
          <w:bookmarkStart w:id="19" w:name="_Toc15396599"/>
          <w:r>
            <w:fldChar w:fldCharType="begin"/>
          </w:r>
          <w:r>
            <w:instrText xml:space="preserve">TOC \o "1-3" \h \u </w:instrText>
          </w:r>
          <w:r>
            <w:fldChar w:fldCharType="separate"/>
          </w:r>
        </w:p>
        <w:p w14:paraId="2E1FC0D5">
          <w:pPr>
            <w:pStyle w:val="11"/>
            <w:tabs>
              <w:tab w:val="right" w:leader="dot" w:pos="8845"/>
              <w:tab w:val="clear" w:pos="8296"/>
            </w:tabs>
            <w:spacing w:line="360" w:lineRule="auto"/>
          </w:pPr>
          <w:r>
            <w:fldChar w:fldCharType="begin"/>
          </w:r>
          <w:r>
            <w:instrText xml:space="preserve"> HYPERLINK \l _Toc15383 </w:instrText>
          </w:r>
          <w:r>
            <w:fldChar w:fldCharType="separate"/>
          </w:r>
          <w:r>
            <w:rPr>
              <w:rFonts w:hint="eastAsia" w:ascii="黑体" w:hAnsi="黑体" w:eastAsia="黑体"/>
              <w:highlight w:val="none"/>
            </w:rPr>
            <w:t xml:space="preserve">第一部分 </w:t>
          </w:r>
          <w:r>
            <w:rPr>
              <w:rFonts w:hint="eastAsia" w:ascii="黑体" w:hAnsi="黑体" w:eastAsia="黑体"/>
              <w:highlight w:val="none"/>
              <w:lang w:eastAsia="zh-CN"/>
            </w:rPr>
            <w:t>单位</w:t>
          </w:r>
          <w:r>
            <w:rPr>
              <w:rFonts w:hint="eastAsia" w:ascii="黑体" w:hAnsi="黑体" w:eastAsia="黑体"/>
              <w:bCs w:val="0"/>
              <w:highlight w:val="none"/>
            </w:rPr>
            <w:t>概况</w:t>
          </w:r>
          <w:r>
            <w:tab/>
          </w:r>
          <w:r>
            <w:fldChar w:fldCharType="begin"/>
          </w:r>
          <w:r>
            <w:instrText xml:space="preserve"> PAGEREF _Toc15383 \h </w:instrText>
          </w:r>
          <w:r>
            <w:fldChar w:fldCharType="separate"/>
          </w:r>
          <w:r>
            <w:t>1</w:t>
          </w:r>
          <w:r>
            <w:fldChar w:fldCharType="end"/>
          </w:r>
          <w:r>
            <w:fldChar w:fldCharType="end"/>
          </w:r>
        </w:p>
        <w:p w14:paraId="7D24288F">
          <w:pPr>
            <w:pStyle w:val="12"/>
            <w:tabs>
              <w:tab w:val="right" w:leader="dot" w:pos="8845"/>
              <w:tab w:val="clear" w:pos="8296"/>
            </w:tabs>
            <w:spacing w:line="360" w:lineRule="auto"/>
          </w:pPr>
          <w:r>
            <w:fldChar w:fldCharType="begin"/>
          </w:r>
          <w:r>
            <w:instrText xml:space="preserve"> HYPERLINK \l _Toc18611 </w:instrText>
          </w:r>
          <w:r>
            <w:fldChar w:fldCharType="separate"/>
          </w:r>
          <w:r>
            <w:rPr>
              <w:rFonts w:hint="eastAsia" w:ascii="黑体" w:hAnsi="黑体" w:eastAsia="黑体"/>
              <w:bCs w:val="0"/>
              <w:highlight w:val="none"/>
              <w:lang w:val="en-US" w:eastAsia="zh-CN"/>
            </w:rPr>
            <w:t>一、</w:t>
          </w:r>
          <w:r>
            <w:rPr>
              <w:rFonts w:hint="eastAsia" w:ascii="黑体" w:hAnsi="黑体" w:eastAsia="黑体"/>
              <w:bCs w:val="0"/>
              <w:highlight w:val="none"/>
              <w:lang w:eastAsia="zh-CN"/>
            </w:rPr>
            <w:t>主要职责</w:t>
          </w:r>
          <w:r>
            <w:tab/>
          </w:r>
          <w:r>
            <w:fldChar w:fldCharType="begin"/>
          </w:r>
          <w:r>
            <w:instrText xml:space="preserve"> PAGEREF _Toc18611 \h </w:instrText>
          </w:r>
          <w:r>
            <w:fldChar w:fldCharType="separate"/>
          </w:r>
          <w:r>
            <w:t>1</w:t>
          </w:r>
          <w:r>
            <w:fldChar w:fldCharType="end"/>
          </w:r>
          <w:r>
            <w:fldChar w:fldCharType="end"/>
          </w:r>
        </w:p>
        <w:p w14:paraId="699AEA19">
          <w:pPr>
            <w:pStyle w:val="12"/>
            <w:tabs>
              <w:tab w:val="right" w:leader="dot" w:pos="8845"/>
              <w:tab w:val="clear" w:pos="8296"/>
            </w:tabs>
            <w:spacing w:line="360" w:lineRule="auto"/>
          </w:pPr>
          <w:r>
            <w:fldChar w:fldCharType="begin"/>
          </w:r>
          <w:r>
            <w:instrText xml:space="preserve"> HYPERLINK \l _Toc23886 </w:instrText>
          </w:r>
          <w:r>
            <w:fldChar w:fldCharType="separate"/>
          </w:r>
          <w:r>
            <w:rPr>
              <w:rFonts w:hint="eastAsia" w:ascii="黑体" w:hAnsi="黑体" w:eastAsia="黑体"/>
              <w:highlight w:val="none"/>
              <w:lang w:val="en-US" w:eastAsia="zh-CN"/>
            </w:rPr>
            <w:t>二、机构设置</w:t>
          </w:r>
          <w:r>
            <w:tab/>
          </w:r>
          <w:r>
            <w:fldChar w:fldCharType="begin"/>
          </w:r>
          <w:r>
            <w:instrText xml:space="preserve"> PAGEREF _Toc23886 \h </w:instrText>
          </w:r>
          <w:r>
            <w:fldChar w:fldCharType="separate"/>
          </w:r>
          <w:r>
            <w:t>5</w:t>
          </w:r>
          <w:r>
            <w:fldChar w:fldCharType="end"/>
          </w:r>
          <w:r>
            <w:fldChar w:fldCharType="end"/>
          </w:r>
        </w:p>
        <w:p w14:paraId="03A64132">
          <w:pPr>
            <w:pStyle w:val="11"/>
            <w:tabs>
              <w:tab w:val="right" w:leader="dot" w:pos="8845"/>
              <w:tab w:val="clear" w:pos="8296"/>
            </w:tabs>
            <w:spacing w:line="360" w:lineRule="auto"/>
          </w:pPr>
          <w:r>
            <w:fldChar w:fldCharType="begin"/>
          </w:r>
          <w:r>
            <w:instrText xml:space="preserve"> HYPERLINK \l _Toc7283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2024年度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tab/>
          </w:r>
          <w:r>
            <w:fldChar w:fldCharType="begin"/>
          </w:r>
          <w:r>
            <w:instrText xml:space="preserve"> PAGEREF _Toc7283 \h </w:instrText>
          </w:r>
          <w:r>
            <w:fldChar w:fldCharType="separate"/>
          </w:r>
          <w:r>
            <w:t>6</w:t>
          </w:r>
          <w:r>
            <w:fldChar w:fldCharType="end"/>
          </w:r>
          <w:r>
            <w:fldChar w:fldCharType="end"/>
          </w:r>
        </w:p>
        <w:p w14:paraId="3E8E132C">
          <w:pPr>
            <w:pStyle w:val="12"/>
            <w:tabs>
              <w:tab w:val="right" w:leader="dot" w:pos="8845"/>
              <w:tab w:val="clear" w:pos="8296"/>
            </w:tabs>
            <w:spacing w:line="360" w:lineRule="auto"/>
          </w:pPr>
          <w:r>
            <w:fldChar w:fldCharType="begin"/>
          </w:r>
          <w:r>
            <w:instrText xml:space="preserve"> HYPERLINK \l _Toc30662 </w:instrText>
          </w:r>
          <w:r>
            <w:fldChar w:fldCharType="separate"/>
          </w:r>
          <w:r>
            <w:rPr>
              <w:rFonts w:hint="eastAsia" w:ascii="黑体" w:hAnsi="黑体" w:eastAsia="黑体"/>
              <w:szCs w:val="32"/>
              <w:highlight w:val="none"/>
              <w:lang w:eastAsia="zh-CN"/>
            </w:rPr>
            <w:t>一、收入支出决算总体情况说明</w:t>
          </w:r>
          <w:r>
            <w:tab/>
          </w:r>
          <w:r>
            <w:fldChar w:fldCharType="begin"/>
          </w:r>
          <w:r>
            <w:instrText xml:space="preserve"> PAGEREF _Toc30662 \h </w:instrText>
          </w:r>
          <w:r>
            <w:fldChar w:fldCharType="separate"/>
          </w:r>
          <w:r>
            <w:t>6</w:t>
          </w:r>
          <w:r>
            <w:fldChar w:fldCharType="end"/>
          </w:r>
          <w:r>
            <w:fldChar w:fldCharType="end"/>
          </w:r>
        </w:p>
        <w:p w14:paraId="0D3B96B1">
          <w:pPr>
            <w:pStyle w:val="12"/>
            <w:tabs>
              <w:tab w:val="right" w:leader="dot" w:pos="8845"/>
              <w:tab w:val="clear" w:pos="8296"/>
            </w:tabs>
            <w:spacing w:line="360" w:lineRule="auto"/>
          </w:pPr>
          <w:r>
            <w:fldChar w:fldCharType="begin"/>
          </w:r>
          <w:r>
            <w:instrText xml:space="preserve"> HYPERLINK \l _Toc25471 </w:instrText>
          </w:r>
          <w:r>
            <w:fldChar w:fldCharType="separate"/>
          </w:r>
          <w:r>
            <w:rPr>
              <w:rFonts w:hint="eastAsia" w:ascii="黑体" w:hAnsi="黑体" w:eastAsia="黑体"/>
              <w:szCs w:val="32"/>
              <w:highlight w:val="none"/>
              <w:lang w:eastAsia="zh-CN"/>
            </w:rPr>
            <w:t>二、收入决算情况说明</w:t>
          </w:r>
          <w:r>
            <w:tab/>
          </w:r>
          <w:r>
            <w:fldChar w:fldCharType="begin"/>
          </w:r>
          <w:r>
            <w:instrText xml:space="preserve"> PAGEREF _Toc25471 \h </w:instrText>
          </w:r>
          <w:r>
            <w:fldChar w:fldCharType="separate"/>
          </w:r>
          <w:r>
            <w:t>6</w:t>
          </w:r>
          <w:r>
            <w:fldChar w:fldCharType="end"/>
          </w:r>
          <w:r>
            <w:fldChar w:fldCharType="end"/>
          </w:r>
        </w:p>
        <w:p w14:paraId="175264D6">
          <w:pPr>
            <w:pStyle w:val="12"/>
            <w:tabs>
              <w:tab w:val="right" w:leader="dot" w:pos="8845"/>
              <w:tab w:val="clear" w:pos="8296"/>
            </w:tabs>
            <w:spacing w:line="360" w:lineRule="auto"/>
          </w:pPr>
          <w:r>
            <w:fldChar w:fldCharType="begin"/>
          </w:r>
          <w:r>
            <w:instrText xml:space="preserve"> HYPERLINK \l _Toc25204 </w:instrText>
          </w:r>
          <w:r>
            <w:fldChar w:fldCharType="separate"/>
          </w:r>
          <w:r>
            <w:rPr>
              <w:rFonts w:hint="eastAsia" w:ascii="黑体" w:hAnsi="黑体" w:eastAsia="黑体"/>
              <w:szCs w:val="32"/>
              <w:highlight w:val="none"/>
              <w:lang w:eastAsia="zh-CN"/>
            </w:rPr>
            <w:t>三、支出决算情况说明</w:t>
          </w:r>
          <w:r>
            <w:tab/>
          </w:r>
          <w:r>
            <w:fldChar w:fldCharType="begin"/>
          </w:r>
          <w:r>
            <w:instrText xml:space="preserve"> PAGEREF _Toc25204 \h </w:instrText>
          </w:r>
          <w:r>
            <w:fldChar w:fldCharType="separate"/>
          </w:r>
          <w:r>
            <w:t>7</w:t>
          </w:r>
          <w:r>
            <w:fldChar w:fldCharType="end"/>
          </w:r>
          <w:r>
            <w:fldChar w:fldCharType="end"/>
          </w:r>
        </w:p>
        <w:p w14:paraId="7BBE4797">
          <w:pPr>
            <w:pStyle w:val="12"/>
            <w:tabs>
              <w:tab w:val="right" w:leader="dot" w:pos="8845"/>
              <w:tab w:val="clear" w:pos="8296"/>
            </w:tabs>
            <w:spacing w:line="360" w:lineRule="auto"/>
          </w:pPr>
          <w:r>
            <w:fldChar w:fldCharType="begin"/>
          </w:r>
          <w:r>
            <w:instrText xml:space="preserve"> HYPERLINK \l _Toc20295 </w:instrText>
          </w:r>
          <w:r>
            <w:fldChar w:fldCharType="separate"/>
          </w:r>
          <w:r>
            <w:rPr>
              <w:rFonts w:hint="eastAsia" w:ascii="黑体" w:hAnsi="黑体" w:eastAsia="黑体"/>
              <w:szCs w:val="32"/>
              <w:highlight w:val="none"/>
              <w:lang w:eastAsia="zh-CN"/>
            </w:rPr>
            <w:t>四、财政拨款收入支出决算总体情况说明</w:t>
          </w:r>
          <w:r>
            <w:tab/>
          </w:r>
          <w:r>
            <w:fldChar w:fldCharType="begin"/>
          </w:r>
          <w:r>
            <w:instrText xml:space="preserve"> PAGEREF _Toc20295 \h </w:instrText>
          </w:r>
          <w:r>
            <w:fldChar w:fldCharType="separate"/>
          </w:r>
          <w:r>
            <w:t>8</w:t>
          </w:r>
          <w:r>
            <w:fldChar w:fldCharType="end"/>
          </w:r>
          <w:r>
            <w:fldChar w:fldCharType="end"/>
          </w:r>
        </w:p>
        <w:p w14:paraId="033199D7">
          <w:pPr>
            <w:pStyle w:val="12"/>
            <w:tabs>
              <w:tab w:val="right" w:leader="dot" w:pos="8845"/>
              <w:tab w:val="clear" w:pos="8296"/>
            </w:tabs>
            <w:spacing w:line="360" w:lineRule="auto"/>
          </w:pPr>
          <w:r>
            <w:fldChar w:fldCharType="begin"/>
          </w:r>
          <w:r>
            <w:instrText xml:space="preserve"> HYPERLINK \l _Toc31785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_Toc31785 \h </w:instrText>
          </w:r>
          <w:r>
            <w:fldChar w:fldCharType="separate"/>
          </w:r>
          <w:r>
            <w:t>8</w:t>
          </w:r>
          <w:r>
            <w:fldChar w:fldCharType="end"/>
          </w:r>
          <w:r>
            <w:fldChar w:fldCharType="end"/>
          </w:r>
        </w:p>
        <w:p w14:paraId="0FB7756F">
          <w:pPr>
            <w:pStyle w:val="12"/>
            <w:tabs>
              <w:tab w:val="right" w:leader="dot" w:pos="8845"/>
              <w:tab w:val="clear" w:pos="8296"/>
            </w:tabs>
            <w:spacing w:line="360" w:lineRule="auto"/>
          </w:pPr>
          <w:r>
            <w:fldChar w:fldCharType="begin"/>
          </w:r>
          <w:r>
            <w:instrText xml:space="preserve"> HYPERLINK \l _Toc11779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_Toc11779 \h </w:instrText>
          </w:r>
          <w:r>
            <w:fldChar w:fldCharType="separate"/>
          </w:r>
          <w:r>
            <w:t>12</w:t>
          </w:r>
          <w:r>
            <w:fldChar w:fldCharType="end"/>
          </w:r>
          <w:r>
            <w:fldChar w:fldCharType="end"/>
          </w:r>
        </w:p>
        <w:p w14:paraId="36A04264">
          <w:pPr>
            <w:pStyle w:val="12"/>
            <w:tabs>
              <w:tab w:val="right" w:leader="dot" w:pos="8845"/>
              <w:tab w:val="clear" w:pos="8296"/>
            </w:tabs>
            <w:spacing w:line="360" w:lineRule="auto"/>
          </w:pPr>
          <w:r>
            <w:fldChar w:fldCharType="begin"/>
          </w:r>
          <w:r>
            <w:instrText xml:space="preserve"> HYPERLINK \l _Toc3924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_Toc3924 \h </w:instrText>
          </w:r>
          <w:r>
            <w:fldChar w:fldCharType="separate"/>
          </w:r>
          <w:r>
            <w:t>12</w:t>
          </w:r>
          <w:r>
            <w:fldChar w:fldCharType="end"/>
          </w:r>
          <w:r>
            <w:fldChar w:fldCharType="end"/>
          </w:r>
        </w:p>
        <w:p w14:paraId="1E0F2370">
          <w:pPr>
            <w:pStyle w:val="12"/>
            <w:tabs>
              <w:tab w:val="right" w:leader="dot" w:pos="8845"/>
              <w:tab w:val="clear" w:pos="8296"/>
            </w:tabs>
            <w:spacing w:line="360" w:lineRule="auto"/>
          </w:pPr>
          <w:r>
            <w:fldChar w:fldCharType="begin"/>
          </w:r>
          <w:r>
            <w:instrText xml:space="preserve"> HYPERLINK \l _Toc4030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_Toc4030 \h </w:instrText>
          </w:r>
          <w:r>
            <w:fldChar w:fldCharType="separate"/>
          </w:r>
          <w:r>
            <w:t>15</w:t>
          </w:r>
          <w:r>
            <w:fldChar w:fldCharType="end"/>
          </w:r>
          <w:r>
            <w:fldChar w:fldCharType="end"/>
          </w:r>
        </w:p>
        <w:p w14:paraId="0398D2EB">
          <w:pPr>
            <w:pStyle w:val="12"/>
            <w:tabs>
              <w:tab w:val="right" w:leader="dot" w:pos="8845"/>
              <w:tab w:val="clear" w:pos="8296"/>
            </w:tabs>
            <w:spacing w:line="360" w:lineRule="auto"/>
          </w:pPr>
          <w:r>
            <w:fldChar w:fldCharType="begin"/>
          </w:r>
          <w:r>
            <w:instrText xml:space="preserve"> HYPERLINK \l _Toc21616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_Toc21616 \h </w:instrText>
          </w:r>
          <w:r>
            <w:fldChar w:fldCharType="separate"/>
          </w:r>
          <w:r>
            <w:t>15</w:t>
          </w:r>
          <w:r>
            <w:fldChar w:fldCharType="end"/>
          </w:r>
          <w:r>
            <w:fldChar w:fldCharType="end"/>
          </w:r>
        </w:p>
        <w:p w14:paraId="3CC3ACDF">
          <w:pPr>
            <w:pStyle w:val="12"/>
            <w:tabs>
              <w:tab w:val="right" w:leader="dot" w:pos="8845"/>
              <w:tab w:val="clear" w:pos="8296"/>
            </w:tabs>
            <w:spacing w:line="360" w:lineRule="auto"/>
          </w:pPr>
          <w:r>
            <w:fldChar w:fldCharType="begin"/>
          </w:r>
          <w:r>
            <w:instrText xml:space="preserve"> HYPERLINK \l _Toc13315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_Toc13315 \h </w:instrText>
          </w:r>
          <w:r>
            <w:fldChar w:fldCharType="separate"/>
          </w:r>
          <w:r>
            <w:t>15</w:t>
          </w:r>
          <w:r>
            <w:fldChar w:fldCharType="end"/>
          </w:r>
          <w:r>
            <w:fldChar w:fldCharType="end"/>
          </w:r>
        </w:p>
        <w:p w14:paraId="67A48484">
          <w:pPr>
            <w:pStyle w:val="11"/>
            <w:tabs>
              <w:tab w:val="right" w:leader="dot" w:pos="8845"/>
              <w:tab w:val="clear" w:pos="8296"/>
            </w:tabs>
            <w:spacing w:line="360" w:lineRule="auto"/>
          </w:pPr>
          <w:r>
            <w:fldChar w:fldCharType="begin"/>
          </w:r>
          <w:r>
            <w:instrText xml:space="preserve"> HYPERLINK \l _Toc24691 </w:instrText>
          </w:r>
          <w:r>
            <w:fldChar w:fldCharType="separate"/>
          </w:r>
          <w:r>
            <w:rPr>
              <w:rFonts w:hint="eastAsia" w:ascii="黑体" w:hAnsi="黑体" w:eastAsia="黑体"/>
              <w:szCs w:val="44"/>
              <w:highlight w:val="none"/>
              <w:lang w:eastAsia="zh-CN"/>
            </w:rPr>
            <w:t>第三部分</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_Toc24691 \h </w:instrText>
          </w:r>
          <w:r>
            <w:fldChar w:fldCharType="separate"/>
          </w:r>
          <w:r>
            <w:t>17</w:t>
          </w:r>
          <w:r>
            <w:fldChar w:fldCharType="end"/>
          </w:r>
          <w:r>
            <w:fldChar w:fldCharType="end"/>
          </w:r>
        </w:p>
        <w:p w14:paraId="4A7D5935">
          <w:pPr>
            <w:pStyle w:val="11"/>
            <w:tabs>
              <w:tab w:val="right" w:leader="dot" w:pos="8845"/>
              <w:tab w:val="clear" w:pos="8296"/>
            </w:tabs>
            <w:spacing w:line="360" w:lineRule="auto"/>
          </w:pPr>
          <w:r>
            <w:fldChar w:fldCharType="begin"/>
          </w:r>
          <w:r>
            <w:instrText xml:space="preserve"> HYPERLINK \l _Toc15371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_Toc15371 \h </w:instrText>
          </w:r>
          <w:r>
            <w:fldChar w:fldCharType="separate"/>
          </w:r>
          <w:r>
            <w:t>21</w:t>
          </w:r>
          <w:r>
            <w:fldChar w:fldCharType="end"/>
          </w:r>
          <w:r>
            <w:fldChar w:fldCharType="end"/>
          </w:r>
        </w:p>
        <w:p w14:paraId="4ECCC832">
          <w:pPr>
            <w:pStyle w:val="11"/>
            <w:tabs>
              <w:tab w:val="right" w:leader="dot" w:pos="8845"/>
              <w:tab w:val="clear" w:pos="8296"/>
            </w:tabs>
            <w:spacing w:line="360" w:lineRule="auto"/>
          </w:pPr>
          <w:r>
            <w:fldChar w:fldCharType="begin"/>
          </w:r>
          <w:r>
            <w:instrText xml:space="preserve"> HYPERLINK \l _Toc19285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_Toc19285 \h </w:instrText>
          </w:r>
          <w:r>
            <w:fldChar w:fldCharType="separate"/>
          </w:r>
          <w:r>
            <w:t>22</w:t>
          </w:r>
          <w:r>
            <w:fldChar w:fldCharType="end"/>
          </w:r>
          <w:r>
            <w:fldChar w:fldCharType="end"/>
          </w:r>
        </w:p>
        <w:p w14:paraId="6EE48098">
          <w:pPr>
            <w:pStyle w:val="12"/>
            <w:tabs>
              <w:tab w:val="right" w:leader="dot" w:pos="8845"/>
              <w:tab w:val="clear" w:pos="8296"/>
            </w:tabs>
            <w:spacing w:line="360" w:lineRule="auto"/>
          </w:pPr>
          <w:r>
            <w:fldChar w:fldCharType="begin"/>
          </w:r>
          <w:r>
            <w:instrText xml:space="preserve"> HYPERLINK \l _Toc31713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_Toc31713 \h </w:instrText>
          </w:r>
          <w:r>
            <w:fldChar w:fldCharType="separate"/>
          </w:r>
          <w:r>
            <w:t>22</w:t>
          </w:r>
          <w:r>
            <w:fldChar w:fldCharType="end"/>
          </w:r>
          <w:r>
            <w:fldChar w:fldCharType="end"/>
          </w:r>
        </w:p>
        <w:p w14:paraId="48F58D43">
          <w:pPr>
            <w:pStyle w:val="12"/>
            <w:tabs>
              <w:tab w:val="right" w:leader="dot" w:pos="8845"/>
              <w:tab w:val="clear" w:pos="8296"/>
            </w:tabs>
            <w:spacing w:line="360" w:lineRule="auto"/>
          </w:pPr>
          <w:r>
            <w:fldChar w:fldCharType="begin"/>
          </w:r>
          <w:r>
            <w:instrText xml:space="preserve"> HYPERLINK \l _Toc27175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_Toc27175 \h </w:instrText>
          </w:r>
          <w:r>
            <w:fldChar w:fldCharType="separate"/>
          </w:r>
          <w:r>
            <w:t>22</w:t>
          </w:r>
          <w:r>
            <w:fldChar w:fldCharType="end"/>
          </w:r>
          <w:r>
            <w:fldChar w:fldCharType="end"/>
          </w:r>
        </w:p>
        <w:p w14:paraId="7812223C">
          <w:pPr>
            <w:pStyle w:val="12"/>
            <w:tabs>
              <w:tab w:val="right" w:leader="dot" w:pos="8845"/>
              <w:tab w:val="clear" w:pos="8296"/>
            </w:tabs>
            <w:spacing w:line="360" w:lineRule="auto"/>
          </w:pPr>
          <w:r>
            <w:fldChar w:fldCharType="begin"/>
          </w:r>
          <w:r>
            <w:instrText xml:space="preserve"> HYPERLINK \l _Toc10310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_Toc10310 \h </w:instrText>
          </w:r>
          <w:r>
            <w:fldChar w:fldCharType="separate"/>
          </w:r>
          <w:r>
            <w:t>22</w:t>
          </w:r>
          <w:r>
            <w:fldChar w:fldCharType="end"/>
          </w:r>
          <w:r>
            <w:fldChar w:fldCharType="end"/>
          </w:r>
        </w:p>
        <w:p w14:paraId="40D5553F">
          <w:pPr>
            <w:pStyle w:val="12"/>
            <w:tabs>
              <w:tab w:val="right" w:leader="dot" w:pos="8845"/>
              <w:tab w:val="clear" w:pos="8296"/>
            </w:tabs>
            <w:spacing w:line="360" w:lineRule="auto"/>
          </w:pPr>
          <w:r>
            <w:fldChar w:fldCharType="begin"/>
          </w:r>
          <w:r>
            <w:instrText xml:space="preserve"> HYPERLINK \l _Toc30981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_Toc30981 \h </w:instrText>
          </w:r>
          <w:r>
            <w:fldChar w:fldCharType="separate"/>
          </w:r>
          <w:r>
            <w:t>22</w:t>
          </w:r>
          <w:r>
            <w:fldChar w:fldCharType="end"/>
          </w:r>
          <w:r>
            <w:fldChar w:fldCharType="end"/>
          </w:r>
        </w:p>
        <w:p w14:paraId="6E739B70">
          <w:pPr>
            <w:pStyle w:val="12"/>
            <w:tabs>
              <w:tab w:val="right" w:leader="dot" w:pos="8845"/>
              <w:tab w:val="clear" w:pos="8296"/>
            </w:tabs>
            <w:spacing w:line="360" w:lineRule="auto"/>
          </w:pPr>
          <w:r>
            <w:fldChar w:fldCharType="begin"/>
          </w:r>
          <w:r>
            <w:instrText xml:space="preserve"> HYPERLINK \l _Toc13216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_Toc13216 \h </w:instrText>
          </w:r>
          <w:r>
            <w:fldChar w:fldCharType="separate"/>
          </w:r>
          <w:r>
            <w:t>22</w:t>
          </w:r>
          <w:r>
            <w:fldChar w:fldCharType="end"/>
          </w:r>
          <w:r>
            <w:fldChar w:fldCharType="end"/>
          </w:r>
        </w:p>
        <w:p w14:paraId="4DE1811A">
          <w:pPr>
            <w:pStyle w:val="12"/>
            <w:tabs>
              <w:tab w:val="right" w:leader="dot" w:pos="8845"/>
              <w:tab w:val="clear" w:pos="8296"/>
            </w:tabs>
            <w:spacing w:line="360" w:lineRule="auto"/>
          </w:pPr>
          <w:r>
            <w:fldChar w:fldCharType="begin"/>
          </w:r>
          <w:r>
            <w:instrText xml:space="preserve"> HYPERLINK \l _Toc21180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_Toc21180 \h </w:instrText>
          </w:r>
          <w:r>
            <w:fldChar w:fldCharType="separate"/>
          </w:r>
          <w:r>
            <w:t>22</w:t>
          </w:r>
          <w:r>
            <w:fldChar w:fldCharType="end"/>
          </w:r>
          <w:r>
            <w:fldChar w:fldCharType="end"/>
          </w:r>
        </w:p>
        <w:p w14:paraId="6203E306">
          <w:pPr>
            <w:pStyle w:val="12"/>
            <w:tabs>
              <w:tab w:val="right" w:leader="dot" w:pos="8845"/>
              <w:tab w:val="clear" w:pos="8296"/>
            </w:tabs>
            <w:spacing w:line="360" w:lineRule="auto"/>
          </w:pPr>
          <w:r>
            <w:fldChar w:fldCharType="begin"/>
          </w:r>
          <w:r>
            <w:instrText xml:space="preserve"> HYPERLINK \l _Toc18514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_Toc18514 \h </w:instrText>
          </w:r>
          <w:r>
            <w:fldChar w:fldCharType="separate"/>
          </w:r>
          <w:r>
            <w:t>22</w:t>
          </w:r>
          <w:r>
            <w:fldChar w:fldCharType="end"/>
          </w:r>
          <w:r>
            <w:fldChar w:fldCharType="end"/>
          </w:r>
        </w:p>
        <w:p w14:paraId="376D6C9C">
          <w:pPr>
            <w:pStyle w:val="12"/>
            <w:tabs>
              <w:tab w:val="right" w:leader="dot" w:pos="8845"/>
              <w:tab w:val="clear" w:pos="8296"/>
            </w:tabs>
            <w:spacing w:line="360" w:lineRule="auto"/>
          </w:pPr>
          <w:r>
            <w:fldChar w:fldCharType="begin"/>
          </w:r>
          <w:r>
            <w:instrText xml:space="preserve"> HYPERLINK \l _Toc28605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_Toc28605 \h </w:instrText>
          </w:r>
          <w:r>
            <w:fldChar w:fldCharType="separate"/>
          </w:r>
          <w:r>
            <w:t>22</w:t>
          </w:r>
          <w:r>
            <w:fldChar w:fldCharType="end"/>
          </w:r>
          <w:r>
            <w:fldChar w:fldCharType="end"/>
          </w:r>
        </w:p>
        <w:p w14:paraId="3A801260">
          <w:pPr>
            <w:pStyle w:val="12"/>
            <w:tabs>
              <w:tab w:val="right" w:leader="dot" w:pos="8845"/>
              <w:tab w:val="clear" w:pos="8296"/>
            </w:tabs>
            <w:spacing w:line="360" w:lineRule="auto"/>
          </w:pPr>
          <w:r>
            <w:fldChar w:fldCharType="begin"/>
          </w:r>
          <w:r>
            <w:instrText xml:space="preserve"> HYPERLINK \l _Toc11626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_Toc11626 \h </w:instrText>
          </w:r>
          <w:r>
            <w:fldChar w:fldCharType="separate"/>
          </w:r>
          <w:r>
            <w:t>22</w:t>
          </w:r>
          <w:r>
            <w:fldChar w:fldCharType="end"/>
          </w:r>
          <w:r>
            <w:fldChar w:fldCharType="end"/>
          </w:r>
        </w:p>
        <w:p w14:paraId="7115B1E2">
          <w:pPr>
            <w:pStyle w:val="12"/>
            <w:tabs>
              <w:tab w:val="right" w:leader="dot" w:pos="8845"/>
              <w:tab w:val="clear" w:pos="8296"/>
            </w:tabs>
            <w:spacing w:line="360" w:lineRule="auto"/>
          </w:pPr>
          <w:r>
            <w:fldChar w:fldCharType="begin"/>
          </w:r>
          <w:r>
            <w:instrText xml:space="preserve"> HYPERLINK \l _Toc22234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_Toc22234 \h </w:instrText>
          </w:r>
          <w:r>
            <w:fldChar w:fldCharType="separate"/>
          </w:r>
          <w:r>
            <w:t>22</w:t>
          </w:r>
          <w:r>
            <w:fldChar w:fldCharType="end"/>
          </w:r>
          <w:r>
            <w:fldChar w:fldCharType="end"/>
          </w:r>
        </w:p>
        <w:p w14:paraId="5D0BC9A1">
          <w:pPr>
            <w:pStyle w:val="12"/>
            <w:tabs>
              <w:tab w:val="right" w:leader="dot" w:pos="8845"/>
              <w:tab w:val="clear" w:pos="8296"/>
            </w:tabs>
            <w:spacing w:line="360" w:lineRule="auto"/>
          </w:pPr>
          <w:r>
            <w:fldChar w:fldCharType="begin"/>
          </w:r>
          <w:r>
            <w:instrText xml:space="preserve"> HYPERLINK \l _Toc8371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_Toc8371 \h </w:instrText>
          </w:r>
          <w:r>
            <w:fldChar w:fldCharType="separate"/>
          </w:r>
          <w:r>
            <w:t>22</w:t>
          </w:r>
          <w:r>
            <w:fldChar w:fldCharType="end"/>
          </w:r>
          <w:r>
            <w:fldChar w:fldCharType="end"/>
          </w:r>
        </w:p>
        <w:p w14:paraId="728BA545">
          <w:pPr>
            <w:pStyle w:val="12"/>
            <w:tabs>
              <w:tab w:val="right" w:leader="dot" w:pos="8845"/>
              <w:tab w:val="clear" w:pos="8296"/>
            </w:tabs>
            <w:spacing w:line="360" w:lineRule="auto"/>
          </w:pPr>
          <w:r>
            <w:fldChar w:fldCharType="begin"/>
          </w:r>
          <w:r>
            <w:instrText xml:space="preserve"> HYPERLINK \l _Toc19675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_Toc19675 \h </w:instrText>
          </w:r>
          <w:r>
            <w:fldChar w:fldCharType="separate"/>
          </w:r>
          <w:r>
            <w:t>22</w:t>
          </w:r>
          <w:r>
            <w:fldChar w:fldCharType="end"/>
          </w:r>
          <w:r>
            <w:fldChar w:fldCharType="end"/>
          </w:r>
        </w:p>
        <w:p w14:paraId="49B5EE5D">
          <w:pPr>
            <w:pStyle w:val="12"/>
            <w:tabs>
              <w:tab w:val="right" w:leader="dot" w:pos="8845"/>
              <w:tab w:val="clear" w:pos="8296"/>
            </w:tabs>
            <w:spacing w:line="360" w:lineRule="auto"/>
          </w:pPr>
          <w:r>
            <w:fldChar w:fldCharType="begin"/>
          </w:r>
          <w:r>
            <w:instrText xml:space="preserve"> HYPERLINK \l _Toc22198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_Toc22198 \h </w:instrText>
          </w:r>
          <w:r>
            <w:fldChar w:fldCharType="separate"/>
          </w:r>
          <w:r>
            <w:t>22</w:t>
          </w:r>
          <w:r>
            <w:fldChar w:fldCharType="end"/>
          </w:r>
          <w:r>
            <w:fldChar w:fldCharType="end"/>
          </w:r>
        </w:p>
        <w:p w14:paraId="42D774E1">
          <w:pPr>
            <w:spacing w:before="0" w:beforeLines="0" w:after="0" w:afterLines="0" w:line="240" w:lineRule="auto"/>
            <w:ind w:left="0" w:leftChars="0" w:right="0" w:rightChars="0" w:firstLine="0" w:firstLineChars="0"/>
            <w:jc w:val="center"/>
          </w:pPr>
          <w:r>
            <w:fldChar w:fldCharType="end"/>
          </w:r>
        </w:p>
      </w:sdtContent>
    </w:sdt>
    <w:p w14:paraId="52EF6B6C">
      <w:pPr>
        <w:pStyle w:val="3"/>
        <w:pageBreakBefore w:val="0"/>
        <w:kinsoku/>
        <w:wordWrap/>
        <w:overflowPunct/>
        <w:topLinePunct w:val="0"/>
        <w:bidi w:val="0"/>
        <w:snapToGrid/>
        <w:spacing w:before="0" w:after="0" w:line="576" w:lineRule="exact"/>
        <w:ind w:left="0" w:right="0"/>
        <w:jc w:val="center"/>
        <w:textAlignment w:val="auto"/>
        <w:rPr>
          <w:rFonts w:hint="eastAsia" w:ascii="黑体" w:hAnsi="黑体" w:eastAsia="黑体"/>
          <w:b w:val="0"/>
          <w:color w:val="auto"/>
          <w:highlight w:val="none"/>
        </w:rPr>
        <w:sectPr>
          <w:headerReference r:id="rId3" w:type="default"/>
          <w:pgSz w:w="11906" w:h="16838"/>
          <w:pgMar w:top="2098" w:right="1474" w:bottom="1984" w:left="1587" w:header="851" w:footer="992" w:gutter="0"/>
          <w:pgNumType w:start="1"/>
          <w:cols w:space="425" w:num="1"/>
          <w:titlePg/>
          <w:docGrid w:type="lines" w:linePitch="312" w:charSpace="0"/>
        </w:sectPr>
      </w:pPr>
      <w:bookmarkStart w:id="20" w:name="_Toc28869"/>
    </w:p>
    <w:p w14:paraId="5845C2FA">
      <w:pPr>
        <w:pStyle w:val="3"/>
        <w:pageBreakBefore w:val="0"/>
        <w:kinsoku/>
        <w:wordWrap/>
        <w:overflowPunct/>
        <w:topLinePunct w:val="0"/>
        <w:bidi w:val="0"/>
        <w:snapToGrid/>
        <w:spacing w:before="0" w:after="0" w:line="576" w:lineRule="exact"/>
        <w:ind w:left="0" w:right="0"/>
        <w:jc w:val="center"/>
        <w:textAlignment w:val="auto"/>
        <w:rPr>
          <w:rStyle w:val="17"/>
          <w:rFonts w:ascii="黑体" w:hAnsi="黑体" w:eastAsia="黑体"/>
          <w:b/>
          <w:bCs w:val="0"/>
          <w:color w:val="auto"/>
          <w:highlight w:val="none"/>
        </w:rPr>
      </w:pPr>
      <w:bookmarkStart w:id="21" w:name="_Toc15383"/>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7"/>
          <w:rFonts w:hint="eastAsia" w:ascii="黑体" w:hAnsi="黑体" w:eastAsia="黑体"/>
          <w:b w:val="0"/>
          <w:bCs w:val="0"/>
          <w:color w:val="auto"/>
          <w:highlight w:val="none"/>
        </w:rPr>
        <w:t>概况</w:t>
      </w:r>
      <w:bookmarkEnd w:id="18"/>
      <w:bookmarkEnd w:id="19"/>
      <w:bookmarkEnd w:id="20"/>
      <w:bookmarkEnd w:id="21"/>
    </w:p>
    <w:p w14:paraId="2635D5DE">
      <w:pPr>
        <w:pageBreakBefore w:val="0"/>
        <w:widowControl/>
        <w:kinsoku/>
        <w:wordWrap/>
        <w:overflowPunct/>
        <w:topLinePunct w:val="0"/>
        <w:bidi w:val="0"/>
        <w:snapToGrid/>
        <w:spacing w:line="576" w:lineRule="exact"/>
        <w:ind w:left="0" w:right="0"/>
        <w:jc w:val="left"/>
        <w:textAlignment w:val="auto"/>
        <w:rPr>
          <w:rFonts w:ascii="黑体" w:eastAsia="黑体"/>
          <w:color w:val="auto"/>
          <w:sz w:val="32"/>
          <w:szCs w:val="32"/>
          <w:highlight w:val="none"/>
        </w:rPr>
      </w:pPr>
    </w:p>
    <w:p w14:paraId="6D5A9CB3">
      <w:pPr>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Style w:val="18"/>
          <w:rFonts w:hint="eastAsia" w:ascii="黑体" w:hAnsi="黑体" w:eastAsia="黑体"/>
          <w:b w:val="0"/>
          <w:bCs w:val="0"/>
          <w:color w:val="auto"/>
          <w:highlight w:val="none"/>
          <w:lang w:eastAsia="zh-CN"/>
        </w:rPr>
      </w:pPr>
      <w:bookmarkStart w:id="22" w:name="_Toc15995"/>
      <w:bookmarkStart w:id="23" w:name="_Toc18611"/>
      <w:bookmarkStart w:id="24" w:name="_Toc15377197"/>
      <w:bookmarkStart w:id="25" w:name="_Toc15396600"/>
      <w:r>
        <w:rPr>
          <w:rStyle w:val="18"/>
          <w:rFonts w:hint="eastAsia" w:ascii="黑体" w:hAnsi="黑体" w:eastAsia="黑体"/>
          <w:b w:val="0"/>
          <w:bCs w:val="0"/>
          <w:color w:val="auto"/>
          <w:highlight w:val="none"/>
          <w:lang w:val="en-US" w:eastAsia="zh-CN"/>
        </w:rPr>
        <w:t>一、</w:t>
      </w:r>
      <w:r>
        <w:rPr>
          <w:rStyle w:val="18"/>
          <w:rFonts w:hint="eastAsia" w:ascii="黑体" w:hAnsi="黑体" w:eastAsia="黑体"/>
          <w:b w:val="0"/>
          <w:bCs w:val="0"/>
          <w:color w:val="auto"/>
          <w:highlight w:val="none"/>
          <w:lang w:eastAsia="zh-CN"/>
        </w:rPr>
        <w:t>主要职责</w:t>
      </w:r>
      <w:bookmarkEnd w:id="22"/>
      <w:bookmarkEnd w:id="23"/>
    </w:p>
    <w:p w14:paraId="3394178F">
      <w:pPr>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规定权限，履行全民所有土地、矿产、森林、湿地、水等自然资源资产所有者职责和所有国土空间用途管制职责。拟订全市自然资源和国土空间规划地方性法规、政策规章草案，制定有关政策措施并监督检查执行情况。</w:t>
      </w:r>
    </w:p>
    <w:p w14:paraId="54974E18">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全市自然资源调查监测评价。依照自然资源调查监测评价的指标体系和统计标准，建立统一的自然资源调查监测评价制度。实施自然资源基础调查、专项调查和监测。负责自然资源调查监测评价成果的监督管理和信息发布。指导县区自然资源调查监测评价工作。</w:t>
      </w:r>
    </w:p>
    <w:p w14:paraId="753D0383">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全市自然资源统一确权登记工作。组织实施各类自然资源和不动产统一确权登记、权籍调查、不动产测绘、争议、调处、成果应用的制度、标准、规范。建立健全全市自然资源和不动产登记信息管理基础平台。负责自然资源和不动产登记资料收集、整理、共享、汇交管理等。指导监督自然资源和不动产确权登记工作。</w:t>
      </w:r>
    </w:p>
    <w:p w14:paraId="6923E8E4">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全市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14:paraId="733F4B9E">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全市自然资源的合理开发利用。组织拟订并实施自然资源发展规划和战略，建立政府公示自然资源价格体系，组织开展自然资源分等定级价格评估，开展自然资源利用评价考核，指导节约集约利用。负责自然资源</w:t>
      </w:r>
      <w:r>
        <w:rPr>
          <w:rFonts w:hint="eastAsia" w:ascii="仿宋_GB2312" w:hAnsi="仿宋_GB2312" w:eastAsia="仿宋_GB2312" w:cs="仿宋_GB2312"/>
          <w:color w:val="auto"/>
          <w:sz w:val="32"/>
          <w:szCs w:val="32"/>
          <w:highlight w:val="none"/>
          <w:lang w:eastAsia="zh-CN"/>
        </w:rPr>
        <w:t>市场监管</w:t>
      </w:r>
      <w:r>
        <w:rPr>
          <w:rFonts w:hint="eastAsia" w:ascii="仿宋_GB2312" w:hAnsi="仿宋_GB2312" w:eastAsia="仿宋_GB2312" w:cs="仿宋_GB2312"/>
          <w:color w:val="auto"/>
          <w:sz w:val="32"/>
          <w:szCs w:val="32"/>
          <w:highlight w:val="none"/>
        </w:rPr>
        <w:t>。组织研究自然资源管理涉及宏观调控、区域协调和城乡统筹的政策措施。</w:t>
      </w:r>
    </w:p>
    <w:p w14:paraId="4C340D37">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建立全市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w:t>
      </w:r>
    </w:p>
    <w:p w14:paraId="3DA5DF48">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统筹全市国土空间生态修复。牵头组织编制全市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14:paraId="33AC77BD">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组织实施最严格的耕地保护制度。牵头拟订并实施全市耕地保护政策，负责耕地数量、质量、生态保护。组织实施耕地保护责任目标考核和永久基本农田特殊保护。完善耕地占补平衡制度，监督占用耕地补偿制度执行情况。</w:t>
      </w:r>
    </w:p>
    <w:p w14:paraId="565F6CB5">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管理全市地质勘察和地质工作。拟订全市地质勘查规划并监督检查执行情况。组织实施重大地质矿产勘查专项。负责地质灾害预防和治理，监督管理地下水过量开采及引发的地面沉降等地质问题。负责古生物化石的监督管理。</w:t>
      </w:r>
    </w:p>
    <w:p w14:paraId="6271C0D1">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rPr>
        <w:t>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14:paraId="42C682D6">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负责全市矿产资源管理工作。负责矿产资源储量管理及压覆矿产资源审核报批。负责矿业权管理。会同有关部门承担保护性开采的特定矿种、优势矿产的调控及相关管理工作。监督指导矿产资源合理利用和保护。</w:t>
      </w:r>
    </w:p>
    <w:p w14:paraId="694F1B25">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（十二）</w:t>
      </w:r>
      <w:r>
        <w:rPr>
          <w:rFonts w:hint="eastAsia" w:ascii="仿宋_GB2312" w:hAnsi="仿宋_GB2312" w:eastAsia="仿宋_GB2312" w:cs="仿宋_GB2312"/>
          <w:color w:val="auto"/>
          <w:sz w:val="32"/>
          <w:szCs w:val="32"/>
          <w:highlight w:val="none"/>
        </w:rPr>
        <w:t>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w:t>
      </w:r>
    </w:p>
    <w:p w14:paraId="51B577E5">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配合国家对县区政府落实党中央、国务院关于自然资源和国土空间规划的重大方针政策、决策部署及法律法规执行情况进行督察。按照市委、市政府安排，组织实施自然资源督查相关工作。查处全市自然资源开发利用、国土空间规划等领域重大违法案件。指导县区有关行政执法工作。</w:t>
      </w:r>
    </w:p>
    <w:p w14:paraId="64D4C5BF">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负责职责范围内的安全生产和职业健康、生态环境保护、审批服务便民化等工作。</w:t>
      </w:r>
    </w:p>
    <w:p w14:paraId="118CEE70">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负责测绘地理信息管理。负责基础测绘和测绘行业管理。监督管理全市测绘地理信息安全和市场秩序。负责地理信息公共服务管理和测量标志保护。</w:t>
      </w:r>
    </w:p>
    <w:p w14:paraId="27AC5778">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统一领导和管理广元市林业局（简称林业局）。</w:t>
      </w:r>
    </w:p>
    <w:p w14:paraId="34AD37DF">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完成市委、市政府交办的其他任务。</w:t>
      </w:r>
    </w:p>
    <w:p w14:paraId="3BC3C007">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八）职能转变。落实关于统一行使全民所有自然资源所有者职责，统一行使所有者国土空间用途管制和生态保护修复职责的要求发挥国土空间规划的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14:paraId="006016F0">
      <w:pPr>
        <w:pageBreakBefore w:val="0"/>
        <w:widowControl w:val="0"/>
        <w:shd w:val="clear"/>
        <w:kinsoku/>
        <w:wordWrap/>
        <w:overflowPunct/>
        <w:topLinePunct w:val="0"/>
        <w:autoSpaceDE/>
        <w:autoSpaceDN/>
        <w:bidi w:val="0"/>
        <w:adjustRightInd/>
        <w:snapToGrid/>
        <w:spacing w:line="576" w:lineRule="exact"/>
        <w:ind w:left="0" w:leftChars="0" w:righ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bookmarkStart w:id="26" w:name="_Toc25707"/>
      <w:bookmarkStart w:id="27" w:name="_Toc18564"/>
      <w:r>
        <w:rPr>
          <w:rFonts w:hint="eastAsia" w:ascii="仿宋_GB2312" w:hAnsi="仿宋_GB2312" w:eastAsia="仿宋_GB2312" w:cs="仿宋_GB2312"/>
          <w:color w:val="auto"/>
          <w:sz w:val="32"/>
          <w:szCs w:val="32"/>
          <w:highlight w:val="none"/>
          <w:lang w:val="en-US" w:eastAsia="zh-CN"/>
        </w:rPr>
        <w:t>（十九）在自然灾害防救方面的职责分工。</w:t>
      </w:r>
      <w:bookmarkEnd w:id="26"/>
      <w:bookmarkEnd w:id="27"/>
    </w:p>
    <w:p w14:paraId="57DF1B0F">
      <w:pPr>
        <w:pStyle w:val="4"/>
        <w:pageBreakBefore w:val="0"/>
        <w:numPr>
          <w:ilvl w:val="0"/>
          <w:numId w:val="0"/>
        </w:numPr>
        <w:kinsoku/>
        <w:wordWrap/>
        <w:overflowPunct/>
        <w:topLinePunct w:val="0"/>
        <w:autoSpaceDE/>
        <w:autoSpaceDN/>
        <w:bidi w:val="0"/>
        <w:adjustRightInd/>
        <w:snapToGrid/>
        <w:spacing w:before="0" w:after="0" w:line="576" w:lineRule="exact"/>
        <w:ind w:left="0" w:right="0" w:firstLine="640" w:firstLineChars="200"/>
        <w:textAlignment w:val="auto"/>
        <w:rPr>
          <w:rFonts w:hint="eastAsia" w:ascii="黑体" w:hAnsi="黑体" w:eastAsia="黑体"/>
          <w:b w:val="0"/>
          <w:color w:val="auto"/>
          <w:highlight w:val="none"/>
          <w:lang w:val="en-US" w:eastAsia="zh-CN"/>
        </w:rPr>
      </w:pPr>
      <w:bookmarkStart w:id="28" w:name="_Toc23886"/>
      <w:bookmarkStart w:id="29" w:name="_Toc3379"/>
      <w:r>
        <w:rPr>
          <w:rFonts w:hint="eastAsia" w:ascii="黑体" w:hAnsi="黑体" w:eastAsia="黑体"/>
          <w:b w:val="0"/>
          <w:color w:val="auto"/>
          <w:highlight w:val="none"/>
          <w:lang w:val="en-US" w:eastAsia="zh-CN"/>
        </w:rPr>
        <w:t>二、机构设置</w:t>
      </w:r>
      <w:bookmarkEnd w:id="28"/>
      <w:bookmarkEnd w:id="29"/>
    </w:p>
    <w:bookmarkEnd w:id="24"/>
    <w:bookmarkEnd w:id="25"/>
    <w:p w14:paraId="15292AA3">
      <w:pPr>
        <w:pageBreakBefore w:val="0"/>
        <w:widowControl/>
        <w:kinsoku/>
        <w:wordWrap/>
        <w:overflowPunct/>
        <w:topLinePunct w:val="0"/>
        <w:autoSpaceDE/>
        <w:autoSpaceDN/>
        <w:bidi w:val="0"/>
        <w:adjustRightInd/>
        <w:snapToGrid/>
        <w:spacing w:line="576" w:lineRule="exact"/>
        <w:ind w:left="0" w:right="0" w:firstLine="640" w:firstLineChars="200"/>
        <w:jc w:val="left"/>
        <w:textAlignment w:val="auto"/>
        <w:rPr>
          <w:rFonts w:ascii="仿宋" w:hAnsi="仿宋" w:eastAsia="仿宋"/>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纳入广元市自然资源局</w:t>
      </w:r>
      <w:r>
        <w:rPr>
          <w:rFonts w:hint="default" w:ascii="仿宋_GB2312" w:hAnsi="仿宋_GB2312" w:eastAsia="仿宋_GB2312" w:cs="仿宋_GB2312"/>
          <w:color w:val="auto"/>
          <w:sz w:val="32"/>
          <w:szCs w:val="32"/>
          <w:highlight w:val="none"/>
          <w:lang w:eastAsia="zh-CN"/>
        </w:rPr>
        <w:t>（本级）属于广元市自然资源局部门的二级预算单位，为行政单位。</w:t>
      </w:r>
      <w:r>
        <w:rPr>
          <w:rFonts w:hint="eastAsia" w:ascii="仿宋_GB2312" w:hAnsi="仿宋_GB2312" w:eastAsia="仿宋_GB2312" w:cs="仿宋_GB2312"/>
          <w:color w:val="auto"/>
          <w:sz w:val="32"/>
          <w:szCs w:val="32"/>
          <w:highlight w:val="none"/>
          <w:lang w:val="en-US" w:eastAsia="zh-CN"/>
        </w:rPr>
        <w:t>2024年度单位决算编制范围的预算单位包括：广元市自然资源局（本级）。</w:t>
      </w:r>
      <w:r>
        <w:rPr>
          <w:rFonts w:ascii="仿宋" w:hAnsi="仿宋" w:eastAsia="仿宋"/>
          <w:color w:val="auto"/>
          <w:sz w:val="32"/>
          <w:szCs w:val="32"/>
          <w:highlight w:val="none"/>
        </w:rPr>
        <w:br w:type="page"/>
      </w:r>
    </w:p>
    <w:p w14:paraId="0CFE4C0C">
      <w:pPr>
        <w:pStyle w:val="3"/>
        <w:pageBreakBefore w:val="0"/>
        <w:kinsoku/>
        <w:wordWrap/>
        <w:overflowPunct/>
        <w:topLinePunct w:val="0"/>
        <w:bidi w:val="0"/>
        <w:snapToGrid/>
        <w:spacing w:before="0" w:after="0" w:line="576" w:lineRule="exact"/>
        <w:ind w:left="0" w:right="0"/>
        <w:jc w:val="center"/>
        <w:textAlignment w:val="auto"/>
        <w:rPr>
          <w:rStyle w:val="17"/>
          <w:rFonts w:ascii="黑体" w:hAnsi="黑体" w:eastAsia="黑体"/>
          <w:b w:val="0"/>
          <w:bCs/>
          <w:color w:val="auto"/>
          <w:highlight w:val="none"/>
        </w:rPr>
      </w:pPr>
      <w:bookmarkStart w:id="30" w:name="_Toc15396602"/>
      <w:bookmarkStart w:id="31" w:name="_Toc7283"/>
      <w:bookmarkStart w:id="32" w:name="_Toc15377204"/>
      <w:bookmarkStart w:id="33" w:name="_Toc29617"/>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17"/>
          <w:rFonts w:hint="eastAsia" w:ascii="黑体" w:hAnsi="黑体" w:eastAsia="黑体"/>
          <w:b w:val="0"/>
          <w:bCs/>
          <w:color w:val="auto"/>
          <w:highlight w:val="none"/>
          <w:lang w:eastAsia="zh-CN"/>
        </w:rPr>
        <w:t>单位</w:t>
      </w:r>
      <w:r>
        <w:rPr>
          <w:rStyle w:val="17"/>
          <w:rFonts w:hint="eastAsia" w:ascii="黑体" w:hAnsi="黑体" w:eastAsia="黑体"/>
          <w:b w:val="0"/>
          <w:bCs/>
          <w:color w:val="auto"/>
          <w:highlight w:val="none"/>
        </w:rPr>
        <w:t>决算情况说明</w:t>
      </w:r>
      <w:bookmarkEnd w:id="30"/>
      <w:bookmarkEnd w:id="31"/>
      <w:bookmarkEnd w:id="32"/>
      <w:bookmarkEnd w:id="33"/>
    </w:p>
    <w:p w14:paraId="737503E6">
      <w:pPr>
        <w:pageBreakBefore w:val="0"/>
        <w:kinsoku/>
        <w:wordWrap/>
        <w:overflowPunct/>
        <w:topLinePunct w:val="0"/>
        <w:bidi w:val="0"/>
        <w:snapToGrid/>
        <w:spacing w:line="576" w:lineRule="exact"/>
        <w:ind w:left="0" w:right="0"/>
        <w:textAlignment w:val="auto"/>
        <w:rPr>
          <w:color w:val="auto"/>
          <w:highlight w:val="none"/>
        </w:rPr>
      </w:pPr>
    </w:p>
    <w:p w14:paraId="419667C0">
      <w:pPr>
        <w:pStyle w:val="2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both"/>
        <w:textAlignment w:val="auto"/>
        <w:outlineLvl w:val="1"/>
        <w:rPr>
          <w:rFonts w:hint="eastAsia" w:ascii="黑体" w:hAnsi="黑体" w:eastAsia="黑体"/>
          <w:color w:val="auto"/>
          <w:sz w:val="32"/>
          <w:szCs w:val="32"/>
          <w:highlight w:val="none"/>
          <w:lang w:eastAsia="zh-CN"/>
        </w:rPr>
      </w:pPr>
      <w:bookmarkStart w:id="34" w:name="_Toc30662"/>
      <w:bookmarkStart w:id="35" w:name="_Toc6582"/>
      <w:bookmarkStart w:id="36" w:name="_Toc15396603"/>
      <w:bookmarkStart w:id="37" w:name="_Toc15377205"/>
      <w:r>
        <w:rPr>
          <w:rFonts w:hint="eastAsia" w:ascii="黑体" w:hAnsi="黑体" w:eastAsia="黑体"/>
          <w:color w:val="auto"/>
          <w:sz w:val="32"/>
          <w:szCs w:val="32"/>
          <w:highlight w:val="none"/>
          <w:lang w:eastAsia="zh-CN"/>
        </w:rPr>
        <w:t>一、收入支出决算总体情况说明</w:t>
      </w:r>
      <w:bookmarkEnd w:id="34"/>
      <w:bookmarkEnd w:id="35"/>
      <w:bookmarkEnd w:id="36"/>
      <w:bookmarkEnd w:id="37"/>
    </w:p>
    <w:p w14:paraId="0A81DFF1">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均为13466.24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年相比，收、支总计各</w:t>
      </w:r>
      <w:r>
        <w:rPr>
          <w:rFonts w:hint="eastAsia" w:ascii="仿宋_GB2312" w:hAnsi="仿宋_GB2312" w:eastAsia="仿宋_GB2312" w:cs="仿宋_GB2312"/>
          <w:color w:val="auto"/>
          <w:sz w:val="32"/>
          <w:szCs w:val="32"/>
          <w:highlight w:val="none"/>
          <w:lang w:val="en-US" w:eastAsia="zh-CN"/>
        </w:rPr>
        <w:t>增加3532.19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增长35.56</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是本年度基金预算拨款增加。</w:t>
      </w:r>
    </w:p>
    <w:p w14:paraId="4F6B8CD6">
      <w:pPr>
        <w:pStyle w:val="6"/>
        <w:rPr>
          <w:rFonts w:hint="eastAsia"/>
          <w:lang w:val="en-US" w:eastAsia="zh-CN"/>
        </w:rPr>
      </w:pPr>
      <w:r>
        <w:drawing>
          <wp:inline distT="0" distB="0" distL="114300" distR="114300">
            <wp:extent cx="53213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E0A573">
      <w:pPr>
        <w:keepNext w:val="0"/>
        <w:keepLines w:val="0"/>
        <w:pageBreakBefore w:val="0"/>
        <w:widowControl w:val="0"/>
        <w:kinsoku/>
        <w:wordWrap/>
        <w:overflowPunct/>
        <w:topLinePunct w:val="0"/>
        <w:bidi w:val="0"/>
        <w:snapToGrid/>
        <w:spacing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1A1AEFA8">
      <w:pPr>
        <w:pStyle w:val="2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both"/>
        <w:textAlignment w:val="auto"/>
        <w:outlineLvl w:val="1"/>
        <w:rPr>
          <w:rFonts w:hint="eastAsia" w:ascii="黑体" w:hAnsi="黑体" w:eastAsia="黑体"/>
          <w:color w:val="auto"/>
          <w:sz w:val="32"/>
          <w:szCs w:val="32"/>
          <w:highlight w:val="none"/>
          <w:lang w:eastAsia="zh-CN"/>
        </w:rPr>
      </w:pPr>
      <w:bookmarkStart w:id="38" w:name="_Toc15396604"/>
      <w:bookmarkStart w:id="39" w:name="_Toc15377206"/>
      <w:bookmarkStart w:id="40" w:name="_Toc26330"/>
      <w:bookmarkStart w:id="41" w:name="_Toc25471"/>
      <w:r>
        <w:rPr>
          <w:rFonts w:hint="eastAsia" w:ascii="黑体" w:hAnsi="黑体" w:eastAsia="黑体"/>
          <w:color w:val="auto"/>
          <w:sz w:val="32"/>
          <w:szCs w:val="32"/>
          <w:highlight w:val="none"/>
          <w:lang w:eastAsia="zh-CN"/>
        </w:rPr>
        <w:t>二、收入决算情况说明</w:t>
      </w:r>
      <w:bookmarkEnd w:id="38"/>
      <w:bookmarkEnd w:id="39"/>
      <w:bookmarkEnd w:id="40"/>
      <w:bookmarkEnd w:id="41"/>
    </w:p>
    <w:p w14:paraId="2363AEAC">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13466.24</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2338.43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17.37</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11127.8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82.63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59FADBE6">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firstLine="420" w:firstLineChars="200"/>
        <w:jc w:val="both"/>
        <w:textAlignment w:val="auto"/>
      </w:pPr>
      <w:r>
        <w:drawing>
          <wp:inline distT="0" distB="0" distL="114300" distR="114300">
            <wp:extent cx="4828540" cy="2743200"/>
            <wp:effectExtent l="4445" t="4445" r="5715" b="14605"/>
            <wp:docPr id="4" name="图表 1"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CC1007">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（图2：收入决算结构图）（饼状图）</w:t>
      </w:r>
    </w:p>
    <w:p w14:paraId="211B922A">
      <w:pPr>
        <w:pStyle w:val="2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both"/>
        <w:textAlignment w:val="auto"/>
        <w:outlineLvl w:val="1"/>
        <w:rPr>
          <w:rFonts w:hint="eastAsia" w:ascii="黑体" w:hAnsi="黑体" w:eastAsia="黑体"/>
          <w:color w:val="auto"/>
          <w:sz w:val="32"/>
          <w:szCs w:val="32"/>
          <w:highlight w:val="none"/>
          <w:lang w:eastAsia="zh-CN"/>
        </w:rPr>
      </w:pPr>
      <w:bookmarkStart w:id="42" w:name="_Toc25204"/>
      <w:bookmarkStart w:id="43" w:name="_Toc15396605"/>
      <w:bookmarkStart w:id="44" w:name="_Toc15377207"/>
      <w:bookmarkStart w:id="45" w:name="_Toc7878"/>
      <w:r>
        <w:rPr>
          <w:rFonts w:hint="eastAsia" w:ascii="黑体" w:hAnsi="黑体" w:eastAsia="黑体"/>
          <w:color w:val="auto"/>
          <w:sz w:val="32"/>
          <w:szCs w:val="32"/>
          <w:highlight w:val="none"/>
          <w:lang w:eastAsia="zh-CN"/>
        </w:rPr>
        <w:t>三、支出决算情况说明</w:t>
      </w:r>
      <w:bookmarkEnd w:id="42"/>
      <w:bookmarkEnd w:id="43"/>
      <w:bookmarkEnd w:id="44"/>
      <w:bookmarkEnd w:id="45"/>
    </w:p>
    <w:p w14:paraId="779C9F42">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13466.24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1742.07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12.93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11724.17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87.06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545512AD">
      <w:pPr>
        <w:pStyle w:val="6"/>
        <w:rPr>
          <w:rFonts w:hint="eastAsia"/>
        </w:rPr>
      </w:pPr>
      <w:r>
        <w:drawing>
          <wp:inline distT="0" distB="0" distL="114300" distR="114300">
            <wp:extent cx="4828540" cy="2743200"/>
            <wp:effectExtent l="4445" t="4445" r="5715" b="14605"/>
            <wp:docPr id="5" name="图表 3"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2C5D0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ascii="仿宋" w:hAnsi="仿宋" w:eastAsia="仿宋"/>
          <w:b/>
          <w:color w:val="auto"/>
          <w:sz w:val="32"/>
          <w:szCs w:val="32"/>
          <w:highlight w:val="none"/>
        </w:rPr>
      </w:pPr>
    </w:p>
    <w:p w14:paraId="7EE14570">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14:paraId="5B7E5789">
      <w:pPr>
        <w:pStyle w:val="2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both"/>
        <w:textAlignment w:val="auto"/>
        <w:outlineLvl w:val="1"/>
        <w:rPr>
          <w:rFonts w:hint="eastAsia" w:ascii="黑体" w:hAnsi="黑体" w:eastAsia="黑体"/>
          <w:color w:val="auto"/>
          <w:sz w:val="32"/>
          <w:szCs w:val="32"/>
          <w:highlight w:val="none"/>
          <w:lang w:eastAsia="zh-CN"/>
        </w:rPr>
      </w:pPr>
      <w:bookmarkStart w:id="46" w:name="_Toc15396606"/>
      <w:bookmarkStart w:id="47" w:name="_Toc16935"/>
      <w:bookmarkStart w:id="48" w:name="_Toc20295"/>
      <w:bookmarkStart w:id="49" w:name="_Toc15377208"/>
      <w:r>
        <w:rPr>
          <w:rFonts w:hint="eastAsia" w:ascii="黑体" w:hAnsi="黑体" w:eastAsia="黑体"/>
          <w:color w:val="auto"/>
          <w:sz w:val="32"/>
          <w:szCs w:val="32"/>
          <w:highlight w:val="none"/>
          <w:lang w:eastAsia="zh-CN"/>
        </w:rPr>
        <w:t>四、财政拨款收入支出决算总体情况说明</w:t>
      </w:r>
      <w:bookmarkEnd w:id="46"/>
      <w:bookmarkEnd w:id="47"/>
      <w:bookmarkEnd w:id="48"/>
      <w:bookmarkEnd w:id="49"/>
    </w:p>
    <w:p w14:paraId="667A5AB6">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均为13466.24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年相比，财政拨款收、支总计</w:t>
      </w:r>
      <w:r>
        <w:rPr>
          <w:rFonts w:hint="eastAsia" w:ascii="仿宋_GB2312" w:hAnsi="仿宋_GB2312" w:eastAsia="仿宋_GB2312" w:cs="仿宋_GB2312"/>
          <w:color w:val="auto"/>
          <w:sz w:val="32"/>
          <w:szCs w:val="32"/>
          <w:highlight w:val="none"/>
          <w:lang w:val="en-US" w:eastAsia="zh-CN"/>
        </w:rPr>
        <w:t>增加3532.19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增长35.36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本年度基金预算拨款增加。</w:t>
      </w:r>
    </w:p>
    <w:p w14:paraId="289C5EAF">
      <w:pPr>
        <w:pStyle w:val="6"/>
        <w:rPr>
          <w:rFonts w:hint="default"/>
          <w:lang w:val="en-US" w:eastAsia="zh-CN"/>
        </w:rPr>
      </w:pPr>
      <w:r>
        <w:drawing>
          <wp:inline distT="0" distB="0" distL="114300" distR="114300">
            <wp:extent cx="4828540" cy="2743200"/>
            <wp:effectExtent l="4445" t="4445" r="571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B1397">
      <w:pPr>
        <w:keepNext w:val="0"/>
        <w:keepLines w:val="0"/>
        <w:pageBreakBefore w:val="0"/>
        <w:widowControl w:val="0"/>
        <w:kinsoku/>
        <w:wordWrap/>
        <w:overflowPunct/>
        <w:topLinePunct w:val="0"/>
        <w:bidi w:val="0"/>
        <w:snapToGrid/>
        <w:spacing w:line="576" w:lineRule="exact"/>
        <w:ind w:left="0" w:right="0" w:firstLine="640" w:firstLineChars="200"/>
        <w:jc w:val="both"/>
        <w:textAlignment w:val="auto"/>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25BEF35D">
      <w:pPr>
        <w:keepNext w:val="0"/>
        <w:keepLines w:val="0"/>
        <w:pageBreakBefore w:val="0"/>
        <w:widowControl w:val="0"/>
        <w:kinsoku/>
        <w:wordWrap/>
        <w:overflowPunct/>
        <w:topLinePunct w:val="0"/>
        <w:bidi w:val="0"/>
        <w:snapToGrid/>
        <w:spacing w:line="576" w:lineRule="exact"/>
        <w:ind w:left="0" w:right="0" w:firstLine="640" w:firstLineChars="200"/>
        <w:jc w:val="both"/>
        <w:textAlignment w:val="auto"/>
        <w:outlineLvl w:val="1"/>
        <w:rPr>
          <w:rStyle w:val="18"/>
          <w:rFonts w:ascii="黑体" w:hAnsi="黑体" w:eastAsia="黑体"/>
          <w:b w:val="0"/>
          <w:color w:val="auto"/>
          <w:highlight w:val="none"/>
        </w:rPr>
      </w:pPr>
      <w:bookmarkStart w:id="50" w:name="_Toc15396607"/>
      <w:bookmarkStart w:id="51" w:name="_Toc26216"/>
      <w:bookmarkStart w:id="52" w:name="_Toc15377209"/>
      <w:bookmarkStart w:id="53" w:name="_Toc31785"/>
      <w:bookmarkStart w:id="54" w:name="_Toc1510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般公共预算财政拨款支出决算情况说明</w:t>
      </w:r>
      <w:bookmarkEnd w:id="50"/>
      <w:bookmarkEnd w:id="51"/>
      <w:bookmarkEnd w:id="52"/>
      <w:bookmarkEnd w:id="53"/>
      <w:bookmarkEnd w:id="54"/>
    </w:p>
    <w:p w14:paraId="0FC407B8">
      <w:pPr>
        <w:keepNext w:val="0"/>
        <w:keepLines w:val="0"/>
        <w:pageBreakBefore w:val="0"/>
        <w:widowControl w:val="0"/>
        <w:kinsoku/>
        <w:wordWrap/>
        <w:overflowPunct/>
        <w:topLinePunct w:val="0"/>
        <w:bidi w:val="0"/>
        <w:snapToGrid/>
        <w:spacing w:line="576" w:lineRule="exact"/>
        <w:ind w:left="0" w:right="0" w:firstLine="643" w:firstLineChars="200"/>
        <w:jc w:val="both"/>
        <w:textAlignment w:val="auto"/>
        <w:outlineLvl w:val="2"/>
        <w:rPr>
          <w:rFonts w:ascii="仿宋" w:hAnsi="仿宋" w:eastAsia="仿宋"/>
          <w:b/>
          <w:color w:val="auto"/>
          <w:sz w:val="32"/>
          <w:szCs w:val="32"/>
          <w:highlight w:val="none"/>
        </w:rPr>
      </w:pPr>
      <w:bookmarkStart w:id="55" w:name="_Toc15377210"/>
      <w:bookmarkStart w:id="56" w:name="_Toc21666"/>
      <w:bookmarkStart w:id="57" w:name="_Toc18976"/>
      <w:r>
        <w:rPr>
          <w:rFonts w:hint="eastAsia" w:ascii="仿宋" w:hAnsi="仿宋" w:eastAsia="仿宋"/>
          <w:b/>
          <w:color w:val="auto"/>
          <w:sz w:val="32"/>
          <w:szCs w:val="32"/>
          <w:highlight w:val="none"/>
        </w:rPr>
        <w:t>（一）一般公共预算财政拨款支出决算总体情况</w:t>
      </w:r>
      <w:bookmarkEnd w:id="55"/>
      <w:bookmarkEnd w:id="56"/>
      <w:bookmarkEnd w:id="57"/>
    </w:p>
    <w:p w14:paraId="7DE7707C">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2338.43</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17.36</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w:t>
      </w:r>
      <w:r>
        <w:rPr>
          <w:rFonts w:hint="eastAsia" w:ascii="仿宋_GB2312" w:hAnsi="仿宋_GB2312" w:eastAsia="仿宋_GB2312" w:cs="仿宋_GB2312"/>
          <w:color w:val="auto"/>
          <w:sz w:val="32"/>
          <w:szCs w:val="32"/>
          <w:highlight w:val="none"/>
          <w:lang w:val="en-US" w:eastAsia="zh-CN"/>
        </w:rPr>
        <w:t>加126.44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2024年度一般公共项目款增加。</w:t>
      </w:r>
    </w:p>
    <w:p w14:paraId="784C34B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仿宋" w:hAnsi="仿宋" w:eastAsia="仿宋"/>
          <w:color w:val="auto"/>
          <w:sz w:val="32"/>
          <w:szCs w:val="32"/>
          <w:highlight w:val="none"/>
        </w:rPr>
      </w:pPr>
      <w:r>
        <w:drawing>
          <wp:inline distT="0" distB="0" distL="114300" distR="114300">
            <wp:extent cx="4828540" cy="2743200"/>
            <wp:effectExtent l="4445" t="4445" r="571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FB7EF7">
      <w:pPr>
        <w:keepNext w:val="0"/>
        <w:keepLines w:val="0"/>
        <w:pageBreakBefore w:val="0"/>
        <w:widowControl w:val="0"/>
        <w:kinsoku/>
        <w:wordWrap/>
        <w:overflowPunct/>
        <w:topLinePunct w:val="0"/>
        <w:bidi w:val="0"/>
        <w:snapToGrid/>
        <w:spacing w:line="576" w:lineRule="exact"/>
        <w:ind w:left="0" w:right="0" w:firstLine="640" w:firstLineChars="200"/>
        <w:jc w:val="both"/>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78834762">
      <w:pPr>
        <w:keepNext w:val="0"/>
        <w:keepLines w:val="0"/>
        <w:pageBreakBefore w:val="0"/>
        <w:widowControl w:val="0"/>
        <w:kinsoku/>
        <w:wordWrap/>
        <w:overflowPunct/>
        <w:topLinePunct w:val="0"/>
        <w:bidi w:val="0"/>
        <w:snapToGrid/>
        <w:spacing w:line="576" w:lineRule="exact"/>
        <w:ind w:left="0" w:right="0" w:firstLine="643" w:firstLineChars="200"/>
        <w:jc w:val="both"/>
        <w:textAlignment w:val="auto"/>
        <w:outlineLvl w:val="2"/>
        <w:rPr>
          <w:rFonts w:ascii="仿宋" w:hAnsi="仿宋" w:eastAsia="仿宋"/>
          <w:b/>
          <w:color w:val="auto"/>
          <w:sz w:val="32"/>
          <w:szCs w:val="32"/>
          <w:highlight w:val="none"/>
        </w:rPr>
      </w:pPr>
      <w:bookmarkStart w:id="58" w:name="_Toc213"/>
      <w:bookmarkStart w:id="59" w:name="_Toc15377211"/>
      <w:bookmarkStart w:id="60" w:name="_Toc5718"/>
      <w:r>
        <w:rPr>
          <w:rFonts w:hint="eastAsia" w:ascii="仿宋" w:hAnsi="仿宋" w:eastAsia="仿宋"/>
          <w:b/>
          <w:color w:val="auto"/>
          <w:sz w:val="32"/>
          <w:szCs w:val="32"/>
          <w:highlight w:val="none"/>
        </w:rPr>
        <w:t>（二）一般公共预算财政拨款支出决算结构情况</w:t>
      </w:r>
      <w:bookmarkEnd w:id="58"/>
      <w:bookmarkEnd w:id="59"/>
      <w:bookmarkEnd w:id="60"/>
    </w:p>
    <w:p w14:paraId="4AFE2D39">
      <w:pPr>
        <w:keepNext w:val="0"/>
        <w:keepLines w:val="0"/>
        <w:pageBreakBefore w:val="0"/>
        <w:widowControl w:val="0"/>
        <w:kinsoku/>
        <w:wordWrap/>
        <w:overflowPunct/>
        <w:topLinePunct w:val="0"/>
        <w:bidi w:val="0"/>
        <w:snapToGrid/>
        <w:spacing w:line="576" w:lineRule="exact"/>
        <w:ind w:left="0" w:right="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2338.43</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bCs/>
          <w:color w:val="auto"/>
          <w:sz w:val="32"/>
          <w:szCs w:val="32"/>
          <w:highlight w:val="none"/>
          <w:lang w:val="en-US" w:eastAsia="zh-CN"/>
        </w:rPr>
        <w:t>386.83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16.54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b/>
          <w:bCs/>
          <w:color w:val="auto"/>
          <w:sz w:val="32"/>
          <w:szCs w:val="32"/>
          <w:highlight w:val="none"/>
          <w:lang w:val="en-US" w:eastAsia="zh-CN"/>
        </w:rPr>
        <w:t>43.71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1.87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节能环保支出8.24</w:t>
      </w:r>
      <w:r>
        <w:rPr>
          <w:rFonts w:hint="eastAsia" w:ascii="仿宋_GB2312" w:hAnsi="仿宋_GB2312" w:eastAsia="仿宋_GB2312" w:cs="仿宋_GB2312"/>
          <w:color w:val="auto"/>
          <w:sz w:val="32"/>
          <w:szCs w:val="32"/>
          <w:highlight w:val="none"/>
          <w:lang w:val="en-US" w:eastAsia="zh-CN"/>
        </w:rPr>
        <w:t>万元，占0.35%；</w:t>
      </w:r>
      <w:r>
        <w:rPr>
          <w:rFonts w:hint="eastAsia" w:ascii="仿宋_GB2312" w:hAnsi="仿宋_GB2312" w:eastAsia="仿宋_GB2312" w:cs="仿宋_GB2312"/>
          <w:b/>
          <w:color w:val="auto"/>
          <w:sz w:val="32"/>
          <w:szCs w:val="32"/>
          <w:highlight w:val="none"/>
          <w:lang w:val="en-US" w:eastAsia="zh-CN"/>
        </w:rPr>
        <w:t>自</w:t>
      </w:r>
      <w:r>
        <w:rPr>
          <w:rFonts w:hint="eastAsia" w:ascii="仿宋_GB2312" w:hAnsi="仿宋_GB2312" w:eastAsia="仿宋_GB2312" w:cs="仿宋_GB2312"/>
          <w:b/>
          <w:bCs/>
          <w:color w:val="auto"/>
          <w:sz w:val="32"/>
          <w:szCs w:val="32"/>
          <w:highlight w:val="none"/>
          <w:lang w:val="en-US" w:eastAsia="zh-CN"/>
        </w:rPr>
        <w:t>然资源海洋气象等支出1774.49</w:t>
      </w:r>
      <w:r>
        <w:rPr>
          <w:rFonts w:hint="eastAsia" w:ascii="仿宋_GB2312" w:hAnsi="仿宋_GB2312" w:eastAsia="仿宋_GB2312" w:cs="仿宋_GB2312"/>
          <w:color w:val="auto"/>
          <w:sz w:val="32"/>
          <w:szCs w:val="32"/>
          <w:highlight w:val="none"/>
          <w:lang w:val="en-US" w:eastAsia="zh-CN"/>
        </w:rPr>
        <w:t>万元，占75.88%；</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b/>
          <w:bCs/>
          <w:color w:val="auto"/>
          <w:sz w:val="32"/>
          <w:szCs w:val="32"/>
          <w:highlight w:val="none"/>
          <w:lang w:val="en-US" w:eastAsia="zh-CN"/>
        </w:rPr>
        <w:t>125.17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5.4</w:t>
      </w:r>
      <w:r>
        <w:rPr>
          <w:rFonts w:hint="eastAsia" w:ascii="仿宋_GB2312" w:hAnsi="仿宋_GB2312" w:eastAsia="仿宋_GB2312" w:cs="仿宋_GB2312"/>
          <w:color w:val="auto"/>
          <w:sz w:val="32"/>
          <w:szCs w:val="32"/>
          <w:highlight w:val="none"/>
        </w:rPr>
        <w:t>%。</w:t>
      </w:r>
    </w:p>
    <w:p w14:paraId="1B65FEE1">
      <w:pPr>
        <w:pStyle w:val="6"/>
        <w:rPr>
          <w:rFonts w:hint="eastAsia"/>
        </w:rPr>
      </w:pPr>
      <w:r>
        <w:drawing>
          <wp:inline distT="0" distB="0" distL="114300" distR="114300">
            <wp:extent cx="4828540" cy="2743200"/>
            <wp:effectExtent l="4445" t="4445" r="5715" b="14605"/>
            <wp:docPr id="12" name="图表 11"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4F4F1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32"/>
          <w:szCs w:val="32"/>
          <w:highlight w:val="none"/>
        </w:rPr>
      </w:pPr>
    </w:p>
    <w:p w14:paraId="7B1F46B3">
      <w:pPr>
        <w:keepNext w:val="0"/>
        <w:keepLines w:val="0"/>
        <w:pageBreakBefore w:val="0"/>
        <w:widowControl w:val="0"/>
        <w:kinsoku/>
        <w:wordWrap/>
        <w:overflowPunct/>
        <w:topLinePunct w:val="0"/>
        <w:bidi w:val="0"/>
        <w:snapToGrid/>
        <w:spacing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14:paraId="4027DE26">
      <w:pPr>
        <w:keepNext w:val="0"/>
        <w:keepLines w:val="0"/>
        <w:pageBreakBefore w:val="0"/>
        <w:widowControl w:val="0"/>
        <w:kinsoku/>
        <w:wordWrap/>
        <w:overflowPunct/>
        <w:topLinePunct w:val="0"/>
        <w:bidi w:val="0"/>
        <w:snapToGrid/>
        <w:spacing w:line="576" w:lineRule="exact"/>
        <w:ind w:left="0" w:right="0" w:firstLine="643" w:firstLineChars="200"/>
        <w:jc w:val="both"/>
        <w:textAlignment w:val="auto"/>
        <w:outlineLvl w:val="2"/>
        <w:rPr>
          <w:rFonts w:hint="eastAsia" w:ascii="楷体_GB2312" w:hAnsi="楷体_GB2312" w:eastAsia="楷体_GB2312" w:cs="楷体_GB2312"/>
          <w:b/>
          <w:bCs w:val="0"/>
          <w:color w:val="auto"/>
          <w:sz w:val="32"/>
          <w:szCs w:val="32"/>
          <w:highlight w:val="none"/>
        </w:rPr>
      </w:pPr>
      <w:bookmarkStart w:id="61" w:name="_Toc9416"/>
      <w:bookmarkStart w:id="62" w:name="_Toc13204"/>
      <w:bookmarkStart w:id="63" w:name="_Toc15377212"/>
      <w:r>
        <w:rPr>
          <w:rFonts w:hint="eastAsia" w:ascii="楷体_GB2312" w:hAnsi="楷体_GB2312" w:eastAsia="楷体_GB2312" w:cs="楷体_GB2312"/>
          <w:b/>
          <w:bCs w:val="0"/>
          <w:color w:val="auto"/>
          <w:sz w:val="32"/>
          <w:szCs w:val="32"/>
          <w:highlight w:val="none"/>
        </w:rPr>
        <w:t>（三）一般公共预算财政拨款支出决算具体情况</w:t>
      </w:r>
      <w:bookmarkEnd w:id="61"/>
      <w:bookmarkEnd w:id="62"/>
      <w:bookmarkEnd w:id="63"/>
    </w:p>
    <w:p w14:paraId="325F2234">
      <w:pPr>
        <w:keepNext w:val="0"/>
        <w:keepLines w:val="0"/>
        <w:pageBreakBefore w:val="0"/>
        <w:widowControl w:val="0"/>
        <w:kinsoku/>
        <w:wordWrap/>
        <w:overflowPunct/>
        <w:topLinePunct w:val="0"/>
        <w:bidi w:val="0"/>
        <w:snapToGrid/>
        <w:spacing w:line="576" w:lineRule="exact"/>
        <w:ind w:left="0" w:right="0" w:firstLine="643" w:firstLineChars="200"/>
        <w:jc w:val="both"/>
        <w:textAlignment w:val="auto"/>
        <w:outlineLvl w:val="1"/>
        <w:rPr>
          <w:rStyle w:val="15"/>
          <w:rFonts w:hint="eastAsia" w:ascii="仿宋_GB2312" w:hAnsi="仿宋_GB2312" w:eastAsia="仿宋_GB2312" w:cs="仿宋_GB2312"/>
          <w:bCs/>
          <w:color w:val="auto"/>
          <w:sz w:val="32"/>
          <w:szCs w:val="32"/>
          <w:highlight w:val="none"/>
        </w:rPr>
      </w:pPr>
      <w:bookmarkStart w:id="64" w:name="_Toc15378460"/>
      <w:bookmarkStart w:id="65" w:name="_Toc15377444"/>
      <w:bookmarkStart w:id="66" w:name="_Toc22459"/>
      <w:bookmarkStart w:id="67" w:name="_Toc15377213"/>
      <w:bookmarkStart w:id="68" w:name="_Toc6700"/>
      <w:bookmarkStart w:id="69" w:name="_Toc10671"/>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24</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2338.43万元</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Cs/>
          <w:color w:val="auto"/>
          <w:sz w:val="32"/>
          <w:szCs w:val="32"/>
          <w:highlight w:val="none"/>
        </w:rPr>
        <w:t>完成预算</w:t>
      </w:r>
      <w:r>
        <w:rPr>
          <w:rStyle w:val="15"/>
          <w:rFonts w:hint="eastAsia" w:ascii="仿宋_GB2312" w:hAnsi="仿宋_GB2312" w:eastAsia="仿宋_GB2312" w:cs="仿宋_GB2312"/>
          <w:bCs/>
          <w:color w:val="auto"/>
          <w:sz w:val="32"/>
          <w:szCs w:val="32"/>
          <w:highlight w:val="none"/>
          <w:lang w:val="en-US" w:eastAsia="zh-CN"/>
        </w:rPr>
        <w:t>100</w:t>
      </w:r>
      <w:r>
        <w:rPr>
          <w:rStyle w:val="15"/>
          <w:rFonts w:hint="eastAsia" w:ascii="仿宋_GB2312" w:hAnsi="仿宋_GB2312" w:eastAsia="仿宋_GB2312" w:cs="仿宋_GB2312"/>
          <w:bCs/>
          <w:color w:val="auto"/>
          <w:sz w:val="32"/>
          <w:szCs w:val="32"/>
          <w:highlight w:val="none"/>
        </w:rPr>
        <w:t>%。其中：</w:t>
      </w:r>
      <w:bookmarkEnd w:id="64"/>
      <w:bookmarkEnd w:id="65"/>
      <w:bookmarkEnd w:id="66"/>
      <w:bookmarkEnd w:id="67"/>
      <w:bookmarkEnd w:id="68"/>
      <w:bookmarkEnd w:id="69"/>
    </w:p>
    <w:p w14:paraId="41C4F44C">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Fonts w:hint="eastAsia" w:ascii="仿宋_GB2312" w:hAnsi="仿宋_GB2312" w:eastAsia="仿宋_GB2312" w:cs="仿宋_GB2312"/>
          <w:b/>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社会保障和就业支出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人力资源和社会保障管理事务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引进人才费用</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103.6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118B310E">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社会保障和就业支出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行政单位离退休</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85.62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4C2A0B85">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社会保障和就业支出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机关事业单位基本养老保险支出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124.46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77EDD524">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default" w:ascii="仿宋" w:hAnsi="仿宋" w:eastAsia="仿宋" w:cstheme="minorBidi"/>
          <w:bCs/>
          <w:color w:val="auto"/>
          <w:sz w:val="32"/>
          <w:szCs w:val="32"/>
          <w:highlight w:val="none"/>
          <w:lang w:val="en-US" w:eastAsia="zh-CN"/>
        </w:rPr>
      </w:pPr>
      <w:r>
        <w:rPr>
          <w:rStyle w:val="15"/>
          <w:rFonts w:hint="eastAsia" w:ascii="仿宋_GB2312" w:hAnsi="仿宋_GB2312" w:eastAsia="仿宋_GB2312" w:cs="仿宋_GB2312"/>
          <w:bCs/>
          <w:color w:val="auto"/>
          <w:sz w:val="32"/>
          <w:szCs w:val="32"/>
          <w:highlight w:val="none"/>
          <w:lang w:val="en-US" w:eastAsia="zh-CN"/>
        </w:rPr>
        <w:t>社会保障和就业支出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机关事业单位职业年金缴费支出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48.72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2EA77797">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Fonts w:hint="eastAsia" w:ascii="仿宋_GB2312" w:hAnsi="仿宋_GB2312" w:eastAsia="仿宋_GB2312" w:cs="仿宋_GB2312"/>
          <w:b/>
          <w:color w:val="auto"/>
          <w:sz w:val="32"/>
          <w:szCs w:val="32"/>
          <w:highlight w:val="none"/>
        </w:rPr>
      </w:pPr>
      <w:r>
        <w:rPr>
          <w:rStyle w:val="15"/>
          <w:rFonts w:hint="eastAsia" w:ascii="仿宋" w:hAnsi="仿宋" w:eastAsia="仿宋" w:cstheme="minorBidi"/>
          <w:bCs/>
          <w:color w:val="auto"/>
          <w:sz w:val="32"/>
          <w:szCs w:val="32"/>
          <w:highlight w:val="none"/>
          <w:lang w:val="en-US" w:eastAsia="zh-CN"/>
        </w:rPr>
        <w:t>社会保障和就业支出（类）抚恤（款）死亡抚恤（项）：支出决算为24.43万元，完成预算100%。</w:t>
      </w:r>
    </w:p>
    <w:p w14:paraId="2B1CCCC6">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卫生健康支出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行政事业单位医疗</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行政单位医疗</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42.54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408B8E01">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 w:hAnsi="仿宋" w:eastAsia="仿宋"/>
          <w:bCs/>
          <w:color w:val="auto"/>
          <w:sz w:val="32"/>
          <w:szCs w:val="32"/>
          <w:highlight w:val="none"/>
          <w:lang w:val="en-US" w:eastAsia="zh-CN"/>
        </w:rPr>
        <w:t>卫生健康支出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val="en-US"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其他行政事业单位医疗支出</w:t>
      </w:r>
      <w:r>
        <w:rPr>
          <w:rStyle w:val="15"/>
          <w:rFonts w:hint="eastAsia" w:ascii="仿宋" w:hAnsi="仿宋" w:eastAsia="仿宋"/>
          <w:bCs/>
          <w:color w:val="auto"/>
          <w:sz w:val="32"/>
          <w:szCs w:val="32"/>
          <w:highlight w:val="none"/>
        </w:rPr>
        <w:t>（项）</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1.17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58C8C35A">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节能环保支出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自然生态保护</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生态保护</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8.24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2672A2F8">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自然资源海洋气象等支出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自然资源事务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行政运行</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1186.36</w:t>
      </w:r>
      <w:r>
        <w:rPr>
          <w:rStyle w:val="15"/>
          <w:rFonts w:hint="eastAsia" w:ascii="仿宋_GB2312" w:hAnsi="仿宋_GB2312" w:eastAsia="仿宋_GB2312" w:cs="仿宋_GB2312"/>
          <w:b w:val="0"/>
          <w:bCs/>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lang w:val="en-US" w:eastAsia="zh-CN"/>
        </w:rPr>
        <w:t>与预算基本持平</w:t>
      </w:r>
      <w:r>
        <w:rPr>
          <w:rStyle w:val="15"/>
          <w:rFonts w:hint="eastAsia" w:ascii="仿宋_GB2312" w:hAnsi="仿宋_GB2312" w:eastAsia="仿宋_GB2312" w:cs="仿宋_GB2312"/>
          <w:b w:val="0"/>
          <w:bCs/>
          <w:color w:val="auto"/>
          <w:sz w:val="32"/>
          <w:szCs w:val="32"/>
          <w:highlight w:val="none"/>
          <w:lang w:eastAsia="zh-CN"/>
        </w:rPr>
        <w:t>。</w:t>
      </w:r>
    </w:p>
    <w:p w14:paraId="4E97A87D">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自然资源海洋气象等支出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自然资源事务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一般行政管理事务</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20</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4109B059">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自然资源海洋气象等支出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自然资源事务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自然资源利用与保护</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239.97</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24F28DAB">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自然资源海洋气象等支出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自然资源事务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自然资源行业业务管理</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14.98</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2AE6CB6D">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自然资源海洋气象等支出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自然资源事务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自然资源调查与确权登记</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28.82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35A2B4D8">
      <w:pPr>
        <w:keepNext w:val="0"/>
        <w:keepLines w:val="0"/>
        <w:pageBreakBefore w:val="0"/>
        <w:widowControl w:val="0"/>
        <w:numPr>
          <w:ilvl w:val="0"/>
          <w:numId w:val="1"/>
        </w:numPr>
        <w:shd w:val="clear"/>
        <w:kinsoku/>
        <w:wordWrap/>
        <w:overflowPunct/>
        <w:topLinePunct w:val="0"/>
        <w:bidi w:val="0"/>
        <w:snapToGrid/>
        <w:spacing w:line="576" w:lineRule="exact"/>
        <w:ind w:left="0" w:leftChars="0" w:right="0" w:firstLine="643" w:firstLineChars="200"/>
        <w:jc w:val="both"/>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Cs/>
          <w:color w:val="auto"/>
          <w:sz w:val="32"/>
          <w:szCs w:val="32"/>
          <w:highlight w:val="none"/>
          <w:lang w:val="en-US" w:eastAsia="zh-CN"/>
        </w:rPr>
        <w:t>自然资源海洋气象等支出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自然资源事务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地质勘察与矿产资源管理</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p>
    <w:p w14:paraId="2F046961">
      <w:pPr>
        <w:keepNext w:val="0"/>
        <w:keepLines w:val="0"/>
        <w:pageBreakBefore w:val="0"/>
        <w:widowControl w:val="0"/>
        <w:numPr>
          <w:ilvl w:val="0"/>
          <w:numId w:val="1"/>
        </w:numPr>
        <w:shd w:val="clear"/>
        <w:tabs>
          <w:tab w:val="right" w:pos="8306"/>
        </w:tabs>
        <w:kinsoku/>
        <w:wordWrap/>
        <w:overflowPunct/>
        <w:topLinePunct w:val="0"/>
        <w:bidi w:val="0"/>
        <w:snapToGrid/>
        <w:spacing w:line="576" w:lineRule="exact"/>
        <w:ind w:left="0" w:leftChars="0" w:right="0" w:firstLine="643" w:firstLineChars="200"/>
        <w:jc w:val="both"/>
        <w:textAlignment w:val="auto"/>
        <w:outlineLvl w:val="1"/>
        <w:rPr>
          <w:rStyle w:val="15"/>
          <w:rFonts w:hint="eastAsia" w:ascii="仿宋_GB2312" w:hAnsi="仿宋_GB2312" w:eastAsia="仿宋_GB2312" w:cs="仿宋_GB2312"/>
          <w:b w:val="0"/>
          <w:bCs/>
          <w:color w:val="auto"/>
          <w:sz w:val="32"/>
          <w:szCs w:val="32"/>
          <w:highlight w:val="none"/>
          <w:lang w:eastAsia="zh-CN"/>
        </w:rPr>
      </w:pPr>
      <w:bookmarkStart w:id="70" w:name="_Toc22825"/>
      <w:bookmarkStart w:id="71" w:name="_Toc9101"/>
      <w:bookmarkStart w:id="72" w:name="_Toc1905"/>
      <w:bookmarkStart w:id="73" w:name="_Toc14391"/>
      <w:r>
        <w:rPr>
          <w:rStyle w:val="15"/>
          <w:rFonts w:hint="eastAsia" w:ascii="仿宋_GB2312" w:hAnsi="仿宋_GB2312" w:eastAsia="仿宋_GB2312" w:cs="仿宋_GB2312"/>
          <w:bCs/>
          <w:color w:val="auto"/>
          <w:sz w:val="32"/>
          <w:szCs w:val="32"/>
          <w:highlight w:val="none"/>
          <w:lang w:val="en-US" w:eastAsia="zh-CN"/>
        </w:rPr>
        <w:t>自然资源海洋气象等支出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自然资源事务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Cs/>
          <w:color w:val="auto"/>
          <w:sz w:val="32"/>
          <w:szCs w:val="32"/>
          <w:highlight w:val="none"/>
          <w:lang w:val="en-US" w:eastAsia="zh-CN"/>
        </w:rPr>
        <w:t>其他自然资源事务支出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269.36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bookmarkEnd w:id="70"/>
      <w:bookmarkEnd w:id="71"/>
      <w:bookmarkEnd w:id="72"/>
      <w:bookmarkEnd w:id="73"/>
    </w:p>
    <w:p w14:paraId="20D647B5">
      <w:pPr>
        <w:keepNext w:val="0"/>
        <w:keepLines w:val="0"/>
        <w:pageBreakBefore w:val="0"/>
        <w:widowControl w:val="0"/>
        <w:numPr>
          <w:ilvl w:val="0"/>
          <w:numId w:val="1"/>
        </w:numPr>
        <w:shd w:val="clear"/>
        <w:tabs>
          <w:tab w:val="right" w:pos="8306"/>
        </w:tabs>
        <w:kinsoku/>
        <w:wordWrap/>
        <w:overflowPunct/>
        <w:topLinePunct w:val="0"/>
        <w:bidi w:val="0"/>
        <w:snapToGrid/>
        <w:spacing w:line="576" w:lineRule="exact"/>
        <w:ind w:left="0" w:leftChars="0" w:right="0" w:firstLine="643" w:firstLineChars="200"/>
        <w:jc w:val="both"/>
        <w:textAlignment w:val="auto"/>
        <w:outlineLvl w:val="1"/>
        <w:rPr>
          <w:rStyle w:val="15"/>
          <w:rFonts w:hint="eastAsia" w:ascii="仿宋_GB2312" w:hAnsi="仿宋_GB2312" w:eastAsia="仿宋_GB2312" w:cs="仿宋_GB2312"/>
          <w:b w:val="0"/>
          <w:bCs/>
          <w:color w:val="auto"/>
          <w:sz w:val="32"/>
          <w:szCs w:val="32"/>
          <w:highlight w:val="none"/>
          <w:lang w:eastAsia="zh-CN"/>
        </w:rPr>
      </w:pPr>
      <w:bookmarkStart w:id="74" w:name="_Toc25086"/>
      <w:bookmarkStart w:id="75" w:name="_Toc1550"/>
      <w:bookmarkStart w:id="76" w:name="_Toc10117"/>
      <w:bookmarkStart w:id="77" w:name="_Toc4181"/>
      <w:r>
        <w:rPr>
          <w:rStyle w:val="15"/>
          <w:rFonts w:hint="eastAsia" w:ascii="仿宋_GB2312" w:hAnsi="仿宋_GB2312" w:eastAsia="仿宋_GB2312" w:cs="仿宋_GB2312"/>
          <w:bCs/>
          <w:color w:val="auto"/>
          <w:sz w:val="32"/>
          <w:szCs w:val="32"/>
          <w:highlight w:val="none"/>
          <w:lang w:val="en-US" w:eastAsia="zh-CN"/>
        </w:rPr>
        <w:t>住房保障支出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住房改革支出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Cs/>
          <w:color w:val="auto"/>
          <w:sz w:val="32"/>
          <w:szCs w:val="32"/>
          <w:highlight w:val="none"/>
          <w:lang w:val="en-US" w:eastAsia="zh-CN"/>
        </w:rPr>
        <w:t>住房公积金</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125.17</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bookmarkEnd w:id="74"/>
      <w:bookmarkEnd w:id="75"/>
      <w:bookmarkEnd w:id="76"/>
      <w:bookmarkEnd w:id="77"/>
    </w:p>
    <w:p w14:paraId="7AE2C187">
      <w:pPr>
        <w:keepNext w:val="0"/>
        <w:keepLines w:val="0"/>
        <w:pageBreakBefore w:val="0"/>
        <w:widowControl w:val="0"/>
        <w:tabs>
          <w:tab w:val="right" w:pos="8306"/>
        </w:tabs>
        <w:kinsoku/>
        <w:wordWrap/>
        <w:overflowPunct/>
        <w:topLinePunct w:val="0"/>
        <w:bidi w:val="0"/>
        <w:snapToGrid/>
        <w:spacing w:line="576" w:lineRule="exact"/>
        <w:ind w:left="0" w:right="0" w:firstLine="640"/>
        <w:jc w:val="both"/>
        <w:textAlignment w:val="auto"/>
        <w:outlineLvl w:val="1"/>
        <w:rPr>
          <w:rStyle w:val="18"/>
          <w:color w:val="auto"/>
          <w:highlight w:val="none"/>
        </w:rPr>
      </w:pPr>
      <w:bookmarkStart w:id="78" w:name="_Toc15396608"/>
      <w:bookmarkStart w:id="79" w:name="_Toc11779"/>
      <w:bookmarkStart w:id="80" w:name="_Toc716"/>
      <w:bookmarkStart w:id="8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78"/>
      <w:bookmarkEnd w:id="79"/>
      <w:bookmarkEnd w:id="80"/>
      <w:bookmarkEnd w:id="81"/>
      <w:r>
        <w:rPr>
          <w:rStyle w:val="18"/>
          <w:rFonts w:ascii="黑体" w:hAnsi="黑体" w:eastAsia="黑体"/>
          <w:b w:val="0"/>
          <w:color w:val="auto"/>
          <w:highlight w:val="none"/>
        </w:rPr>
        <w:tab/>
      </w:r>
    </w:p>
    <w:p w14:paraId="00D8C8B2">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1742.07</w:t>
      </w:r>
      <w:r>
        <w:rPr>
          <w:rFonts w:hint="eastAsia" w:ascii="仿宋_GB2312" w:hAnsi="仿宋_GB2312" w:eastAsia="仿宋_GB2312" w:cs="仿宋_GB2312"/>
          <w:color w:val="auto"/>
          <w:sz w:val="32"/>
          <w:szCs w:val="32"/>
          <w:highlight w:val="none"/>
        </w:rPr>
        <w:t>万元，其中：</w:t>
      </w:r>
    </w:p>
    <w:p w14:paraId="69A1BD75">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1527.79</w:t>
      </w:r>
      <w:r>
        <w:rPr>
          <w:rFonts w:hint="eastAsia" w:ascii="仿宋_GB2312" w:hAnsi="仿宋_GB2312" w:eastAsia="仿宋_GB2312" w:cs="仿宋_GB2312"/>
          <w:color w:val="auto"/>
          <w:sz w:val="32"/>
          <w:szCs w:val="32"/>
          <w:highlight w:val="none"/>
        </w:rPr>
        <w:t>万元，主要包括：基本工资、津贴补贴、奖金、机关事业单位基本养老保险缴费、职业年金缴费、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职工基本医疗保险缴费、其他社会保障缴费、</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抚恤金、</w:t>
      </w:r>
      <w:r>
        <w:rPr>
          <w:rFonts w:hint="eastAsia" w:ascii="仿宋_GB2312" w:hAnsi="仿宋_GB2312" w:eastAsia="仿宋_GB2312" w:cs="仿宋_GB2312"/>
          <w:color w:val="auto"/>
          <w:sz w:val="32"/>
          <w:szCs w:val="32"/>
          <w:highlight w:val="none"/>
        </w:rPr>
        <w:t>生活补助</w:t>
      </w:r>
      <w:r>
        <w:rPr>
          <w:rFonts w:hint="eastAsia" w:ascii="仿宋_GB2312" w:hAnsi="仿宋_GB2312" w:eastAsia="仿宋_GB2312" w:cs="仿宋_GB2312"/>
          <w:color w:val="auto"/>
          <w:sz w:val="32"/>
          <w:szCs w:val="32"/>
          <w:highlight w:val="none"/>
          <w:lang w:val="en-US" w:eastAsia="zh-CN"/>
        </w:rPr>
        <w:t>、其他对个人和家庭的补助</w:t>
      </w:r>
      <w:r>
        <w:rPr>
          <w:rFonts w:hint="eastAsia" w:ascii="仿宋_GB2312" w:hAnsi="仿宋_GB2312" w:eastAsia="仿宋_GB2312" w:cs="仿宋_GB2312"/>
          <w:color w:val="auto"/>
          <w:sz w:val="32"/>
          <w:szCs w:val="32"/>
          <w:highlight w:val="none"/>
        </w:rPr>
        <w:t>。</w:t>
      </w:r>
    </w:p>
    <w:p w14:paraId="79C1EB88">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214.28</w:t>
      </w:r>
      <w:r>
        <w:rPr>
          <w:rFonts w:hint="eastAsia" w:ascii="仿宋_GB2312" w:hAnsi="仿宋_GB2312" w:eastAsia="仿宋_GB2312" w:cs="仿宋_GB2312"/>
          <w:color w:val="auto"/>
          <w:sz w:val="32"/>
          <w:szCs w:val="32"/>
          <w:highlight w:val="none"/>
        </w:rPr>
        <w:t>万元，主要包括：办公费、印刷费、水费、电费、邮电费、物业管理费、差旅费、维修（护）费、会议费、培训费、公务接待费、劳务费、工会经费、福利费、公务用车运行维护费、其他交通费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税金及附加费用、</w:t>
      </w:r>
      <w:r>
        <w:rPr>
          <w:rFonts w:hint="eastAsia" w:ascii="仿宋_GB2312" w:hAnsi="仿宋_GB2312" w:eastAsia="仿宋_GB2312" w:cs="仿宋_GB2312"/>
          <w:color w:val="auto"/>
          <w:sz w:val="32"/>
          <w:szCs w:val="32"/>
          <w:highlight w:val="none"/>
        </w:rPr>
        <w:t>其他商品和服务支出、办公设备购置</w:t>
      </w:r>
      <w:r>
        <w:rPr>
          <w:rFonts w:hint="eastAsia" w:ascii="仿宋_GB2312" w:hAnsi="仿宋_GB2312" w:eastAsia="仿宋_GB2312" w:cs="仿宋_GB2312"/>
          <w:color w:val="auto"/>
          <w:sz w:val="32"/>
          <w:szCs w:val="32"/>
          <w:highlight w:val="none"/>
          <w:lang w:eastAsia="zh-CN"/>
        </w:rPr>
        <w:t>、专用设备购置</w:t>
      </w:r>
      <w:r>
        <w:rPr>
          <w:rFonts w:hint="eastAsia" w:ascii="仿宋_GB2312" w:hAnsi="仿宋_GB2312" w:eastAsia="仿宋_GB2312" w:cs="仿宋_GB2312"/>
          <w:color w:val="auto"/>
          <w:sz w:val="32"/>
          <w:szCs w:val="32"/>
          <w:highlight w:val="none"/>
        </w:rPr>
        <w:t>。</w:t>
      </w:r>
    </w:p>
    <w:p w14:paraId="5B8ABA39">
      <w:pPr>
        <w:keepNext w:val="0"/>
        <w:keepLines w:val="0"/>
        <w:pageBreakBefore w:val="0"/>
        <w:widowControl w:val="0"/>
        <w:kinsoku/>
        <w:wordWrap/>
        <w:overflowPunct/>
        <w:topLinePunct w:val="0"/>
        <w:bidi w:val="0"/>
        <w:snapToGrid/>
        <w:spacing w:line="576" w:lineRule="exact"/>
        <w:ind w:left="0" w:right="0" w:firstLine="640"/>
        <w:jc w:val="both"/>
        <w:textAlignment w:val="auto"/>
        <w:outlineLvl w:val="1"/>
        <w:rPr>
          <w:rStyle w:val="18"/>
          <w:rFonts w:ascii="黑体" w:hAnsi="黑体" w:eastAsia="黑体"/>
          <w:b w:val="0"/>
          <w:color w:val="auto"/>
          <w:highlight w:val="none"/>
        </w:rPr>
      </w:pPr>
      <w:bookmarkStart w:id="82" w:name="_Toc4979"/>
      <w:bookmarkStart w:id="83" w:name="_Toc15377215"/>
      <w:bookmarkStart w:id="84" w:name="_Toc15396609"/>
      <w:bookmarkStart w:id="85" w:name="_Toc3924"/>
      <w:r>
        <w:rPr>
          <w:rFonts w:hint="eastAsia" w:ascii="黑体" w:eastAsia="黑体"/>
          <w:color w:val="auto"/>
          <w:sz w:val="32"/>
          <w:szCs w:val="32"/>
          <w:highlight w:val="none"/>
        </w:rPr>
        <w:t>七、</w:t>
      </w:r>
      <w:r>
        <w:rPr>
          <w:rStyle w:val="18"/>
          <w:rFonts w:hint="eastAsia" w:ascii="黑体" w:hAnsi="黑体" w:eastAsia="黑体"/>
          <w:b w:val="0"/>
          <w:color w:val="auto"/>
          <w:highlight w:val="none"/>
        </w:rPr>
        <w:t>财政拨款</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三公”经费支出决算情况说明</w:t>
      </w:r>
      <w:bookmarkEnd w:id="82"/>
      <w:bookmarkEnd w:id="83"/>
      <w:bookmarkEnd w:id="84"/>
      <w:bookmarkEnd w:id="85"/>
    </w:p>
    <w:p w14:paraId="32FC46A9">
      <w:pPr>
        <w:keepNext w:val="0"/>
        <w:keepLines w:val="0"/>
        <w:pageBreakBefore w:val="0"/>
        <w:widowControl w:val="0"/>
        <w:kinsoku/>
        <w:wordWrap/>
        <w:overflowPunct/>
        <w:topLinePunct w:val="0"/>
        <w:bidi w:val="0"/>
        <w:snapToGrid/>
        <w:spacing w:line="576" w:lineRule="exact"/>
        <w:ind w:left="0" w:right="0" w:firstLine="640"/>
        <w:jc w:val="both"/>
        <w:textAlignment w:val="auto"/>
        <w:outlineLvl w:val="2"/>
        <w:rPr>
          <w:rFonts w:ascii="仿宋" w:hAnsi="仿宋" w:eastAsia="仿宋"/>
          <w:b/>
          <w:color w:val="auto"/>
          <w:sz w:val="32"/>
          <w:szCs w:val="32"/>
          <w:highlight w:val="none"/>
        </w:rPr>
      </w:pPr>
      <w:bookmarkStart w:id="86" w:name="_Toc15377216"/>
      <w:bookmarkStart w:id="87" w:name="_Toc16798"/>
      <w:bookmarkStart w:id="88" w:name="_Toc18687"/>
      <w:r>
        <w:rPr>
          <w:rFonts w:hint="eastAsia" w:ascii="仿宋" w:hAnsi="仿宋" w:eastAsia="仿宋"/>
          <w:b/>
          <w:color w:val="auto"/>
          <w:sz w:val="32"/>
          <w:szCs w:val="32"/>
          <w:highlight w:val="none"/>
        </w:rPr>
        <w:t>（一）“三公”经费财政拨款支出决算总体情况说明</w:t>
      </w:r>
      <w:bookmarkEnd w:id="86"/>
      <w:bookmarkEnd w:id="87"/>
      <w:bookmarkEnd w:id="88"/>
    </w:p>
    <w:p w14:paraId="244DF438">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14.21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减少1.29万元，下降8.32%。决算数与预算数持平。</w:t>
      </w:r>
    </w:p>
    <w:p w14:paraId="7E319378">
      <w:pPr>
        <w:keepNext w:val="0"/>
        <w:keepLines w:val="0"/>
        <w:pageBreakBefore w:val="0"/>
        <w:widowControl w:val="0"/>
        <w:kinsoku/>
        <w:wordWrap/>
        <w:overflowPunct/>
        <w:topLinePunct w:val="0"/>
        <w:bidi w:val="0"/>
        <w:snapToGrid/>
        <w:spacing w:line="576" w:lineRule="exact"/>
        <w:ind w:left="0" w:right="0" w:firstLine="640"/>
        <w:jc w:val="both"/>
        <w:textAlignment w:val="auto"/>
        <w:outlineLvl w:val="2"/>
        <w:rPr>
          <w:rFonts w:ascii="仿宋" w:hAnsi="仿宋" w:eastAsia="仿宋"/>
          <w:b/>
          <w:color w:val="auto"/>
          <w:sz w:val="32"/>
          <w:szCs w:val="32"/>
          <w:highlight w:val="none"/>
        </w:rPr>
      </w:pPr>
      <w:bookmarkStart w:id="89" w:name="_Toc7445"/>
      <w:bookmarkStart w:id="90" w:name="_Toc15377217"/>
      <w:bookmarkStart w:id="91" w:name="_Toc22653"/>
      <w:r>
        <w:rPr>
          <w:rFonts w:hint="eastAsia" w:ascii="仿宋" w:hAnsi="仿宋" w:eastAsia="仿宋"/>
          <w:b/>
          <w:color w:val="auto"/>
          <w:sz w:val="32"/>
          <w:szCs w:val="32"/>
          <w:highlight w:val="none"/>
        </w:rPr>
        <w:t>（二）“三公”经费财政拨款支出决算具体情况说明</w:t>
      </w:r>
      <w:bookmarkEnd w:id="89"/>
      <w:bookmarkEnd w:id="90"/>
      <w:bookmarkEnd w:id="91"/>
    </w:p>
    <w:p w14:paraId="458DB220">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70.37</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4.21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29.63</w:t>
      </w:r>
      <w:r>
        <w:rPr>
          <w:rFonts w:hint="eastAsia" w:ascii="仿宋_GB2312" w:hAnsi="仿宋_GB2312" w:eastAsia="仿宋_GB2312" w:cs="仿宋_GB2312"/>
          <w:color w:val="auto"/>
          <w:sz w:val="32"/>
          <w:szCs w:val="32"/>
          <w:highlight w:val="none"/>
        </w:rPr>
        <w:t>%。具体情况如下：</w:t>
      </w:r>
    </w:p>
    <w:p w14:paraId="7AF3D398">
      <w:pPr>
        <w:pStyle w:val="6"/>
        <w:rPr>
          <w:rFonts w:hint="eastAsia"/>
        </w:rPr>
      </w:pPr>
      <w:r>
        <w:drawing>
          <wp:inline distT="0" distB="0" distL="114300" distR="114300">
            <wp:extent cx="4828540" cy="2743200"/>
            <wp:effectExtent l="4445" t="4445" r="5715" b="14605"/>
            <wp:docPr id="13" name="图表 12"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B1BC47">
      <w:pPr>
        <w:keepNext w:val="0"/>
        <w:keepLines w:val="0"/>
        <w:pageBreakBefore w:val="0"/>
        <w:widowControl w:val="0"/>
        <w:kinsoku/>
        <w:wordWrap/>
        <w:overflowPunct/>
        <w:topLinePunct w:val="0"/>
        <w:bidi w:val="0"/>
        <w:snapToGrid/>
        <w:spacing w:line="576" w:lineRule="exact"/>
        <w:ind w:left="0" w:right="0" w:firstLine="64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6E94A212">
      <w:pPr>
        <w:keepNext w:val="0"/>
        <w:keepLines w:val="0"/>
        <w:pageBreakBefore w:val="0"/>
        <w:widowControl w:val="0"/>
        <w:kinsoku/>
        <w:wordWrap/>
        <w:overflowPunct/>
        <w:topLinePunct w:val="0"/>
        <w:bidi w:val="0"/>
        <w:snapToGrid/>
        <w:spacing w:line="576" w:lineRule="exact"/>
        <w:ind w:left="0" w:right="0"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因公出国（境）经费支出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年初未安排预算。因公出国（境）支出决算较202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年无变化。</w:t>
      </w:r>
    </w:p>
    <w:p w14:paraId="000DF472">
      <w:pPr>
        <w:keepNext w:val="0"/>
        <w:keepLines w:val="0"/>
        <w:pageBreakBefore w:val="0"/>
        <w:widowControl w:val="0"/>
        <w:kinsoku/>
        <w:wordWrap/>
        <w:overflowPunct/>
        <w:topLinePunct w:val="0"/>
        <w:bidi w:val="0"/>
        <w:snapToGrid/>
        <w:spacing w:line="576" w:lineRule="exact"/>
        <w:ind w:left="0" w:right="0" w:firstLine="640"/>
        <w:jc w:val="both"/>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b/>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较</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持平。</w:t>
      </w:r>
    </w:p>
    <w:p w14:paraId="7B85A85B">
      <w:pPr>
        <w:keepNext w:val="0"/>
        <w:keepLines w:val="0"/>
        <w:pageBreakBefore w:val="0"/>
        <w:widowControl w:val="0"/>
        <w:kinsoku/>
        <w:wordWrap/>
        <w:overflowPunct/>
        <w:topLinePunct w:val="0"/>
        <w:bidi w:val="0"/>
        <w:snapToGrid/>
        <w:spacing w:line="576" w:lineRule="exact"/>
        <w:ind w:left="0" w:right="0"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，全年未购置公务用车</w:t>
      </w: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辆，其中：越野车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p>
    <w:p w14:paraId="140A0D63">
      <w:pPr>
        <w:keepNext w:val="0"/>
        <w:keepLines w:val="0"/>
        <w:pageBreakBefore w:val="0"/>
        <w:widowControl w:val="0"/>
        <w:kinsoku/>
        <w:wordWrap/>
        <w:overflowPunct/>
        <w:topLinePunct w:val="0"/>
        <w:bidi w:val="0"/>
        <w:snapToGrid/>
        <w:spacing w:line="576"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b/>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完成预算的100%。</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000000"/>
          <w:sz w:val="32"/>
          <w:szCs w:val="32"/>
        </w:rPr>
        <w:t>开展自然资源管理工作、</w:t>
      </w:r>
      <w:r>
        <w:rPr>
          <w:rFonts w:hint="eastAsia" w:ascii="仿宋_GB2312" w:hAnsi="仿宋_GB2312" w:eastAsia="仿宋_GB2312" w:cs="仿宋_GB2312"/>
          <w:color w:val="000000"/>
          <w:sz w:val="32"/>
          <w:szCs w:val="32"/>
          <w:lang w:val="en-US" w:eastAsia="zh-CN"/>
        </w:rPr>
        <w:t>地质灾害防治、耕地保护、矿业权管理、地籍测绘、土地整理、乡村振兴</w:t>
      </w:r>
      <w:r>
        <w:rPr>
          <w:rFonts w:hint="eastAsia" w:ascii="仿宋_GB2312" w:hAnsi="仿宋_GB2312" w:eastAsia="仿宋_GB2312" w:cs="仿宋_GB2312"/>
          <w:color w:val="000000"/>
          <w:sz w:val="32"/>
          <w:szCs w:val="32"/>
        </w:rPr>
        <w:t>、下乡帮扶等所需的公务用车燃料费、维修费、过路过桥费、保险费等支出。</w:t>
      </w:r>
    </w:p>
    <w:p w14:paraId="0EB804AB">
      <w:pPr>
        <w:keepNext w:val="0"/>
        <w:keepLines w:val="0"/>
        <w:pageBreakBefore w:val="0"/>
        <w:widowControl w:val="0"/>
        <w:shd w:val="clear"/>
        <w:kinsoku/>
        <w:wordWrap/>
        <w:overflowPunct/>
        <w:topLinePunct w:val="0"/>
        <w:bidi w:val="0"/>
        <w:snapToGrid/>
        <w:spacing w:line="576"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.公务接待费支出</w:t>
      </w:r>
      <w:r>
        <w:rPr>
          <w:rFonts w:hint="eastAsia" w:ascii="仿宋_GB2312" w:hAnsi="仿宋_GB2312" w:eastAsia="仿宋_GB2312" w:cs="仿宋_GB2312"/>
          <w:b/>
          <w:color w:val="auto"/>
          <w:sz w:val="32"/>
          <w:szCs w:val="32"/>
          <w:highlight w:val="none"/>
          <w:lang w:val="en-US" w:eastAsia="zh-CN"/>
        </w:rPr>
        <w:t>4.21</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较</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减少1.29万元，减少的主要原因是本年度部、省级督促检查公务接待减少，厉行节约。</w:t>
      </w:r>
    </w:p>
    <w:p w14:paraId="54E54F8A">
      <w:pPr>
        <w:keepNext w:val="0"/>
        <w:keepLines w:val="0"/>
        <w:pageBreakBefore w:val="0"/>
        <w:widowControl w:val="0"/>
        <w:shd w:val="clear"/>
        <w:kinsoku/>
        <w:wordWrap/>
        <w:overflowPunct/>
        <w:topLinePunct w:val="0"/>
        <w:bidi w:val="0"/>
        <w:snapToGrid/>
        <w:spacing w:line="576"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b/>
          <w:color w:val="auto"/>
          <w:sz w:val="32"/>
          <w:szCs w:val="32"/>
          <w:highlight w:val="none"/>
          <w:lang w:val="en-US" w:eastAsia="zh-CN"/>
        </w:rPr>
        <w:t>4.21</w:t>
      </w:r>
      <w:r>
        <w:rPr>
          <w:rFonts w:hint="eastAsia" w:ascii="仿宋_GB2312" w:hAnsi="仿宋_GB2312" w:eastAsia="仿宋_GB2312" w:cs="仿宋_GB2312"/>
          <w:color w:val="auto"/>
          <w:sz w:val="32"/>
          <w:szCs w:val="32"/>
          <w:highlight w:val="none"/>
        </w:rPr>
        <w:t>万元，主要用于省自然资源厅、上级部门及其他市州的各类检查、督查、调研和县区自然资源局来我局交流汇报等执行公务、开展业务活动开支的用餐费等。国内公务接待</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421</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4.21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具体内容包括：</w:t>
      </w:r>
      <w:r>
        <w:rPr>
          <w:rFonts w:hint="eastAsia" w:ascii="仿宋_GB2312" w:eastAsia="仿宋_GB2312"/>
          <w:color w:val="auto"/>
          <w:sz w:val="32"/>
          <w:szCs w:val="32"/>
          <w:highlight w:val="none"/>
          <w:lang w:val="en-US" w:eastAsia="zh-CN"/>
        </w:rPr>
        <w:t>接待自然资源部、自然资源厅、德阳局一行来广管督导、考察“田长制”工作0.5万元；省国土空间生态修复及地灾防治工作0.51万元；省督导组一下来广例行督察工作0.12万元；省厅、省国土整治中心一下来广督导占补平衡及自然资源调查监测工作0.31万元；省地质调查研究院一行签订战略合作、省国土整治中心督导土地整治工作、广安局来人考察自然资源调查监测0.33万元；自然资源部四川基础信息测绘中心来广开展地籍三维工作建设调研、省厅一行督导耕地保护和粮食安全党政同责考核、省自然资源确权登记局关于调研确权登记工作、地市州来广考察0.84万元；省地质研究院来广座谈交流工作0.27万元；省国土空间规划院一行来广调研0.27万元；省厅宣教中心一行来广调研汛前地质灾害防治、厅矿报处一行实地检查水安全问题、自然资源部咨询研究院调研矿产资源市场化教育情况0.74万元；成都督察局一行来广例行督察卫片执法0.32万元。</w:t>
      </w:r>
    </w:p>
    <w:p w14:paraId="7F54785C">
      <w:pPr>
        <w:keepNext w:val="0"/>
        <w:keepLines w:val="0"/>
        <w:pageBreakBefore w:val="0"/>
        <w:widowControl w:val="0"/>
        <w:kinsoku/>
        <w:wordWrap/>
        <w:overflowPunct/>
        <w:topLinePunct w:val="0"/>
        <w:bidi w:val="0"/>
        <w:snapToGrid/>
        <w:spacing w:line="576" w:lineRule="exact"/>
        <w:ind w:left="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14:paraId="04D3EAF5">
      <w:pPr>
        <w:keepNext w:val="0"/>
        <w:keepLines w:val="0"/>
        <w:pageBreakBefore w:val="0"/>
        <w:widowControl w:val="0"/>
        <w:kinsoku/>
        <w:wordWrap/>
        <w:overflowPunct/>
        <w:topLinePunct w:val="0"/>
        <w:bidi w:val="0"/>
        <w:snapToGrid/>
        <w:spacing w:line="576" w:lineRule="exact"/>
        <w:ind w:left="0" w:right="0" w:firstLine="640"/>
        <w:jc w:val="both"/>
        <w:textAlignment w:val="auto"/>
        <w:outlineLvl w:val="1"/>
        <w:rPr>
          <w:rStyle w:val="18"/>
          <w:rFonts w:ascii="黑体" w:hAnsi="黑体" w:eastAsia="黑体"/>
          <w:color w:val="auto"/>
          <w:highlight w:val="none"/>
        </w:rPr>
      </w:pPr>
      <w:bookmarkStart w:id="92" w:name="_Toc4030"/>
      <w:bookmarkStart w:id="93" w:name="_Toc15396610"/>
      <w:bookmarkStart w:id="94" w:name="_Toc7450"/>
      <w:bookmarkStart w:id="95" w:name="_Toc15377218"/>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92"/>
      <w:bookmarkEnd w:id="93"/>
      <w:bookmarkEnd w:id="94"/>
      <w:bookmarkEnd w:id="95"/>
    </w:p>
    <w:p w14:paraId="4A28ED22">
      <w:pPr>
        <w:keepNext w:val="0"/>
        <w:keepLines w:val="0"/>
        <w:pageBreakBefore w:val="0"/>
        <w:widowControl w:val="0"/>
        <w:kinsoku/>
        <w:wordWrap/>
        <w:overflowPunct/>
        <w:topLinePunct w:val="0"/>
        <w:bidi w:val="0"/>
        <w:snapToGrid/>
        <w:spacing w:line="576" w:lineRule="exact"/>
        <w:ind w:left="0" w:right="0" w:firstLine="640"/>
        <w:jc w:val="both"/>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11127.8</w:t>
      </w:r>
      <w:r>
        <w:rPr>
          <w:rFonts w:hint="eastAsia" w:ascii="仿宋_GB2312" w:eastAsia="仿宋_GB2312"/>
          <w:color w:val="auto"/>
          <w:sz w:val="32"/>
          <w:szCs w:val="32"/>
          <w:highlight w:val="none"/>
        </w:rPr>
        <w:t>万元。</w:t>
      </w:r>
    </w:p>
    <w:p w14:paraId="3A528F7F">
      <w:pPr>
        <w:keepNext w:val="0"/>
        <w:keepLines w:val="0"/>
        <w:pageBreakBefore w:val="0"/>
        <w:widowControl w:val="0"/>
        <w:numPr>
          <w:ilvl w:val="0"/>
          <w:numId w:val="2"/>
        </w:numPr>
        <w:kinsoku/>
        <w:wordWrap/>
        <w:overflowPunct/>
        <w:topLinePunct w:val="0"/>
        <w:bidi w:val="0"/>
        <w:snapToGrid/>
        <w:spacing w:line="576" w:lineRule="exact"/>
        <w:ind w:left="0" w:right="0" w:firstLine="640"/>
        <w:jc w:val="both"/>
        <w:textAlignment w:val="auto"/>
        <w:outlineLvl w:val="1"/>
        <w:rPr>
          <w:rStyle w:val="18"/>
          <w:rFonts w:ascii="黑体" w:hAnsi="黑体" w:eastAsia="黑体"/>
          <w:b w:val="0"/>
          <w:color w:val="auto"/>
          <w:highlight w:val="none"/>
        </w:rPr>
      </w:pPr>
      <w:bookmarkStart w:id="96" w:name="_Toc15377219"/>
      <w:bookmarkStart w:id="97" w:name="_Toc15396611"/>
      <w:bookmarkStart w:id="98" w:name="_Toc18370"/>
      <w:bookmarkStart w:id="99" w:name="_Toc21616"/>
      <w:r>
        <w:rPr>
          <w:rStyle w:val="18"/>
          <w:rFonts w:hint="eastAsia" w:ascii="黑体" w:hAnsi="黑体" w:eastAsia="黑体"/>
          <w:b w:val="0"/>
          <w:color w:val="auto"/>
          <w:highlight w:val="none"/>
        </w:rPr>
        <w:t>国有资本经营预算支出决算情况说明</w:t>
      </w:r>
      <w:bookmarkEnd w:id="96"/>
      <w:bookmarkEnd w:id="97"/>
      <w:bookmarkEnd w:id="98"/>
      <w:bookmarkEnd w:id="99"/>
    </w:p>
    <w:p w14:paraId="799DBBDC">
      <w:pPr>
        <w:keepNext w:val="0"/>
        <w:keepLines w:val="0"/>
        <w:pageBreakBefore w:val="0"/>
        <w:widowControl w:val="0"/>
        <w:kinsoku/>
        <w:wordWrap/>
        <w:overflowPunct/>
        <w:topLinePunct w:val="0"/>
        <w:bidi w:val="0"/>
        <w:snapToGrid/>
        <w:spacing w:line="576" w:lineRule="exact"/>
        <w:ind w:left="0" w:right="0" w:firstLine="640"/>
        <w:jc w:val="both"/>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30C10E2">
      <w:pPr>
        <w:keepNext w:val="0"/>
        <w:keepLines w:val="0"/>
        <w:pageBreakBefore w:val="0"/>
        <w:widowControl w:val="0"/>
        <w:numPr>
          <w:ilvl w:val="0"/>
          <w:numId w:val="2"/>
        </w:numPr>
        <w:kinsoku/>
        <w:wordWrap/>
        <w:overflowPunct/>
        <w:topLinePunct w:val="0"/>
        <w:bidi w:val="0"/>
        <w:snapToGrid/>
        <w:spacing w:line="576" w:lineRule="exact"/>
        <w:ind w:left="0" w:right="0" w:firstLine="640"/>
        <w:jc w:val="both"/>
        <w:textAlignment w:val="auto"/>
        <w:outlineLvl w:val="1"/>
        <w:rPr>
          <w:rStyle w:val="18"/>
          <w:rFonts w:hint="eastAsia" w:ascii="黑体" w:hAnsi="黑体" w:eastAsia="黑体"/>
          <w:b w:val="0"/>
          <w:color w:val="auto"/>
          <w:highlight w:val="none"/>
        </w:rPr>
      </w:pPr>
      <w:bookmarkStart w:id="100" w:name="_Toc13315"/>
      <w:bookmarkStart w:id="101" w:name="_Toc16803"/>
      <w:bookmarkStart w:id="102" w:name="_Toc15396612"/>
      <w:bookmarkStart w:id="103" w:name="_Toc15377221"/>
      <w:r>
        <w:rPr>
          <w:rStyle w:val="18"/>
          <w:rFonts w:hint="eastAsia" w:ascii="黑体" w:hAnsi="黑体" w:eastAsia="黑体"/>
          <w:b w:val="0"/>
          <w:color w:val="auto"/>
          <w:highlight w:val="none"/>
        </w:rPr>
        <w:t>其他重要事项的情况说明</w:t>
      </w:r>
      <w:bookmarkEnd w:id="100"/>
      <w:bookmarkEnd w:id="101"/>
      <w:bookmarkEnd w:id="102"/>
      <w:bookmarkEnd w:id="103"/>
    </w:p>
    <w:p w14:paraId="4D3B4294">
      <w:pPr>
        <w:keepNext w:val="0"/>
        <w:keepLines w:val="0"/>
        <w:pageBreakBefore w:val="0"/>
        <w:widowControl w:val="0"/>
        <w:kinsoku/>
        <w:wordWrap/>
        <w:overflowPunct/>
        <w:topLinePunct w:val="0"/>
        <w:bidi w:val="0"/>
        <w:snapToGrid/>
        <w:spacing w:line="576" w:lineRule="exact"/>
        <w:ind w:left="0" w:right="0" w:firstLine="643" w:firstLineChars="200"/>
        <w:jc w:val="both"/>
        <w:textAlignment w:val="auto"/>
        <w:outlineLvl w:val="2"/>
        <w:rPr>
          <w:rFonts w:ascii="仿宋" w:hAnsi="仿宋" w:eastAsia="仿宋"/>
          <w:color w:val="auto"/>
          <w:sz w:val="32"/>
          <w:szCs w:val="32"/>
          <w:highlight w:val="none"/>
        </w:rPr>
      </w:pPr>
      <w:bookmarkStart w:id="104" w:name="_Toc15377222"/>
      <w:bookmarkStart w:id="105" w:name="_Toc24072"/>
      <w:bookmarkStart w:id="106" w:name="_Toc16706"/>
      <w:r>
        <w:rPr>
          <w:rFonts w:hint="eastAsia" w:ascii="仿宋" w:hAnsi="仿宋" w:eastAsia="仿宋"/>
          <w:b/>
          <w:color w:val="auto"/>
          <w:sz w:val="32"/>
          <w:szCs w:val="32"/>
          <w:highlight w:val="none"/>
        </w:rPr>
        <w:t>（一）机关运行经费支出情况</w:t>
      </w:r>
      <w:bookmarkEnd w:id="104"/>
      <w:bookmarkEnd w:id="105"/>
      <w:bookmarkEnd w:id="106"/>
    </w:p>
    <w:p w14:paraId="3D92746A">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default" w:ascii="仿宋_GB2312" w:eastAsia="仿宋_GB2312"/>
          <w:color w:val="auto"/>
          <w:sz w:val="32"/>
          <w:szCs w:val="32"/>
          <w:highlight w:val="none"/>
          <w:lang w:val="en-US" w:eastAsia="zh-CN"/>
        </w:rPr>
      </w:pPr>
      <w:bookmarkStart w:id="107"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214.27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增加0.23万元，增长0.1%，主要原因是机关运行成本高导致运行经费略微上涨。</w:t>
      </w:r>
    </w:p>
    <w:p w14:paraId="59596FB0">
      <w:pPr>
        <w:keepNext w:val="0"/>
        <w:keepLines w:val="0"/>
        <w:pageBreakBefore w:val="0"/>
        <w:widowControl w:val="0"/>
        <w:kinsoku/>
        <w:wordWrap/>
        <w:overflowPunct/>
        <w:topLinePunct w:val="0"/>
        <w:autoSpaceDE w:val="0"/>
        <w:autoSpaceDN w:val="0"/>
        <w:bidi w:val="0"/>
        <w:adjustRightInd w:val="0"/>
        <w:snapToGrid/>
        <w:spacing w:line="576" w:lineRule="exact"/>
        <w:ind w:left="0" w:right="0" w:firstLine="643" w:firstLineChars="200"/>
        <w:jc w:val="both"/>
        <w:textAlignment w:val="auto"/>
        <w:outlineLvl w:val="2"/>
        <w:rPr>
          <w:rFonts w:ascii="仿宋" w:hAnsi="仿宋" w:eastAsia="仿宋"/>
          <w:b/>
          <w:color w:val="auto"/>
          <w:sz w:val="32"/>
          <w:szCs w:val="32"/>
          <w:highlight w:val="none"/>
        </w:rPr>
      </w:pPr>
      <w:bookmarkStart w:id="108" w:name="_Toc14034"/>
      <w:bookmarkStart w:id="109" w:name="_Toc1619"/>
      <w:r>
        <w:rPr>
          <w:rFonts w:hint="eastAsia" w:ascii="仿宋" w:hAnsi="仿宋" w:eastAsia="仿宋"/>
          <w:b/>
          <w:color w:val="auto"/>
          <w:sz w:val="32"/>
          <w:szCs w:val="32"/>
          <w:highlight w:val="none"/>
        </w:rPr>
        <w:t>（二）政府采购支出情况</w:t>
      </w:r>
      <w:bookmarkEnd w:id="107"/>
      <w:bookmarkEnd w:id="108"/>
      <w:bookmarkEnd w:id="109"/>
    </w:p>
    <w:p w14:paraId="7793ADCE">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542.12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中：政府采购货物支出1.54万元、政府采购服务支出540.58万元。政府采购货物主要采购办公电脑、空调、打印机等办公设备用于日常办公，政府采购货物主要用于矿产资源调查、广元市卫片自主监测项目、广元市市本级自然资源技术辅助性服务等项目技术服务费</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542.12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542.12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65548EC">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default" w:ascii="仿宋_GB2312" w:eastAsia="仿宋_GB2312"/>
          <w:color w:val="auto"/>
          <w:sz w:val="32"/>
          <w:szCs w:val="32"/>
          <w:highlight w:val="none"/>
          <w:lang w:val="en-US" w:eastAsia="zh-CN"/>
        </w:rPr>
      </w:pPr>
    </w:p>
    <w:p w14:paraId="051D9617">
      <w:pPr>
        <w:keepNext w:val="0"/>
        <w:keepLines w:val="0"/>
        <w:pageBreakBefore w:val="0"/>
        <w:widowControl w:val="0"/>
        <w:kinsoku/>
        <w:wordWrap/>
        <w:overflowPunct/>
        <w:topLinePunct w:val="0"/>
        <w:autoSpaceDE w:val="0"/>
        <w:autoSpaceDN w:val="0"/>
        <w:bidi w:val="0"/>
        <w:adjustRightInd w:val="0"/>
        <w:snapToGrid/>
        <w:spacing w:line="576" w:lineRule="exact"/>
        <w:ind w:left="0" w:right="0" w:firstLine="643" w:firstLineChars="200"/>
        <w:jc w:val="both"/>
        <w:textAlignment w:val="auto"/>
        <w:outlineLvl w:val="2"/>
        <w:rPr>
          <w:rFonts w:ascii="仿宋" w:hAnsi="仿宋" w:eastAsia="仿宋"/>
          <w:b/>
          <w:color w:val="auto"/>
          <w:sz w:val="32"/>
          <w:szCs w:val="32"/>
          <w:highlight w:val="none"/>
        </w:rPr>
      </w:pPr>
      <w:bookmarkStart w:id="110" w:name="_Toc23213"/>
      <w:bookmarkStart w:id="111" w:name="_Toc15377224"/>
      <w:bookmarkStart w:id="112" w:name="_Toc7716"/>
      <w:r>
        <w:rPr>
          <w:rFonts w:hint="eastAsia" w:ascii="仿宋" w:hAnsi="仿宋" w:eastAsia="仿宋"/>
          <w:b/>
          <w:color w:val="auto"/>
          <w:sz w:val="32"/>
          <w:szCs w:val="32"/>
          <w:highlight w:val="none"/>
        </w:rPr>
        <w:t>（三）国有资产占有使用情况</w:t>
      </w:r>
      <w:bookmarkEnd w:id="110"/>
      <w:bookmarkEnd w:id="111"/>
      <w:bookmarkEnd w:id="112"/>
    </w:p>
    <w:p w14:paraId="0C7DAD01">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一般公务、业务用车。</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267CF4FF">
      <w:pPr>
        <w:keepNext w:val="0"/>
        <w:keepLines w:val="0"/>
        <w:pageBreakBefore w:val="0"/>
        <w:widowControl w:val="0"/>
        <w:kinsoku/>
        <w:wordWrap/>
        <w:overflowPunct/>
        <w:topLinePunct w:val="0"/>
        <w:autoSpaceDE w:val="0"/>
        <w:autoSpaceDN w:val="0"/>
        <w:bidi w:val="0"/>
        <w:adjustRightInd w:val="0"/>
        <w:snapToGrid/>
        <w:spacing w:line="576" w:lineRule="exact"/>
        <w:ind w:left="0" w:right="0" w:firstLine="643" w:firstLineChars="200"/>
        <w:jc w:val="both"/>
        <w:textAlignment w:val="auto"/>
        <w:outlineLvl w:val="2"/>
        <w:rPr>
          <w:rFonts w:hint="eastAsia" w:ascii="仿宋" w:hAnsi="仿宋" w:eastAsia="仿宋"/>
          <w:b/>
          <w:color w:val="auto"/>
          <w:sz w:val="32"/>
          <w:szCs w:val="32"/>
          <w:highlight w:val="none"/>
          <w:lang w:eastAsia="zh-CN"/>
        </w:rPr>
      </w:pPr>
      <w:bookmarkStart w:id="113" w:name="_Toc393"/>
      <w:bookmarkStart w:id="114" w:name="_Toc3115"/>
      <w:r>
        <w:rPr>
          <w:rFonts w:hint="eastAsia" w:ascii="仿宋" w:hAnsi="仿宋" w:eastAsia="仿宋"/>
          <w:b/>
          <w:color w:val="auto"/>
          <w:sz w:val="32"/>
          <w:szCs w:val="32"/>
          <w:highlight w:val="none"/>
        </w:rPr>
        <w:t>（四）预算绩效管理情况</w:t>
      </w:r>
      <w:bookmarkEnd w:id="113"/>
      <w:bookmarkEnd w:id="114"/>
    </w:p>
    <w:p w14:paraId="5B55E5E6">
      <w:pPr>
        <w:keepNext w:val="0"/>
        <w:keepLines w:val="0"/>
        <w:pageBreakBefore w:val="0"/>
        <w:widowControl w:val="0"/>
        <w:shd w:val="clear"/>
        <w:kinsoku/>
        <w:wordWrap/>
        <w:overflowPunct/>
        <w:topLinePunct w:val="0"/>
        <w:bidi w:val="0"/>
        <w:snapToGrid/>
        <w:spacing w:line="576" w:lineRule="exact"/>
        <w:ind w:left="0" w:leftChars="0" w:right="0" w:firstLine="640" w:firstLineChars="200"/>
        <w:jc w:val="both"/>
        <w:textAlignment w:val="auto"/>
        <w:rPr>
          <w:rFonts w:hint="eastAsia" w:ascii="仿宋_GB2312" w:eastAsia="仿宋_GB2312"/>
          <w:color w:val="auto"/>
          <w:sz w:val="32"/>
          <w:szCs w:val="32"/>
          <w:highlight w:val="none"/>
        </w:rPr>
      </w:pPr>
    </w:p>
    <w:p w14:paraId="7EC2814E">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default" w:ascii="仿宋_GB2312" w:hAnsi="Times New Roman" w:eastAsia="仿宋_GB2312" w:cs="Times New Roman"/>
          <w:color w:val="auto"/>
          <w:sz w:val="32"/>
          <w:szCs w:val="32"/>
          <w:highlight w:val="none"/>
          <w:lang w:val="en"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广元市卫片自主监测项目”</w:t>
      </w:r>
      <w:r>
        <w:rPr>
          <w:rFonts w:hint="eastAsia" w:ascii="仿宋_GB2312" w:hAnsi="Times New Roman" w:eastAsia="仿宋_GB2312" w:cs="Times New Roman"/>
          <w:color w:val="auto"/>
          <w:sz w:val="32"/>
          <w:szCs w:val="32"/>
          <w:highlight w:val="none"/>
          <w:lang w:eastAsia="zh-CN"/>
        </w:rPr>
        <w:t>项目等</w:t>
      </w:r>
      <w:r>
        <w:rPr>
          <w:rFonts w:hint="eastAsia" w:ascii="仿宋_GB2312" w:hAnsi="Times New Roman" w:eastAsia="仿宋_GB2312" w:cs="Times New Roman"/>
          <w:color w:val="auto"/>
          <w:sz w:val="32"/>
          <w:szCs w:val="32"/>
          <w:highlight w:val="none"/>
          <w:lang w:val="en-US" w:eastAsia="zh-CN"/>
        </w:rPr>
        <w:t>17个项目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48</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48</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48个项目开展绩效自评，绩效自评表详见第四部分附件。</w:t>
      </w:r>
    </w:p>
    <w:p w14:paraId="44CC173A">
      <w:pPr>
        <w:pStyle w:val="26"/>
        <w:keepNext w:val="0"/>
        <w:keepLines w:val="0"/>
        <w:pageBreakBefore w:val="0"/>
        <w:widowControl w:val="0"/>
        <w:shd w:val="clear"/>
        <w:kinsoku/>
        <w:wordWrap/>
        <w:overflowPunct/>
        <w:topLinePunct w:val="0"/>
        <w:bidi w:val="0"/>
        <w:snapToGrid/>
        <w:spacing w:line="576" w:lineRule="exact"/>
        <w:ind w:right="0"/>
        <w:jc w:val="center"/>
        <w:textAlignment w:val="auto"/>
        <w:outlineLvl w:val="0"/>
        <w:rPr>
          <w:rStyle w:val="17"/>
          <w:rFonts w:hint="eastAsia" w:ascii="黑体" w:hAnsi="黑体" w:eastAsia="黑体"/>
          <w:b w:val="0"/>
          <w:color w:val="auto"/>
          <w:highlight w:val="none"/>
        </w:rPr>
      </w:pPr>
      <w:r>
        <w:rPr>
          <w:rFonts w:ascii="仿宋_GB2312" w:eastAsia="仿宋_GB2312"/>
          <w:b/>
          <w:color w:val="auto"/>
          <w:sz w:val="32"/>
          <w:szCs w:val="32"/>
          <w:highlight w:val="none"/>
        </w:rPr>
        <w:br w:type="page"/>
      </w:r>
      <w:bookmarkStart w:id="115" w:name="_Toc15377225"/>
      <w:bookmarkStart w:id="116" w:name="_Toc24691"/>
      <w:bookmarkStart w:id="117" w:name="_Toc15396613"/>
      <w:bookmarkStart w:id="118" w:name="_Toc8591"/>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115"/>
      <w:bookmarkEnd w:id="116"/>
      <w:bookmarkEnd w:id="117"/>
      <w:bookmarkEnd w:id="118"/>
    </w:p>
    <w:p w14:paraId="030532EB">
      <w:pPr>
        <w:pStyle w:val="26"/>
        <w:keepNext w:val="0"/>
        <w:keepLines w:val="0"/>
        <w:pageBreakBefore w:val="0"/>
        <w:widowControl w:val="0"/>
        <w:shd w:val="clear"/>
        <w:kinsoku/>
        <w:wordWrap/>
        <w:overflowPunct/>
        <w:topLinePunct w:val="0"/>
        <w:bidi w:val="0"/>
        <w:snapToGrid/>
        <w:spacing w:line="576" w:lineRule="exact"/>
        <w:ind w:right="0"/>
        <w:jc w:val="center"/>
        <w:textAlignment w:val="auto"/>
        <w:rPr>
          <w:rStyle w:val="17"/>
          <w:rFonts w:hint="eastAsia" w:ascii="黑体" w:hAnsi="黑体" w:eastAsia="黑体"/>
          <w:b w:val="0"/>
          <w:color w:val="auto"/>
          <w:highlight w:val="none"/>
          <w:lang w:eastAsia="zh-CN"/>
        </w:rPr>
      </w:pPr>
    </w:p>
    <w:p w14:paraId="31154DCC">
      <w:pPr>
        <w:pageBreakBefore w:val="0"/>
        <w:widowControl/>
        <w:kinsoku/>
        <w:wordWrap/>
        <w:overflowPunct/>
        <w:topLinePunct w:val="0"/>
        <w:bidi w:val="0"/>
        <w:snapToGrid/>
        <w:spacing w:line="576" w:lineRule="exact"/>
        <w:ind w:left="0" w:right="0"/>
        <w:jc w:val="left"/>
        <w:textAlignment w:val="auto"/>
        <w:rPr>
          <w:rStyle w:val="17"/>
          <w:rFonts w:ascii="黑体" w:hAnsi="黑体" w:eastAsia="黑体"/>
          <w:b w:val="0"/>
          <w:color w:val="auto"/>
          <w:highlight w:val="none"/>
        </w:rPr>
      </w:pPr>
    </w:p>
    <w:p w14:paraId="402794FB">
      <w:pPr>
        <w:pageBreakBefore w:val="0"/>
        <w:kinsoku/>
        <w:wordWrap/>
        <w:overflowPunct/>
        <w:topLinePunct w:val="0"/>
        <w:bidi w:val="0"/>
        <w:snapToGrid/>
        <w:spacing w:line="576" w:lineRule="exact"/>
        <w:ind w:left="0" w:right="0"/>
        <w:jc w:val="left"/>
        <w:textAlignment w:val="auto"/>
        <w:rPr>
          <w:rFonts w:ascii="宋体"/>
          <w:b/>
          <w:color w:val="auto"/>
          <w:sz w:val="44"/>
          <w:szCs w:val="44"/>
          <w:highlight w:val="none"/>
        </w:rPr>
      </w:pPr>
    </w:p>
    <w:p w14:paraId="62994485">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财政拨款收入：指单位从同级财政部门取得的财政预算资金。</w:t>
      </w:r>
    </w:p>
    <w:p w14:paraId="7B8771E5">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人力资源和社会保障管理事务</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引进人才费用</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指引进人才的安家补助和生活补助。</w:t>
      </w:r>
    </w:p>
    <w:p w14:paraId="1D955D8E">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（类）行政事业单位</w:t>
      </w:r>
      <w:r>
        <w:rPr>
          <w:rFonts w:hint="eastAsia" w:ascii="仿宋_GB2312" w:hAnsi="仿宋_GB2312" w:eastAsia="仿宋_GB2312" w:cs="仿宋_GB2312"/>
          <w:color w:val="auto"/>
          <w:sz w:val="32"/>
          <w:szCs w:val="32"/>
          <w:highlight w:val="none"/>
          <w:lang w:val="en-US" w:eastAsia="zh-CN"/>
        </w:rPr>
        <w:t>养老支出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行政单位离退休</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val="en-US" w:eastAsia="zh-CN"/>
        </w:rPr>
        <w:t>行政事业单位退休职工生活补助</w:t>
      </w:r>
      <w:r>
        <w:rPr>
          <w:rFonts w:hint="eastAsia" w:ascii="仿宋_GB2312" w:hAnsi="仿宋_GB2312" w:eastAsia="仿宋_GB2312" w:cs="仿宋_GB2312"/>
          <w:color w:val="auto"/>
          <w:sz w:val="32"/>
          <w:szCs w:val="32"/>
          <w:highlight w:val="none"/>
        </w:rPr>
        <w:t>。</w:t>
      </w:r>
    </w:p>
    <w:p w14:paraId="12E75157">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（类）行政事业单位</w:t>
      </w:r>
      <w:r>
        <w:rPr>
          <w:rFonts w:hint="eastAsia" w:ascii="仿宋_GB2312" w:hAnsi="仿宋_GB2312" w:eastAsia="仿宋_GB2312" w:cs="仿宋_GB2312"/>
          <w:color w:val="auto"/>
          <w:sz w:val="32"/>
          <w:szCs w:val="32"/>
          <w:highlight w:val="none"/>
          <w:lang w:val="en-US" w:eastAsia="zh-CN"/>
        </w:rPr>
        <w:t>养老支出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机关事业单位基本养老保险缴费支出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指机关事业单位实施养老保险制度由单位缴纳的基本养老保险费支出</w:t>
      </w:r>
      <w:r>
        <w:rPr>
          <w:rFonts w:hint="eastAsia" w:ascii="仿宋_GB2312" w:hAnsi="仿宋_GB2312" w:eastAsia="仿宋_GB2312" w:cs="仿宋_GB2312"/>
          <w:color w:val="auto"/>
          <w:sz w:val="32"/>
          <w:szCs w:val="32"/>
          <w:highlight w:val="none"/>
          <w:lang w:eastAsia="zh-CN"/>
        </w:rPr>
        <w:t>。</w:t>
      </w:r>
    </w:p>
    <w:p w14:paraId="74A9ADFB">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（类）行政事业单位</w:t>
      </w:r>
      <w:r>
        <w:rPr>
          <w:rFonts w:hint="eastAsia" w:ascii="仿宋_GB2312" w:hAnsi="仿宋_GB2312" w:eastAsia="仿宋_GB2312" w:cs="仿宋_GB2312"/>
          <w:color w:val="auto"/>
          <w:sz w:val="32"/>
          <w:szCs w:val="32"/>
          <w:highlight w:val="none"/>
          <w:lang w:val="en-US" w:eastAsia="zh-CN"/>
        </w:rPr>
        <w:t>养老支出</w:t>
      </w:r>
      <w:r>
        <w:rPr>
          <w:rFonts w:hint="eastAsia" w:ascii="仿宋_GB2312" w:hAnsi="仿宋_GB2312" w:eastAsia="仿宋_GB2312" w:cs="仿宋_GB2312"/>
          <w:color w:val="auto"/>
          <w:sz w:val="32"/>
          <w:szCs w:val="32"/>
          <w:highlight w:val="none"/>
        </w:rPr>
        <w:t>（款）机关事业单位职业年金缴费支出（项）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指机关事业单位实施养老保险制度由单位实际缴纳的职业年金支出。</w:t>
      </w:r>
    </w:p>
    <w:p w14:paraId="291A77F8">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社会保障和就业支出（类）抚恤（款）死亡抚恤（项）：退休人员的丧葬费和抚恤金。</w:t>
      </w:r>
    </w:p>
    <w:p w14:paraId="307A3C4B">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（类）行政事业单位医疗（款）行政单位医疗（项）：指</w:t>
      </w:r>
      <w:r>
        <w:rPr>
          <w:rFonts w:hint="eastAsia" w:ascii="仿宋_GB2312" w:hAnsi="仿宋_GB2312" w:eastAsia="仿宋_GB2312" w:cs="仿宋_GB2312"/>
          <w:color w:val="auto"/>
          <w:sz w:val="32"/>
          <w:szCs w:val="32"/>
          <w:highlight w:val="none"/>
          <w:lang w:val="en-US" w:eastAsia="zh-CN"/>
        </w:rPr>
        <w:t>财政部门安排的行政单位（包括实行公务员管理的事业单位）基本医疗保险缴费经费。</w:t>
      </w:r>
    </w:p>
    <w:p w14:paraId="7BF9B673">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卫生健康支出（类）行政事业单位医疗（款）其他行政事业单位医疗支出（项）：指财政部门安排的行政事业单位的工伤保险支出。</w:t>
      </w:r>
    </w:p>
    <w:p w14:paraId="2555CE41">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节能环保支出（类）自然生态保护（款）生态保护（项）：指用于生态功能区、生态示范区等生态修复支出。</w:t>
      </w:r>
    </w:p>
    <w:p w14:paraId="41BACC32">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城区社区</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国有土地使用权出让收入安排的支出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征地和拆迁补偿</w:t>
      </w:r>
      <w:r>
        <w:rPr>
          <w:rFonts w:hint="eastAsia" w:ascii="仿宋_GB2312" w:hAnsi="仿宋_GB2312" w:eastAsia="仿宋_GB2312" w:cs="仿宋_GB2312"/>
          <w:color w:val="auto"/>
          <w:sz w:val="32"/>
          <w:szCs w:val="32"/>
          <w:highlight w:val="none"/>
        </w:rPr>
        <w:t>支出（项）：</w:t>
      </w:r>
      <w:r>
        <w:rPr>
          <w:rFonts w:hint="eastAsia" w:ascii="仿宋_GB2312" w:hAnsi="仿宋_GB2312" w:eastAsia="仿宋_GB2312" w:cs="仿宋_GB2312"/>
          <w:color w:val="auto"/>
          <w:sz w:val="32"/>
          <w:szCs w:val="32"/>
          <w:highlight w:val="none"/>
          <w:lang w:val="en-US" w:eastAsia="zh-CN"/>
        </w:rPr>
        <w:t>指地方政府在征地和收购土地过程中支付的土地补偿费、安置补助费、地上附着物和青苗补偿费、拆迁补偿费支出。</w:t>
      </w:r>
    </w:p>
    <w:p w14:paraId="3E9C5414">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城区社区</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国有土地使用权出让收入安排的支出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补助被征地农民支出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指用于被征土地农民的社保资金支出。</w:t>
      </w:r>
    </w:p>
    <w:p w14:paraId="71289BA2">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城区社区</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国有土地使用权出让收入安排的支出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土地出让业务支出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指用于土地出让过程中的有关支出。</w:t>
      </w:r>
    </w:p>
    <w:p w14:paraId="7126D288">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城区社区</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国有土地使用权出让收入安排的支出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其他国有土地使用权出让收入安排的支出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指土地出让收入用于其他方面的支出</w:t>
      </w:r>
      <w:r>
        <w:rPr>
          <w:rFonts w:hint="eastAsia" w:ascii="仿宋_GB2312" w:hAnsi="仿宋_GB2312" w:eastAsia="仿宋_GB2312" w:cs="仿宋_GB2312"/>
          <w:color w:val="auto"/>
          <w:sz w:val="32"/>
          <w:szCs w:val="32"/>
          <w:highlight w:val="none"/>
        </w:rPr>
        <w:t>。</w:t>
      </w:r>
    </w:p>
    <w:p w14:paraId="11F48C24">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自然资源海洋气象等（类）自然资源事务（款）行政运行（项）：指局</w:t>
      </w:r>
      <w:r>
        <w:rPr>
          <w:rFonts w:hint="eastAsia" w:ascii="仿宋_GB2312" w:hAnsi="仿宋_GB2312" w:eastAsia="仿宋_GB2312" w:cs="仿宋_GB2312"/>
          <w:color w:val="auto"/>
          <w:sz w:val="32"/>
          <w:szCs w:val="32"/>
          <w:highlight w:val="none"/>
          <w:lang w:val="en-US" w:eastAsia="zh-CN"/>
        </w:rPr>
        <w:t>机关及局属参公管理的事业单位</w:t>
      </w:r>
      <w:r>
        <w:rPr>
          <w:rFonts w:hint="eastAsia" w:ascii="仿宋_GB2312" w:hAnsi="仿宋_GB2312" w:eastAsia="仿宋_GB2312" w:cs="仿宋_GB2312"/>
          <w:color w:val="auto"/>
          <w:sz w:val="32"/>
          <w:szCs w:val="32"/>
          <w:highlight w:val="none"/>
        </w:rPr>
        <w:t>用于保障机构正常运行、开展日常工作的基本支出。</w:t>
      </w:r>
    </w:p>
    <w:p w14:paraId="08900EFD">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自然资源海洋气象等（类）自然资源事务（款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一般行政管理事务行（项）：指</w:t>
      </w:r>
      <w:r>
        <w:rPr>
          <w:rFonts w:hint="eastAsia" w:ascii="仿宋_GB2312" w:hAnsi="仿宋_GB2312" w:eastAsia="仿宋_GB2312" w:cs="仿宋_GB2312"/>
          <w:color w:val="auto"/>
          <w:sz w:val="32"/>
          <w:szCs w:val="32"/>
          <w:highlight w:val="none"/>
          <w:lang w:val="en-US" w:eastAsia="zh-CN"/>
        </w:rPr>
        <w:t>行政单位（包括实行公务员管理的事业单位）未单独设置项级科目的其他项目</w:t>
      </w:r>
      <w:r>
        <w:rPr>
          <w:rFonts w:hint="eastAsia" w:ascii="仿宋_GB2312" w:hAnsi="仿宋_GB2312" w:eastAsia="仿宋_GB2312" w:cs="仿宋_GB2312"/>
          <w:color w:val="auto"/>
          <w:sz w:val="32"/>
          <w:szCs w:val="32"/>
          <w:highlight w:val="none"/>
        </w:rPr>
        <w:t>支出。</w:t>
      </w:r>
    </w:p>
    <w:p w14:paraId="68C9993A">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自然资源海洋气象等（类）自然资源事务（款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自然资源利用与保护</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指用于自然资源有偿使用与合理开发利用，国土空间生态修复，国土整治，耕地保护等方面的支出。</w:t>
      </w:r>
    </w:p>
    <w:p w14:paraId="64C1704E">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自然资源海洋气象等支出（类）自然资源事务（款）</w:t>
      </w:r>
      <w:r>
        <w:rPr>
          <w:rFonts w:hint="eastAsia" w:ascii="仿宋_GB2312" w:hAnsi="仿宋_GB2312" w:eastAsia="仿宋_GB2312" w:cs="仿宋_GB2312"/>
          <w:color w:val="auto"/>
          <w:sz w:val="32"/>
          <w:szCs w:val="32"/>
          <w:highlight w:val="none"/>
          <w:lang w:val="en-US" w:eastAsia="zh-CN"/>
        </w:rPr>
        <w:t>自然资源行业业务管理</w:t>
      </w:r>
      <w:r>
        <w:rPr>
          <w:rFonts w:hint="eastAsia" w:ascii="仿宋_GB2312" w:hAnsi="仿宋_GB2312" w:eastAsia="仿宋_GB2312" w:cs="仿宋_GB2312"/>
          <w:color w:val="auto"/>
          <w:sz w:val="32"/>
          <w:szCs w:val="32"/>
          <w:highlight w:val="none"/>
        </w:rPr>
        <w:t>（项）：指</w:t>
      </w:r>
      <w:r>
        <w:rPr>
          <w:rFonts w:hint="eastAsia" w:ascii="仿宋_GB2312" w:hAnsi="仿宋_GB2312" w:eastAsia="仿宋_GB2312" w:cs="仿宋_GB2312"/>
          <w:color w:val="auto"/>
          <w:sz w:val="32"/>
          <w:szCs w:val="32"/>
          <w:highlight w:val="none"/>
          <w:lang w:val="en-US" w:eastAsia="zh-CN"/>
        </w:rPr>
        <w:t>用于自然资源行业业务管理经费，包括政策法规、审计监督、队伍建设等方面的支出。</w:t>
      </w:r>
    </w:p>
    <w:p w14:paraId="565A3BF7">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自然资源海洋气象等支出（类）自然资源事务（款）</w:t>
      </w:r>
      <w:r>
        <w:rPr>
          <w:rFonts w:hint="eastAsia" w:ascii="仿宋_GB2312" w:hAnsi="仿宋_GB2312" w:eastAsia="仿宋_GB2312" w:cs="仿宋_GB2312"/>
          <w:color w:val="auto"/>
          <w:sz w:val="32"/>
          <w:szCs w:val="32"/>
          <w:highlight w:val="none"/>
          <w:lang w:val="en-US" w:eastAsia="zh-CN"/>
        </w:rPr>
        <w:t>自然资源调查与确权登记</w:t>
      </w:r>
      <w:r>
        <w:rPr>
          <w:rFonts w:hint="eastAsia" w:ascii="仿宋_GB2312" w:hAnsi="仿宋_GB2312" w:eastAsia="仿宋_GB2312" w:cs="仿宋_GB2312"/>
          <w:color w:val="auto"/>
          <w:sz w:val="32"/>
          <w:szCs w:val="32"/>
          <w:highlight w:val="none"/>
        </w:rPr>
        <w:t>（项）：指</w:t>
      </w:r>
      <w:r>
        <w:rPr>
          <w:rFonts w:hint="eastAsia" w:ascii="仿宋_GB2312" w:hAnsi="仿宋_GB2312" w:eastAsia="仿宋_GB2312" w:cs="仿宋_GB2312"/>
          <w:color w:val="auto"/>
          <w:sz w:val="32"/>
          <w:szCs w:val="32"/>
          <w:highlight w:val="none"/>
          <w:lang w:val="en-US" w:eastAsia="zh-CN"/>
        </w:rPr>
        <w:t>自然资源部门用于自然资源调查监测评价，自然资源统一确权登记等方面的支出。</w:t>
      </w:r>
    </w:p>
    <w:p w14:paraId="14ACC279">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自然资源海洋气象等支出（类）自然资源事务（款）地质勘察与矿产资源管理（项）：指矿业权管理、矿产资源合理利用和保护方面的支出。</w:t>
      </w:r>
    </w:p>
    <w:p w14:paraId="0BC1651B">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自然资源海洋气象等支出（类）自然资源事务（款）其他自然资源事务（项）：指除</w:t>
      </w:r>
      <w:r>
        <w:rPr>
          <w:rFonts w:hint="eastAsia" w:ascii="仿宋_GB2312" w:hAnsi="仿宋_GB2312" w:eastAsia="仿宋_GB2312" w:cs="仿宋_GB2312"/>
          <w:color w:val="auto"/>
          <w:sz w:val="32"/>
          <w:szCs w:val="32"/>
          <w:highlight w:val="none"/>
          <w:lang w:val="en-US" w:eastAsia="zh-CN"/>
        </w:rPr>
        <w:t>上述项目以外其他用于自然资源海洋气象等方面的支出。</w:t>
      </w:r>
    </w:p>
    <w:p w14:paraId="6B2C49BB">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住房保障（类）住房改革支出（款）住房公积金（项）：指按行政事业单位按人力资源部和社会保障部、财政部规定的基本工资和津贴补贴以及规定比例为职工缴纳的住房公积金。</w:t>
      </w:r>
    </w:p>
    <w:p w14:paraId="432FB119">
      <w:pPr>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14:paraId="3A77B84C">
      <w:pPr>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p>
    <w:p w14:paraId="087AB794">
      <w:pPr>
        <w:pStyle w:val="26"/>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82B21D">
      <w:pPr>
        <w:keepNext w:val="0"/>
        <w:keepLines w:val="0"/>
        <w:pageBreakBefore w:val="0"/>
        <w:widowControl w:val="0"/>
        <w:numPr>
          <w:ilvl w:val="0"/>
          <w:numId w:val="3"/>
        </w:numPr>
        <w:shd w:val="clear"/>
        <w:kinsoku/>
        <w:wordWrap/>
        <w:overflowPunct/>
        <w:topLinePunct w:val="0"/>
        <w:bidi w:val="0"/>
        <w:snapToGrid/>
        <w:spacing w:line="576" w:lineRule="exact"/>
        <w:ind w:left="20" w:leftChars="0" w:right="0" w:firstLine="400" w:firstLineChars="0"/>
        <w:jc w:val="both"/>
        <w:textAlignment w:val="auto"/>
        <w:outlineLvl w:val="0"/>
        <w:rPr>
          <w:rFonts w:hint="eastAsia" w:ascii="仿宋_GB2312" w:eastAsia="仿宋_GB2312"/>
          <w:color w:val="auto"/>
          <w:sz w:val="32"/>
          <w:szCs w:val="32"/>
          <w:highlight w:val="none"/>
          <w:lang w:eastAsia="zh-CN"/>
        </w:rPr>
      </w:pPr>
      <w:bookmarkStart w:id="119" w:name="_Toc10626"/>
      <w:bookmarkStart w:id="120" w:name="_Toc31341"/>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119"/>
      <w:bookmarkEnd w:id="120"/>
    </w:p>
    <w:p w14:paraId="4C94E1BF">
      <w:pPr>
        <w:pStyle w:val="26"/>
        <w:spacing w:line="560" w:lineRule="exact"/>
        <w:ind w:firstLine="640" w:firstLineChars="200"/>
        <w:rPr>
          <w:rFonts w:ascii="仿宋_GB2312" w:eastAsia="仿宋_GB2312" w:cs="黑体"/>
          <w:color w:val="auto"/>
          <w:sz w:val="32"/>
          <w:szCs w:val="32"/>
          <w:highlight w:val="none"/>
        </w:rPr>
      </w:pPr>
    </w:p>
    <w:p w14:paraId="0EC45E83">
      <w:pPr>
        <w:ind w:firstLine="643" w:firstLineChars="200"/>
        <w:rPr>
          <w:rFonts w:ascii="仿宋" w:hAnsi="仿宋" w:eastAsia="仿宋"/>
          <w:b/>
          <w:color w:val="auto"/>
          <w:sz w:val="32"/>
          <w:szCs w:val="32"/>
          <w:highlight w:val="none"/>
        </w:rPr>
      </w:pPr>
    </w:p>
    <w:p w14:paraId="513BC7D6">
      <w:pPr>
        <w:spacing w:line="600" w:lineRule="exact"/>
        <w:jc w:val="center"/>
        <w:outlineLvl w:val="0"/>
        <w:rPr>
          <w:rStyle w:val="17"/>
          <w:rFonts w:ascii="黑体" w:hAnsi="黑体" w:eastAsia="黑体"/>
          <w:b w:val="0"/>
          <w:color w:val="auto"/>
          <w:highlight w:val="none"/>
        </w:rPr>
      </w:pPr>
      <w:bookmarkStart w:id="121" w:name="_Toc15377226"/>
      <w:r>
        <w:rPr>
          <w:rFonts w:ascii="宋体"/>
          <w:b/>
          <w:color w:val="auto"/>
          <w:sz w:val="44"/>
          <w:szCs w:val="44"/>
          <w:highlight w:val="none"/>
        </w:rPr>
        <w:br w:type="page"/>
      </w:r>
      <w:bookmarkStart w:id="122" w:name="_Toc15371"/>
      <w:bookmarkStart w:id="123" w:name="_Toc15396614"/>
      <w:bookmarkStart w:id="124" w:name="_Toc6396"/>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 附件</w:t>
      </w:r>
      <w:bookmarkEnd w:id="122"/>
      <w:bookmarkEnd w:id="123"/>
      <w:bookmarkEnd w:id="124"/>
    </w:p>
    <w:p w14:paraId="3204090C">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14:paraId="2C935993">
      <w:pPr>
        <w:spacing w:line="600" w:lineRule="exact"/>
        <w:jc w:val="center"/>
        <w:outlineLvl w:val="1"/>
        <w:rPr>
          <w:rFonts w:hint="eastAsia" w:ascii="宋体" w:hAnsi="宋体" w:eastAsia="宋体" w:cs="宋体"/>
          <w:color w:val="auto"/>
          <w:kern w:val="0"/>
          <w:sz w:val="32"/>
          <w:szCs w:val="32"/>
          <w:highlight w:val="none"/>
          <w:lang w:val="en-US" w:eastAsia="zh-CN" w:bidi="ar-SA"/>
        </w:rPr>
      </w:pPr>
      <w:bookmarkStart w:id="125" w:name="_Toc12711"/>
      <w:bookmarkStart w:id="126" w:name="_Toc15619"/>
      <w:bookmarkStart w:id="127" w:name="_Toc11931"/>
      <w:bookmarkStart w:id="128" w:name="_Toc15396618"/>
      <w:r>
        <w:rPr>
          <w:rFonts w:hint="eastAsia" w:ascii="宋体" w:hAnsi="宋体" w:eastAsia="宋体" w:cs="宋体"/>
          <w:color w:val="auto"/>
          <w:kern w:val="0"/>
          <w:sz w:val="32"/>
          <w:szCs w:val="32"/>
          <w:highlight w:val="none"/>
          <w:lang w:val="en-US" w:eastAsia="zh-CN" w:bidi="ar-SA"/>
        </w:rPr>
        <w:t>部门预算项目支出绩效自评表（202</w:t>
      </w:r>
      <w:r>
        <w:rPr>
          <w:rFonts w:hint="eastAsia" w:ascii="宋体" w:hAnsi="宋体" w:cs="宋体"/>
          <w:color w:val="auto"/>
          <w:kern w:val="0"/>
          <w:sz w:val="32"/>
          <w:szCs w:val="32"/>
          <w:highlight w:val="none"/>
          <w:lang w:val="en-US" w:eastAsia="zh-CN" w:bidi="ar-SA"/>
        </w:rPr>
        <w:t>4</w:t>
      </w:r>
      <w:r>
        <w:rPr>
          <w:rFonts w:hint="eastAsia" w:ascii="宋体" w:hAnsi="宋体" w:eastAsia="宋体" w:cs="宋体"/>
          <w:color w:val="auto"/>
          <w:kern w:val="0"/>
          <w:sz w:val="32"/>
          <w:szCs w:val="32"/>
          <w:highlight w:val="none"/>
          <w:lang w:val="en-US" w:eastAsia="zh-CN" w:bidi="ar-SA"/>
        </w:rPr>
        <w:t>年度）</w:t>
      </w:r>
      <w:bookmarkEnd w:id="125"/>
      <w:bookmarkEnd w:id="126"/>
      <w:bookmarkEnd w:id="127"/>
    </w:p>
    <w:p w14:paraId="263C70D5">
      <w:pPr>
        <w:spacing w:line="600" w:lineRule="exact"/>
        <w:jc w:val="center"/>
        <w:outlineLvl w:val="1"/>
        <w:rPr>
          <w:rFonts w:hint="eastAsia" w:ascii="宋体" w:hAnsi="宋体" w:eastAsia="宋体" w:cs="宋体"/>
          <w:color w:val="auto"/>
          <w:kern w:val="0"/>
          <w:sz w:val="32"/>
          <w:szCs w:val="32"/>
          <w:highlight w:val="none"/>
          <w:lang w:val="en-US" w:eastAsia="zh-CN" w:bidi="ar-SA"/>
        </w:rPr>
      </w:pPr>
      <w:r>
        <w:rPr>
          <w:rFonts w:hint="eastAsia" w:ascii="黑体" w:hAnsi="黑体" w:eastAsia="黑体"/>
          <w:color w:val="auto"/>
          <w:sz w:val="44"/>
          <w:szCs w:val="44"/>
          <w:highlight w:val="none"/>
          <w:lang w:val="en-US" w:eastAsia="zh-CN"/>
        </w:rPr>
        <w:t xml:space="preserve"> </w:t>
      </w:r>
      <w:r>
        <w:rPr>
          <w:rFonts w:hint="eastAsia" w:ascii="宋体" w:hAnsi="宋体" w:eastAsia="宋体" w:cs="宋体"/>
          <w:color w:val="auto"/>
          <w:kern w:val="0"/>
          <w:sz w:val="32"/>
          <w:szCs w:val="32"/>
          <w:highlight w:val="none"/>
          <w:lang w:val="en-US" w:eastAsia="zh-CN" w:bidi="ar-SA"/>
        </w:rPr>
        <w:t>具体内容见附表</w:t>
      </w:r>
    </w:p>
    <w:p w14:paraId="0C928A86">
      <w:pPr>
        <w:spacing w:line="600" w:lineRule="exact"/>
        <w:jc w:val="center"/>
        <w:outlineLvl w:val="1"/>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br w:type="page"/>
      </w:r>
    </w:p>
    <w:p w14:paraId="242F9FE2">
      <w:pPr>
        <w:spacing w:line="600" w:lineRule="exact"/>
        <w:jc w:val="center"/>
        <w:outlineLvl w:val="0"/>
        <w:rPr>
          <w:rFonts w:hint="eastAsia" w:ascii="仿宋" w:hAnsi="仿宋" w:eastAsia="仿宋"/>
          <w:b w:val="0"/>
          <w:color w:val="auto"/>
          <w:highlight w:val="none"/>
        </w:rPr>
      </w:pPr>
      <w:bookmarkStart w:id="129" w:name="_Toc19285"/>
      <w:bookmarkStart w:id="130" w:name="_Toc4045"/>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 附表</w:t>
      </w:r>
      <w:bookmarkEnd w:id="121"/>
      <w:bookmarkEnd w:id="128"/>
      <w:bookmarkEnd w:id="129"/>
      <w:bookmarkEnd w:id="130"/>
      <w:bookmarkStart w:id="131" w:name="_Toc15396619"/>
    </w:p>
    <w:p w14:paraId="113B0FF0">
      <w:pPr>
        <w:pStyle w:val="4"/>
        <w:rPr>
          <w:rFonts w:ascii="仿宋" w:hAnsi="仿宋" w:eastAsia="仿宋"/>
          <w:color w:val="auto"/>
          <w:highlight w:val="none"/>
        </w:rPr>
      </w:pPr>
      <w:bookmarkStart w:id="132" w:name="_Toc19257"/>
      <w:bookmarkStart w:id="133" w:name="_Toc31713"/>
      <w:r>
        <w:rPr>
          <w:rFonts w:hint="eastAsia" w:ascii="仿宋" w:hAnsi="仿宋" w:eastAsia="仿宋"/>
          <w:b w:val="0"/>
          <w:color w:val="auto"/>
          <w:highlight w:val="none"/>
        </w:rPr>
        <w:t>一、收</w:t>
      </w:r>
      <w:r>
        <w:rPr>
          <w:rStyle w:val="18"/>
          <w:rFonts w:hint="eastAsia" w:ascii="仿宋" w:hAnsi="仿宋" w:eastAsia="仿宋"/>
          <w:b w:val="0"/>
          <w:bCs w:val="0"/>
          <w:color w:val="auto"/>
          <w:highlight w:val="none"/>
        </w:rPr>
        <w:t>入支出决算总表</w:t>
      </w:r>
      <w:bookmarkEnd w:id="131"/>
      <w:bookmarkEnd w:id="132"/>
      <w:bookmarkEnd w:id="133"/>
    </w:p>
    <w:p w14:paraId="78A4186D">
      <w:pPr>
        <w:pStyle w:val="4"/>
        <w:rPr>
          <w:rFonts w:ascii="仿宋" w:hAnsi="仿宋" w:eastAsia="仿宋"/>
          <w:color w:val="auto"/>
          <w:highlight w:val="none"/>
        </w:rPr>
      </w:pPr>
      <w:bookmarkStart w:id="134" w:name="_Toc27175"/>
      <w:bookmarkStart w:id="135" w:name="_Toc27744"/>
      <w:bookmarkStart w:id="136" w:name="_Toc15396620"/>
      <w:r>
        <w:rPr>
          <w:rFonts w:hint="eastAsia" w:ascii="仿宋" w:hAnsi="仿宋" w:eastAsia="仿宋"/>
          <w:b w:val="0"/>
          <w:color w:val="auto"/>
          <w:highlight w:val="none"/>
        </w:rPr>
        <w:t>二、收</w:t>
      </w:r>
      <w:r>
        <w:rPr>
          <w:rStyle w:val="18"/>
          <w:rFonts w:hint="eastAsia" w:ascii="仿宋" w:hAnsi="仿宋" w:eastAsia="仿宋"/>
          <w:b w:val="0"/>
          <w:bCs w:val="0"/>
          <w:color w:val="auto"/>
          <w:highlight w:val="none"/>
        </w:rPr>
        <w:t>入决算表</w:t>
      </w:r>
      <w:bookmarkEnd w:id="134"/>
      <w:bookmarkEnd w:id="135"/>
      <w:bookmarkEnd w:id="136"/>
    </w:p>
    <w:p w14:paraId="418D6503">
      <w:pPr>
        <w:pStyle w:val="4"/>
        <w:rPr>
          <w:rFonts w:ascii="仿宋" w:hAnsi="仿宋" w:eastAsia="仿宋"/>
          <w:color w:val="auto"/>
          <w:highlight w:val="none"/>
        </w:rPr>
      </w:pPr>
      <w:bookmarkStart w:id="137" w:name="_Toc32086"/>
      <w:bookmarkStart w:id="138" w:name="_Toc10310"/>
      <w:bookmarkStart w:id="139" w:name="_Toc15396621"/>
      <w:r>
        <w:rPr>
          <w:rStyle w:val="1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8"/>
          <w:rFonts w:hint="eastAsia" w:ascii="仿宋" w:hAnsi="仿宋" w:eastAsia="仿宋"/>
          <w:b w:val="0"/>
          <w:bCs w:val="0"/>
          <w:color w:val="auto"/>
          <w:highlight w:val="none"/>
        </w:rPr>
        <w:t>出决算表</w:t>
      </w:r>
      <w:bookmarkEnd w:id="137"/>
      <w:bookmarkEnd w:id="138"/>
      <w:bookmarkEnd w:id="139"/>
    </w:p>
    <w:p w14:paraId="4354B2FC">
      <w:pPr>
        <w:pStyle w:val="4"/>
        <w:rPr>
          <w:rFonts w:ascii="仿宋" w:hAnsi="仿宋" w:eastAsia="仿宋"/>
          <w:b w:val="0"/>
          <w:color w:val="auto"/>
          <w:highlight w:val="none"/>
        </w:rPr>
      </w:pPr>
      <w:bookmarkStart w:id="140" w:name="_Toc24863"/>
      <w:bookmarkStart w:id="141" w:name="_Toc30981"/>
      <w:bookmarkStart w:id="142" w:name="_Toc15396622"/>
      <w:r>
        <w:rPr>
          <w:rStyle w:val="1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政拨款收入支出决算总表</w:t>
      </w:r>
      <w:bookmarkEnd w:id="140"/>
      <w:bookmarkEnd w:id="141"/>
      <w:bookmarkEnd w:id="142"/>
    </w:p>
    <w:p w14:paraId="477567C0">
      <w:pPr>
        <w:pStyle w:val="4"/>
        <w:rPr>
          <w:rStyle w:val="18"/>
          <w:rFonts w:ascii="仿宋" w:hAnsi="仿宋" w:eastAsia="仿宋"/>
          <w:b w:val="0"/>
          <w:bCs w:val="0"/>
          <w:color w:val="auto"/>
          <w:highlight w:val="none"/>
        </w:rPr>
      </w:pPr>
      <w:bookmarkStart w:id="143" w:name="_Toc15396623"/>
      <w:bookmarkStart w:id="144" w:name="_Toc13216"/>
      <w:bookmarkStart w:id="145" w:name="_Toc22003"/>
      <w:r>
        <w:rPr>
          <w:rStyle w:val="1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政拨款支出决算明细表</w:t>
      </w:r>
      <w:bookmarkEnd w:id="143"/>
      <w:bookmarkEnd w:id="144"/>
      <w:bookmarkEnd w:id="145"/>
      <w:bookmarkStart w:id="146" w:name="_Toc15396624"/>
    </w:p>
    <w:p w14:paraId="42FFA2E6">
      <w:pPr>
        <w:pStyle w:val="4"/>
        <w:rPr>
          <w:rFonts w:ascii="仿宋" w:hAnsi="仿宋" w:eastAsia="仿宋"/>
          <w:color w:val="auto"/>
          <w:highlight w:val="none"/>
        </w:rPr>
      </w:pPr>
      <w:bookmarkStart w:id="147" w:name="_Toc10844"/>
      <w:bookmarkStart w:id="148" w:name="_Toc21180"/>
      <w:r>
        <w:rPr>
          <w:rStyle w:val="1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般公共预算财政拨款支出决算表</w:t>
      </w:r>
      <w:bookmarkEnd w:id="146"/>
      <w:bookmarkEnd w:id="147"/>
      <w:bookmarkEnd w:id="148"/>
    </w:p>
    <w:p w14:paraId="3C47562C">
      <w:pPr>
        <w:pStyle w:val="4"/>
        <w:rPr>
          <w:rFonts w:ascii="仿宋" w:hAnsi="仿宋" w:eastAsia="仿宋"/>
          <w:color w:val="auto"/>
          <w:highlight w:val="none"/>
        </w:rPr>
      </w:pPr>
      <w:bookmarkStart w:id="149" w:name="_Toc6689"/>
      <w:bookmarkStart w:id="150" w:name="_Toc15396625"/>
      <w:bookmarkStart w:id="151" w:name="_Toc18514"/>
      <w:r>
        <w:rPr>
          <w:rStyle w:val="1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般公共预算财政拨款支出决算明细表</w:t>
      </w:r>
      <w:bookmarkEnd w:id="149"/>
      <w:bookmarkEnd w:id="150"/>
      <w:bookmarkEnd w:id="151"/>
    </w:p>
    <w:p w14:paraId="175B1EB2">
      <w:pPr>
        <w:pStyle w:val="4"/>
        <w:rPr>
          <w:rFonts w:ascii="仿宋" w:hAnsi="仿宋" w:eastAsia="仿宋"/>
          <w:color w:val="auto"/>
          <w:highlight w:val="none"/>
        </w:rPr>
      </w:pPr>
      <w:bookmarkStart w:id="152" w:name="_Toc28605"/>
      <w:bookmarkStart w:id="153" w:name="_Toc15396626"/>
      <w:bookmarkStart w:id="154" w:name="_Toc12998"/>
      <w:r>
        <w:rPr>
          <w:rStyle w:val="1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般公共预算财政拨款基本支出决算表</w:t>
      </w:r>
      <w:bookmarkEnd w:id="152"/>
      <w:bookmarkEnd w:id="153"/>
      <w:bookmarkEnd w:id="154"/>
    </w:p>
    <w:p w14:paraId="7E52494B">
      <w:pPr>
        <w:pStyle w:val="4"/>
        <w:rPr>
          <w:rFonts w:ascii="仿宋" w:hAnsi="仿宋" w:eastAsia="仿宋"/>
          <w:color w:val="auto"/>
          <w:highlight w:val="none"/>
        </w:rPr>
      </w:pPr>
      <w:bookmarkStart w:id="155" w:name="_Toc15396627"/>
      <w:bookmarkStart w:id="156" w:name="_Toc11626"/>
      <w:bookmarkStart w:id="157" w:name="_Toc25644"/>
      <w:r>
        <w:rPr>
          <w:rStyle w:val="1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般公共预算财政拨款项目支出决算表</w:t>
      </w:r>
      <w:bookmarkEnd w:id="155"/>
      <w:bookmarkEnd w:id="156"/>
      <w:bookmarkEnd w:id="157"/>
    </w:p>
    <w:p w14:paraId="2B775E4F">
      <w:pPr>
        <w:pStyle w:val="4"/>
        <w:rPr>
          <w:rFonts w:ascii="仿宋" w:hAnsi="仿宋" w:eastAsia="仿宋"/>
          <w:color w:val="auto"/>
          <w:highlight w:val="none"/>
        </w:rPr>
      </w:pPr>
      <w:bookmarkStart w:id="158" w:name="_Toc15396628"/>
      <w:bookmarkStart w:id="159" w:name="_Toc1127"/>
      <w:bookmarkStart w:id="160" w:name="_Toc22234"/>
      <w:r>
        <w:rPr>
          <w:rStyle w:val="18"/>
          <w:rFonts w:hint="eastAsia" w:ascii="仿宋" w:hAnsi="仿宋" w:eastAsia="仿宋"/>
          <w:b w:val="0"/>
          <w:bCs w:val="0"/>
          <w:color w:val="auto"/>
          <w:highlight w:val="none"/>
        </w:rPr>
        <w:t>十、</w:t>
      </w:r>
      <w:bookmarkEnd w:id="158"/>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府性基金预算财政拨款收入支出决算表</w:t>
      </w:r>
      <w:bookmarkEnd w:id="159"/>
      <w:bookmarkEnd w:id="160"/>
    </w:p>
    <w:p w14:paraId="19A3B253">
      <w:pPr>
        <w:pStyle w:val="4"/>
        <w:rPr>
          <w:rFonts w:ascii="仿宋" w:hAnsi="仿宋" w:eastAsia="仿宋"/>
          <w:color w:val="auto"/>
          <w:highlight w:val="none"/>
        </w:rPr>
      </w:pPr>
      <w:bookmarkStart w:id="161" w:name="_Toc15396629"/>
      <w:bookmarkStart w:id="162" w:name="_Toc8371"/>
      <w:bookmarkStart w:id="163" w:name="_Toc21283"/>
      <w:r>
        <w:rPr>
          <w:rStyle w:val="18"/>
          <w:rFonts w:hint="eastAsia" w:ascii="仿宋" w:hAnsi="仿宋" w:eastAsia="仿宋"/>
          <w:b w:val="0"/>
          <w:bCs w:val="0"/>
          <w:color w:val="auto"/>
          <w:highlight w:val="none"/>
        </w:rPr>
        <w:t>十一、</w:t>
      </w:r>
      <w:bookmarkEnd w:id="161"/>
      <w:r>
        <w:rPr>
          <w:rFonts w:hint="eastAsia" w:ascii="仿宋" w:hAnsi="仿宋" w:eastAsia="仿宋"/>
          <w:b w:val="0"/>
          <w:color w:val="auto"/>
          <w:highlight w:val="none"/>
        </w:rPr>
        <w:t>国</w:t>
      </w:r>
      <w:r>
        <w:rPr>
          <w:rStyle w:val="18"/>
          <w:rFonts w:hint="eastAsia" w:ascii="仿宋" w:hAnsi="仿宋" w:eastAsia="仿宋"/>
          <w:b w:val="0"/>
          <w:bCs w:val="0"/>
          <w:color w:val="auto"/>
          <w:highlight w:val="none"/>
        </w:rPr>
        <w:t>有资本经营预算</w:t>
      </w:r>
      <w:r>
        <w:rPr>
          <w:rStyle w:val="18"/>
          <w:rFonts w:hint="eastAsia" w:ascii="仿宋" w:hAnsi="仿宋" w:eastAsia="仿宋"/>
          <w:b w:val="0"/>
          <w:bCs w:val="0"/>
          <w:color w:val="auto"/>
          <w:highlight w:val="none"/>
          <w:lang w:eastAsia="zh-CN"/>
        </w:rPr>
        <w:t>财政拨款收入</w:t>
      </w:r>
      <w:r>
        <w:rPr>
          <w:rStyle w:val="18"/>
          <w:rFonts w:hint="eastAsia" w:ascii="仿宋" w:hAnsi="仿宋" w:eastAsia="仿宋"/>
          <w:b w:val="0"/>
          <w:bCs w:val="0"/>
          <w:color w:val="auto"/>
          <w:highlight w:val="none"/>
        </w:rPr>
        <w:t>支出决算表</w:t>
      </w:r>
      <w:bookmarkEnd w:id="162"/>
      <w:bookmarkEnd w:id="163"/>
    </w:p>
    <w:p w14:paraId="7A05AD47">
      <w:pPr>
        <w:pStyle w:val="4"/>
        <w:rPr>
          <w:rFonts w:ascii="仿宋" w:hAnsi="仿宋" w:eastAsia="仿宋"/>
          <w:color w:val="auto"/>
          <w:highlight w:val="none"/>
        </w:rPr>
      </w:pPr>
      <w:bookmarkStart w:id="164" w:name="_Toc15396630"/>
      <w:bookmarkStart w:id="165" w:name="_Toc19675"/>
      <w:bookmarkStart w:id="166" w:name="_Toc12949"/>
      <w:r>
        <w:rPr>
          <w:rStyle w:val="18"/>
          <w:rFonts w:hint="eastAsia" w:ascii="仿宋" w:hAnsi="仿宋" w:eastAsia="仿宋"/>
          <w:b w:val="0"/>
          <w:bCs w:val="0"/>
          <w:color w:val="auto"/>
          <w:highlight w:val="none"/>
        </w:rPr>
        <w:t>十二、</w:t>
      </w:r>
      <w:bookmarkEnd w:id="164"/>
      <w:r>
        <w:rPr>
          <w:rStyle w:val="18"/>
          <w:rFonts w:hint="eastAsia" w:ascii="仿宋" w:hAnsi="仿宋" w:eastAsia="仿宋"/>
          <w:b w:val="0"/>
          <w:bCs w:val="0"/>
          <w:color w:val="auto"/>
          <w:highlight w:val="none"/>
          <w:lang w:eastAsia="zh-CN"/>
        </w:rPr>
        <w:t>国有资本经营预算财政拨款支出决算表</w:t>
      </w:r>
      <w:bookmarkEnd w:id="165"/>
      <w:bookmarkEnd w:id="166"/>
    </w:p>
    <w:p w14:paraId="135AB103">
      <w:pPr>
        <w:pStyle w:val="4"/>
        <w:rPr>
          <w:rFonts w:hint="eastAsia" w:eastAsia="仿宋"/>
          <w:color w:val="auto"/>
          <w:highlight w:val="none"/>
          <w:lang w:eastAsia="zh-CN"/>
        </w:rPr>
      </w:pPr>
      <w:bookmarkStart w:id="167" w:name="_Toc15396631"/>
      <w:bookmarkStart w:id="168" w:name="_Toc22198"/>
      <w:bookmarkStart w:id="169" w:name="_Toc25467"/>
      <w:r>
        <w:rPr>
          <w:rStyle w:val="18"/>
          <w:rFonts w:hint="eastAsia" w:ascii="仿宋" w:hAnsi="仿宋" w:eastAsia="仿宋"/>
          <w:b w:val="0"/>
          <w:bCs w:val="0"/>
          <w:color w:val="auto"/>
          <w:highlight w:val="none"/>
        </w:rPr>
        <w:t>十三、</w:t>
      </w:r>
      <w:bookmarkEnd w:id="167"/>
      <w:r>
        <w:rPr>
          <w:rStyle w:val="18"/>
          <w:rFonts w:hint="eastAsia" w:ascii="仿宋" w:hAnsi="仿宋" w:eastAsia="仿宋"/>
          <w:b w:val="0"/>
          <w:bCs w:val="0"/>
          <w:color w:val="auto"/>
          <w:highlight w:val="none"/>
          <w:lang w:eastAsia="zh-CN"/>
        </w:rPr>
        <w:t>财政拨款“三公”经费支出决算表</w:t>
      </w:r>
      <w:bookmarkEnd w:id="168"/>
      <w:bookmarkEnd w:id="169"/>
    </w:p>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DD46B0-BDE0-4D50-A2AB-9101DF3684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7C1DA7-517C-4543-9545-E03739FE586B}"/>
  </w:font>
  <w:font w:name="Cambria">
    <w:panose1 w:val="02040503050406030204"/>
    <w:charset w:val="00"/>
    <w:family w:val="roman"/>
    <w:pitch w:val="default"/>
    <w:sig w:usb0="E00006FF" w:usb1="420024FF" w:usb2="02000000" w:usb3="00000000" w:csb0="2000019F" w:csb1="00000000"/>
    <w:embedRegular r:id="rId3" w:fontKey="{2B771169-F39D-412D-8DC2-031265138640}"/>
  </w:font>
  <w:font w:name="仿宋_GB2312">
    <w:altName w:val="仿宋"/>
    <w:panose1 w:val="02010609030101010101"/>
    <w:charset w:val="86"/>
    <w:family w:val="modern"/>
    <w:pitch w:val="default"/>
    <w:sig w:usb0="00000000" w:usb1="00000000" w:usb2="00000000" w:usb3="00000000" w:csb0="00040000" w:csb1="00000000"/>
    <w:embedRegular r:id="rId4" w:fontKey="{842997C6-AF6B-45C0-8DA9-5790BC16C5FC}"/>
  </w:font>
  <w:font w:name="仿宋">
    <w:panose1 w:val="02010609060101010101"/>
    <w:charset w:val="86"/>
    <w:family w:val="auto"/>
    <w:pitch w:val="default"/>
    <w:sig w:usb0="800002BF" w:usb1="38CF7CFA" w:usb2="00000016" w:usb3="00000000" w:csb0="00040001" w:csb1="00000000"/>
    <w:embedRegular r:id="rId5" w:fontKey="{9F9D1891-4E9B-49AC-8B27-AA88B2EC23C4}"/>
  </w:font>
  <w:font w:name="方正小标宋简体">
    <w:altName w:val="Arial Unicode MS"/>
    <w:panose1 w:val="02000000000000000000"/>
    <w:charset w:val="86"/>
    <w:family w:val="script"/>
    <w:pitch w:val="default"/>
    <w:sig w:usb0="00000000" w:usb1="00000000" w:usb2="00000012" w:usb3="00000000" w:csb0="00040001" w:csb1="00000000"/>
    <w:embedRegular r:id="rId6" w:fontKey="{39CB7E83-F920-442E-8516-C80EEC0CBF59}"/>
  </w:font>
  <w:font w:name="方正小标宋_GBK">
    <w:altName w:val="Arial Unicode MS"/>
    <w:panose1 w:val="02000000000000000000"/>
    <w:charset w:val="86"/>
    <w:family w:val="script"/>
    <w:pitch w:val="default"/>
    <w:sig w:usb0="00000000" w:usb1="00000000" w:usb2="00000000" w:usb3="00000000" w:csb0="00040000" w:csb1="00000000"/>
    <w:embedRegular r:id="rId7" w:fontKey="{9ABCD65E-8BB1-4C60-A074-F93106569181}"/>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embedRegular r:id="rId8" w:fontKey="{9B84F4D9-A787-4B9C-BACD-9CBB2338EC7A}"/>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8862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F52E9">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AF52E9">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E0A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B7BC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4B7BC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CC2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8AA9D"/>
    <w:multiLevelType w:val="singleLevel"/>
    <w:tmpl w:val="C9B8AA9D"/>
    <w:lvl w:ilvl="0" w:tentative="0">
      <w:start w:val="1"/>
      <w:numFmt w:val="decimal"/>
      <w:suff w:val="nothing"/>
      <w:lvlText w:val="%1．"/>
      <w:lvlJc w:val="left"/>
      <w:pPr>
        <w:ind w:left="0" w:firstLine="397"/>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791FB83A"/>
    <w:multiLevelType w:val="singleLevel"/>
    <w:tmpl w:val="791FB83A"/>
    <w:lvl w:ilvl="0" w:tentative="0">
      <w:start w:val="1"/>
      <w:numFmt w:val="decimal"/>
      <w:suff w:val="nothing"/>
      <w:lvlText w:val="%1．"/>
      <w:lvlJc w:val="left"/>
      <w:pPr>
        <w:ind w:left="2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ZWZiMGQ3NTg1YmJjMGY1MmZlMmYwNjQ0Nzk3N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417C"/>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5ECF"/>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56C4"/>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507A"/>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3F2F"/>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0F1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74A"/>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D2227"/>
    <w:rsid w:val="01744DE2"/>
    <w:rsid w:val="018C3FFF"/>
    <w:rsid w:val="01987FE8"/>
    <w:rsid w:val="01F9035B"/>
    <w:rsid w:val="02C8548C"/>
    <w:rsid w:val="03326E3F"/>
    <w:rsid w:val="03CB79CE"/>
    <w:rsid w:val="04274A9E"/>
    <w:rsid w:val="045A4A0B"/>
    <w:rsid w:val="04885F77"/>
    <w:rsid w:val="053A62B5"/>
    <w:rsid w:val="05616943"/>
    <w:rsid w:val="05EA539D"/>
    <w:rsid w:val="068C5C42"/>
    <w:rsid w:val="06EB0BBA"/>
    <w:rsid w:val="072B0FB7"/>
    <w:rsid w:val="073C7CCF"/>
    <w:rsid w:val="0803586F"/>
    <w:rsid w:val="088D0825"/>
    <w:rsid w:val="08962DA7"/>
    <w:rsid w:val="08BF0398"/>
    <w:rsid w:val="08C43471"/>
    <w:rsid w:val="09061CDB"/>
    <w:rsid w:val="09063A89"/>
    <w:rsid w:val="094B7AB9"/>
    <w:rsid w:val="09641BEC"/>
    <w:rsid w:val="09911D12"/>
    <w:rsid w:val="0A0F0B3D"/>
    <w:rsid w:val="0A2032A3"/>
    <w:rsid w:val="0A2564BB"/>
    <w:rsid w:val="0AB1341B"/>
    <w:rsid w:val="0ABD0ABF"/>
    <w:rsid w:val="0AED3855"/>
    <w:rsid w:val="0B8A37D8"/>
    <w:rsid w:val="0BAA1044"/>
    <w:rsid w:val="0C45520B"/>
    <w:rsid w:val="0C562252"/>
    <w:rsid w:val="0C675DD7"/>
    <w:rsid w:val="0C88413E"/>
    <w:rsid w:val="0CCF61BB"/>
    <w:rsid w:val="0D6151BA"/>
    <w:rsid w:val="0E255E7E"/>
    <w:rsid w:val="0F0E18EA"/>
    <w:rsid w:val="10391A85"/>
    <w:rsid w:val="10793A1C"/>
    <w:rsid w:val="10A83678"/>
    <w:rsid w:val="10B4201D"/>
    <w:rsid w:val="10B90F0B"/>
    <w:rsid w:val="10C055FF"/>
    <w:rsid w:val="10DE52EC"/>
    <w:rsid w:val="10F845FF"/>
    <w:rsid w:val="116E48C1"/>
    <w:rsid w:val="118107EC"/>
    <w:rsid w:val="119360D6"/>
    <w:rsid w:val="119521CB"/>
    <w:rsid w:val="11C433B0"/>
    <w:rsid w:val="11DD6519"/>
    <w:rsid w:val="1248530B"/>
    <w:rsid w:val="129A3494"/>
    <w:rsid w:val="12AA7E4D"/>
    <w:rsid w:val="12CA1FCB"/>
    <w:rsid w:val="12EF1A32"/>
    <w:rsid w:val="13AE5449"/>
    <w:rsid w:val="14184FB8"/>
    <w:rsid w:val="14760E30"/>
    <w:rsid w:val="14812B5E"/>
    <w:rsid w:val="151D2C6B"/>
    <w:rsid w:val="15CB25DA"/>
    <w:rsid w:val="16A70FD3"/>
    <w:rsid w:val="16BB723D"/>
    <w:rsid w:val="1709138D"/>
    <w:rsid w:val="179E57D5"/>
    <w:rsid w:val="18015F3F"/>
    <w:rsid w:val="18354985"/>
    <w:rsid w:val="18610CDC"/>
    <w:rsid w:val="18D106B7"/>
    <w:rsid w:val="18D55226"/>
    <w:rsid w:val="19021DAF"/>
    <w:rsid w:val="191D28AF"/>
    <w:rsid w:val="192F37A8"/>
    <w:rsid w:val="1A382DB7"/>
    <w:rsid w:val="1A495ECC"/>
    <w:rsid w:val="1A5B19C7"/>
    <w:rsid w:val="1ACE4623"/>
    <w:rsid w:val="1B0D2599"/>
    <w:rsid w:val="1BE8440E"/>
    <w:rsid w:val="1BEF92A9"/>
    <w:rsid w:val="1BFF0DB9"/>
    <w:rsid w:val="1C220723"/>
    <w:rsid w:val="1D155CEE"/>
    <w:rsid w:val="1D2E158A"/>
    <w:rsid w:val="1DA52AFF"/>
    <w:rsid w:val="1DF7F5B0"/>
    <w:rsid w:val="1E5906A7"/>
    <w:rsid w:val="1E620258"/>
    <w:rsid w:val="1E8F6319"/>
    <w:rsid w:val="1F5F3C6B"/>
    <w:rsid w:val="1FB77D3E"/>
    <w:rsid w:val="209A7797"/>
    <w:rsid w:val="20E80B7A"/>
    <w:rsid w:val="20F57F95"/>
    <w:rsid w:val="219C4B33"/>
    <w:rsid w:val="21A460DD"/>
    <w:rsid w:val="222E26A7"/>
    <w:rsid w:val="226C18DB"/>
    <w:rsid w:val="2303386E"/>
    <w:rsid w:val="236E24FF"/>
    <w:rsid w:val="240371BF"/>
    <w:rsid w:val="246758CC"/>
    <w:rsid w:val="24C02917"/>
    <w:rsid w:val="24DB5972"/>
    <w:rsid w:val="251D1FD7"/>
    <w:rsid w:val="256911D0"/>
    <w:rsid w:val="25711CC6"/>
    <w:rsid w:val="25864F36"/>
    <w:rsid w:val="258C4EBE"/>
    <w:rsid w:val="25C741E6"/>
    <w:rsid w:val="25D845A8"/>
    <w:rsid w:val="25FA62CC"/>
    <w:rsid w:val="26102FB1"/>
    <w:rsid w:val="262A75E9"/>
    <w:rsid w:val="26650482"/>
    <w:rsid w:val="2687315B"/>
    <w:rsid w:val="26993D37"/>
    <w:rsid w:val="272003C5"/>
    <w:rsid w:val="27307261"/>
    <w:rsid w:val="273E043A"/>
    <w:rsid w:val="27842671"/>
    <w:rsid w:val="2805257B"/>
    <w:rsid w:val="28496A3C"/>
    <w:rsid w:val="287423F6"/>
    <w:rsid w:val="28744262"/>
    <w:rsid w:val="28D9041B"/>
    <w:rsid w:val="29272F98"/>
    <w:rsid w:val="298F2C97"/>
    <w:rsid w:val="299E1C1A"/>
    <w:rsid w:val="29FD04D3"/>
    <w:rsid w:val="2A810D6A"/>
    <w:rsid w:val="2ABE7A3E"/>
    <w:rsid w:val="2ADA0E92"/>
    <w:rsid w:val="2B177920"/>
    <w:rsid w:val="2CA234A8"/>
    <w:rsid w:val="2CD5539D"/>
    <w:rsid w:val="2CD8427D"/>
    <w:rsid w:val="2D377E06"/>
    <w:rsid w:val="2D895A58"/>
    <w:rsid w:val="2DA059AB"/>
    <w:rsid w:val="2E17733C"/>
    <w:rsid w:val="2E352597"/>
    <w:rsid w:val="2E690493"/>
    <w:rsid w:val="2E870919"/>
    <w:rsid w:val="2E957B6B"/>
    <w:rsid w:val="2ED20B55"/>
    <w:rsid w:val="2EF765CB"/>
    <w:rsid w:val="2EFA178C"/>
    <w:rsid w:val="2F1E302B"/>
    <w:rsid w:val="2F2B3CDF"/>
    <w:rsid w:val="2F5B4A58"/>
    <w:rsid w:val="2F652408"/>
    <w:rsid w:val="2FB876AD"/>
    <w:rsid w:val="309F63EE"/>
    <w:rsid w:val="30B46D73"/>
    <w:rsid w:val="31137E2C"/>
    <w:rsid w:val="3143321D"/>
    <w:rsid w:val="319F7F4E"/>
    <w:rsid w:val="31A90F01"/>
    <w:rsid w:val="31BD5C8C"/>
    <w:rsid w:val="32DB1401"/>
    <w:rsid w:val="330B7D6A"/>
    <w:rsid w:val="33970421"/>
    <w:rsid w:val="33C30EC5"/>
    <w:rsid w:val="3454129D"/>
    <w:rsid w:val="346A286F"/>
    <w:rsid w:val="355A6D87"/>
    <w:rsid w:val="35A62F6D"/>
    <w:rsid w:val="35FC1BEC"/>
    <w:rsid w:val="3632560E"/>
    <w:rsid w:val="3676199F"/>
    <w:rsid w:val="36794FEB"/>
    <w:rsid w:val="368C2F70"/>
    <w:rsid w:val="370E7E29"/>
    <w:rsid w:val="371A4A2B"/>
    <w:rsid w:val="373736C6"/>
    <w:rsid w:val="373C2DF1"/>
    <w:rsid w:val="378A652E"/>
    <w:rsid w:val="37FC5ED4"/>
    <w:rsid w:val="383D272C"/>
    <w:rsid w:val="38C904AC"/>
    <w:rsid w:val="398C3AFD"/>
    <w:rsid w:val="39AE70AB"/>
    <w:rsid w:val="39C25DBF"/>
    <w:rsid w:val="39EB26A4"/>
    <w:rsid w:val="39F33306"/>
    <w:rsid w:val="3A0472C2"/>
    <w:rsid w:val="3B184A6D"/>
    <w:rsid w:val="3B7E564B"/>
    <w:rsid w:val="3B99794E"/>
    <w:rsid w:val="3BA90120"/>
    <w:rsid w:val="3BC17641"/>
    <w:rsid w:val="3BCC3E0F"/>
    <w:rsid w:val="3C0C0783"/>
    <w:rsid w:val="3C0F0B15"/>
    <w:rsid w:val="3C1A2DCC"/>
    <w:rsid w:val="3C826E9E"/>
    <w:rsid w:val="3C8C6BF4"/>
    <w:rsid w:val="3CFB42FE"/>
    <w:rsid w:val="3CFE7CA4"/>
    <w:rsid w:val="3D15017D"/>
    <w:rsid w:val="3D3201A1"/>
    <w:rsid w:val="3DEC0798"/>
    <w:rsid w:val="3E2B306F"/>
    <w:rsid w:val="3EE83D35"/>
    <w:rsid w:val="3F0A388F"/>
    <w:rsid w:val="3F283A52"/>
    <w:rsid w:val="3F4D763D"/>
    <w:rsid w:val="3F9F3A96"/>
    <w:rsid w:val="3FB96E2D"/>
    <w:rsid w:val="3FE54F91"/>
    <w:rsid w:val="4028691D"/>
    <w:rsid w:val="4037529E"/>
    <w:rsid w:val="41085755"/>
    <w:rsid w:val="41750B26"/>
    <w:rsid w:val="41875415"/>
    <w:rsid w:val="422A064E"/>
    <w:rsid w:val="427F22BD"/>
    <w:rsid w:val="42EB272F"/>
    <w:rsid w:val="4338047F"/>
    <w:rsid w:val="44C44D67"/>
    <w:rsid w:val="44F87A23"/>
    <w:rsid w:val="451C02B6"/>
    <w:rsid w:val="451E56DB"/>
    <w:rsid w:val="453C03C0"/>
    <w:rsid w:val="454113CA"/>
    <w:rsid w:val="458F482B"/>
    <w:rsid w:val="460E12C5"/>
    <w:rsid w:val="465A0995"/>
    <w:rsid w:val="46736A8C"/>
    <w:rsid w:val="46881E0E"/>
    <w:rsid w:val="469B0FAE"/>
    <w:rsid w:val="472E0DDF"/>
    <w:rsid w:val="47F70466"/>
    <w:rsid w:val="4819662E"/>
    <w:rsid w:val="483E26E9"/>
    <w:rsid w:val="48813F19"/>
    <w:rsid w:val="48981C49"/>
    <w:rsid w:val="489B5295"/>
    <w:rsid w:val="48BF60AB"/>
    <w:rsid w:val="49296D45"/>
    <w:rsid w:val="493C27E9"/>
    <w:rsid w:val="493D751D"/>
    <w:rsid w:val="49646C4B"/>
    <w:rsid w:val="496F39ED"/>
    <w:rsid w:val="49B44860"/>
    <w:rsid w:val="49BA174B"/>
    <w:rsid w:val="49D46750"/>
    <w:rsid w:val="49FF41D3"/>
    <w:rsid w:val="4AC00AEC"/>
    <w:rsid w:val="4B3D30C2"/>
    <w:rsid w:val="4BC80E27"/>
    <w:rsid w:val="4BE068DB"/>
    <w:rsid w:val="4BE807F1"/>
    <w:rsid w:val="4BF03B4A"/>
    <w:rsid w:val="4BF6002B"/>
    <w:rsid w:val="4C0D0258"/>
    <w:rsid w:val="4C220E14"/>
    <w:rsid w:val="4C5267A2"/>
    <w:rsid w:val="4C646EA0"/>
    <w:rsid w:val="4CC052CA"/>
    <w:rsid w:val="4D16313C"/>
    <w:rsid w:val="4D33457B"/>
    <w:rsid w:val="4E554123"/>
    <w:rsid w:val="4ECE2238"/>
    <w:rsid w:val="4F2A1BE1"/>
    <w:rsid w:val="4F6173F8"/>
    <w:rsid w:val="4FA669F9"/>
    <w:rsid w:val="4FA709C3"/>
    <w:rsid w:val="50485F25"/>
    <w:rsid w:val="50967EEF"/>
    <w:rsid w:val="5139564B"/>
    <w:rsid w:val="51D44D6E"/>
    <w:rsid w:val="51DB4B86"/>
    <w:rsid w:val="52076CD8"/>
    <w:rsid w:val="5239722A"/>
    <w:rsid w:val="523F4EE3"/>
    <w:rsid w:val="52630BD1"/>
    <w:rsid w:val="52FB705C"/>
    <w:rsid w:val="53A127FC"/>
    <w:rsid w:val="53F44AE0"/>
    <w:rsid w:val="5472206D"/>
    <w:rsid w:val="54743BFD"/>
    <w:rsid w:val="54853303"/>
    <w:rsid w:val="54AD6A7C"/>
    <w:rsid w:val="54B669EE"/>
    <w:rsid w:val="55333C3E"/>
    <w:rsid w:val="55434CEA"/>
    <w:rsid w:val="55D65846"/>
    <w:rsid w:val="56760FF5"/>
    <w:rsid w:val="568B06F7"/>
    <w:rsid w:val="56A812A9"/>
    <w:rsid w:val="56C1236A"/>
    <w:rsid w:val="56C97CB9"/>
    <w:rsid w:val="56DC0F52"/>
    <w:rsid w:val="56E83D9B"/>
    <w:rsid w:val="596F4300"/>
    <w:rsid w:val="5A37500B"/>
    <w:rsid w:val="5A4F67E9"/>
    <w:rsid w:val="5AAE2C06"/>
    <w:rsid w:val="5AD00DCE"/>
    <w:rsid w:val="5B125317"/>
    <w:rsid w:val="5B57504B"/>
    <w:rsid w:val="5B5F7F9D"/>
    <w:rsid w:val="5C1E52F7"/>
    <w:rsid w:val="5C8049B5"/>
    <w:rsid w:val="5C902BB5"/>
    <w:rsid w:val="5CD12B1F"/>
    <w:rsid w:val="5D7E7207"/>
    <w:rsid w:val="5D846348"/>
    <w:rsid w:val="5D9A3915"/>
    <w:rsid w:val="5DDB016E"/>
    <w:rsid w:val="5E387777"/>
    <w:rsid w:val="5E52EE19"/>
    <w:rsid w:val="5EF534F9"/>
    <w:rsid w:val="5F431FB4"/>
    <w:rsid w:val="5F864151"/>
    <w:rsid w:val="5FFF5CB2"/>
    <w:rsid w:val="604A33D1"/>
    <w:rsid w:val="6051650D"/>
    <w:rsid w:val="60DF7A7F"/>
    <w:rsid w:val="6104289A"/>
    <w:rsid w:val="6155777B"/>
    <w:rsid w:val="61AB60F1"/>
    <w:rsid w:val="61C14E84"/>
    <w:rsid w:val="61FA5EE7"/>
    <w:rsid w:val="62127F1E"/>
    <w:rsid w:val="625E6DAC"/>
    <w:rsid w:val="63414F5F"/>
    <w:rsid w:val="638F4A0F"/>
    <w:rsid w:val="63FE0083"/>
    <w:rsid w:val="64186253"/>
    <w:rsid w:val="642301C1"/>
    <w:rsid w:val="6456440F"/>
    <w:rsid w:val="649B244D"/>
    <w:rsid w:val="64CA39A1"/>
    <w:rsid w:val="64E668C8"/>
    <w:rsid w:val="65456D8F"/>
    <w:rsid w:val="6568782F"/>
    <w:rsid w:val="6587477F"/>
    <w:rsid w:val="65BE177E"/>
    <w:rsid w:val="65E10333"/>
    <w:rsid w:val="663F505A"/>
    <w:rsid w:val="670401BF"/>
    <w:rsid w:val="6753700F"/>
    <w:rsid w:val="67B64405"/>
    <w:rsid w:val="684C5785"/>
    <w:rsid w:val="6897117D"/>
    <w:rsid w:val="689F34EE"/>
    <w:rsid w:val="68CA77A4"/>
    <w:rsid w:val="68F216FE"/>
    <w:rsid w:val="69006D22"/>
    <w:rsid w:val="694A2693"/>
    <w:rsid w:val="695A25BD"/>
    <w:rsid w:val="69630ADE"/>
    <w:rsid w:val="6974326C"/>
    <w:rsid w:val="69815ABA"/>
    <w:rsid w:val="69C87021"/>
    <w:rsid w:val="69DB7170"/>
    <w:rsid w:val="6A0D28BD"/>
    <w:rsid w:val="6AC97EF4"/>
    <w:rsid w:val="6AE11288"/>
    <w:rsid w:val="6AEB6614"/>
    <w:rsid w:val="6B8754D9"/>
    <w:rsid w:val="6C3E7AC5"/>
    <w:rsid w:val="6C4A05C8"/>
    <w:rsid w:val="6C4F76B0"/>
    <w:rsid w:val="6C640390"/>
    <w:rsid w:val="6CE27825"/>
    <w:rsid w:val="6D013069"/>
    <w:rsid w:val="6D326B60"/>
    <w:rsid w:val="6D3B1A89"/>
    <w:rsid w:val="6D97577B"/>
    <w:rsid w:val="6E421B8B"/>
    <w:rsid w:val="6E7C32EF"/>
    <w:rsid w:val="6F2A6A6D"/>
    <w:rsid w:val="6F6D0E8A"/>
    <w:rsid w:val="6FAA6B8E"/>
    <w:rsid w:val="70116DD2"/>
    <w:rsid w:val="711D243B"/>
    <w:rsid w:val="71B44B4E"/>
    <w:rsid w:val="71BF4EC2"/>
    <w:rsid w:val="72734D90"/>
    <w:rsid w:val="728F66B3"/>
    <w:rsid w:val="72A46970"/>
    <w:rsid w:val="72CD313F"/>
    <w:rsid w:val="72E90827"/>
    <w:rsid w:val="72F96C19"/>
    <w:rsid w:val="72FD7534"/>
    <w:rsid w:val="73450902"/>
    <w:rsid w:val="73A813FF"/>
    <w:rsid w:val="73D94061"/>
    <w:rsid w:val="7406140F"/>
    <w:rsid w:val="7412278C"/>
    <w:rsid w:val="743401C8"/>
    <w:rsid w:val="747405C4"/>
    <w:rsid w:val="74D6137A"/>
    <w:rsid w:val="74DA14D5"/>
    <w:rsid w:val="75256FF4"/>
    <w:rsid w:val="755C1784"/>
    <w:rsid w:val="75736ACE"/>
    <w:rsid w:val="763D2B25"/>
    <w:rsid w:val="76404C02"/>
    <w:rsid w:val="768216BE"/>
    <w:rsid w:val="76B37BEF"/>
    <w:rsid w:val="76DA32A9"/>
    <w:rsid w:val="773A78A3"/>
    <w:rsid w:val="777367DE"/>
    <w:rsid w:val="7797301C"/>
    <w:rsid w:val="78397270"/>
    <w:rsid w:val="788326F6"/>
    <w:rsid w:val="78917997"/>
    <w:rsid w:val="78CE247C"/>
    <w:rsid w:val="7904082E"/>
    <w:rsid w:val="79E4501F"/>
    <w:rsid w:val="79E7B28D"/>
    <w:rsid w:val="7A340F22"/>
    <w:rsid w:val="7A76A271"/>
    <w:rsid w:val="7A8D641F"/>
    <w:rsid w:val="7B153BB5"/>
    <w:rsid w:val="7B723A7A"/>
    <w:rsid w:val="7B7F1A48"/>
    <w:rsid w:val="7BCF3A79"/>
    <w:rsid w:val="7BE91898"/>
    <w:rsid w:val="7C350F81"/>
    <w:rsid w:val="7C5E5DE2"/>
    <w:rsid w:val="7C625F23"/>
    <w:rsid w:val="7C7A6994"/>
    <w:rsid w:val="7C7E44BF"/>
    <w:rsid w:val="7C994ACA"/>
    <w:rsid w:val="7CE3278B"/>
    <w:rsid w:val="7D356CAF"/>
    <w:rsid w:val="7DBF0B02"/>
    <w:rsid w:val="7E3E61E0"/>
    <w:rsid w:val="7E544B03"/>
    <w:rsid w:val="7E600A3C"/>
    <w:rsid w:val="7EBC3E0F"/>
    <w:rsid w:val="7EE95C34"/>
    <w:rsid w:val="7F173030"/>
    <w:rsid w:val="7F780316"/>
    <w:rsid w:val="7F8D51F6"/>
    <w:rsid w:val="7F9B3138"/>
    <w:rsid w:val="7F9F20EE"/>
    <w:rsid w:val="7FDC4446"/>
    <w:rsid w:val="7FDD34C2"/>
    <w:rsid w:val="7FE17456"/>
    <w:rsid w:val="9E3A10E2"/>
    <w:rsid w:val="B7B22AD8"/>
    <w:rsid w:val="F2E1F9D4"/>
    <w:rsid w:val="F7880819"/>
    <w:rsid w:val="F9FFEB61"/>
    <w:rsid w:val="FBDDA9E7"/>
    <w:rsid w:val="FD6FE8CB"/>
    <w:rsid w:val="FF732A9E"/>
    <w:rsid w:val="FFFD45F9"/>
    <w:rsid w:val="FFFFD0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basedOn w:val="14"/>
    <w:link w:val="3"/>
    <w:qFormat/>
    <w:uiPriority w:val="9"/>
    <w:rPr>
      <w:rFonts w:ascii="Times New Roman" w:hAnsi="Times New Roman"/>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19">
    <w:name w:val="标题 3 Char"/>
    <w:basedOn w:val="14"/>
    <w:link w:val="5"/>
    <w:qFormat/>
    <w:uiPriority w:val="9"/>
    <w:rPr>
      <w:rFonts w:ascii="Times New Roman" w:hAnsi="Times New Roman"/>
      <w:b/>
      <w:bCs/>
      <w:kern w:val="2"/>
      <w:sz w:val="32"/>
      <w:szCs w:val="32"/>
    </w:rPr>
  </w:style>
  <w:style w:type="character" w:customStyle="1" w:styleId="20">
    <w:name w:val="Header Char"/>
    <w:basedOn w:val="14"/>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4"/>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4"/>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paragraph" w:customStyle="1" w:styleId="33">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25&#24180;\&#36130;&#21153;&#31185;\2024&#24180;&#24230;&#24191;&#20803;&#24066;&#33258;&#28982;&#36164;&#28304;&#23616;&#65288;&#37096;&#38376;&#65289;&#20915;&#31639;&#20844;&#24320;&#32534;&#21046;&#35828;&#26126;%20%20%20&#26609;&#29366;&#22270;&#12289;&#39292;&#29366;&#2227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025&#24180;\&#36130;&#21153;&#31185;\2024&#24180;&#24230;&#24191;&#20803;&#24066;&#33258;&#28982;&#36164;&#28304;&#23616;&#65288;&#37096;&#38376;&#65289;&#20915;&#31639;&#20844;&#24320;&#32534;&#21046;&#35828;&#26126;%20%20%20&#26609;&#29366;&#22270;&#12289;&#39292;&#29366;&#2227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oleObject" Target="file:///E:\2025&#24180;\&#36130;&#21153;&#31185;\2024&#24180;&#24230;&#24191;&#20803;&#24066;&#33258;&#28982;&#36164;&#28304;&#23616;&#65288;&#37096;&#38376;&#65289;&#20915;&#31639;&#20844;&#24320;&#32534;&#21046;&#35828;&#26126;%20%20%20&#26609;&#29366;&#22270;&#12289;&#39292;&#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4180;\&#36130;&#21153;&#31185;\2024&#24180;&#24230;&#24191;&#20803;&#24066;&#33258;&#28982;&#36164;&#28304;&#23616;&#65288;&#37096;&#38376;&#65289;&#20915;&#31639;&#20844;&#24320;&#32534;&#21046;&#35828;&#26126;%20%20%20&#26609;&#29366;&#22270;&#12289;&#39292;&#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5&#24180;\&#36130;&#21153;&#31185;\2024&#24180;&#24230;&#24191;&#20803;&#24066;&#33258;&#28982;&#36164;&#28304;&#23616;&#65288;&#37096;&#38376;&#65289;&#20915;&#31639;&#20844;&#24320;&#32534;&#21046;&#35828;&#26126;%20%20%20&#26609;&#29366;&#22270;&#12289;&#39292;&#29366;&#22270;.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file:///E:\2025&#24180;\&#36130;&#21153;&#31185;\2024&#24180;&#24230;&#24191;&#20803;&#24066;&#33258;&#28982;&#36164;&#28304;&#23616;&#65288;&#37096;&#38376;&#65289;&#20915;&#31639;&#20844;&#24320;&#32534;&#21046;&#35828;&#26126;%20%20%20&#26609;&#29366;&#22270;&#12289;&#39292;&#29366;&#22270;.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E:\2025&#24180;\&#36130;&#21153;&#31185;\2024&#24180;&#24230;&#24191;&#20803;&#24066;&#33258;&#28982;&#36164;&#28304;&#23616;&#65288;&#37096;&#38376;&#65289;&#20915;&#31639;&#20844;&#24320;&#32534;&#21046;&#35828;&#26126;%20%20%20&#26609;&#29366;&#22270;&#12289;&#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'[2024年度广元市自然资源局（部门）决算公开编制说明   柱状图、饼状图.xlsx]Sheet1'!$A$2:$B$2</c:f>
              <c:strCache>
                <c:ptCount val="2"/>
                <c:pt idx="0">
                  <c:v>2023年度收、支总计</c:v>
                </c:pt>
                <c:pt idx="1">
                  <c:v>2024年度收、支总计</c:v>
                </c:pt>
              </c:strCache>
            </c:strRef>
          </c:cat>
          <c:val>
            <c:numRef>
              <c:f>'[2024年度广元市自然资源局（部门）决算公开编制说明   柱状图、饼状图.xlsx]Sheet1'!$A$3:$B$3</c:f>
              <c:numCache>
                <c:formatCode>General</c:formatCode>
                <c:ptCount val="2"/>
                <c:pt idx="0">
                  <c:v>9934.05</c:v>
                </c:pt>
                <c:pt idx="1">
                  <c:v>13466.24</c:v>
                </c:pt>
              </c:numCache>
            </c:numRef>
          </c:val>
        </c:ser>
        <c:dLbls>
          <c:showLegendKey val="0"/>
          <c:showVal val="1"/>
          <c:showCatName val="0"/>
          <c:showSerName val="0"/>
          <c:showPercent val="0"/>
          <c:showBubbleSize val="0"/>
        </c:dLbls>
        <c:gapWidth val="246"/>
        <c:overlap val="-28"/>
        <c:axId val="170006564"/>
        <c:axId val="984520807"/>
      </c:barChart>
      <c:catAx>
        <c:axId val="1700065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520807"/>
        <c:crosses val="autoZero"/>
        <c:auto val="1"/>
        <c:lblAlgn val="ctr"/>
        <c:lblOffset val="100"/>
        <c:noMultiLvlLbl val="0"/>
      </c:catAx>
      <c:valAx>
        <c:axId val="9845208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0065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8f482e-6940-4c81-9ae5-98a79ed5521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收入决算结构图</a:t>
            </a:r>
          </a:p>
        </c:rich>
      </c:tx>
      <c:layout/>
      <c:overlay val="0"/>
      <c:spPr>
        <a:noFill/>
        <a:ln>
          <a:noFill/>
        </a:ln>
        <a:effectLst/>
      </c:spPr>
    </c:title>
    <c:autoTitleDeleted val="0"/>
    <c:plotArea>
      <c:layout/>
      <c:pieChart>
        <c:varyColors val="1"/>
        <c:ser>
          <c:idx val="0"/>
          <c:order val="0"/>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Lbls>
            <c:dLbl>
              <c:idx val="0"/>
              <c:layout>
                <c:manualLayout>
                  <c:x val="0"/>
                  <c:y val="-0.00483648088438508"/>
                </c:manualLayout>
              </c:layout>
              <c:tx>
                <c:rich>
                  <a:bodyPr rot="0" spcFirstLastPara="0" vertOverflow="clip" horzOverflow="clip" vert="horz" wrap="square" lIns="36576" tIns="18288" rIns="36576" bIns="18288" anchor="ctr" anchorCtr="1" forceAA="0">
                    <a:spAutoFit/>
                  </a:bodyPr>
                  <a:lstStyle/>
                  <a:p>
                    <a:pPr defTabSz="914400">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17</a:t>
                    </a:r>
                    <a:r>
                      <a:rPr lang="en-US" altLang="zh-CN"/>
                      <a:t>.37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clip" horzOverflow="clip" vert="horz" wrap="square" lIns="36576" tIns="18288" rIns="36576" bIns="18288" anchor="ctr" anchorCtr="1" forceAA="0">
                    <a:spAutoFit/>
                  </a:bodyPr>
                  <a:lstStyle/>
                  <a:p>
                    <a:pPr defTabSz="914400">
                      <a:defRPr lang="zh-CN" sz="9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8</a:t>
                    </a:r>
                    <a:r>
                      <a:rPr lang="en-US" altLang="zh-CN"/>
                      <a:t>2.63</a:t>
                    </a:r>
                    <a:r>
                      <a:t>%</a:t>
                    </a:r>
                  </a:p>
                </c:rich>
              </c:tx>
              <c:numFmt formatCode="General" sourceLinked="1"/>
              <c:spPr>
                <a:no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'[2024年度广元市自然资源局（部门）决算公开编制说明   柱状图、饼状图.xlsx]Sheet1'!$A$11:$A$12</c:f>
              <c:strCache>
                <c:ptCount val="2"/>
                <c:pt idx="0">
                  <c:v>一般公共预算财政拨款收入2338.43万元</c:v>
                </c:pt>
                <c:pt idx="1">
                  <c:v>政府性基金预算财政拨款收入11127.8万元</c:v>
                </c:pt>
              </c:strCache>
            </c:strRef>
          </c:cat>
          <c:val>
            <c:numRef>
              <c:f>'[2024年度广元市自然资源局（部门）决算公开编制说明   柱状图、饼状图.xlsx]Sheet1'!$B$11:$B$12</c:f>
              <c:numCache>
                <c:formatCode>0.00%</c:formatCode>
                <c:ptCount val="2"/>
                <c:pt idx="0">
                  <c:v>0.1737</c:v>
                </c:pt>
                <c:pt idx="1">
                  <c:v>0.8263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9c960836-255c-4077-ac28-fc302ef158b5}"/>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支出决算结构图</a:t>
            </a:r>
          </a:p>
        </c:rich>
      </c:tx>
      <c:layout/>
      <c:overlay val="0"/>
      <c:spPr>
        <a:noFill/>
        <a:ln>
          <a:noFill/>
        </a:ln>
        <a:effectLst/>
      </c:spPr>
    </c:title>
    <c:autoTitleDeleted val="0"/>
    <c:plotArea>
      <c:layout/>
      <c:pieChart>
        <c:varyColors val="1"/>
        <c:ser>
          <c:idx val="0"/>
          <c:order val="0"/>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Lbls>
            <c:dLbl>
              <c:idx val="1"/>
              <c:layout/>
              <c:numFmt formatCode="General" sourceLinked="1"/>
              <c:spPr>
                <a:no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'[2024年度广元市自然资源局（部门）决算公开编制说明   柱状图、饼状图.xlsx]Sheet1'!$A$18:$A$19</c:f>
              <c:strCache>
                <c:ptCount val="2"/>
                <c:pt idx="0">
                  <c:v>基本支出1742.07万元</c:v>
                </c:pt>
                <c:pt idx="1">
                  <c:v>项目支出11724.17万元</c:v>
                </c:pt>
              </c:strCache>
            </c:strRef>
          </c:cat>
          <c:val>
            <c:numRef>
              <c:f>'[2024年度广元市自然资源局（部门）决算公开编制说明   柱状图、饼状图.xlsx]Sheet1'!$B$18:$B$19</c:f>
              <c:numCache>
                <c:formatCode>General</c:formatCode>
                <c:ptCount val="2"/>
                <c:pt idx="0">
                  <c:v>12.93</c:v>
                </c:pt>
                <c:pt idx="1" c:formatCode="0.00%">
                  <c:v>0.8706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11ed5410-3fb3-479d-98bc-2112e82bf7c6}"/>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'[2024年度广元市自然资源局（部门）决算公开编制说明   柱状图、饼状图.xlsx]Sheet1'!$A$23:$B$23</c:f>
              <c:strCache>
                <c:ptCount val="2"/>
                <c:pt idx="0">
                  <c:v>2023年财政拨款收、支总计</c:v>
                </c:pt>
                <c:pt idx="1">
                  <c:v>2024年财政拨款收、支总计</c:v>
                </c:pt>
              </c:strCache>
            </c:strRef>
          </c:cat>
          <c:val>
            <c:numRef>
              <c:f>'[2024年度广元市自然资源局（部门）决算公开编制说明   柱状图、饼状图.xlsx]Sheet1'!$A$24:$B$24</c:f>
              <c:numCache>
                <c:formatCode>General</c:formatCode>
                <c:ptCount val="2"/>
                <c:pt idx="0">
                  <c:v>9934.05</c:v>
                </c:pt>
                <c:pt idx="1">
                  <c:v>13466.24</c:v>
                </c:pt>
              </c:numCache>
            </c:numRef>
          </c:val>
        </c:ser>
        <c:dLbls>
          <c:showLegendKey val="0"/>
          <c:showVal val="1"/>
          <c:showCatName val="0"/>
          <c:showSerName val="0"/>
          <c:showPercent val="0"/>
          <c:showBubbleSize val="0"/>
        </c:dLbls>
        <c:gapWidth val="246"/>
        <c:overlap val="-28"/>
        <c:axId val="531048031"/>
        <c:axId val="966467090"/>
      </c:barChart>
      <c:catAx>
        <c:axId val="5310480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6467090"/>
        <c:crosses val="autoZero"/>
        <c:auto val="1"/>
        <c:lblAlgn val="ctr"/>
        <c:lblOffset val="100"/>
        <c:noMultiLvlLbl val="0"/>
      </c:catAx>
      <c:valAx>
        <c:axId val="96646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1048031"/>
        <c:crosses val="autoZero"/>
        <c:crossBetween val="between"/>
      </c:valAx>
      <c:spPr>
        <a:noFill/>
        <a:ln>
          <a:noFill/>
        </a:ln>
        <a:effectLst/>
      </c:spPr>
    </c:plotArea>
    <c:plotVisOnly val="1"/>
    <c:dispBlanksAs val="gap"/>
    <c:showDLblsOverMax val="0"/>
    <c:extLst>
      <c:ext uri="{0b15fc19-7d7d-44ad-8c2d-2c3a37ce22c3}">
        <chartProps xmlns="https://web.wps.cn/et/2018/main" chartId="{557937fd-b93e-4780-8fee-3ff7d291a0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（单位：万元）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'[2024年度广元市自然资源局（部门）决算公开编制说明   柱状图、饼状图.xlsx]Sheet1'!$A$27:$B$27</c:f>
              <c:strCache>
                <c:ptCount val="2"/>
                <c:pt idx="0">
                  <c:v>2023年一般公共预算财政拨款支出</c:v>
                </c:pt>
                <c:pt idx="1">
                  <c:v>2024年一般公共预算财政拨款支出</c:v>
                </c:pt>
              </c:strCache>
            </c:strRef>
          </c:cat>
          <c:val>
            <c:numRef>
              <c:f>'[2024年度广元市自然资源局（部门）决算公开编制说明   柱状图、饼状图.xlsx]Sheet1'!$A$28:$B$28</c:f>
              <c:numCache>
                <c:formatCode>General</c:formatCode>
                <c:ptCount val="2"/>
                <c:pt idx="0">
                  <c:v>2211.99</c:v>
                </c:pt>
                <c:pt idx="1">
                  <c:v>2338.43</c:v>
                </c:pt>
              </c:numCache>
            </c:numRef>
          </c:val>
        </c:ser>
        <c:dLbls>
          <c:showLegendKey val="0"/>
          <c:showVal val="1"/>
          <c:showCatName val="0"/>
          <c:showSerName val="0"/>
          <c:showPercent val="0"/>
          <c:showBubbleSize val="0"/>
        </c:dLbls>
        <c:gapWidth val="246"/>
        <c:overlap val="-28"/>
        <c:axId val="804204160"/>
        <c:axId val="567046421"/>
      </c:barChart>
      <c:catAx>
        <c:axId val="8042041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7046421"/>
        <c:crosses val="autoZero"/>
        <c:auto val="1"/>
        <c:lblAlgn val="ctr"/>
        <c:lblOffset val="100"/>
        <c:noMultiLvlLbl val="0"/>
      </c:catAx>
      <c:valAx>
        <c:axId val="56704642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4204160"/>
        <c:crosses val="autoZero"/>
        <c:crossBetween val="between"/>
      </c:valAx>
      <c:spPr>
        <a:noFill/>
        <a:ln>
          <a:noFill/>
        </a:ln>
        <a:effectLst/>
      </c:spPr>
    </c:plotArea>
    <c:plotVisOnly val="1"/>
    <c:dispBlanksAs val="gap"/>
    <c:showDLblsOverMax val="0"/>
    <c:extLst>
      <c:ext uri="{0b15fc19-7d7d-44ad-8c2d-2c3a37ce22c3}">
        <chartProps xmlns="https://web.wps.cn/et/2018/main" chartId="{c96d9d63-08d3-4ab0-8865-9d118d51339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一般公共预算财政拨款支出决算结构</a:t>
            </a:r>
          </a:p>
        </c:rich>
      </c:tx>
      <c:layout/>
      <c:overlay val="0"/>
      <c:spPr>
        <a:noFill/>
        <a:ln>
          <a:noFill/>
        </a:ln>
        <a:effectLst/>
      </c:spPr>
    </c:title>
    <c:autoTitleDeleted val="0"/>
    <c:plotArea>
      <c:layout/>
      <c:pieChart>
        <c:varyColors val="1"/>
        <c:ser>
          <c:idx val="0"/>
          <c:order val="0"/>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Pt>
            <c:idx val="2"/>
            <c:bubble3D val="0"/>
            <c:spPr>
              <a:solidFill>
                <a:schemeClr val="accent3"/>
              </a:solidFill>
              <a:ln w="19050">
                <a:solidFill>
                  <a:schemeClr val="bg1"/>
                </a:solidFill>
              </a:ln>
              <a:effectLst>
                <a:outerShdw blurRad="63500" sx="102000" sy="102000" algn="ctr" rotWithShape="0">
                  <a:schemeClr val="accent3">
                    <a:lumMod val="75000"/>
                    <a:alpha val="40000"/>
                  </a:schemeClr>
                </a:outerShdw>
              </a:effectLst>
            </c:spPr>
          </c:dPt>
          <c:dPt>
            <c:idx val="3"/>
            <c:bubble3D val="0"/>
            <c:spPr>
              <a:solidFill>
                <a:schemeClr val="accent4"/>
              </a:solidFill>
              <a:ln w="19050">
                <a:solidFill>
                  <a:schemeClr val="bg1"/>
                </a:solidFill>
              </a:ln>
              <a:effectLst>
                <a:outerShdw blurRad="63500" sx="102000" sy="102000" algn="ctr" rotWithShape="0">
                  <a:schemeClr val="accent4">
                    <a:lumMod val="75000"/>
                    <a:alpha val="40000"/>
                  </a:schemeClr>
                </a:outerShdw>
              </a:effectLst>
            </c:spPr>
          </c:dPt>
          <c:dPt>
            <c:idx val="4"/>
            <c:bubble3D val="0"/>
            <c:spPr>
              <a:solidFill>
                <a:schemeClr val="accent5"/>
              </a:solidFill>
              <a:ln w="19050">
                <a:solidFill>
                  <a:schemeClr val="bg1"/>
                </a:solidFill>
              </a:ln>
              <a:effectLst>
                <a:outerShdw blurRad="63500" sx="102000" sy="102000" algn="ctr" rotWithShape="0">
                  <a:schemeClr val="accent5">
                    <a:lumMod val="75000"/>
                    <a:alpha val="40000"/>
                  </a:schemeClr>
                </a:outerShdw>
              </a:effectLst>
            </c:spPr>
          </c:dPt>
          <c:dLbls>
            <c:dLbl>
              <c:idx val="1"/>
              <c:layout/>
              <c:numFmt formatCode="General" sourceLinked="1"/>
              <c:spPr>
                <a:no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253813782219884"/>
                  <c:y val="0.0575489282385834"/>
                </c:manualLayout>
              </c:layout>
              <c:numFmt formatCode="General" sourceLinked="1"/>
              <c:spPr>
                <a:no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3"/>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numFmt formatCode="General" sourceLinked="1"/>
              <c:spPr>
                <a:noFill/>
                <a:ln w="12700">
                  <a:solidFill>
                    <a:schemeClr val="accent4"/>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4"/>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numFmt formatCode="General" sourceLinked="1"/>
              <c:spPr>
                <a:noFill/>
                <a:ln w="12700">
                  <a:solidFill>
                    <a:schemeClr val="accent5"/>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5"/>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'[2024年度广元市自然资源局（部门）决算公开编制说明   柱状图、饼状图.xlsx]Sheet1'!$A$33:$A$37</c:f>
              <c:strCache>
                <c:ptCount val="5"/>
                <c:pt idx="0">
                  <c:v>社会保障和就业支出386.83万元</c:v>
                </c:pt>
                <c:pt idx="1">
                  <c:v>卫生健康支出43.71万元</c:v>
                </c:pt>
                <c:pt idx="2">
                  <c:v>节能环保支出8.24万元</c:v>
                </c:pt>
                <c:pt idx="3">
                  <c:v>自然资源海洋气象等支出1774.49万元</c:v>
                </c:pt>
                <c:pt idx="4">
                  <c:v>住房保障支出125.17万元</c:v>
                </c:pt>
              </c:strCache>
            </c:strRef>
          </c:cat>
          <c:val>
            <c:numRef>
              <c:f>'[2024年度广元市自然资源局（部门）决算公开编制说明   柱状图、饼状图.xlsx]Sheet1'!$B$33:$B$37</c:f>
              <c:numCache>
                <c:formatCode>0.00%</c:formatCode>
                <c:ptCount val="5"/>
                <c:pt idx="0">
                  <c:v>0.1654</c:v>
                </c:pt>
                <c:pt idx="1">
                  <c:v>0.0187</c:v>
                </c:pt>
                <c:pt idx="2">
                  <c:v>0.0035</c:v>
                </c:pt>
                <c:pt idx="3">
                  <c:v>0.7588</c:v>
                </c:pt>
                <c:pt idx="4">
                  <c:v>0.054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7a3ef09-f56a-4488-ace7-9de47c6de890}"/>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“三公”经费财政拨款支出结构</a:t>
            </a:r>
          </a:p>
        </c:rich>
      </c:tx>
      <c:layout>
        <c:manualLayout>
          <c:xMode val="edge"/>
          <c:yMode val="edge"/>
          <c:x val="0.271992110453649"/>
          <c:y val="0.00700280112044818"/>
        </c:manualLayout>
      </c:layout>
      <c:overlay val="0"/>
      <c:spPr>
        <a:noFill/>
        <a:ln>
          <a:noFill/>
        </a:ln>
        <a:effectLst/>
      </c:spPr>
    </c:title>
    <c:autoTitleDeleted val="0"/>
    <c:plotArea>
      <c:layout/>
      <c:pieChart>
        <c:varyColors val="1"/>
        <c:ser>
          <c:idx val="0"/>
          <c:order val="0"/>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Pt>
            <c:idx val="2"/>
            <c:bubble3D val="0"/>
            <c:spPr>
              <a:solidFill>
                <a:schemeClr val="accent3"/>
              </a:solidFill>
              <a:ln w="19050">
                <a:solidFill>
                  <a:schemeClr val="bg1"/>
                </a:solidFill>
              </a:ln>
              <a:effectLst>
                <a:outerShdw blurRad="63500" sx="102000" sy="102000" algn="ctr" rotWithShape="0">
                  <a:schemeClr val="accent3">
                    <a:lumMod val="75000"/>
                    <a:alpha val="40000"/>
                  </a:schemeClr>
                </a:outerShdw>
              </a:effectLst>
            </c:spPr>
          </c:dPt>
          <c:dLbls>
            <c:dLbl>
              <c:idx val="1"/>
              <c:layout/>
              <c:numFmt formatCode="General" sourceLinked="1"/>
              <c:spPr>
                <a:no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3"/>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'[2024年度广元市自然资源局（部门）决算公开编制说明   柱状图、饼状图.xlsx]Sheet1'!$A$41:$A$43</c:f>
              <c:strCache>
                <c:ptCount val="3"/>
                <c:pt idx="0">
                  <c:v>因公出国（境）费支出决算0万元</c:v>
                </c:pt>
                <c:pt idx="1">
                  <c:v>公务用车购置及运行维护费支出决算10万元</c:v>
                </c:pt>
                <c:pt idx="2">
                  <c:v>公务接待费支出决算4.21万元</c:v>
                </c:pt>
              </c:strCache>
            </c:strRef>
          </c:cat>
          <c:val>
            <c:numRef>
              <c:f>'[2024年度广元市自然资源局（部门）决算公开编制说明   柱状图、饼状图.xlsx]Sheet1'!$B$41:$B$43</c:f>
              <c:numCache>
                <c:formatCode>0.00%</c:formatCode>
                <c:ptCount val="3"/>
                <c:pt idx="0">
                  <c:v>0</c:v>
                </c:pt>
                <c:pt idx="1">
                  <c:v>0.7037</c:v>
                </c:pt>
                <c:pt idx="2">
                  <c:v>0.2963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2c521872-01cc-4bd5-b5ff-bd933d77076e}"/>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117">
    <a:dk1>
      <a:srgbClr val="000000"/>
    </a:dk1>
    <a:lt1>
      <a:srgbClr val="FFFFFF"/>
    </a:lt1>
    <a:dk2>
      <a:srgbClr val="44546A"/>
    </a:dk2>
    <a:lt2>
      <a:srgbClr val="E7E6E6"/>
    </a:lt2>
    <a:accent1>
      <a:srgbClr val="FF7E33"/>
    </a:accent1>
    <a:accent2>
      <a:srgbClr val="F0423E"/>
    </a:accent2>
    <a:accent3>
      <a:srgbClr val="6FBDFF"/>
    </a:accent3>
    <a:accent4>
      <a:srgbClr val="4F7FFF"/>
    </a:accent4>
    <a:accent5>
      <a:srgbClr val="FFC619"/>
    </a:accent5>
    <a:accent6>
      <a:srgbClr val="74B83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17">
    <a:dk1>
      <a:srgbClr val="000000"/>
    </a:dk1>
    <a:lt1>
      <a:srgbClr val="FFFFFF"/>
    </a:lt1>
    <a:dk2>
      <a:srgbClr val="44546A"/>
    </a:dk2>
    <a:lt2>
      <a:srgbClr val="E7E6E6"/>
    </a:lt2>
    <a:accent1>
      <a:srgbClr val="FF7E33"/>
    </a:accent1>
    <a:accent2>
      <a:srgbClr val="F0423E"/>
    </a:accent2>
    <a:accent3>
      <a:srgbClr val="6FBDFF"/>
    </a:accent3>
    <a:accent4>
      <a:srgbClr val="4F7FFF"/>
    </a:accent4>
    <a:accent5>
      <a:srgbClr val="FFC619"/>
    </a:accent5>
    <a:accent6>
      <a:srgbClr val="74B83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117">
    <a:dk1>
      <a:srgbClr val="000000"/>
    </a:dk1>
    <a:lt1>
      <a:srgbClr val="FFFFFF"/>
    </a:lt1>
    <a:dk2>
      <a:srgbClr val="44546A"/>
    </a:dk2>
    <a:lt2>
      <a:srgbClr val="E7E6E6"/>
    </a:lt2>
    <a:accent1>
      <a:srgbClr val="FF7E33"/>
    </a:accent1>
    <a:accent2>
      <a:srgbClr val="F0423E"/>
    </a:accent2>
    <a:accent3>
      <a:srgbClr val="6FBDFF"/>
    </a:accent3>
    <a:accent4>
      <a:srgbClr val="4F7FFF"/>
    </a:accent4>
    <a:accent5>
      <a:srgbClr val="FFC619"/>
    </a:accent5>
    <a:accent6>
      <a:srgbClr val="74B83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自定义 117">
    <a:dk1>
      <a:srgbClr val="000000"/>
    </a:dk1>
    <a:lt1>
      <a:srgbClr val="FFFFFF"/>
    </a:lt1>
    <a:dk2>
      <a:srgbClr val="44546A"/>
    </a:dk2>
    <a:lt2>
      <a:srgbClr val="E7E6E6"/>
    </a:lt2>
    <a:accent1>
      <a:srgbClr val="FF7E33"/>
    </a:accent1>
    <a:accent2>
      <a:srgbClr val="F0423E"/>
    </a:accent2>
    <a:accent3>
      <a:srgbClr val="6FBDFF"/>
    </a:accent3>
    <a:accent4>
      <a:srgbClr val="4F7FFF"/>
    </a:accent4>
    <a:accent5>
      <a:srgbClr val="FFC619"/>
    </a:accent5>
    <a:accent6>
      <a:srgbClr val="74B83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25</Pages>
  <Words>8071</Words>
  <Characters>8627</Characters>
  <Lines>61</Lines>
  <Paragraphs>17</Paragraphs>
  <TotalTime>26</TotalTime>
  <ScaleCrop>false</ScaleCrop>
  <LinksUpToDate>false</LinksUpToDate>
  <CharactersWithSpaces>8733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Administrator</cp:lastModifiedBy>
  <cp:lastPrinted>2023-07-31T18:35:00Z</cp:lastPrinted>
  <dcterms:modified xsi:type="dcterms:W3CDTF">2025-10-11T09:58:29Z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7194CCA0677745888DBCA5309FBF5989_13</vt:lpwstr>
  </property>
  <property fmtid="{D5CDD505-2E9C-101B-9397-08002B2CF9AE}" pid="4" name="KSOTemplateDocerSaveRecord">
    <vt:lpwstr>eyJoZGlkIjoiYzM1ZWZiMGQ3NTg1YmJjMGY1MmZlMmYwNjQ0Nzk3NTMifQ==</vt:lpwstr>
  </property>
</Properties>
</file>