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_GBK" w:hAnsi="宋体" w:eastAsia="方正小标宋_GBK"/>
          <w:color w:val="auto"/>
          <w:sz w:val="52"/>
          <w:szCs w:val="52"/>
        </w:rPr>
      </w:pPr>
      <w:bookmarkStart w:id="0" w:name="_Toc15306267"/>
    </w:p>
    <w:p>
      <w:pPr>
        <w:spacing w:line="600" w:lineRule="exact"/>
        <w:jc w:val="center"/>
        <w:outlineLvl w:val="9"/>
        <w:rPr>
          <w:rFonts w:ascii="方正小标宋_GBK" w:hAnsi="宋体" w:eastAsia="方正小标宋_GBK"/>
          <w:color w:val="auto"/>
          <w:sz w:val="72"/>
          <w:szCs w:val="72"/>
        </w:rPr>
      </w:pPr>
    </w:p>
    <w:p>
      <w:pPr>
        <w:spacing w:line="600" w:lineRule="exact"/>
        <w:jc w:val="center"/>
        <w:outlineLvl w:val="9"/>
        <w:rPr>
          <w:rFonts w:ascii="方正小标宋_GBK" w:hAnsi="宋体" w:eastAsia="方正小标宋_GBK"/>
          <w:color w:val="auto"/>
          <w:sz w:val="72"/>
          <w:szCs w:val="72"/>
        </w:rPr>
      </w:pPr>
    </w:p>
    <w:p>
      <w:pPr>
        <w:keepNext w:val="0"/>
        <w:keepLines w:val="0"/>
        <w:pageBreakBefore w:val="0"/>
        <w:widowControl w:val="0"/>
        <w:kinsoku/>
        <w:wordWrap/>
        <w:overflowPunct/>
        <w:topLinePunct w:val="0"/>
        <w:autoSpaceDE/>
        <w:autoSpaceDN/>
        <w:bidi w:val="0"/>
        <w:spacing w:line="800" w:lineRule="exact"/>
        <w:jc w:val="center"/>
        <w:textAlignment w:val="auto"/>
        <w:outlineLvl w:val="9"/>
        <w:rPr>
          <w:rFonts w:ascii="方正小标宋_GBK" w:hAnsi="宋体" w:eastAsia="方正小标宋_GBK"/>
          <w:color w:val="auto"/>
          <w:sz w:val="56"/>
          <w:szCs w:val="56"/>
        </w:rPr>
      </w:pPr>
      <w:bookmarkStart w:id="1" w:name="_Toc357"/>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1"/>
      <w:r>
        <w:rPr>
          <w:rFonts w:hint="eastAsia" w:ascii="方正小标宋简体" w:hAnsi="宋体" w:eastAsia="方正小标宋简体" w:cs="Times New Roman"/>
          <w:color w:val="auto"/>
          <w:w w:val="90"/>
          <w:kern w:val="2"/>
          <w:sz w:val="44"/>
          <w:szCs w:val="44"/>
          <w:highlight w:val="none"/>
          <w:lang w:val="en-US" w:eastAsia="zh-CN" w:bidi="ar-SA"/>
        </w:rPr>
        <w:t>广元市自然资源储备交易中心</w:t>
      </w:r>
      <w:r>
        <w:rPr>
          <w:rFonts w:hint="eastAsia" w:ascii="方正小标宋简体" w:hAnsi="宋体" w:eastAsia="方正小标宋简体" w:cs="Times New Roman"/>
          <w:color w:val="auto"/>
          <w:kern w:val="2"/>
          <w:sz w:val="44"/>
          <w:szCs w:val="44"/>
          <w:highlight w:val="none"/>
          <w:lang w:val="en" w:eastAsia="zh-CN" w:bidi="ar-SA"/>
        </w:rPr>
        <w:t>单位</w:t>
      </w:r>
      <w:r>
        <w:rPr>
          <w:rFonts w:hint="eastAsia" w:ascii="方正小标宋简体" w:hAnsi="宋体" w:eastAsia="方正小标宋简体" w:cs="Times New Roman"/>
          <w:color w:val="auto"/>
          <w:kern w:val="2"/>
          <w:sz w:val="44"/>
          <w:szCs w:val="44"/>
          <w:highlight w:val="none"/>
          <w:lang w:val="en-US" w:eastAsia="zh-CN" w:bidi="ar-SA"/>
        </w:rPr>
        <w:t>决算</w:t>
      </w:r>
    </w:p>
    <w:bookmarkEnd w:id="0"/>
    <w:p>
      <w:pPr>
        <w:jc w:val="center"/>
        <w:rPr>
          <w:rFonts w:ascii="黑体" w:hAnsi="黑体" w:eastAsia="黑体" w:cs="Times New Roman"/>
          <w:color w:val="auto"/>
          <w:sz w:val="28"/>
          <w:szCs w:val="28"/>
          <w:highlight w:val="none"/>
        </w:rPr>
      </w:pPr>
      <w:r>
        <w:rPr>
          <w:rFonts w:ascii="方正小标宋_GBK" w:hAnsi="宋体" w:eastAsia="方正小标宋_GBK"/>
          <w:color w:val="auto"/>
          <w:sz w:val="36"/>
          <w:szCs w:val="36"/>
        </w:rPr>
        <w:br w:type="page"/>
      </w: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Style w:val="11"/>
        <w:pageBreakBefore w:val="0"/>
        <w:kinsoku/>
        <w:wordWrap/>
        <w:overflowPunct/>
        <w:topLinePunct w:val="0"/>
        <w:autoSpaceDE/>
        <w:autoSpaceDN/>
        <w:bidi w:val="0"/>
        <w:spacing w:before="0"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sdt>
      <w:sdtPr>
        <w:rPr>
          <w:rFonts w:hint="eastAsia" w:ascii="仿宋_GB2312" w:hAnsi="仿宋_GB2312" w:eastAsia="仿宋_GB2312" w:cs="仿宋_GB2312"/>
          <w:kern w:val="2"/>
          <w:sz w:val="32"/>
          <w:szCs w:val="32"/>
          <w:lang w:val="en-US" w:eastAsia="zh-CN" w:bidi="ar-SA"/>
        </w:rPr>
        <w:id w:val="147454322"/>
        <w15:color w:val="DBDBDB"/>
        <w:docPartObj>
          <w:docPartGallery w:val="Table of Contents"/>
          <w:docPartUnique/>
        </w:docPartObj>
      </w:sdtPr>
      <w:sdtEndPr>
        <w:rPr>
          <w:rFonts w:hint="eastAsia" w:ascii="仿宋_GB2312" w:hAnsi="仿宋_GB2312" w:eastAsia="仿宋_GB2312" w:cs="仿宋_GB2312"/>
          <w:b/>
          <w:color w:val="auto"/>
          <w:kern w:val="2"/>
          <w:sz w:val="21"/>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11"/>
            <w:tabs>
              <w:tab w:val="right" w:leader="dot" w:pos="8845"/>
              <w:tab w:val="clear" w:pos="8296"/>
            </w:tabs>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_Toc4473 </w:instrText>
          </w:r>
          <w:r>
            <w:rPr>
              <w:rFonts w:hint="eastAsia" w:ascii="仿宋_GB2312" w:hAnsi="仿宋_GB2312" w:eastAsia="仿宋_GB2312" w:cs="仿宋_GB2312"/>
              <w:szCs w:val="32"/>
              <w:highlight w:val="none"/>
            </w:rPr>
            <w:fldChar w:fldCharType="separate"/>
          </w:r>
          <w:r>
            <w:rPr>
              <w:rFonts w:hint="eastAsia" w:ascii="黑体" w:hAnsi="黑体" w:eastAsia="黑体" w:cs="黑体"/>
              <w:highlight w:val="none"/>
            </w:rPr>
            <w:t xml:space="preserve">第一部分 </w:t>
          </w:r>
          <w:r>
            <w:rPr>
              <w:rFonts w:hint="eastAsia" w:ascii="黑体" w:hAnsi="黑体" w:eastAsia="黑体" w:cs="黑体"/>
              <w:highlight w:val="none"/>
              <w:lang w:eastAsia="zh-CN"/>
            </w:rPr>
            <w:t>单位</w:t>
          </w:r>
          <w:r>
            <w:rPr>
              <w:rFonts w:hint="eastAsia" w:ascii="黑体" w:hAnsi="黑体" w:eastAsia="黑体" w:cs="黑体"/>
              <w:highlight w:val="none"/>
            </w:rPr>
            <w:t>概况</w:t>
          </w:r>
          <w:r>
            <w:tab/>
          </w:r>
          <w:r>
            <w:fldChar w:fldCharType="begin"/>
          </w:r>
          <w:r>
            <w:instrText xml:space="preserve"> PAGEREF _Toc4473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_Toc9559 </w:instrText>
          </w:r>
          <w:r>
            <w:rPr>
              <w:rFonts w:hint="eastAsia" w:ascii="仿宋_GB2312" w:hAnsi="仿宋_GB2312" w:eastAsia="仿宋_GB2312" w:cs="仿宋_GB2312"/>
              <w:szCs w:val="32"/>
              <w:highlight w:val="none"/>
            </w:rPr>
            <w:fldChar w:fldCharType="separate"/>
          </w:r>
          <w:r>
            <w:rPr>
              <w:rFonts w:hint="eastAsia"/>
              <w:lang w:val="en-US" w:eastAsia="zh-CN"/>
            </w:rPr>
            <w:t>一、</w:t>
          </w:r>
          <w:r>
            <w:rPr>
              <w:rFonts w:hint="eastAsia" w:ascii="黑体" w:hAnsi="黑体" w:eastAsia="黑体"/>
              <w:bCs w:val="0"/>
              <w:highlight w:val="none"/>
              <w:lang w:eastAsia="zh-CN"/>
            </w:rPr>
            <w:t>主要职责</w:t>
          </w:r>
          <w:r>
            <w:tab/>
          </w:r>
          <w:r>
            <w:fldChar w:fldCharType="begin"/>
          </w:r>
          <w:r>
            <w:instrText xml:space="preserve"> PAGEREF _Toc9559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_Toc31995 </w:instrText>
          </w:r>
          <w:r>
            <w:rPr>
              <w:rFonts w:hint="eastAsia" w:ascii="仿宋_GB2312" w:hAnsi="仿宋_GB2312" w:eastAsia="仿宋_GB2312" w:cs="仿宋_GB2312"/>
              <w:szCs w:val="32"/>
              <w:highlight w:val="none"/>
            </w:rPr>
            <w:fldChar w:fldCharType="separate"/>
          </w:r>
          <w:r>
            <w:rPr>
              <w:rFonts w:hint="eastAsia" w:ascii="黑体" w:hAnsi="宋体" w:eastAsia="黑体" w:cs="黑体"/>
              <w:bCs w:val="0"/>
              <w:i w:val="0"/>
              <w:iCs w:val="0"/>
              <w:caps w:val="0"/>
              <w:spacing w:val="0"/>
              <w:kern w:val="2"/>
              <w:szCs w:val="32"/>
              <w:lang w:val="en-US" w:eastAsia="zh-CN" w:bidi="ar-SA"/>
            </w:rPr>
            <w:t>二、</w:t>
          </w:r>
          <w:r>
            <w:rPr>
              <w:rFonts w:ascii="黑体" w:hAnsi="宋体" w:eastAsia="黑体" w:cs="黑体"/>
              <w:bCs w:val="0"/>
              <w:i w:val="0"/>
              <w:iCs w:val="0"/>
              <w:caps w:val="0"/>
              <w:spacing w:val="0"/>
              <w:szCs w:val="32"/>
              <w:highlight w:val="none"/>
            </w:rPr>
            <w:t>机构设置</w:t>
          </w:r>
          <w:r>
            <w:tab/>
          </w:r>
          <w:r>
            <w:fldChar w:fldCharType="begin"/>
          </w:r>
          <w:r>
            <w:instrText xml:space="preserve"> PAGEREF _Toc31995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_Toc14726 </w:instrText>
          </w:r>
          <w:r>
            <w:rPr>
              <w:rFonts w:hint="eastAsia" w:ascii="仿宋_GB2312" w:hAnsi="仿宋_GB2312" w:eastAsia="仿宋_GB2312" w:cs="仿宋_GB2312"/>
              <w:szCs w:val="32"/>
              <w:highlight w:val="none"/>
            </w:rPr>
            <w:fldChar w:fldCharType="separate"/>
          </w:r>
          <w:r>
            <w:rPr>
              <w:rFonts w:hint="eastAsia" w:ascii="黑体" w:hAnsi="黑体" w:eastAsia="黑体" w:cs="黑体"/>
              <w:highlight w:val="none"/>
            </w:rPr>
            <w:t xml:space="preserve">第二部分 </w:t>
          </w:r>
          <w:r>
            <w:rPr>
              <w:rFonts w:hint="eastAsia" w:ascii="黑体" w:hAnsi="黑体" w:eastAsia="黑体" w:cs="黑体"/>
              <w:highlight w:val="none"/>
              <w:lang w:val="en-US" w:eastAsia="zh-CN"/>
            </w:rPr>
            <w:t>2024年度</w:t>
          </w:r>
          <w:r>
            <w:rPr>
              <w:rFonts w:hint="eastAsia" w:ascii="黑体" w:hAnsi="黑体" w:eastAsia="黑体" w:cs="黑体"/>
              <w:highlight w:val="none"/>
              <w:lang w:eastAsia="zh-CN"/>
            </w:rPr>
            <w:t>单位</w:t>
          </w:r>
          <w:r>
            <w:rPr>
              <w:rFonts w:hint="eastAsia" w:ascii="黑体" w:hAnsi="黑体" w:eastAsia="黑体" w:cs="黑体"/>
              <w:highlight w:val="none"/>
            </w:rPr>
            <w:t>决算情况说明</w:t>
          </w:r>
          <w:r>
            <w:tab/>
          </w:r>
          <w:r>
            <w:fldChar w:fldCharType="begin"/>
          </w:r>
          <w:r>
            <w:instrText xml:space="preserve"> PAGEREF _Toc14726 \h </w:instrText>
          </w:r>
          <w:r>
            <w:fldChar w:fldCharType="separate"/>
          </w:r>
          <w:r>
            <w:t>2</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_Toc497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一、收入支出决算总体情况说明</w:t>
          </w:r>
          <w:r>
            <w:tab/>
          </w:r>
          <w:r>
            <w:fldChar w:fldCharType="begin"/>
          </w:r>
          <w:r>
            <w:instrText xml:space="preserve"> PAGEREF _Toc497 \h </w:instrText>
          </w:r>
          <w:r>
            <w:fldChar w:fldCharType="separate"/>
          </w:r>
          <w:r>
            <w:t>2</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_Toc5441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二、收入决算情况说明</w:t>
          </w:r>
          <w:r>
            <w:tab/>
          </w:r>
          <w:r>
            <w:fldChar w:fldCharType="begin"/>
          </w:r>
          <w:r>
            <w:instrText xml:space="preserve"> PAGEREF _Toc5441 \h </w:instrText>
          </w:r>
          <w:r>
            <w:fldChar w:fldCharType="separate"/>
          </w:r>
          <w:r>
            <w:t>2</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_Toc8584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三、支出决算情况说明</w:t>
          </w:r>
          <w:r>
            <w:tab/>
          </w:r>
          <w:r>
            <w:fldChar w:fldCharType="begin"/>
          </w:r>
          <w:r>
            <w:instrText xml:space="preserve"> PAGEREF _Toc8584 \h </w:instrText>
          </w:r>
          <w:r>
            <w:fldChar w:fldCharType="separate"/>
          </w:r>
          <w:r>
            <w:t>3</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_Toc26382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四、财政拨款收入支出决算总体情况说明</w:t>
          </w:r>
          <w:r>
            <w:tab/>
          </w:r>
          <w:r>
            <w:fldChar w:fldCharType="begin"/>
          </w:r>
          <w:r>
            <w:instrText xml:space="preserve"> PAGEREF _Toc26382 \h </w:instrText>
          </w:r>
          <w:r>
            <w:fldChar w:fldCharType="separate"/>
          </w:r>
          <w:r>
            <w:t>3</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_Toc21904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五、一般公共预算财政拨款支出决算情况说明</w:t>
          </w:r>
          <w:r>
            <w:tab/>
          </w:r>
          <w:r>
            <w:fldChar w:fldCharType="begin"/>
          </w:r>
          <w:r>
            <w:instrText xml:space="preserve"> PAGEREF _Toc21904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_Toc13418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六、一般公共预算财政拨款基本支出决算情况说明</w:t>
          </w:r>
          <w:r>
            <w:tab/>
          </w:r>
          <w:r>
            <w:fldChar w:fldCharType="begin"/>
          </w:r>
          <w:r>
            <w:instrText xml:space="preserve"> PAGEREF _Toc13418 \h </w:instrText>
          </w:r>
          <w:r>
            <w:fldChar w:fldCharType="separate"/>
          </w:r>
          <w:r>
            <w:t>7</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_Toc24754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七、</w:t>
          </w:r>
          <w:r>
            <w:rPr>
              <w:rFonts w:hint="eastAsia" w:ascii="黑体" w:hAnsi="黑体" w:eastAsia="黑体"/>
              <w:bCs w:val="0"/>
              <w:highlight w:val="none"/>
            </w:rPr>
            <w:t>财政拨款“三公”经费支出决算情况说明</w:t>
          </w:r>
          <w:r>
            <w:tab/>
          </w:r>
          <w:r>
            <w:fldChar w:fldCharType="begin"/>
          </w:r>
          <w:r>
            <w:instrText xml:space="preserve"> PAGEREF _Toc24754 \h </w:instrText>
          </w:r>
          <w:r>
            <w:fldChar w:fldCharType="separate"/>
          </w:r>
          <w:r>
            <w:t>7</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_Toc4399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八、政府性基金预算支出决算情况说明</w:t>
          </w:r>
          <w:r>
            <w:tab/>
          </w:r>
          <w:r>
            <w:fldChar w:fldCharType="begin"/>
          </w:r>
          <w:r>
            <w:instrText xml:space="preserve"> PAGEREF _Toc4399 \h </w:instrText>
          </w:r>
          <w:r>
            <w:fldChar w:fldCharType="separate"/>
          </w:r>
          <w:r>
            <w:t>9</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_Toc20908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九、国有资本经营预算支出决算情况说明</w:t>
          </w:r>
          <w:r>
            <w:tab/>
          </w:r>
          <w:r>
            <w:fldChar w:fldCharType="begin"/>
          </w:r>
          <w:r>
            <w:instrText xml:space="preserve"> PAGEREF _Toc20908 \h </w:instrText>
          </w:r>
          <w:r>
            <w:fldChar w:fldCharType="separate"/>
          </w:r>
          <w:r>
            <w:t>9</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_Toc1160 </w:instrText>
          </w:r>
          <w:r>
            <w:rPr>
              <w:rFonts w:hint="eastAsia" w:ascii="仿宋_GB2312" w:hAnsi="仿宋_GB2312" w:eastAsia="仿宋_GB2312" w:cs="仿宋_GB2312"/>
              <w:szCs w:val="32"/>
              <w:highlight w:val="none"/>
            </w:rPr>
            <w:fldChar w:fldCharType="separate"/>
          </w:r>
          <w:r>
            <w:rPr>
              <w:rFonts w:hint="eastAsia" w:ascii="黑体" w:hAnsi="黑体" w:eastAsia="黑体" w:cs="黑体"/>
              <w:bCs w:val="0"/>
              <w:szCs w:val="32"/>
              <w:highlight w:val="none"/>
              <w:lang w:eastAsia="zh-CN"/>
            </w:rPr>
            <w:t>十、</w:t>
          </w:r>
          <w:r>
            <w:rPr>
              <w:rFonts w:hint="eastAsia" w:ascii="黑体" w:hAnsi="黑体" w:eastAsia="黑体" w:cs="黑体"/>
              <w:bCs w:val="0"/>
              <w:szCs w:val="32"/>
              <w:highlight w:val="none"/>
            </w:rPr>
            <w:t>其他重要事项的情况说明</w:t>
          </w:r>
          <w:r>
            <w:tab/>
          </w:r>
          <w:r>
            <w:fldChar w:fldCharType="begin"/>
          </w:r>
          <w:r>
            <w:instrText xml:space="preserve"> PAGEREF _Toc1160 \h </w:instrText>
          </w:r>
          <w:r>
            <w:fldChar w:fldCharType="separate"/>
          </w:r>
          <w:r>
            <w:t>9</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_Toc4205 </w:instrText>
          </w:r>
          <w:r>
            <w:rPr>
              <w:rFonts w:hint="eastAsia" w:ascii="仿宋_GB2312" w:hAnsi="仿宋_GB2312" w:eastAsia="仿宋_GB2312" w:cs="仿宋_GB2312"/>
              <w:szCs w:val="32"/>
              <w:highlight w:val="none"/>
            </w:rPr>
            <w:fldChar w:fldCharType="separate"/>
          </w:r>
          <w:r>
            <w:rPr>
              <w:rFonts w:hint="eastAsia" w:ascii="方正小标宋_GBK" w:hAnsi="方正小标宋_GBK" w:eastAsia="方正小标宋_GBK" w:cs="方正小标宋_GBK"/>
              <w:highlight w:val="none"/>
              <w:lang w:eastAsia="zh-CN"/>
            </w:rPr>
            <w:t>第三部分</w:t>
          </w:r>
          <w:r>
            <w:rPr>
              <w:rFonts w:hint="eastAsia" w:ascii="方正小标宋_GBK" w:hAnsi="方正小标宋_GBK" w:eastAsia="方正小标宋_GBK" w:cs="方正小标宋_GBK"/>
              <w:highlight w:val="none"/>
              <w:lang w:val="en-US" w:eastAsia="zh-CN"/>
            </w:rPr>
            <w:t xml:space="preserve">  </w:t>
          </w:r>
          <w:r>
            <w:rPr>
              <w:rFonts w:hint="eastAsia" w:ascii="方正小标宋_GBK" w:hAnsi="方正小标宋_GBK" w:eastAsia="方正小标宋_GBK" w:cs="方正小标宋_GBK"/>
              <w:highlight w:val="none"/>
            </w:rPr>
            <w:t>名词解释</w:t>
          </w:r>
          <w:r>
            <w:tab/>
          </w:r>
          <w:r>
            <w:fldChar w:fldCharType="begin"/>
          </w:r>
          <w:r>
            <w:instrText xml:space="preserve"> PAGEREF _Toc4205 \h </w:instrText>
          </w:r>
          <w:r>
            <w:fldChar w:fldCharType="separate"/>
          </w:r>
          <w:r>
            <w:t>11</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_Toc10368 </w:instrText>
          </w:r>
          <w:r>
            <w:rPr>
              <w:rFonts w:hint="eastAsia" w:ascii="仿宋_GB2312" w:hAnsi="仿宋_GB2312" w:eastAsia="仿宋_GB2312" w:cs="仿宋_GB2312"/>
              <w:szCs w:val="32"/>
              <w:highlight w:val="none"/>
            </w:rPr>
            <w:fldChar w:fldCharType="separate"/>
          </w:r>
          <w:r>
            <w:rPr>
              <w:rFonts w:hint="eastAsia" w:ascii="方正小标宋_GBK" w:hAnsi="方正小标宋_GBK" w:eastAsia="方正小标宋_GBK" w:cs="方正小标宋_GBK"/>
              <w:bCs/>
              <w:kern w:val="44"/>
              <w:szCs w:val="44"/>
              <w:highlight w:val="none"/>
              <w:lang w:val="en-US" w:eastAsia="zh-CN" w:bidi="ar-SA"/>
            </w:rPr>
            <w:t>第四</w:t>
          </w:r>
          <w:r>
            <w:rPr>
              <w:rFonts w:hint="eastAsia" w:ascii="方正小标宋_GBK" w:hAnsi="方正小标宋_GBK" w:eastAsia="方正小标宋_GBK" w:cs="方正小标宋_GBK"/>
              <w:highlight w:val="none"/>
              <w:lang w:val="en-US" w:eastAsia="zh-CN"/>
            </w:rPr>
            <w:t xml:space="preserve">部分  </w:t>
          </w:r>
          <w:r>
            <w:rPr>
              <w:rFonts w:hint="eastAsia" w:ascii="方正小标宋_GBK" w:hAnsi="方正小标宋_GBK" w:eastAsia="方正小标宋_GBK" w:cs="方正小标宋_GBK"/>
              <w:bCs/>
              <w:kern w:val="44"/>
              <w:szCs w:val="44"/>
              <w:highlight w:val="none"/>
              <w:lang w:val="en-US" w:eastAsia="zh-CN" w:bidi="ar-SA"/>
            </w:rPr>
            <w:t>附件</w:t>
          </w:r>
          <w:r>
            <w:tab/>
          </w:r>
          <w:r>
            <w:fldChar w:fldCharType="begin"/>
          </w:r>
          <w:r>
            <w:instrText xml:space="preserve"> PAGEREF _Toc10368 \h </w:instrText>
          </w:r>
          <w:r>
            <w:fldChar w:fldCharType="separate"/>
          </w:r>
          <w:r>
            <w:t>14</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_Toc32124 </w:instrText>
          </w:r>
          <w:r>
            <w:rPr>
              <w:rFonts w:hint="eastAsia" w:ascii="仿宋_GB2312" w:hAnsi="仿宋_GB2312" w:eastAsia="仿宋_GB2312" w:cs="仿宋_GB2312"/>
              <w:szCs w:val="32"/>
              <w:highlight w:val="none"/>
            </w:rPr>
            <w:fldChar w:fldCharType="separate"/>
          </w:r>
          <w:r>
            <w:rPr>
              <w:rFonts w:hint="eastAsia" w:ascii="方正小标宋_GBK" w:hAnsi="方正小标宋_GBK" w:eastAsia="方正小标宋_GBK" w:cs="方正小标宋_GBK"/>
              <w:highlight w:val="none"/>
              <w:lang w:val="en-US" w:eastAsia="zh-CN"/>
            </w:rPr>
            <w:t>第五部分  附表</w:t>
          </w:r>
          <w:r>
            <w:tab/>
          </w:r>
          <w:r>
            <w:fldChar w:fldCharType="begin"/>
          </w:r>
          <w:r>
            <w:instrText xml:space="preserve"> PAGEREF _Toc32124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_Toc9270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一、收入支出决算总表</w:t>
          </w:r>
          <w:r>
            <w:tab/>
          </w:r>
          <w:r>
            <w:fldChar w:fldCharType="begin"/>
          </w:r>
          <w:r>
            <w:instrText xml:space="preserve"> PAGEREF _Toc9270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_Toc4377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二、收入决算表</w:t>
          </w:r>
          <w:r>
            <w:tab/>
          </w:r>
          <w:r>
            <w:fldChar w:fldCharType="begin"/>
          </w:r>
          <w:r>
            <w:instrText xml:space="preserve"> PAGEREF _Toc4377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_Toc32434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三、支出决算表</w:t>
          </w:r>
          <w:r>
            <w:tab/>
          </w:r>
          <w:r>
            <w:fldChar w:fldCharType="begin"/>
          </w:r>
          <w:r>
            <w:instrText xml:space="preserve"> PAGEREF _Toc32434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_Toc21197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四、财政拨款收入支出决算总表</w:t>
          </w:r>
          <w:r>
            <w:tab/>
          </w:r>
          <w:r>
            <w:fldChar w:fldCharType="begin"/>
          </w:r>
          <w:r>
            <w:instrText xml:space="preserve"> PAGEREF _Toc21197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_Toc4789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五、财政拨款支出决算明细表</w:t>
          </w:r>
          <w:r>
            <w:tab/>
          </w:r>
          <w:r>
            <w:fldChar w:fldCharType="begin"/>
          </w:r>
          <w:r>
            <w:instrText xml:space="preserve"> PAGEREF _Toc4789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_Toc9605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六、一般公共预算财政拨款支出决算表</w:t>
          </w:r>
          <w:r>
            <w:tab/>
          </w:r>
          <w:r>
            <w:fldChar w:fldCharType="begin"/>
          </w:r>
          <w:r>
            <w:instrText xml:space="preserve"> PAGEREF _Toc9605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_Toc8173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七、一般公共预算财政拨款支出决算明细表</w:t>
          </w:r>
          <w:r>
            <w:tab/>
          </w:r>
          <w:r>
            <w:fldChar w:fldCharType="begin"/>
          </w:r>
          <w:r>
            <w:instrText xml:space="preserve"> PAGEREF _Toc8173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_Toc22748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八、一般公共预算财政拨款基本支出决算表</w:t>
          </w:r>
          <w:r>
            <w:tab/>
          </w:r>
          <w:r>
            <w:fldChar w:fldCharType="begin"/>
          </w:r>
          <w:r>
            <w:instrText xml:space="preserve"> PAGEREF _Toc22748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_Toc13195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九、一般公共预算财政拨款项目支出决算表</w:t>
          </w:r>
          <w:r>
            <w:tab/>
          </w:r>
          <w:r>
            <w:fldChar w:fldCharType="begin"/>
          </w:r>
          <w:r>
            <w:instrText xml:space="preserve"> PAGEREF _Toc13195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_Toc22841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十、政府性基金预算财政拨款收入支出决算表</w:t>
          </w:r>
          <w:r>
            <w:tab/>
          </w:r>
          <w:r>
            <w:fldChar w:fldCharType="begin"/>
          </w:r>
          <w:r>
            <w:instrText xml:space="preserve"> PAGEREF _Toc22841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_Toc13784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十一、国有资本经营预算财政拨款收入支出决算表</w:t>
          </w:r>
          <w:r>
            <w:tab/>
          </w:r>
          <w:r>
            <w:fldChar w:fldCharType="begin"/>
          </w:r>
          <w:r>
            <w:instrText xml:space="preserve"> PAGEREF _Toc13784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_Toc20860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十二、国有资本经营预算财政拨款支出决算表</w:t>
          </w:r>
          <w:r>
            <w:tab/>
          </w:r>
          <w:r>
            <w:fldChar w:fldCharType="begin"/>
          </w:r>
          <w:r>
            <w:instrText xml:space="preserve"> PAGEREF _Toc20860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845"/>
              <w:tab w:val="clear" w:pos="8296"/>
            </w:tabs>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_Toc21500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kern w:val="0"/>
              <w:szCs w:val="32"/>
              <w:highlight w:val="none"/>
              <w:lang w:val="en-US" w:eastAsia="zh-CN" w:bidi="ar-SA"/>
            </w:rPr>
            <w:t>十三、财政拨款“三公”经费支出决算表</w:t>
          </w:r>
          <w:r>
            <w:tab/>
          </w:r>
          <w:r>
            <w:fldChar w:fldCharType="begin"/>
          </w:r>
          <w:r>
            <w:instrText xml:space="preserve"> PAGEREF _Toc21500 \h </w:instrText>
          </w:r>
          <w:r>
            <w:fldChar w:fldCharType="separate"/>
          </w:r>
          <w:r>
            <w:t>15</w:t>
          </w:r>
          <w:r>
            <w:fldChar w:fldCharType="end"/>
          </w:r>
          <w:r>
            <w:rPr>
              <w:rFonts w:hint="eastAsia" w:ascii="仿宋_GB2312" w:hAnsi="仿宋_GB2312" w:eastAsia="仿宋_GB2312" w:cs="仿宋_GB2312"/>
              <w:color w:val="auto"/>
              <w:szCs w:val="32"/>
              <w:highlight w:val="none"/>
            </w:rPr>
            <w:fldChar w:fldCharType="end"/>
          </w:r>
        </w:p>
        <w:p>
          <w:pPr>
            <w:keepNext w:val="0"/>
            <w:keepLines w:val="0"/>
            <w:pageBreakBefore w:val="0"/>
            <w:kinsoku/>
            <w:wordWrap/>
            <w:overflowPunct/>
            <w:topLinePunct w:val="0"/>
            <w:autoSpaceDE/>
            <w:autoSpaceDN/>
            <w:bidi w:val="0"/>
            <w:adjustRightInd/>
            <w:snapToGrid/>
            <w:spacing w:line="576" w:lineRule="exact"/>
            <w:ind w:left="0" w:leftChars="0" w:firstLine="420" w:firstLineChars="200"/>
            <w:jc w:val="both"/>
            <w:textAlignment w:val="auto"/>
            <w:rPr>
              <w:rFonts w:hint="eastAsia" w:ascii="仿宋_GB2312" w:hAnsi="仿宋_GB2312" w:eastAsia="仿宋_GB2312" w:cs="仿宋_GB2312"/>
              <w:b/>
              <w:color w:val="auto"/>
              <w:kern w:val="2"/>
              <w:sz w:val="21"/>
              <w:szCs w:val="32"/>
              <w:highlight w:val="none"/>
              <w:lang w:val="en-US" w:eastAsia="zh-CN" w:bidi="ar-SA"/>
            </w:rPr>
          </w:pPr>
          <w:r>
            <w:rPr>
              <w:rFonts w:hint="eastAsia" w:ascii="仿宋_GB2312" w:hAnsi="仿宋_GB2312" w:eastAsia="仿宋_GB2312" w:cs="仿宋_GB2312"/>
              <w:color w:val="auto"/>
              <w:szCs w:val="32"/>
              <w:highlight w:val="none"/>
            </w:rPr>
            <w:fldChar w:fldCharType="end"/>
          </w:r>
        </w:p>
      </w:sdtContent>
    </w:sdt>
    <w:p>
      <w:pPr>
        <w:pStyle w:val="2"/>
        <w:rPr>
          <w:rFonts w:hint="eastAsia"/>
        </w:rPr>
      </w:pPr>
    </w:p>
    <w:p>
      <w:pPr>
        <w:pageBreakBefore w:val="0"/>
        <w:kinsoku/>
        <w:wordWrap/>
        <w:overflowPunct/>
        <w:topLinePunct w:val="0"/>
        <w:autoSpaceDE/>
        <w:autoSpaceDN/>
        <w:bidi w:val="0"/>
        <w:spacing w:line="576"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sectPr>
          <w:headerReference r:id="rId3" w:type="default"/>
          <w:pgSz w:w="11906" w:h="16838"/>
          <w:pgMar w:top="2098" w:right="1474" w:bottom="1984"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b/>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2" w:name="_Toc4473"/>
      <w:r>
        <w:rPr>
          <w:rFonts w:hint="eastAsia" w:ascii="黑体" w:hAnsi="黑体" w:eastAsia="黑体" w:cs="黑体"/>
          <w:b w:val="0"/>
          <w:color w:val="auto"/>
          <w:highlight w:val="none"/>
        </w:rPr>
        <w:t xml:space="preserve">第一部分 </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概况</w:t>
      </w:r>
      <w:bookmarkEnd w:id="2"/>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4"/>
        <w:pageBreakBefore w:val="0"/>
        <w:kinsoku/>
        <w:wordWrap/>
        <w:overflowPunct/>
        <w:topLinePunct w:val="0"/>
        <w:autoSpaceDE/>
        <w:autoSpaceDN/>
        <w:bidi w:val="0"/>
        <w:adjustRightInd/>
        <w:snapToGrid/>
        <w:spacing w:before="0" w:after="0" w:line="540" w:lineRule="exact"/>
        <w:ind w:left="0" w:leftChars="0" w:firstLine="642" w:firstLineChars="200"/>
        <w:jc w:val="both"/>
        <w:textAlignment w:val="auto"/>
        <w:rPr>
          <w:rFonts w:hint="eastAsia"/>
          <w:lang w:eastAsia="zh-CN"/>
        </w:rPr>
      </w:pPr>
      <w:bookmarkStart w:id="3" w:name="_Toc13503"/>
      <w:bookmarkStart w:id="4" w:name="_Toc9559"/>
      <w:bookmarkStart w:id="5" w:name="_Toc15377197"/>
      <w:bookmarkStart w:id="6" w:name="_Toc15396600"/>
      <w:r>
        <w:rPr>
          <w:rFonts w:hint="eastAsia"/>
          <w:lang w:val="en-US" w:eastAsia="zh-CN"/>
        </w:rPr>
        <w:t>一、</w:t>
      </w:r>
      <w:bookmarkEnd w:id="3"/>
      <w:r>
        <w:rPr>
          <w:rStyle w:val="20"/>
          <w:rFonts w:hint="eastAsia" w:ascii="黑体" w:hAnsi="黑体" w:eastAsia="黑体"/>
          <w:b w:val="0"/>
          <w:bCs w:val="0"/>
          <w:color w:val="auto"/>
          <w:highlight w:val="none"/>
          <w:lang w:eastAsia="zh-CN"/>
        </w:rPr>
        <w:t>主要职责</w:t>
      </w:r>
      <w:bookmarkEnd w:id="4"/>
    </w:p>
    <w:bookmarkEnd w:id="5"/>
    <w:bookmarkEnd w:id="6"/>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lang w:eastAsia="zh-CN"/>
        </w:rPr>
      </w:pPr>
      <w:bookmarkStart w:id="7" w:name="_Toc8332"/>
      <w:bookmarkStart w:id="8" w:name="_Toc15377204"/>
      <w:bookmarkStart w:id="9" w:name="_Toc15396602"/>
      <w:r>
        <w:rPr>
          <w:rFonts w:hint="eastAsia" w:ascii="仿宋_GB2312" w:hAnsi="仿宋_GB2312" w:eastAsia="仿宋_GB2312" w:cs="仿宋_GB2312"/>
          <w:color w:val="auto"/>
          <w:sz w:val="32"/>
          <w:szCs w:val="32"/>
        </w:rPr>
        <w:t>负责编制市本级土地储备计划并实施；负责储备土地实施前期开发和管护；配合土地储备专项债券发行工作；承担国有建设用地</w:t>
      </w:r>
      <w:r>
        <w:rPr>
          <w:rFonts w:hint="eastAsia" w:ascii="仿宋_GB2312" w:hAnsi="仿宋_GB2312" w:eastAsia="仿宋_GB2312" w:cs="仿宋_GB2312"/>
          <w:color w:val="auto"/>
          <w:sz w:val="32"/>
          <w:szCs w:val="32"/>
          <w:highlight w:val="none"/>
        </w:rPr>
        <w:t>供应事务性工作；负责国有建设用地二级市场相关工作。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ascii="黑体" w:hAnsi="宋体" w:eastAsia="黑体" w:cs="黑体"/>
          <w:b w:val="0"/>
          <w:bCs w:val="0"/>
          <w:i w:val="0"/>
          <w:iCs w:val="0"/>
          <w:caps w:val="0"/>
          <w:color w:val="000000"/>
          <w:spacing w:val="0"/>
          <w:sz w:val="32"/>
          <w:szCs w:val="32"/>
          <w:highlight w:val="none"/>
        </w:rPr>
      </w:pPr>
      <w:bookmarkStart w:id="10" w:name="_Toc31995"/>
      <w:r>
        <w:rPr>
          <w:rFonts w:hint="eastAsia" w:ascii="黑体" w:hAnsi="宋体" w:eastAsia="黑体" w:cs="黑体"/>
          <w:b w:val="0"/>
          <w:bCs w:val="0"/>
          <w:i w:val="0"/>
          <w:iCs w:val="0"/>
          <w:caps w:val="0"/>
          <w:color w:val="000000"/>
          <w:spacing w:val="0"/>
          <w:kern w:val="2"/>
          <w:sz w:val="32"/>
          <w:szCs w:val="32"/>
          <w:lang w:val="en-US" w:eastAsia="zh-CN" w:bidi="ar-SA"/>
        </w:rPr>
        <w:t>二、</w:t>
      </w:r>
      <w:r>
        <w:rPr>
          <w:rFonts w:ascii="黑体" w:hAnsi="宋体" w:eastAsia="黑体" w:cs="黑体"/>
          <w:b w:val="0"/>
          <w:bCs w:val="0"/>
          <w:i w:val="0"/>
          <w:iCs w:val="0"/>
          <w:caps w:val="0"/>
          <w:color w:val="000000"/>
          <w:spacing w:val="0"/>
          <w:sz w:val="32"/>
          <w:szCs w:val="32"/>
          <w:highlight w:val="none"/>
        </w:rPr>
        <w:t>机构设置</w:t>
      </w:r>
      <w:bookmarkEnd w:id="7"/>
      <w:bookmarkEnd w:id="10"/>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w:t>
      </w:r>
      <w:r>
        <w:rPr>
          <w:rFonts w:hint="eastAsia" w:ascii="仿宋_GB2312" w:hAnsi="仿宋_GB2312" w:eastAsia="仿宋_GB2312" w:cs="仿宋_GB2312"/>
          <w:b w:val="0"/>
          <w:color w:val="auto"/>
          <w:sz w:val="32"/>
          <w:szCs w:val="32"/>
          <w:lang w:val="en-US" w:eastAsia="zh-CN"/>
        </w:rPr>
        <w:t>广元市自然资源局</w:t>
      </w:r>
      <w:r>
        <w:rPr>
          <w:rFonts w:hint="eastAsia" w:ascii="仿宋_GB2312" w:hAnsi="仿宋_GB2312" w:eastAsia="仿宋_GB2312" w:cs="仿宋_GB2312"/>
          <w:sz w:val="32"/>
          <w:szCs w:val="32"/>
          <w:lang w:val="en-US" w:eastAsia="zh-CN"/>
        </w:rPr>
        <w:t>下属二级预算单位，</w:t>
      </w:r>
      <w:r>
        <w:rPr>
          <w:rFonts w:hint="eastAsia" w:ascii="仿宋_GB2312" w:hAnsi="仿宋_GB2312" w:eastAsia="仿宋_GB2312" w:cs="仿宋_GB2312"/>
          <w:color w:val="auto"/>
          <w:sz w:val="32"/>
          <w:szCs w:val="32"/>
          <w:highlight w:val="none"/>
          <w:lang w:val="en-US" w:eastAsia="zh-CN"/>
        </w:rPr>
        <w:t>根据单位职责分工，</w:t>
      </w:r>
      <w:r>
        <w:rPr>
          <w:rFonts w:hint="eastAsia" w:ascii="仿宋_GB2312" w:hAnsi="仿宋_GB2312" w:eastAsia="仿宋_GB2312" w:cs="仿宋_GB2312"/>
          <w:sz w:val="32"/>
          <w:szCs w:val="32"/>
          <w:lang w:val="en-US" w:eastAsia="zh-CN"/>
        </w:rPr>
        <w:t>无内设机构，本单位无下属机构。</w:t>
      </w:r>
    </w:p>
    <w:bookmarkEnd w:id="8"/>
    <w:bookmarkEnd w:id="9"/>
    <w:p>
      <w:pPr>
        <w:pageBreakBefore w:val="0"/>
        <w:kinsoku/>
        <w:wordWrap/>
        <w:overflowPunct/>
        <w:topLinePunct w:val="0"/>
        <w:autoSpaceDE/>
        <w:autoSpaceDN/>
        <w:bidi w:val="0"/>
        <w:spacing w:line="576" w:lineRule="exact"/>
        <w:ind w:left="0" w:leftChars="0" w:firstLine="420" w:firstLineChars="200"/>
        <w:jc w:val="both"/>
        <w:textAlignment w:val="auto"/>
        <w:rPr>
          <w:rFonts w:hint="eastAsia" w:ascii="黑体" w:hAnsi="黑体" w:eastAsia="黑体"/>
          <w:b w:val="0"/>
          <w:bCs/>
          <w:color w:val="auto"/>
          <w:highlight w:val="none"/>
        </w:rPr>
      </w:pPr>
      <w:r>
        <w:rPr>
          <w:rFonts w:hint="eastAsia" w:ascii="黑体" w:hAnsi="黑体" w:eastAsia="黑体"/>
          <w:b w:val="0"/>
          <w:bCs/>
          <w:color w:val="auto"/>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11" w:name="_Toc14726"/>
      <w:r>
        <w:rPr>
          <w:rFonts w:hint="eastAsia" w:ascii="黑体" w:hAnsi="黑体" w:eastAsia="黑体" w:cs="黑体"/>
          <w:b w:val="0"/>
          <w:color w:val="auto"/>
          <w:highlight w:val="none"/>
        </w:rPr>
        <w:t xml:space="preserve">第二部分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决算情况说明</w:t>
      </w:r>
      <w:bookmarkEnd w:id="11"/>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2" w:name="_Toc15396603"/>
      <w:bookmarkStart w:id="13" w:name="_Toc18582"/>
      <w:bookmarkStart w:id="14" w:name="_Toc497"/>
      <w:bookmarkStart w:id="15" w:name="_Toc15377205"/>
      <w:r>
        <w:rPr>
          <w:rFonts w:hint="eastAsia" w:ascii="黑体" w:hAnsi="黑体" w:eastAsia="黑体" w:cs="黑体"/>
          <w:b w:val="0"/>
          <w:bCs w:val="0"/>
          <w:color w:val="auto"/>
          <w:sz w:val="32"/>
          <w:szCs w:val="32"/>
          <w:highlight w:val="none"/>
          <w:u w:val="none"/>
          <w:lang w:eastAsia="zh-CN"/>
        </w:rPr>
        <w:t>一、收入支出决算总体情况说明</w:t>
      </w:r>
      <w:bookmarkEnd w:id="12"/>
      <w:bookmarkEnd w:id="13"/>
      <w:bookmarkEnd w:id="14"/>
      <w:bookmarkEnd w:id="15"/>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23131</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14309.37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162.21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rPr>
        <w:t>征地和拆迁补偿支出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60620" cy="3139440"/>
            <wp:effectExtent l="4445" t="4445" r="184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16" w:name="_Toc19917"/>
      <w:bookmarkStart w:id="17" w:name="_Toc15396604"/>
      <w:bookmarkStart w:id="18" w:name="_Toc15377206"/>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9" w:name="_Toc5441"/>
      <w:r>
        <w:rPr>
          <w:rFonts w:hint="eastAsia" w:ascii="黑体" w:hAnsi="黑体" w:eastAsia="黑体" w:cs="黑体"/>
          <w:b w:val="0"/>
          <w:bCs w:val="0"/>
          <w:color w:val="auto"/>
          <w:sz w:val="32"/>
          <w:szCs w:val="32"/>
          <w:highlight w:val="none"/>
          <w:u w:val="none"/>
          <w:lang w:eastAsia="zh-CN"/>
        </w:rPr>
        <w:t>二、收入决算情况说明</w:t>
      </w:r>
      <w:bookmarkEnd w:id="16"/>
      <w:bookmarkEnd w:id="17"/>
      <w:bookmarkEnd w:id="18"/>
      <w:bookmarkEnd w:id="19"/>
    </w:p>
    <w:p>
      <w:pPr>
        <w:adjustRightInd w:val="0"/>
        <w:snapToGrid w:val="0"/>
        <w:spacing w:beforeLines="0" w:afterLines="0" w:line="576" w:lineRule="exact"/>
        <w:ind w:firstLine="640"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年度本年收入合计</w:t>
      </w:r>
      <w:r>
        <w:rPr>
          <w:rFonts w:hint="eastAsia" w:ascii="仿宋_GB2312" w:hAnsi="仿宋_GB2312" w:eastAsia="仿宋_GB2312" w:cs="仿宋_GB2312"/>
          <w:color w:val="auto"/>
          <w:sz w:val="32"/>
          <w:szCs w:val="32"/>
          <w:lang w:val="en-US" w:eastAsia="zh-CN"/>
        </w:rPr>
        <w:t>23118.07</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296.67万元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1.28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22821.4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98.72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22"/>
        <w:spacing w:beforeLines="0" w:afterLine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drawing>
          <wp:inline distT="0" distB="0" distL="114300" distR="114300">
            <wp:extent cx="4547235" cy="2495550"/>
            <wp:effectExtent l="4445" t="4445" r="2032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beforeLines="0" w:afterLines="0" w:line="576"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（图2：收入决算结构图）</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0" w:name="_Toc15396605"/>
      <w:bookmarkStart w:id="21" w:name="_Toc15377207"/>
      <w:bookmarkStart w:id="22" w:name="_Toc9664"/>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3" w:name="_Toc8584"/>
      <w:r>
        <w:rPr>
          <w:rFonts w:hint="eastAsia" w:ascii="黑体" w:hAnsi="黑体" w:eastAsia="黑体" w:cs="黑体"/>
          <w:b w:val="0"/>
          <w:bCs w:val="0"/>
          <w:color w:val="auto"/>
          <w:sz w:val="32"/>
          <w:szCs w:val="32"/>
          <w:highlight w:val="none"/>
          <w:u w:val="none"/>
          <w:lang w:eastAsia="zh-CN"/>
        </w:rPr>
        <w:t>三、支出决算情况说明</w:t>
      </w:r>
      <w:bookmarkEnd w:id="20"/>
      <w:bookmarkEnd w:id="21"/>
      <w:bookmarkEnd w:id="22"/>
      <w:bookmarkEnd w:id="23"/>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outlineLvl w:val="1"/>
        <w:rPr>
          <w:rFonts w:hint="eastAsia" w:ascii="仿宋_GB2312" w:hAnsi="仿宋_GB2312" w:eastAsia="仿宋_GB2312" w:cs="仿宋_GB2312"/>
          <w:color w:val="auto"/>
          <w:sz w:val="32"/>
          <w:szCs w:val="32"/>
        </w:rPr>
      </w:pPr>
      <w:bookmarkStart w:id="24" w:name="_Toc15361"/>
      <w:bookmarkStart w:id="25" w:name="_Toc8949"/>
      <w:bookmarkStart w:id="26" w:name="_Toc3662"/>
      <w:bookmarkStart w:id="27" w:name="_Toc17976"/>
      <w:bookmarkStart w:id="28" w:name="_Toc30226"/>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23131万</w:t>
      </w:r>
      <w:r>
        <w:rPr>
          <w:rFonts w:hint="eastAsia" w:ascii="仿宋_GB2312" w:hAnsi="仿宋_GB2312" w:eastAsia="仿宋_GB2312" w:cs="仿宋_GB2312"/>
          <w:color w:val="auto"/>
          <w:sz w:val="32"/>
          <w:szCs w:val="32"/>
        </w:rPr>
        <w:t>元，其中：基本支出</w:t>
      </w:r>
      <w:r>
        <w:rPr>
          <w:rFonts w:hint="eastAsia" w:ascii="仿宋_GB2312" w:hAnsi="仿宋_GB2312" w:eastAsia="仿宋_GB2312" w:cs="仿宋_GB2312"/>
          <w:color w:val="auto"/>
          <w:sz w:val="32"/>
          <w:szCs w:val="32"/>
          <w:lang w:val="en-US" w:eastAsia="zh-CN"/>
        </w:rPr>
        <w:t>273.67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22857.33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98.82</w:t>
      </w:r>
      <w:r>
        <w:rPr>
          <w:rFonts w:hint="eastAsia" w:ascii="仿宋_GB2312" w:hAnsi="仿宋_GB2312" w:eastAsia="仿宋_GB2312" w:cs="仿宋_GB2312"/>
          <w:color w:val="auto"/>
          <w:sz w:val="32"/>
          <w:szCs w:val="32"/>
        </w:rPr>
        <w:t>%。</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（图3：支出决算结构图）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9" w:name="_Toc15377208"/>
      <w:bookmarkStart w:id="30" w:name="_Toc4043"/>
      <w:bookmarkStart w:id="31" w:name="_Toc26382"/>
      <w:bookmarkStart w:id="32" w:name="_Toc15396606"/>
      <w:r>
        <w:rPr>
          <w:rFonts w:hint="eastAsia" w:ascii="黑体" w:hAnsi="黑体" w:eastAsia="黑体" w:cs="黑体"/>
          <w:b w:val="0"/>
          <w:bCs w:val="0"/>
          <w:color w:val="auto"/>
          <w:sz w:val="32"/>
          <w:szCs w:val="32"/>
          <w:highlight w:val="none"/>
          <w:u w:val="none"/>
          <w:lang w:eastAsia="zh-CN"/>
        </w:rPr>
        <w:t>四、财政拨款收入支出决算总体情况说明</w:t>
      </w:r>
      <w:bookmarkEnd w:id="29"/>
      <w:bookmarkEnd w:id="30"/>
      <w:bookmarkEnd w:id="31"/>
      <w:bookmarkEnd w:id="32"/>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lang w:val="en-US" w:eastAsia="zh-CN"/>
        </w:rPr>
        <w:t>23131</w:t>
      </w:r>
      <w:r>
        <w:rPr>
          <w:rFonts w:hint="eastAsia" w:ascii="仿宋_GB2312" w:hAnsi="仿宋_GB2312" w:eastAsia="仿宋_GB2312" w:cs="仿宋_GB2312"/>
          <w:color w:val="auto"/>
          <w:sz w:val="32"/>
          <w:szCs w:val="32"/>
        </w:rPr>
        <w:t>万元。与202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相比，财政拨款收、支总计</w:t>
      </w:r>
      <w:r>
        <w:rPr>
          <w:rFonts w:hint="eastAsia" w:ascii="仿宋_GB2312" w:hAnsi="仿宋_GB2312" w:eastAsia="仿宋_GB2312" w:cs="仿宋_GB2312"/>
          <w:color w:val="auto"/>
          <w:sz w:val="32"/>
          <w:szCs w:val="32"/>
          <w:lang w:eastAsia="zh-CN"/>
        </w:rPr>
        <w:t>各增加</w:t>
      </w:r>
      <w:r>
        <w:rPr>
          <w:rFonts w:hint="eastAsia" w:ascii="仿宋_GB2312" w:hAnsi="仿宋_GB2312" w:eastAsia="仿宋_GB2312" w:cs="仿宋_GB2312"/>
          <w:color w:val="auto"/>
          <w:sz w:val="32"/>
          <w:szCs w:val="32"/>
          <w:highlight w:val="none"/>
          <w:lang w:val="en-US" w:eastAsia="zh-CN"/>
        </w:rPr>
        <w:t>14309.37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162.21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rPr>
        <w:t>征地和拆迁补偿支出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332095" cy="2769235"/>
            <wp:effectExtent l="4445" t="4445" r="12700"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33" w:name="_Toc15396607"/>
      <w:bookmarkStart w:id="34" w:name="_Toc10498"/>
      <w:bookmarkStart w:id="35" w:name="_Toc15377209"/>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36" w:name="_Toc21904"/>
      <w:r>
        <w:rPr>
          <w:rFonts w:hint="eastAsia" w:ascii="黑体" w:hAnsi="黑体" w:eastAsia="黑体" w:cs="黑体"/>
          <w:b w:val="0"/>
          <w:bCs w:val="0"/>
          <w:color w:val="auto"/>
          <w:sz w:val="32"/>
          <w:szCs w:val="32"/>
          <w:highlight w:val="none"/>
          <w:u w:val="none"/>
          <w:lang w:eastAsia="zh-CN"/>
        </w:rPr>
        <w:t>五、一般公共预算财政拨款支出决算情况说明</w:t>
      </w:r>
      <w:bookmarkEnd w:id="33"/>
      <w:bookmarkEnd w:id="34"/>
      <w:bookmarkEnd w:id="35"/>
      <w:bookmarkEnd w:id="36"/>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（一）一般公共预算财政拨款支出决算总体情况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w:t>
      </w:r>
      <w:r>
        <w:rPr>
          <w:rFonts w:hint="eastAsia" w:ascii="仿宋_GB2312" w:hAnsi="仿宋_GB2312" w:eastAsia="仿宋_GB2312" w:cs="仿宋_GB2312"/>
          <w:color w:val="auto"/>
          <w:sz w:val="32"/>
          <w:szCs w:val="32"/>
          <w:lang w:val="en-US" w:eastAsia="zh-CN"/>
        </w:rPr>
        <w:t>296.67</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1.28</w:t>
      </w:r>
      <w:r>
        <w:rPr>
          <w:rFonts w:hint="eastAsia" w:ascii="仿宋_GB2312" w:hAnsi="仿宋_GB2312" w:eastAsia="仿宋_GB2312" w:cs="仿宋_GB2312"/>
          <w:color w:val="auto"/>
          <w:sz w:val="32"/>
          <w:szCs w:val="32"/>
        </w:rPr>
        <w:t>%。与202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相比，一般公共预算财政拨款支出</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28.15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人员减少。</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197475" cy="2328545"/>
            <wp:effectExtent l="4445" t="4445" r="1016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（图5：一般公共预算财政拨款支出决算变动情况）</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（二）一般公共预算财政拨款支出决算结构情况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w:t>
      </w:r>
      <w:r>
        <w:rPr>
          <w:rFonts w:hint="eastAsia" w:ascii="仿宋_GB2312" w:hAnsi="仿宋_GB2312" w:eastAsia="仿宋_GB2312" w:cs="仿宋_GB2312"/>
          <w:color w:val="auto"/>
          <w:sz w:val="32"/>
          <w:szCs w:val="32"/>
          <w:lang w:val="en-US" w:eastAsia="zh-CN"/>
        </w:rPr>
        <w:t>296.67</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color w:val="auto"/>
          <w:sz w:val="32"/>
          <w:szCs w:val="32"/>
        </w:rPr>
        <w:t>社会保障和就业（类）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46.83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15.78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卫生健康支出</w:t>
      </w:r>
      <w:r>
        <w:rPr>
          <w:rFonts w:hint="eastAsia" w:ascii="仿宋_GB2312" w:hAnsi="仿宋_GB2312" w:eastAsia="仿宋_GB2312" w:cs="仿宋_GB2312"/>
          <w:b/>
          <w:bCs/>
          <w:color w:val="auto"/>
          <w:sz w:val="32"/>
          <w:szCs w:val="32"/>
          <w:lang w:val="en-US" w:eastAsia="zh-CN"/>
        </w:rPr>
        <w:t>8.19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2.76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自然资源海洋气象等</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219.28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73.91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color w:val="auto"/>
          <w:sz w:val="32"/>
          <w:szCs w:val="32"/>
          <w:lang w:val="en-US" w:eastAsia="zh-CN"/>
        </w:rPr>
        <w:t>22.38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437380" cy="2493645"/>
            <wp:effectExtent l="4445" t="5080" r="825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（图6：一般公共预算财政拨款支出决算结构）</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37" w:name="_Toc15378460"/>
      <w:bookmarkStart w:id="38" w:name="_Toc22244"/>
      <w:bookmarkStart w:id="39" w:name="_Toc15377444"/>
      <w:bookmarkStart w:id="40" w:name="_Toc15377213"/>
      <w:bookmarkStart w:id="41" w:name="_Toc18099"/>
      <w:bookmarkStart w:id="42" w:name="_Toc16406"/>
      <w:r>
        <w:rPr>
          <w:rFonts w:hint="eastAsia" w:ascii="楷体_GB2312" w:hAnsi="楷体_GB2312" w:eastAsia="楷体_GB2312" w:cs="楷体_GB2312"/>
          <w:b w:val="0"/>
          <w:bCs/>
          <w:color w:val="auto"/>
          <w:sz w:val="32"/>
          <w:szCs w:val="32"/>
          <w:highlight w:val="none"/>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2" w:firstLineChars="200"/>
        <w:jc w:val="both"/>
        <w:textAlignment w:val="auto"/>
        <w:outlineLvl w:val="1"/>
        <w:rPr>
          <w:rFonts w:hint="eastAsia" w:ascii="仿宋_GB2312" w:hAnsi="仿宋_GB2312" w:eastAsia="仿宋_GB2312" w:cs="仿宋_GB2312"/>
          <w:b/>
          <w:color w:val="auto"/>
          <w:sz w:val="32"/>
          <w:szCs w:val="32"/>
        </w:rPr>
      </w:pPr>
      <w:bookmarkStart w:id="43" w:name="_Toc24042"/>
      <w:bookmarkStart w:id="44" w:name="_Toc17320"/>
      <w:r>
        <w:rPr>
          <w:rFonts w:hint="eastAsia" w:ascii="仿宋_GB2312" w:hAnsi="仿宋_GB2312" w:eastAsia="仿宋_GB2312" w:cs="仿宋_GB2312"/>
          <w:b/>
          <w:color w:val="auto"/>
          <w:sz w:val="32"/>
          <w:szCs w:val="32"/>
        </w:rPr>
        <w:t>202</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度</w:t>
      </w:r>
      <w:r>
        <w:rPr>
          <w:rFonts w:hint="eastAsia" w:ascii="仿宋_GB2312" w:hAnsi="仿宋_GB2312" w:eastAsia="仿宋_GB2312" w:cs="仿宋_GB2312"/>
          <w:b/>
          <w:color w:val="auto"/>
          <w:sz w:val="32"/>
          <w:szCs w:val="32"/>
        </w:rPr>
        <w:t>一般公共预算支出决算数为</w:t>
      </w:r>
      <w:r>
        <w:rPr>
          <w:rFonts w:hint="eastAsia" w:ascii="仿宋_GB2312" w:hAnsi="仿宋_GB2312" w:eastAsia="仿宋_GB2312" w:cs="仿宋_GB2312"/>
          <w:b/>
          <w:color w:val="auto"/>
          <w:sz w:val="32"/>
          <w:szCs w:val="32"/>
          <w:lang w:val="en-US" w:eastAsia="zh-CN"/>
        </w:rPr>
        <w:t>296.67</w:t>
      </w:r>
      <w:r>
        <w:rPr>
          <w:rFonts w:hint="eastAsia" w:ascii="仿宋_GB2312" w:hAnsi="仿宋_GB2312" w:eastAsia="仿宋_GB2312" w:cs="仿宋_GB2312"/>
          <w:b/>
          <w:color w:val="auto"/>
          <w:sz w:val="32"/>
          <w:szCs w:val="32"/>
        </w:rPr>
        <w:t>万元</w:t>
      </w:r>
      <w:r>
        <w:rPr>
          <w:rFonts w:hint="eastAsia" w:ascii="仿宋_GB2312" w:hAnsi="仿宋_GB2312" w:eastAsia="仿宋_GB2312" w:cs="仿宋_GB2312"/>
          <w:color w:val="auto"/>
          <w:sz w:val="32"/>
          <w:szCs w:val="32"/>
        </w:rPr>
        <w:t>，</w:t>
      </w:r>
      <w:r>
        <w:rPr>
          <w:rStyle w:val="17"/>
          <w:rFonts w:hint="eastAsia" w:ascii="仿宋_GB2312" w:hAnsi="仿宋_GB2312" w:eastAsia="仿宋_GB2312" w:cs="仿宋_GB2312"/>
          <w:bCs/>
          <w:color w:val="auto"/>
          <w:sz w:val="32"/>
          <w:szCs w:val="32"/>
        </w:rPr>
        <w:t>完成预算</w:t>
      </w:r>
      <w:r>
        <w:rPr>
          <w:rStyle w:val="17"/>
          <w:rFonts w:hint="eastAsia" w:ascii="仿宋_GB2312" w:hAnsi="仿宋_GB2312" w:eastAsia="仿宋_GB2312" w:cs="仿宋_GB2312"/>
          <w:bCs/>
          <w:color w:val="auto"/>
          <w:sz w:val="32"/>
          <w:szCs w:val="32"/>
          <w:lang w:val="en-US" w:eastAsia="zh-CN"/>
        </w:rPr>
        <w:t>100</w:t>
      </w:r>
      <w:r>
        <w:rPr>
          <w:rStyle w:val="17"/>
          <w:rFonts w:hint="eastAsia" w:ascii="仿宋_GB2312" w:hAnsi="仿宋_GB2312" w:eastAsia="仿宋_GB2312" w:cs="仿宋_GB2312"/>
          <w:bCs/>
          <w:color w:val="auto"/>
          <w:sz w:val="32"/>
          <w:szCs w:val="32"/>
        </w:rPr>
        <w:t>%。其中：</w:t>
      </w:r>
      <w:bookmarkEnd w:id="37"/>
      <w:bookmarkEnd w:id="38"/>
      <w:bookmarkEnd w:id="39"/>
      <w:bookmarkEnd w:id="40"/>
      <w:bookmarkEnd w:id="41"/>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2" w:firstLineChars="200"/>
        <w:textAlignment w:val="auto"/>
        <w:rPr>
          <w:rStyle w:val="17"/>
          <w:rFonts w:hint="eastAsia" w:ascii="仿宋_GB2312" w:hAnsi="仿宋_GB2312" w:eastAsia="仿宋_GB2312" w:cs="仿宋_GB2312"/>
          <w:b w:val="0"/>
          <w:bCs/>
          <w:color w:val="auto"/>
          <w:sz w:val="32"/>
          <w:szCs w:val="32"/>
        </w:rPr>
      </w:pPr>
      <w:r>
        <w:rPr>
          <w:rFonts w:hint="default" w:ascii="仿宋_GB2312" w:hAnsi="仿宋_GB2312" w:eastAsia="仿宋_GB2312" w:cs="仿宋_GB2312"/>
          <w:b/>
          <w:bCs w:val="0"/>
          <w:color w:val="auto"/>
          <w:kern w:val="2"/>
          <w:sz w:val="32"/>
          <w:szCs w:val="32"/>
          <w:lang w:val="en-US" w:eastAsia="zh-CN" w:bidi="ar-SA"/>
        </w:rPr>
        <w:t>1．</w:t>
      </w:r>
      <w:r>
        <w:rPr>
          <w:rFonts w:hint="eastAsia" w:ascii="仿宋_GB2312" w:hAnsi="仿宋_GB2312" w:eastAsia="仿宋_GB2312" w:cs="仿宋_GB2312"/>
          <w:b/>
          <w:bCs/>
          <w:color w:val="auto"/>
          <w:sz w:val="32"/>
          <w:szCs w:val="32"/>
        </w:rPr>
        <w:t>社会保障和就业（类）行政事业单位</w:t>
      </w:r>
      <w:r>
        <w:rPr>
          <w:rFonts w:hint="eastAsia" w:ascii="仿宋_GB2312" w:hAnsi="仿宋_GB2312" w:eastAsia="仿宋_GB2312" w:cs="仿宋_GB2312"/>
          <w:b/>
          <w:bCs/>
          <w:color w:val="auto"/>
          <w:sz w:val="32"/>
          <w:szCs w:val="32"/>
          <w:lang w:eastAsia="zh-CN"/>
        </w:rPr>
        <w:t>养老支出</w:t>
      </w:r>
      <w:r>
        <w:rPr>
          <w:rFonts w:hint="eastAsia" w:ascii="仿宋_GB2312" w:hAnsi="仿宋_GB2312" w:eastAsia="仿宋_GB2312" w:cs="仿宋_GB2312"/>
          <w:b/>
          <w:bCs/>
          <w:color w:val="auto"/>
          <w:sz w:val="32"/>
          <w:szCs w:val="32"/>
        </w:rPr>
        <w:t>（款）事业单位离退休（项）</w:t>
      </w:r>
      <w:r>
        <w:rPr>
          <w:rFonts w:hint="eastAsia" w:ascii="仿宋_GB2312" w:hAnsi="仿宋_GB2312" w:eastAsia="仿宋_GB2312" w:cs="仿宋_GB2312"/>
          <w:b/>
          <w:bCs/>
          <w:color w:val="auto"/>
          <w:sz w:val="32"/>
          <w:szCs w:val="32"/>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17.64</w:t>
      </w:r>
      <w:r>
        <w:rPr>
          <w:rStyle w:val="17"/>
          <w:rFonts w:hint="eastAsia" w:ascii="仿宋_GB2312" w:hAnsi="仿宋_GB2312" w:eastAsia="仿宋_GB2312" w:cs="仿宋_GB2312"/>
          <w:b w:val="0"/>
          <w:bCs/>
          <w:color w:val="auto"/>
          <w:sz w:val="32"/>
          <w:szCs w:val="32"/>
        </w:rPr>
        <w:t>万元，完成预算100%，</w:t>
      </w:r>
      <w:r>
        <w:rPr>
          <w:rFonts w:hint="eastAsia" w:ascii="仿宋_GB2312" w:hAnsi="仿宋_GB2312" w:eastAsia="仿宋_GB2312" w:cs="仿宋_GB2312"/>
          <w:color w:val="auto"/>
          <w:sz w:val="32"/>
          <w:szCs w:val="32"/>
        </w:rPr>
        <w:t>决算数与预算数持平</w:t>
      </w:r>
      <w:r>
        <w:rPr>
          <w:rStyle w:val="17"/>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2" w:firstLineChars="200"/>
        <w:textAlignment w:val="auto"/>
        <w:rPr>
          <w:rFonts w:hint="eastAsia" w:ascii="仿宋_GB2312" w:hAnsi="仿宋_GB2312" w:eastAsia="仿宋_GB2312" w:cs="仿宋_GB2312"/>
          <w:b/>
          <w:color w:val="auto"/>
          <w:sz w:val="32"/>
          <w:szCs w:val="32"/>
        </w:rPr>
      </w:pPr>
      <w:r>
        <w:rPr>
          <w:rFonts w:hint="default" w:ascii="仿宋_GB2312" w:hAnsi="仿宋_GB2312" w:eastAsia="仿宋_GB2312" w:cs="仿宋_GB2312"/>
          <w:b/>
          <w:color w:val="auto"/>
          <w:kern w:val="2"/>
          <w:sz w:val="32"/>
          <w:szCs w:val="32"/>
          <w:lang w:val="en-US" w:eastAsia="zh-CN" w:bidi="ar-SA"/>
        </w:rPr>
        <w:t>2．</w:t>
      </w:r>
      <w:r>
        <w:rPr>
          <w:rFonts w:hint="eastAsia" w:ascii="仿宋_GB2312" w:hAnsi="仿宋_GB2312" w:eastAsia="仿宋_GB2312" w:cs="仿宋_GB2312"/>
          <w:b/>
          <w:color w:val="auto"/>
          <w:sz w:val="32"/>
          <w:szCs w:val="32"/>
        </w:rPr>
        <w:t>社会保障和就业（类）行政事业单位养老支出（款）机关事业单位基本养老保险缴费支出（项）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22.24</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决算数与预算数持平</w:t>
      </w:r>
      <w:r>
        <w:rPr>
          <w:rStyle w:val="17"/>
          <w:rFonts w:hint="eastAsia" w:ascii="仿宋_GB2312" w:hAnsi="仿宋_GB2312" w:eastAsia="仿宋_GB2312" w:cs="仿宋_GB2312"/>
          <w:b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color w:val="auto"/>
          <w:sz w:val="32"/>
          <w:szCs w:val="32"/>
        </w:rPr>
      </w:pPr>
      <w:r>
        <w:rPr>
          <w:rFonts w:hint="default" w:ascii="仿宋_GB2312" w:hAnsi="仿宋_GB2312" w:eastAsia="仿宋_GB2312" w:cs="仿宋_GB2312"/>
          <w:b/>
          <w:color w:val="auto"/>
          <w:kern w:val="2"/>
          <w:sz w:val="32"/>
          <w:szCs w:val="32"/>
          <w:lang w:val="en-US" w:eastAsia="zh-CN" w:bidi="ar-SA"/>
        </w:rPr>
        <w:t>3．</w:t>
      </w:r>
      <w:r>
        <w:rPr>
          <w:rFonts w:hint="eastAsia" w:ascii="仿宋_GB2312" w:hAnsi="仿宋_GB2312" w:eastAsia="仿宋_GB2312" w:cs="仿宋_GB2312"/>
          <w:b/>
          <w:color w:val="auto"/>
          <w:sz w:val="32"/>
          <w:szCs w:val="32"/>
        </w:rPr>
        <w:t>社会保障和就业（类）行政事业单位养老支出（款）机关事业单位职业年金缴费支出（项）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ascii="仿宋_GB2312" w:hAnsi="仿宋_GB2312" w:eastAsia="仿宋_GB2312" w:cs="仿宋_GB2312"/>
          <w:b w:val="0"/>
          <w:color w:val="auto"/>
          <w:sz w:val="32"/>
          <w:szCs w:val="32"/>
          <w:lang w:val="en-US" w:eastAsia="zh-CN"/>
        </w:rPr>
        <w:t>6.03</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决算数与预算数持平</w:t>
      </w:r>
      <w:r>
        <w:rPr>
          <w:rStyle w:val="17"/>
          <w:rFonts w:hint="eastAsia" w:ascii="仿宋_GB2312" w:hAnsi="仿宋_GB2312" w:eastAsia="仿宋_GB2312" w:cs="仿宋_GB2312"/>
          <w:b w:val="0"/>
          <w:color w:val="auto"/>
          <w:sz w:val="32"/>
          <w:szCs w:val="32"/>
        </w:rPr>
        <w:t>。</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eastAsia="仿宋_GB2312"/>
          <w:lang w:eastAsia="zh-CN"/>
        </w:rPr>
      </w:pPr>
      <w:r>
        <w:rPr>
          <w:rFonts w:hint="eastAsia" w:hAnsi="仿宋_GB2312" w:cs="仿宋_GB2312"/>
          <w:b/>
          <w:color w:val="auto"/>
          <w:sz w:val="32"/>
          <w:szCs w:val="32"/>
          <w:lang w:val="en-US" w:eastAsia="zh-CN"/>
        </w:rPr>
        <w:t>4.</w:t>
      </w:r>
      <w:r>
        <w:rPr>
          <w:rFonts w:hint="eastAsia" w:ascii="仿宋_GB2312" w:hAnsi="仿宋_GB2312" w:eastAsia="仿宋_GB2312" w:cs="仿宋_GB2312"/>
          <w:b/>
          <w:color w:val="auto"/>
          <w:sz w:val="32"/>
          <w:szCs w:val="32"/>
        </w:rPr>
        <w:t>社会保障和就业（类）</w:t>
      </w:r>
      <w:r>
        <w:rPr>
          <w:rFonts w:hint="eastAsia" w:hAnsi="仿宋_GB2312" w:cs="仿宋_GB2312"/>
          <w:b/>
          <w:color w:val="auto"/>
          <w:sz w:val="32"/>
          <w:szCs w:val="32"/>
          <w:lang w:eastAsia="zh-CN"/>
        </w:rPr>
        <w:t>其他社会保障和就业支出</w:t>
      </w:r>
      <w:r>
        <w:rPr>
          <w:rFonts w:hint="eastAsia" w:ascii="仿宋_GB2312" w:hAnsi="仿宋_GB2312" w:eastAsia="仿宋_GB2312" w:cs="仿宋_GB2312"/>
          <w:b/>
          <w:color w:val="auto"/>
          <w:sz w:val="32"/>
          <w:szCs w:val="32"/>
        </w:rPr>
        <w:t>（款）</w:t>
      </w:r>
      <w:r>
        <w:rPr>
          <w:rFonts w:hint="eastAsia" w:hAnsi="仿宋_GB2312" w:cs="仿宋_GB2312"/>
          <w:b/>
          <w:color w:val="auto"/>
          <w:sz w:val="32"/>
          <w:szCs w:val="32"/>
          <w:lang w:eastAsia="zh-CN"/>
        </w:rPr>
        <w:t>其他社会保障和就业支出</w:t>
      </w:r>
      <w:r>
        <w:rPr>
          <w:rFonts w:hint="eastAsia" w:ascii="仿宋_GB2312" w:hAnsi="仿宋_GB2312" w:eastAsia="仿宋_GB2312" w:cs="仿宋_GB2312"/>
          <w:b/>
          <w:color w:val="auto"/>
          <w:sz w:val="32"/>
          <w:szCs w:val="32"/>
        </w:rPr>
        <w:t>（项）</w:t>
      </w:r>
      <w:r>
        <w:rPr>
          <w:rFonts w:hint="eastAsia" w:ascii="仿宋_GB2312" w:hAnsi="仿宋_GB2312" w:eastAsia="仿宋_GB2312" w:cs="仿宋_GB2312"/>
          <w:b/>
          <w:color w:val="auto"/>
          <w:sz w:val="32"/>
          <w:szCs w:val="32"/>
          <w:lang w:eastAsia="zh-CN"/>
        </w:rPr>
        <w:t>：</w:t>
      </w:r>
      <w:r>
        <w:rPr>
          <w:rStyle w:val="17"/>
          <w:rFonts w:hint="eastAsia" w:ascii="仿宋_GB2312" w:hAnsi="仿宋_GB2312" w:eastAsia="仿宋_GB2312" w:cs="仿宋_GB2312"/>
          <w:b w:val="0"/>
          <w:color w:val="auto"/>
          <w:sz w:val="32"/>
          <w:szCs w:val="32"/>
        </w:rPr>
        <w:t>支出决算为</w:t>
      </w:r>
      <w:r>
        <w:rPr>
          <w:rStyle w:val="17"/>
          <w:rFonts w:hint="eastAsia" w:hAnsi="仿宋_GB2312" w:cs="仿宋_GB2312"/>
          <w:b w:val="0"/>
          <w:color w:val="auto"/>
          <w:sz w:val="32"/>
          <w:szCs w:val="32"/>
          <w:lang w:val="en-US" w:eastAsia="zh-CN"/>
        </w:rPr>
        <w:t>0.92</w:t>
      </w:r>
      <w:r>
        <w:rPr>
          <w:rStyle w:val="17"/>
          <w:rFonts w:hint="eastAsia" w:ascii="仿宋_GB2312" w:hAnsi="仿宋_GB2312" w:eastAsia="仿宋_GB2312" w:cs="仿宋_GB2312"/>
          <w:b w:val="0"/>
          <w:color w:val="auto"/>
          <w:sz w:val="32"/>
          <w:szCs w:val="32"/>
        </w:rPr>
        <w:t>万元，完成预算100%，</w:t>
      </w:r>
      <w:r>
        <w:rPr>
          <w:rFonts w:hint="eastAsia" w:ascii="仿宋_GB2312" w:hAnsi="仿宋_GB2312" w:eastAsia="仿宋_GB2312" w:cs="仿宋_GB2312"/>
          <w:color w:val="auto"/>
          <w:sz w:val="32"/>
          <w:szCs w:val="32"/>
        </w:rPr>
        <w:t>决算数与预算数持平</w:t>
      </w:r>
      <w:r>
        <w:rPr>
          <w:rFonts w:hint="eastAsia"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卫生健康（类）行政事业单位医疗（款）事业单位医疗（项）</w:t>
      </w:r>
      <w:r>
        <w:rPr>
          <w:rFonts w:hint="eastAsia" w:ascii="仿宋_GB2312" w:hAnsi="仿宋_GB2312" w:eastAsia="仿宋_GB2312" w:cs="仿宋_GB2312"/>
          <w:b/>
          <w:bCs/>
          <w:color w:val="auto"/>
          <w:sz w:val="32"/>
          <w:szCs w:val="32"/>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8.19</w:t>
      </w:r>
      <w:r>
        <w:rPr>
          <w:rStyle w:val="17"/>
          <w:rFonts w:hint="eastAsia" w:ascii="仿宋_GB2312" w:hAnsi="仿宋_GB2312" w:eastAsia="仿宋_GB2312" w:cs="仿宋_GB2312"/>
          <w:b w:val="0"/>
          <w:bCs/>
          <w:color w:val="auto"/>
          <w:sz w:val="32"/>
          <w:szCs w:val="32"/>
        </w:rPr>
        <w:t>万元，完成预算100%，</w:t>
      </w:r>
      <w:r>
        <w:rPr>
          <w:rFonts w:hint="eastAsia" w:ascii="仿宋_GB2312" w:hAnsi="仿宋_GB2312" w:eastAsia="仿宋_GB2312" w:cs="仿宋_GB2312"/>
          <w:color w:val="auto"/>
          <w:sz w:val="32"/>
          <w:szCs w:val="32"/>
        </w:rPr>
        <w:t>决算数与预算数持平</w:t>
      </w:r>
      <w:r>
        <w:rPr>
          <w:rStyle w:val="17"/>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自然资源海洋气象等支出（类）自然资源事务（款）事业运行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196.28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自然资源海洋气象等支出（类）自然资源事务（款）其他自然资源事务（项）：</w:t>
      </w:r>
      <w:r>
        <w:rPr>
          <w:rFonts w:hint="eastAsia" w:ascii="仿宋_GB2312" w:hAnsi="仿宋_GB2312" w:eastAsia="仿宋_GB2312" w:cs="仿宋_GB2312"/>
          <w:color w:val="auto"/>
          <w:sz w:val="32"/>
          <w:szCs w:val="32"/>
          <w:highlight w:val="none"/>
        </w:rPr>
        <w:t>支出决算数</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住房保障（类）住房改革（款）住房公积金（项）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22.38</w:t>
      </w:r>
      <w:r>
        <w:rPr>
          <w:rFonts w:hint="eastAsia" w:ascii="仿宋_GB2312" w:hAnsi="仿宋_GB2312" w:eastAsia="仿宋_GB2312" w:cs="仿宋_GB2312"/>
          <w:color w:val="auto"/>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45" w:name="_Toc6814"/>
      <w:bookmarkStart w:id="46" w:name="_Toc13418"/>
      <w:bookmarkStart w:id="47" w:name="_Toc15377214"/>
      <w:bookmarkStart w:id="48" w:name="_Toc15396608"/>
      <w:r>
        <w:rPr>
          <w:rFonts w:hint="eastAsia" w:ascii="黑体" w:hAnsi="黑体" w:eastAsia="黑体" w:cs="黑体"/>
          <w:b w:val="0"/>
          <w:bCs w:val="0"/>
          <w:color w:val="auto"/>
          <w:sz w:val="32"/>
          <w:szCs w:val="32"/>
          <w:highlight w:val="none"/>
          <w:u w:val="none"/>
          <w:lang w:eastAsia="zh-CN"/>
        </w:rPr>
        <w:t>六、一般公共预算财政拨款基本支出决算情况说明</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一般公共预算财政拨款基本支出</w:t>
      </w:r>
      <w:r>
        <w:rPr>
          <w:rFonts w:hint="eastAsia" w:ascii="仿宋_GB2312" w:hAnsi="仿宋_GB2312" w:eastAsia="仿宋_GB2312" w:cs="仿宋_GB2312"/>
          <w:color w:val="auto"/>
          <w:sz w:val="32"/>
          <w:szCs w:val="32"/>
          <w:lang w:val="en-US" w:eastAsia="zh-CN"/>
        </w:rPr>
        <w:t>273.67</w:t>
      </w:r>
      <w:r>
        <w:rPr>
          <w:rFonts w:hint="eastAsia" w:ascii="仿宋_GB2312" w:hAnsi="仿宋_GB2312" w:eastAsia="仿宋_GB2312" w:cs="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253.8</w:t>
      </w:r>
      <w:r>
        <w:rPr>
          <w:rFonts w:hint="eastAsia" w:ascii="仿宋_GB2312" w:hAnsi="仿宋_GB2312" w:eastAsia="仿宋_GB2312" w:cs="仿宋_GB2312"/>
          <w:color w:val="auto"/>
          <w:sz w:val="32"/>
          <w:szCs w:val="32"/>
        </w:rPr>
        <w:t>万元，主要包括：基本工资、津贴补贴、奖金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绩效工资、机关事业单位基本养老保险缴费、</w:t>
      </w:r>
      <w:r>
        <w:rPr>
          <w:rFonts w:hint="eastAsia" w:ascii="仿宋_GB2312" w:hAnsi="仿宋_GB2312" w:eastAsia="仿宋_GB2312" w:cs="仿宋_GB2312"/>
          <w:color w:val="auto"/>
          <w:sz w:val="32"/>
          <w:szCs w:val="32"/>
          <w:lang w:eastAsia="zh-CN"/>
        </w:rPr>
        <w:t>职业年金缴费、</w:t>
      </w:r>
      <w:r>
        <w:rPr>
          <w:rFonts w:hint="eastAsia" w:ascii="仿宋_GB2312" w:hAnsi="仿宋_GB2312" w:eastAsia="仿宋_GB2312" w:cs="仿宋_GB2312"/>
          <w:color w:val="auto"/>
          <w:sz w:val="32"/>
          <w:szCs w:val="32"/>
        </w:rPr>
        <w:t>职工基本医疗保险缴费、其他社会保障缴费、住房公积金</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生活补助、其他对个人和家庭的补助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公用经费1</w:t>
      </w:r>
      <w:r>
        <w:rPr>
          <w:rFonts w:hint="eastAsia" w:ascii="仿宋_GB2312" w:hAnsi="仿宋_GB2312" w:eastAsia="仿宋_GB2312" w:cs="仿宋_GB2312"/>
          <w:color w:val="auto"/>
          <w:sz w:val="32"/>
          <w:szCs w:val="32"/>
          <w:lang w:val="en-US" w:eastAsia="zh-CN"/>
        </w:rPr>
        <w:t>9.87</w:t>
      </w:r>
      <w:r>
        <w:rPr>
          <w:rFonts w:hint="eastAsia" w:ascii="仿宋_GB2312" w:hAnsi="仿宋_GB2312" w:eastAsia="仿宋_GB2312" w:cs="仿宋_GB2312"/>
          <w:color w:val="auto"/>
          <w:sz w:val="32"/>
          <w:szCs w:val="32"/>
        </w:rPr>
        <w:t>万元，主要包括：办公费、印刷费、</w:t>
      </w:r>
      <w:r>
        <w:rPr>
          <w:rFonts w:hint="eastAsia" w:ascii="仿宋_GB2312" w:hAnsi="仿宋_GB2312" w:eastAsia="仿宋_GB2312" w:cs="仿宋_GB2312"/>
          <w:color w:val="auto"/>
          <w:sz w:val="32"/>
          <w:szCs w:val="32"/>
          <w:lang w:val="en-US" w:eastAsia="zh-CN"/>
        </w:rPr>
        <w:t>电费、</w:t>
      </w:r>
      <w:r>
        <w:rPr>
          <w:rFonts w:hint="eastAsia" w:ascii="仿宋_GB2312" w:hAnsi="仿宋_GB2312" w:eastAsia="仿宋_GB2312" w:cs="仿宋_GB2312"/>
          <w:color w:val="auto"/>
          <w:sz w:val="32"/>
          <w:szCs w:val="32"/>
        </w:rPr>
        <w:t>邮电费、</w:t>
      </w:r>
      <w:r>
        <w:rPr>
          <w:rFonts w:hint="eastAsia" w:ascii="仿宋_GB2312" w:hAnsi="仿宋_GB2312" w:eastAsia="仿宋_GB2312" w:cs="仿宋_GB2312"/>
          <w:color w:val="auto"/>
          <w:sz w:val="32"/>
          <w:szCs w:val="32"/>
          <w:lang w:eastAsia="zh-CN"/>
        </w:rPr>
        <w:t>租赁费、</w:t>
      </w:r>
      <w:r>
        <w:rPr>
          <w:rFonts w:hint="eastAsia" w:ascii="仿宋_GB2312" w:hAnsi="仿宋_GB2312" w:eastAsia="仿宋_GB2312" w:cs="仿宋_GB2312"/>
          <w:color w:val="auto"/>
          <w:sz w:val="32"/>
          <w:szCs w:val="32"/>
        </w:rPr>
        <w:t>公务接待费、劳务费、委托业务费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工会经费、福利费、其他商品和服务支出。</w:t>
      </w:r>
      <w:bookmarkStart w:id="49" w:name="_Toc15396609"/>
      <w:bookmarkStart w:id="50" w:name="_Toc15377215"/>
      <w:bookmarkStart w:id="51" w:name="_Toc31105"/>
    </w:p>
    <w:p>
      <w:pPr>
        <w:pStyle w:val="4"/>
        <w:pageBreakBefore w:val="0"/>
        <w:widowControl w:val="0"/>
        <w:shd w:val="clear"/>
        <w:kinsoku/>
        <w:wordWrap/>
        <w:overflowPunct/>
        <w:topLinePunct w:val="0"/>
        <w:autoSpaceDE/>
        <w:autoSpaceDN/>
        <w:bidi w:val="0"/>
        <w:adjustRightInd/>
        <w:spacing w:before="0" w:after="0" w:line="576" w:lineRule="exact"/>
        <w:ind w:firstLine="640" w:firstLineChars="200"/>
        <w:textAlignment w:val="auto"/>
        <w:rPr>
          <w:rFonts w:hint="eastAsia" w:ascii="黑体" w:hAnsi="黑体" w:eastAsia="黑体" w:cs="黑体"/>
          <w:b w:val="0"/>
          <w:bCs w:val="0"/>
          <w:color w:val="auto"/>
          <w:sz w:val="32"/>
          <w:szCs w:val="32"/>
        </w:rPr>
      </w:pPr>
      <w:bookmarkStart w:id="52" w:name="_Toc24754"/>
      <w:r>
        <w:rPr>
          <w:rFonts w:hint="eastAsia" w:ascii="黑体" w:hAnsi="黑体" w:eastAsia="黑体" w:cs="黑体"/>
          <w:b w:val="0"/>
          <w:bCs w:val="0"/>
          <w:color w:val="auto"/>
          <w:sz w:val="32"/>
          <w:szCs w:val="32"/>
          <w:highlight w:val="none"/>
          <w:u w:val="none"/>
          <w:lang w:eastAsia="zh-CN"/>
        </w:rPr>
        <w:t>七、</w:t>
      </w:r>
      <w:bookmarkEnd w:id="49"/>
      <w:bookmarkEnd w:id="50"/>
      <w:bookmarkEnd w:id="51"/>
      <w:r>
        <w:rPr>
          <w:rStyle w:val="20"/>
          <w:rFonts w:hint="eastAsia" w:ascii="黑体" w:hAnsi="黑体" w:eastAsia="黑体"/>
          <w:b w:val="0"/>
          <w:bCs w:val="0"/>
          <w:color w:val="auto"/>
          <w:highlight w:val="none"/>
        </w:rPr>
        <w:t>财政拨款“三公”经费支出决算情况说明</w:t>
      </w:r>
      <w:bookmarkEnd w:id="52"/>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（一）“三公”经费财政拨款支出决算总体情况说明</w:t>
      </w:r>
    </w:p>
    <w:p>
      <w:pPr>
        <w:spacing w:line="600" w:lineRule="exact"/>
        <w:ind w:firstLine="640"/>
        <w:rPr>
          <w:rFonts w:hint="eastAsia"/>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 xml:space="preserve">2.1 </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与上年度持平</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年“三公”经费财政拨款支出决算中，因公出国（境）费支出决算0万元，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95.24</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4.76</w:t>
      </w:r>
      <w:r>
        <w:rPr>
          <w:rFonts w:hint="eastAsia" w:ascii="仿宋_GB2312" w:hAnsi="仿宋_GB2312" w:eastAsia="仿宋_GB2312" w:cs="仿宋_GB2312"/>
          <w:color w:val="auto"/>
          <w:sz w:val="32"/>
          <w:szCs w:val="32"/>
        </w:rPr>
        <w:t>%。具体情况如下：</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166870" cy="2873375"/>
            <wp:effectExtent l="4445" t="4445" r="19685" b="177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（图7：“三公”经费财政拨款支出结构）</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1.因公出国（境）经费支出0</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年初未安排预算</w:t>
      </w:r>
      <w:r>
        <w:rPr>
          <w:rStyle w:val="17"/>
          <w:rFonts w:hint="eastAsia" w:ascii="仿宋_GB2312" w:hAnsi="仿宋_GB2312" w:eastAsia="仿宋_GB2312" w:cs="仿宋_GB2312"/>
          <w:b w:val="0"/>
          <w:bCs/>
          <w:color w:val="auto"/>
          <w:sz w:val="32"/>
          <w:szCs w:val="32"/>
          <w:lang w:eastAsia="zh-CN"/>
        </w:rPr>
        <w:t>，与上年相比无变化。</w:t>
      </w:r>
    </w:p>
    <w:p>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leftChars="0" w:right="0" w:firstLine="642" w:firstLineChars="200"/>
        <w:jc w:val="both"/>
        <w:textAlignment w:val="auto"/>
        <w:rPr>
          <w:rFonts w:hint="eastAsia" w:ascii="仿宋_GB2312" w:hAnsi="仿宋_GB2312" w:eastAsia="仿宋_GB2312" w:cs="仿宋_GB2312"/>
          <w:b/>
          <w:color w:val="auto"/>
          <w:sz w:val="32"/>
          <w:szCs w:val="32"/>
          <w:highlight w:val="yellow"/>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持平</w:t>
      </w:r>
      <w:r>
        <w:rPr>
          <w:rFonts w:hint="eastAsia" w:ascii="仿宋_GB2312" w:eastAsia="仿宋_GB2312" w:cs="仿宋_GB2312"/>
          <w:i w:val="0"/>
          <w:iCs w:val="0"/>
          <w:caps w:val="0"/>
          <w:color w:val="000000"/>
          <w:spacing w:val="0"/>
          <w:kern w:val="0"/>
          <w:sz w:val="32"/>
          <w:szCs w:val="32"/>
          <w:highlight w:val="none"/>
          <w:lang w:val="en-US" w:eastAsia="zh-CN" w:bidi="ar"/>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color w:val="auto"/>
          <w:sz w:val="32"/>
          <w:szCs w:val="32"/>
        </w:rPr>
        <w:t>公务用车购置支出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万元。全年按规定更新购置公务用车0辆。截至202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年12月底，单位共有公务用车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highlight w:val="none"/>
        </w:rPr>
        <w:t>中：</w:t>
      </w:r>
      <w:r>
        <w:rPr>
          <w:rFonts w:hint="eastAsia" w:ascii="仿宋_GB2312" w:hAnsi="仿宋_GB2312" w:eastAsia="仿宋_GB2312" w:cs="仿宋_GB2312"/>
          <w:color w:val="auto"/>
          <w:sz w:val="32"/>
          <w:szCs w:val="32"/>
          <w:highlight w:val="none"/>
          <w:lang w:eastAsia="zh-CN"/>
        </w:rPr>
        <w:t>其他车型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keepNext/>
        <w:keepLines/>
        <w:pageBreakBefore w:val="0"/>
        <w:widowControl w:val="0"/>
        <w:shd w:val="clear"/>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公务用车运行维护费支出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zh-CN"/>
        </w:rPr>
        <w:t>主要用于</w:t>
      </w:r>
      <w:r>
        <w:rPr>
          <w:rFonts w:hint="eastAsia" w:ascii="仿宋_GB2312" w:hAnsi="仿宋_GB2312" w:eastAsia="仿宋_GB2312" w:cs="仿宋_GB2312"/>
          <w:color w:val="auto"/>
          <w:sz w:val="32"/>
          <w:szCs w:val="32"/>
          <w:lang w:val="en-US" w:eastAsia="zh-CN"/>
        </w:rPr>
        <w:t>储备土地</w:t>
      </w:r>
      <w:r>
        <w:rPr>
          <w:rFonts w:hint="eastAsia" w:ascii="仿宋_GB2312" w:hAnsi="仿宋_GB2312" w:eastAsia="仿宋_GB2312" w:cs="仿宋_GB2312"/>
          <w:color w:val="auto"/>
          <w:sz w:val="32"/>
          <w:szCs w:val="32"/>
        </w:rPr>
        <w:t>现场勘查和土管会会前调研</w:t>
      </w:r>
      <w:r>
        <w:rPr>
          <w:rFonts w:hint="eastAsia" w:ascii="仿宋_GB2312" w:hAnsi="仿宋_GB2312" w:eastAsia="仿宋_GB2312" w:cs="仿宋_GB2312"/>
          <w:color w:val="auto"/>
          <w:kern w:val="2"/>
          <w:sz w:val="32"/>
          <w:szCs w:val="32"/>
          <w:lang w:val="zh-CN"/>
        </w:rPr>
        <w:t>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持平</w:t>
      </w:r>
      <w:r>
        <w:rPr>
          <w:rFonts w:hint="eastAsia" w:ascii="仿宋_GB2312" w:eastAsia="仿宋_GB2312" w:cs="仿宋_GB2312"/>
          <w:i w:val="0"/>
          <w:iCs w:val="0"/>
          <w:caps w:val="0"/>
          <w:color w:val="000000"/>
          <w:spacing w:val="0"/>
          <w:kern w:val="0"/>
          <w:sz w:val="32"/>
          <w:szCs w:val="32"/>
          <w:highlight w:val="none"/>
          <w:lang w:val="en-US" w:eastAsia="zh-CN" w:bidi="ar"/>
        </w:rPr>
        <w:t>。</w:t>
      </w:r>
      <w:r>
        <w:rPr>
          <w:rFonts w:hint="eastAsia" w:ascii="仿宋_GB2312" w:hAnsi="仿宋_GB2312" w:eastAsia="仿宋_GB2312" w:cs="仿宋_GB2312"/>
          <w:color w:val="auto"/>
          <w:sz w:val="32"/>
          <w:szCs w:val="32"/>
        </w:rPr>
        <w:t>其中：</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万元，主要用于执行公务、开展业务活动开支的用餐费等。国内公务接待</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0.71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具体内容包括：</w:t>
      </w:r>
      <w:r>
        <w:rPr>
          <w:rFonts w:hint="eastAsia" w:ascii="仿宋_GB2312" w:hAnsi="仿宋_GB2312" w:eastAsia="仿宋_GB2312" w:cs="仿宋_GB2312"/>
          <w:color w:val="auto"/>
          <w:sz w:val="32"/>
          <w:szCs w:val="32"/>
          <w:highlight w:val="none"/>
          <w:lang w:eastAsia="zh-CN"/>
        </w:rPr>
        <w:t>接待县区对接土地储备工作接待费</w:t>
      </w:r>
      <w:r>
        <w:rPr>
          <w:rFonts w:hint="eastAsia" w:ascii="仿宋_GB2312" w:hAnsi="仿宋_GB2312" w:eastAsia="仿宋_GB2312" w:cs="仿宋_GB2312"/>
          <w:color w:val="auto"/>
          <w:sz w:val="32"/>
          <w:szCs w:val="32"/>
          <w:highlight w:val="none"/>
          <w:lang w:val="en-US" w:eastAsia="zh-CN"/>
        </w:rPr>
        <w:t>0.1万元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b/>
          <w:color w:val="auto"/>
          <w:sz w:val="32"/>
          <w:szCs w:val="32"/>
        </w:rPr>
        <w:t>外事接待支出</w:t>
      </w:r>
      <w:r>
        <w:rPr>
          <w:rFonts w:hint="eastAsia" w:ascii="仿宋_GB2312" w:hAnsi="仿宋_GB2312" w:eastAsia="仿宋_GB2312" w:cs="仿宋_GB2312"/>
          <w:color w:val="auto"/>
          <w:sz w:val="32"/>
          <w:szCs w:val="32"/>
        </w:rPr>
        <w:t>0万元。</w:t>
      </w:r>
      <w:bookmarkStart w:id="53" w:name="_Toc26637"/>
      <w:bookmarkStart w:id="54" w:name="_Toc15396610"/>
      <w:bookmarkStart w:id="55" w:name="_Toc15377218"/>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56" w:name="_Toc4399"/>
      <w:r>
        <w:rPr>
          <w:rFonts w:hint="eastAsia" w:ascii="黑体" w:hAnsi="黑体" w:eastAsia="黑体" w:cs="黑体"/>
          <w:b w:val="0"/>
          <w:bCs w:val="0"/>
          <w:color w:val="auto"/>
          <w:sz w:val="32"/>
          <w:szCs w:val="32"/>
          <w:highlight w:val="none"/>
          <w:u w:val="none"/>
          <w:lang w:eastAsia="zh-CN"/>
        </w:rPr>
        <w:t>八、政府性基金预算支出决算情况说明</w:t>
      </w:r>
      <w:bookmarkEnd w:id="53"/>
      <w:bookmarkEnd w:id="54"/>
      <w:bookmarkEnd w:id="55"/>
      <w:bookmarkEnd w:id="56"/>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政府性基金预算财政拨款支出</w:t>
      </w:r>
      <w:r>
        <w:rPr>
          <w:rFonts w:hint="eastAsia" w:ascii="仿宋_GB2312" w:hAnsi="仿宋_GB2312" w:eastAsia="仿宋_GB2312" w:cs="仿宋_GB2312"/>
          <w:color w:val="auto"/>
          <w:sz w:val="32"/>
          <w:szCs w:val="32"/>
          <w:lang w:val="en-US" w:eastAsia="zh-CN"/>
        </w:rPr>
        <w:t>22834.33</w:t>
      </w:r>
      <w:r>
        <w:rPr>
          <w:rFonts w:hint="eastAsia" w:ascii="仿宋_GB2312" w:hAnsi="仿宋_GB2312" w:eastAsia="仿宋_GB2312" w:cs="仿宋_GB2312"/>
          <w:color w:val="auto"/>
          <w:sz w:val="32"/>
          <w:szCs w:val="32"/>
        </w:rPr>
        <w:t>万元。</w:t>
      </w:r>
      <w:bookmarkStart w:id="57" w:name="_Toc7802"/>
      <w:bookmarkStart w:id="58" w:name="_Toc15396611"/>
      <w:bookmarkStart w:id="59" w:name="_Toc15377219"/>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60" w:name="_Toc20908"/>
      <w:r>
        <w:rPr>
          <w:rFonts w:hint="eastAsia" w:ascii="黑体" w:hAnsi="黑体" w:eastAsia="黑体" w:cs="黑体"/>
          <w:b w:val="0"/>
          <w:bCs w:val="0"/>
          <w:color w:val="auto"/>
          <w:sz w:val="32"/>
          <w:szCs w:val="32"/>
          <w:highlight w:val="none"/>
          <w:u w:val="none"/>
          <w:lang w:eastAsia="zh-CN"/>
        </w:rPr>
        <w:t>九、国有资本经营预算支出决算情况说明</w:t>
      </w:r>
      <w:bookmarkEnd w:id="57"/>
      <w:bookmarkEnd w:id="58"/>
      <w:bookmarkEnd w:id="59"/>
      <w:bookmarkEnd w:id="60"/>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国有资本经营预算财政拨款支出0万元。</w:t>
      </w:r>
      <w:bookmarkStart w:id="61" w:name="_Toc25840"/>
      <w:bookmarkStart w:id="62" w:name="_Toc15377221"/>
      <w:bookmarkStart w:id="63" w:name="_Toc18931"/>
      <w:bookmarkStart w:id="64" w:name="_Toc15396612"/>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65" w:name="_Toc1160"/>
      <w:r>
        <w:rPr>
          <w:rFonts w:hint="eastAsia" w:ascii="黑体" w:hAnsi="黑体" w:eastAsia="黑体" w:cs="黑体"/>
          <w:b w:val="0"/>
          <w:bCs w:val="0"/>
          <w:color w:val="auto"/>
          <w:sz w:val="32"/>
          <w:szCs w:val="32"/>
          <w:highlight w:val="none"/>
          <w:u w:val="none"/>
          <w:lang w:eastAsia="zh-CN"/>
        </w:rPr>
        <w:t>十、</w:t>
      </w:r>
      <w:r>
        <w:rPr>
          <w:rFonts w:hint="eastAsia" w:ascii="黑体" w:hAnsi="黑体" w:eastAsia="黑体" w:cs="黑体"/>
          <w:b w:val="0"/>
          <w:bCs w:val="0"/>
          <w:color w:val="auto"/>
          <w:sz w:val="32"/>
          <w:szCs w:val="32"/>
          <w:highlight w:val="none"/>
          <w:u w:val="none"/>
        </w:rPr>
        <w:t>其他重要事项的情况说明</w:t>
      </w:r>
      <w:bookmarkEnd w:id="61"/>
      <w:bookmarkEnd w:id="62"/>
      <w:bookmarkEnd w:id="63"/>
      <w:bookmarkEnd w:id="64"/>
      <w:bookmarkEnd w:id="65"/>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（一）机关运行经费支出情况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本单位为事业单位，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未发生机关运行经费，与202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决算数持平</w:t>
      </w:r>
      <w:r>
        <w:rPr>
          <w:rFonts w:hint="eastAsia" w:ascii="仿宋_GB2312" w:hAnsi="仿宋_GB2312" w:eastAsia="仿宋_GB2312" w:cs="仿宋_GB2312"/>
          <w:color w:val="auto"/>
          <w:sz w:val="32"/>
          <w:szCs w:val="32"/>
        </w:rPr>
        <w:t>。</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（二）政府采购支出情况</w:t>
      </w:r>
    </w:p>
    <w:p>
      <w:pPr>
        <w:keepNext w:val="0"/>
        <w:keepLines w:val="0"/>
        <w:pageBreakBefore w:val="0"/>
        <w:widowControl/>
        <w:suppressLineNumbers w:val="0"/>
        <w:kinsoku/>
        <w:wordWrap/>
        <w:overflowPunct/>
        <w:topLinePunct w:val="0"/>
        <w:bidi w:val="0"/>
        <w:spacing w:before="0" w:beforeAutospacing="0" w:after="0" w:afterAutospacing="0" w:line="600" w:lineRule="atLeas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zh-CN"/>
        </w:rPr>
        <w:t>广元市自然资源储备交易中心政府采购支出总额</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lang w:val="zh-CN"/>
        </w:rPr>
        <w:t>万元</w:t>
      </w:r>
      <w:r>
        <w:rPr>
          <w:rFonts w:hint="default" w:ascii="仿宋_GB2312" w:hAnsi="Times New Roman" w:eastAsia="仿宋_GB2312" w:cs="仿宋_GB2312"/>
          <w:i w:val="0"/>
          <w:iCs w:val="0"/>
          <w:caps w:val="0"/>
          <w:color w:val="000000"/>
          <w:spacing w:val="0"/>
          <w:kern w:val="0"/>
          <w:sz w:val="32"/>
          <w:szCs w:val="32"/>
          <w:highlight w:val="none"/>
          <w:lang w:val="en-US" w:eastAsia="zh-CN" w:bidi="ar"/>
        </w:rPr>
        <w:t>。</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（三）国有资产占有使用情况</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年12月31日，广元市自然资源储备交易中心共有车辆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其中：其他用车主要是用于现场勘查和土管会会前调</w:t>
      </w:r>
      <w:r>
        <w:rPr>
          <w:rFonts w:hint="eastAsia" w:ascii="仿宋_GB2312" w:hAnsi="仿宋_GB2312" w:eastAsia="仿宋_GB2312" w:cs="仿宋_GB2312"/>
          <w:color w:val="auto"/>
          <w:sz w:val="32"/>
          <w:szCs w:val="32"/>
          <w:lang w:eastAsia="zh-CN"/>
        </w:rPr>
        <w:t>研</w:t>
      </w:r>
      <w:r>
        <w:rPr>
          <w:rFonts w:hint="eastAsia" w:ascii="仿宋_GB2312" w:hAnsi="仿宋_GB2312" w:eastAsia="仿宋_GB2312" w:cs="仿宋_GB2312"/>
          <w:color w:val="auto"/>
          <w:sz w:val="32"/>
          <w:szCs w:val="32"/>
        </w:rPr>
        <w:t>。单价50万元以上通用设备4台（套），单价100万元以上专用设备0台（套）。</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（四）预算绩效管理情况</w:t>
      </w:r>
    </w:p>
    <w:p>
      <w:pPr>
        <w:pageBreakBefore w:val="0"/>
        <w:widowControl w:val="0"/>
        <w:kinsoku/>
        <w:wordWrap/>
        <w:overflowPunct/>
        <w:topLinePunct w:val="0"/>
        <w:bidi w:val="0"/>
        <w:spacing w:line="576" w:lineRule="exact"/>
        <w:ind w:left="0" w:right="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预算编制阶段，组织对市本级储备土地和出让土地管理工作经费等</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3个项目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3个项目开展绩效自评，绩效自评表详见第四部分附件。</w:t>
      </w:r>
      <w:r>
        <w:rPr>
          <w:rFonts w:hint="eastAsia" w:ascii="仿宋_GB2312" w:hAnsi="仿宋_GB2312" w:eastAsia="仿宋_GB2312" w:cs="仿宋_GB2312"/>
          <w:b/>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rPr>
      </w:pPr>
      <w:bookmarkStart w:id="66" w:name="_Toc7293"/>
      <w:bookmarkStart w:id="67" w:name="_Toc15377225"/>
      <w:bookmarkStart w:id="68" w:name="_Toc4205"/>
      <w:bookmarkStart w:id="69" w:name="_Toc15396613"/>
      <w:r>
        <w:rPr>
          <w:rFonts w:hint="eastAsia" w:ascii="方正小标宋_GBK" w:hAnsi="方正小标宋_GBK" w:eastAsia="方正小标宋_GBK" w:cs="方正小标宋_GBK"/>
          <w:b w:val="0"/>
          <w:color w:val="auto"/>
          <w:highlight w:val="none"/>
          <w:lang w:eastAsia="zh-CN"/>
        </w:rPr>
        <w:t>第三部分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名词解释</w:t>
      </w:r>
      <w:bookmarkEnd w:id="66"/>
      <w:bookmarkEnd w:id="67"/>
      <w:bookmarkEnd w:id="68"/>
      <w:bookmarkEnd w:id="69"/>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b/>
          <w:color w:val="auto"/>
          <w:sz w:val="32"/>
          <w:szCs w:val="32"/>
        </w:rPr>
      </w:pPr>
    </w:p>
    <w:p>
      <w:pPr>
        <w:pStyle w:val="22"/>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rPr>
      </w:pPr>
      <w:bookmarkStart w:id="70" w:name="_Toc15100"/>
      <w:bookmarkStart w:id="71" w:name="_Toc19672"/>
      <w:bookmarkStart w:id="72" w:name="_Toc8816"/>
      <w:bookmarkStart w:id="73" w:name="_Toc15377226"/>
      <w:r>
        <w:rPr>
          <w:rFonts w:hint="eastAsia" w:ascii="仿宋_GB2312" w:hAnsi="仿宋_GB2312" w:eastAsia="仿宋_GB2312" w:cs="仿宋_GB2312"/>
          <w:b w:val="0"/>
          <w:bCs w:val="0"/>
          <w:color w:val="auto"/>
          <w:sz w:val="32"/>
          <w:szCs w:val="32"/>
        </w:rPr>
        <w:t>财政拨款收入：指单位从同级财政部门取得的财政预算资金。</w:t>
      </w:r>
      <w:bookmarkEnd w:id="70"/>
      <w:bookmarkEnd w:id="71"/>
      <w:bookmarkEnd w:id="72"/>
    </w:p>
    <w:p>
      <w:pPr>
        <w:pStyle w:val="22"/>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rPr>
      </w:pPr>
      <w:bookmarkStart w:id="74" w:name="_Toc23940"/>
      <w:r>
        <w:rPr>
          <w:rFonts w:hint="eastAsia" w:ascii="仿宋_GB2312" w:hAnsi="仿宋_GB2312" w:eastAsia="仿宋_GB2312" w:cs="仿宋_GB2312"/>
          <w:b w:val="0"/>
          <w:bCs w:val="0"/>
          <w:color w:val="auto"/>
          <w:sz w:val="32"/>
          <w:szCs w:val="32"/>
        </w:rPr>
        <w:t>年初结转和结余：指以前年度尚未完成、结转到本年按有关规定继续使用的资金。</w:t>
      </w:r>
      <w:bookmarkEnd w:id="74"/>
    </w:p>
    <w:p>
      <w:pPr>
        <w:pStyle w:val="22"/>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社会保障和就业支出（类）行政事业单位养老支出（款）事业单位离退休（项）：指事业单位</w:t>
      </w:r>
      <w:r>
        <w:rPr>
          <w:rFonts w:hint="eastAsia" w:ascii="仿宋_GB2312" w:hAnsi="仿宋_GB2312" w:eastAsia="仿宋_GB2312" w:cs="仿宋_GB2312"/>
          <w:b w:val="0"/>
          <w:bCs w:val="0"/>
          <w:color w:val="auto"/>
          <w:sz w:val="32"/>
          <w:szCs w:val="32"/>
          <w:lang w:eastAsia="zh-CN"/>
        </w:rPr>
        <w:t>开支的离退休经费</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Style w:val="17"/>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rPr>
        <w:t>社会保障和就业（类）行政事业单位</w:t>
      </w:r>
      <w:r>
        <w:rPr>
          <w:rStyle w:val="17"/>
          <w:rFonts w:hint="eastAsia" w:ascii="仿宋_GB2312" w:hAnsi="仿宋_GB2312" w:eastAsia="仿宋_GB2312" w:cs="仿宋_GB2312"/>
          <w:b w:val="0"/>
          <w:bCs w:val="0"/>
          <w:color w:val="auto"/>
          <w:sz w:val="32"/>
          <w:szCs w:val="32"/>
          <w:lang w:eastAsia="zh-CN"/>
        </w:rPr>
        <w:t>养老支出</w:t>
      </w:r>
      <w:r>
        <w:rPr>
          <w:rStyle w:val="17"/>
          <w:rFonts w:hint="eastAsia" w:ascii="仿宋_GB2312" w:hAnsi="仿宋_GB2312" w:eastAsia="仿宋_GB2312" w:cs="仿宋_GB2312"/>
          <w:b w:val="0"/>
          <w:bCs w:val="0"/>
          <w:color w:val="auto"/>
          <w:sz w:val="32"/>
          <w:szCs w:val="32"/>
        </w:rPr>
        <w:t>（款）机关事业单位基本养老保险缴费支出（项）</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rPr>
        <w:t>指机关事业单位实施养老保险制度由单位缴纳的基本养老保险费支出。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7"/>
          <w:rFonts w:hint="eastAsia" w:ascii="仿宋_GB2312" w:hAnsi="仿宋_GB2312" w:eastAsia="仿宋_GB2312" w:cs="仿宋_GB2312"/>
          <w:b w:val="0"/>
          <w:bCs w:val="0"/>
          <w:color w:val="auto"/>
          <w:sz w:val="32"/>
          <w:szCs w:val="32"/>
        </w:rPr>
        <w:t>社会保障和就业支出（类）行政事业单位养老支出（款）机关事业单位职业年金缴费支出（项）：指机关事业单位实施养老保险制度由单位实际缴纳的职业年金支出。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社会保障和就业支出（类）其他社会和保障就业支出（款）其他社会和保障就业支出（项）：指反映机关事业单位实施保险制度由单位缴纳的其他社会和保障就业支出。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卫生健康支出（类）行政事业单位医疗（款）事业单位医疗（项）：指财政部门安排的事业单位基本医疗保险缴费经费。</w:t>
      </w:r>
    </w:p>
    <w:p>
      <w:pPr>
        <w:pStyle w:val="14"/>
        <w:keepNext w:val="0"/>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城区社区支出（类）国有土地使用权出让收入安排的支出（款）征地和拆迁补偿支出（项）：指地方政府在征地和收购土地过程中支付的土地补偿费、安置补助费、第三附着和青苗补偿费、拆迁补偿费支出。</w:t>
      </w:r>
    </w:p>
    <w:p>
      <w:pPr>
        <w:pageBreakBefore w:val="0"/>
        <w:widowControl w:val="0"/>
        <w:numPr>
          <w:ilvl w:val="0"/>
          <w:numId w:val="1"/>
        </w:numPr>
        <w:kinsoku/>
        <w:wordWrap/>
        <w:overflowPunct/>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城区社区支出（类）国有土地使用权出让收入安排的支出（款）城市建设支出（项）：指土地出让收入用于完善国有土地使用功能的配套设施建设和城市基础设施建设支出。</w:t>
      </w:r>
    </w:p>
    <w:p>
      <w:pPr>
        <w:pStyle w:val="2"/>
        <w:pageBreakBefore w:val="0"/>
        <w:widowControl w:val="0"/>
        <w:numPr>
          <w:ilvl w:val="0"/>
          <w:numId w:val="1"/>
        </w:numPr>
        <w:kinsoku/>
        <w:wordWrap/>
        <w:overflowPunct/>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城区社区支出（类）国有土地使用权出让收入安排的支出（款）农村基础设施建设支出（项）：指土地出让收入用于农村供水保障、村庄公共设施建设和管护以及与农业农村直接相关的以工代赈等方面的支出。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城</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color w:val="auto"/>
          <w:sz w:val="32"/>
          <w:szCs w:val="32"/>
          <w:highlight w:val="none"/>
        </w:rPr>
        <w:t>社区（类）</w:t>
      </w:r>
      <w:r>
        <w:rPr>
          <w:rFonts w:hint="eastAsia" w:ascii="仿宋_GB2312" w:hAnsi="仿宋_GB2312" w:eastAsia="仿宋_GB2312" w:cs="仿宋_GB2312"/>
          <w:color w:val="auto"/>
          <w:sz w:val="32"/>
          <w:szCs w:val="32"/>
          <w:highlight w:val="none"/>
          <w:lang w:val="en-US" w:eastAsia="zh-CN"/>
        </w:rPr>
        <w:t>国有土地使用权出让收入安排的支出</w:t>
      </w:r>
      <w:r>
        <w:rPr>
          <w:rFonts w:hint="eastAsia" w:ascii="仿宋_GB2312" w:hAnsi="仿宋_GB2312" w:eastAsia="仿宋_GB2312" w:cs="仿宋_GB2312"/>
          <w:color w:val="auto"/>
          <w:sz w:val="32"/>
          <w:szCs w:val="32"/>
          <w:highlight w:val="none"/>
        </w:rPr>
        <w:t>（款）土地出让</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rPr>
        <w:t>支出（项）：指土地</w:t>
      </w:r>
      <w:r>
        <w:rPr>
          <w:rFonts w:hint="eastAsia" w:ascii="仿宋_GB2312" w:hAnsi="仿宋_GB2312" w:eastAsia="仿宋_GB2312" w:cs="仿宋_GB2312"/>
          <w:color w:val="auto"/>
          <w:sz w:val="32"/>
          <w:szCs w:val="32"/>
          <w:highlight w:val="none"/>
          <w:lang w:eastAsia="zh-CN"/>
        </w:rPr>
        <w:t>出让收入用于土地出让业务费用的支出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rPr>
        <w:t>自然资源海洋气象等（类）自然资源事务（款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事业运行（项）：指</w:t>
      </w:r>
      <w:r>
        <w:rPr>
          <w:rFonts w:hint="eastAsia" w:ascii="仿宋_GB2312" w:hAnsi="仿宋_GB2312" w:eastAsia="仿宋_GB2312" w:cs="仿宋_GB2312"/>
          <w:b w:val="0"/>
          <w:bCs w:val="0"/>
          <w:color w:val="auto"/>
          <w:sz w:val="32"/>
          <w:szCs w:val="32"/>
          <w:shd w:val="clear" w:color="auto" w:fill="FFFFFF"/>
        </w:rPr>
        <w:t>事业单位用于保障机构正常运行、开展日常工作的基本支出。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rPr>
        <w:t>自然资源海洋气象等（类）自然资源事务（款）其他自然资源事务（项）：指除财政一般公共预算安排的项目之外的项目支出。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住房保障（类）住房改革支出（款）住房公积金（项）：指行政事业单位按人力资源部和社会保障部、财政部规定的基本工资和津贴补贴以及规定比例为职工缴纳的住房公积金。</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基本支出：指为保障机构正常运转、完成日常工作任务而发生的人员支出和公用支出。</w:t>
      </w:r>
    </w:p>
    <w:p>
      <w:pPr>
        <w:keepNext w:val="0"/>
        <w:keepLines w:val="0"/>
        <w:pageBreakBefore w:val="0"/>
        <w:widowControl w:val="0"/>
        <w:numPr>
          <w:ilvl w:val="0"/>
          <w:numId w:val="1"/>
        </w:numPr>
        <w:kinsoku/>
        <w:wordWrap/>
        <w:overflowPunct/>
        <w:topLinePunct w:val="0"/>
        <w:bidi w:val="0"/>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项目支出：指在基本支出之外为完成特定行政任务和事业发展目标所发生的支出。</w:t>
      </w:r>
    </w:p>
    <w:p>
      <w:pPr>
        <w:pStyle w:val="22"/>
        <w:pageBreakBefore w:val="0"/>
        <w:widowControl w:val="0"/>
        <w:numPr>
          <w:ilvl w:val="0"/>
          <w:numId w:val="1"/>
        </w:numPr>
        <w:kinsoku/>
        <w:wordWrap/>
        <w:overflowPunct/>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“三公”经费：</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仿宋_GB2312" w:hAnsi="仿宋_GB2312" w:eastAsia="仿宋_GB2312" w:cs="仿宋_GB2312"/>
          <w:b w:val="0"/>
          <w:bCs w:val="0"/>
          <w:color w:val="auto"/>
          <w:sz w:val="32"/>
          <w:szCs w:val="32"/>
        </w:rPr>
        <w:br w:type="page"/>
      </w:r>
      <w:bookmarkStart w:id="75" w:name="_Toc10368"/>
      <w:bookmarkStart w:id="76" w:name="_Toc25230"/>
      <w:bookmarkStart w:id="77" w:name="_Toc15396614"/>
      <w:r>
        <w:rPr>
          <w:rFonts w:hint="eastAsia" w:ascii="方正小标宋_GBK" w:hAnsi="方正小标宋_GBK" w:eastAsia="方正小标宋_GBK" w:cs="方正小标宋_GBK"/>
          <w:b w:val="0"/>
          <w:bCs/>
          <w:color w:val="auto"/>
          <w:kern w:val="44"/>
          <w:sz w:val="44"/>
          <w:szCs w:val="44"/>
          <w:highlight w:val="none"/>
          <w:lang w:val="en-US" w:eastAsia="zh-CN" w:bidi="ar-SA"/>
        </w:rPr>
        <w:t>第四</w:t>
      </w:r>
      <w:r>
        <w:rPr>
          <w:rFonts w:hint="eastAsia" w:ascii="方正小标宋_GBK" w:hAnsi="方正小标宋_GBK" w:eastAsia="方正小标宋_GBK" w:cs="方正小标宋_GBK"/>
          <w:b w:val="0"/>
          <w:color w:val="auto"/>
          <w:highlight w:val="none"/>
          <w:lang w:val="en-US" w:eastAsia="zh-CN"/>
        </w:rPr>
        <w:t xml:space="preserve">部分  </w:t>
      </w:r>
      <w:r>
        <w:rPr>
          <w:rFonts w:hint="eastAsia" w:ascii="方正小标宋_GBK" w:hAnsi="方正小标宋_GBK" w:eastAsia="方正小标宋_GBK" w:cs="方正小标宋_GBK"/>
          <w:b w:val="0"/>
          <w:bCs/>
          <w:color w:val="auto"/>
          <w:kern w:val="44"/>
          <w:sz w:val="44"/>
          <w:szCs w:val="44"/>
          <w:highlight w:val="none"/>
          <w:lang w:val="en-US" w:eastAsia="zh-CN" w:bidi="ar-SA"/>
        </w:rPr>
        <w:t>附件</w:t>
      </w:r>
      <w:bookmarkEnd w:id="75"/>
      <w:bookmarkEnd w:id="76"/>
      <w:bookmarkEnd w:id="77"/>
    </w:p>
    <w:p>
      <w:pPr>
        <w:pStyle w:val="2"/>
        <w:pageBreakBefore w:val="0"/>
        <w:widowControl w:val="0"/>
        <w:kinsoku/>
        <w:wordWrap/>
        <w:overflowPunct/>
        <w:topLinePunct w:val="0"/>
        <w:bidi w:val="0"/>
        <w:spacing w:beforeLines="0" w:line="576" w:lineRule="exact"/>
        <w:ind w:left="0" w:right="0" w:firstLine="0" w:firstLineChars="0"/>
        <w:jc w:val="both"/>
        <w:textAlignment w:val="auto"/>
        <w:rPr>
          <w:rFonts w:hint="eastAsia" w:ascii="黑体" w:hAnsi="黑体" w:eastAsia="黑体" w:cs="黑体"/>
          <w:color w:val="auto"/>
          <w:sz w:val="32"/>
          <w:szCs w:val="32"/>
          <w:shd w:val="clear" w:color="auto" w:fill="FFFFFF"/>
          <w:lang w:val="zh-CN"/>
        </w:rPr>
      </w:pPr>
    </w:p>
    <w:p>
      <w:pPr>
        <w:pageBreakBefore w:val="0"/>
        <w:widowControl w:val="0"/>
        <w:kinsoku/>
        <w:wordWrap/>
        <w:overflowPunct/>
        <w:topLinePunct w:val="0"/>
        <w:bidi w:val="0"/>
        <w:spacing w:line="576" w:lineRule="exact"/>
        <w:ind w:left="0" w:right="0" w:firstLine="0" w:firstLineChars="0"/>
        <w:jc w:val="center"/>
        <w:textAlignment w:val="auto"/>
        <w:rPr>
          <w:rFonts w:hint="eastAsia" w:ascii="方正小标宋_GBK" w:hAnsi="方正小标宋_GBK" w:eastAsia="方正小标宋_GBK" w:cs="方正小标宋_GBK"/>
          <w:color w:val="auto"/>
          <w:sz w:val="36"/>
          <w:szCs w:val="36"/>
        </w:rPr>
      </w:pPr>
    </w:p>
    <w:p>
      <w:pPr>
        <w:spacing w:line="600" w:lineRule="exact"/>
        <w:jc w:val="center"/>
        <w:outlineLvl w:val="1"/>
        <w:rPr>
          <w:rFonts w:hint="eastAsia" w:ascii="仿宋_GB2312" w:hAnsi="仿宋_GB2312" w:eastAsia="仿宋_GB2312" w:cs="仿宋_GB2312"/>
          <w:color w:val="auto"/>
          <w:kern w:val="0"/>
          <w:sz w:val="32"/>
          <w:szCs w:val="32"/>
          <w:highlight w:val="none"/>
          <w:lang w:val="en-US" w:eastAsia="zh-CN" w:bidi="ar-SA"/>
        </w:rPr>
      </w:pPr>
      <w:bookmarkStart w:id="78" w:name="_Toc3136"/>
      <w:bookmarkStart w:id="79" w:name="_Toc2928"/>
      <w:bookmarkStart w:id="80" w:name="_Toc9199"/>
      <w:bookmarkStart w:id="81" w:name="_Toc32746"/>
      <w:bookmarkStart w:id="82" w:name="_Toc9285"/>
      <w:bookmarkStart w:id="83" w:name="_Toc15396618"/>
      <w:r>
        <w:rPr>
          <w:rFonts w:hint="eastAsia" w:ascii="仿宋_GB2312" w:hAnsi="仿宋_GB2312" w:eastAsia="仿宋_GB2312" w:cs="仿宋_GB2312"/>
          <w:color w:val="auto"/>
          <w:kern w:val="0"/>
          <w:sz w:val="32"/>
          <w:szCs w:val="32"/>
          <w:highlight w:val="none"/>
          <w:lang w:val="en-US" w:eastAsia="zh-CN" w:bidi="ar-SA"/>
        </w:rPr>
        <w:t>部门预算项目支出绩效自评表（2024年度）</w:t>
      </w:r>
      <w:bookmarkEnd w:id="78"/>
      <w:bookmarkEnd w:id="79"/>
      <w:bookmarkEnd w:id="80"/>
      <w:bookmarkEnd w:id="81"/>
      <w:bookmarkEnd w:id="82"/>
      <w:r>
        <w:rPr>
          <w:rFonts w:hint="eastAsia" w:ascii="仿宋_GB2312" w:hAnsi="仿宋_GB2312" w:eastAsia="仿宋_GB2312" w:cs="仿宋_GB2312"/>
          <w:color w:val="auto"/>
          <w:kern w:val="0"/>
          <w:sz w:val="32"/>
          <w:szCs w:val="32"/>
          <w:highlight w:val="none"/>
          <w:lang w:val="en-US" w:eastAsia="zh-CN" w:bidi="ar-SA"/>
        </w:rPr>
        <w:t>，具体内容见附件。</w:t>
      </w:r>
      <w:bookmarkStart w:id="113" w:name="_GoBack"/>
      <w:bookmarkEnd w:id="113"/>
    </w:p>
    <w:p>
      <w:pPr>
        <w:spacing w:line="600" w:lineRule="exact"/>
        <w:jc w:val="left"/>
        <w:outlineLvl w:val="9"/>
        <w:rPr>
          <w:rFonts w:hint="eastAsia" w:ascii="仿宋_GB2312" w:hAnsi="仿宋_GB2312" w:eastAsia="仿宋_GB2312" w:cs="仿宋_GB2312"/>
          <w:color w:val="auto"/>
          <w:kern w:val="0"/>
          <w:sz w:val="32"/>
          <w:szCs w:val="32"/>
          <w:highlight w:val="none"/>
          <w:lang w:val="en-US" w:eastAsia="zh-CN" w:bidi="ar-SA"/>
        </w:rPr>
      </w:pPr>
    </w:p>
    <w:p>
      <w:pPr>
        <w:pStyle w:val="2"/>
        <w:rPr>
          <w:rFonts w:hint="eastAsia" w:ascii="仿宋_GB2312" w:hAnsi="仿宋_GB2312" w:eastAsia="仿宋_GB2312" w:cs="仿宋_GB2312"/>
          <w:color w:val="auto"/>
          <w:kern w:val="0"/>
          <w:sz w:val="32"/>
          <w:szCs w:val="32"/>
          <w:highlight w:val="none"/>
          <w:lang w:val="en-US" w:eastAsia="zh-CN" w:bidi="ar-SA"/>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lang w:val="en-US" w:eastAsia="zh-CN"/>
        </w:rPr>
      </w:pPr>
      <w:bookmarkStart w:id="84" w:name="_Toc32124"/>
      <w:bookmarkStart w:id="85" w:name="_Toc28988"/>
      <w:r>
        <w:rPr>
          <w:rFonts w:hint="eastAsia" w:ascii="方正小标宋_GBK" w:hAnsi="方正小标宋_GBK" w:eastAsia="方正小标宋_GBK" w:cs="方正小标宋_GBK"/>
          <w:b w:val="0"/>
          <w:color w:val="auto"/>
          <w:highlight w:val="none"/>
          <w:lang w:val="en-US" w:eastAsia="zh-CN"/>
        </w:rPr>
        <w:t>第五部分  附表</w:t>
      </w:r>
      <w:bookmarkEnd w:id="73"/>
      <w:bookmarkEnd w:id="83"/>
      <w:bookmarkEnd w:id="84"/>
      <w:bookmarkEnd w:id="85"/>
      <w:bookmarkStart w:id="86" w:name="_Toc15396619"/>
    </w:p>
    <w:p>
      <w:pPr>
        <w:pStyle w:val="14"/>
        <w:rPr>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7" w:name="_Toc9270"/>
      <w:bookmarkStart w:id="88" w:name="_Toc31620"/>
      <w:r>
        <w:rPr>
          <w:rFonts w:hint="eastAsia" w:ascii="仿宋_GB2312" w:hAnsi="仿宋_GB2312" w:eastAsia="仿宋_GB2312" w:cs="仿宋_GB2312"/>
          <w:color w:val="auto"/>
          <w:kern w:val="0"/>
          <w:sz w:val="32"/>
          <w:szCs w:val="32"/>
          <w:highlight w:val="none"/>
          <w:lang w:val="en-US" w:eastAsia="zh-CN" w:bidi="ar-SA"/>
        </w:rPr>
        <w:t>一、收入支出决算总表</w:t>
      </w:r>
      <w:bookmarkEnd w:id="86"/>
      <w:bookmarkEnd w:id="87"/>
      <w:bookmarkEnd w:id="8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9" w:name="_Toc4377"/>
      <w:bookmarkStart w:id="90" w:name="_Toc21156"/>
      <w:r>
        <w:rPr>
          <w:rFonts w:hint="eastAsia" w:ascii="仿宋_GB2312" w:hAnsi="仿宋_GB2312" w:eastAsia="仿宋_GB2312" w:cs="仿宋_GB2312"/>
          <w:color w:val="auto"/>
          <w:kern w:val="0"/>
          <w:sz w:val="32"/>
          <w:szCs w:val="32"/>
          <w:highlight w:val="none"/>
          <w:lang w:val="en-US" w:eastAsia="zh-CN" w:bidi="ar-SA"/>
        </w:rPr>
        <w:t>二、收入决算表</w:t>
      </w:r>
      <w:bookmarkEnd w:id="89"/>
    </w:p>
    <w:bookmarkEnd w:id="9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1" w:name="_Toc32434"/>
      <w:bookmarkStart w:id="92" w:name="_Toc17992"/>
      <w:r>
        <w:rPr>
          <w:rFonts w:hint="eastAsia" w:ascii="仿宋_GB2312" w:hAnsi="仿宋_GB2312" w:eastAsia="仿宋_GB2312" w:cs="仿宋_GB2312"/>
          <w:color w:val="auto"/>
          <w:kern w:val="0"/>
          <w:sz w:val="32"/>
          <w:szCs w:val="32"/>
          <w:highlight w:val="none"/>
          <w:lang w:val="en-US" w:eastAsia="zh-CN" w:bidi="ar-SA"/>
        </w:rPr>
        <w:t>三、支出决算表</w:t>
      </w:r>
      <w:bookmarkEnd w:id="91"/>
    </w:p>
    <w:bookmarkEnd w:id="92"/>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3" w:name="_Toc21197"/>
      <w:bookmarkStart w:id="94" w:name="_Toc12166"/>
      <w:r>
        <w:rPr>
          <w:rFonts w:hint="eastAsia" w:ascii="仿宋_GB2312" w:hAnsi="仿宋_GB2312" w:eastAsia="仿宋_GB2312" w:cs="仿宋_GB2312"/>
          <w:color w:val="auto"/>
          <w:kern w:val="0"/>
          <w:sz w:val="32"/>
          <w:szCs w:val="32"/>
          <w:highlight w:val="none"/>
          <w:lang w:val="en-US" w:eastAsia="zh-CN" w:bidi="ar-SA"/>
        </w:rPr>
        <w:t>四、财政拨款收入支出决算总表</w:t>
      </w:r>
      <w:bookmarkEnd w:id="93"/>
    </w:p>
    <w:bookmarkEnd w:id="94"/>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5" w:name="_Toc4789"/>
      <w:bookmarkStart w:id="96" w:name="_Toc22974"/>
      <w:r>
        <w:rPr>
          <w:rFonts w:hint="eastAsia" w:ascii="仿宋_GB2312" w:hAnsi="仿宋_GB2312" w:eastAsia="仿宋_GB2312" w:cs="仿宋_GB2312"/>
          <w:color w:val="auto"/>
          <w:kern w:val="0"/>
          <w:sz w:val="32"/>
          <w:szCs w:val="32"/>
          <w:highlight w:val="none"/>
          <w:lang w:val="en-US" w:eastAsia="zh-CN" w:bidi="ar-SA"/>
        </w:rPr>
        <w:t>五、财政拨款支出决算明细表</w:t>
      </w:r>
      <w:bookmarkEnd w:id="95"/>
    </w:p>
    <w:bookmarkEnd w:id="9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7" w:name="_Toc9605"/>
      <w:bookmarkStart w:id="98" w:name="_Toc20975"/>
      <w:r>
        <w:rPr>
          <w:rFonts w:hint="eastAsia" w:ascii="仿宋_GB2312" w:hAnsi="仿宋_GB2312" w:eastAsia="仿宋_GB2312" w:cs="仿宋_GB2312"/>
          <w:color w:val="auto"/>
          <w:kern w:val="0"/>
          <w:sz w:val="32"/>
          <w:szCs w:val="32"/>
          <w:highlight w:val="none"/>
          <w:lang w:val="en-US" w:eastAsia="zh-CN" w:bidi="ar-SA"/>
        </w:rPr>
        <w:t>六、一般公共预算财政拨款支出决算表</w:t>
      </w:r>
      <w:bookmarkEnd w:id="97"/>
    </w:p>
    <w:bookmarkEnd w:id="9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9" w:name="_Toc8173"/>
      <w:bookmarkStart w:id="100" w:name="_Toc19138"/>
      <w:r>
        <w:rPr>
          <w:rFonts w:hint="eastAsia" w:ascii="仿宋_GB2312" w:hAnsi="仿宋_GB2312" w:eastAsia="仿宋_GB2312" w:cs="仿宋_GB2312"/>
          <w:color w:val="auto"/>
          <w:kern w:val="0"/>
          <w:sz w:val="32"/>
          <w:szCs w:val="32"/>
          <w:highlight w:val="none"/>
          <w:lang w:val="en-US" w:eastAsia="zh-CN" w:bidi="ar-SA"/>
        </w:rPr>
        <w:t>七、一般公共预算财政拨款支出决算明细表</w:t>
      </w:r>
      <w:bookmarkEnd w:id="99"/>
    </w:p>
    <w:bookmarkEnd w:id="10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1" w:name="_Toc22748"/>
      <w:bookmarkStart w:id="102" w:name="_Toc10822"/>
      <w:r>
        <w:rPr>
          <w:rFonts w:hint="eastAsia" w:ascii="仿宋_GB2312" w:hAnsi="仿宋_GB2312" w:eastAsia="仿宋_GB2312" w:cs="仿宋_GB2312"/>
          <w:color w:val="auto"/>
          <w:kern w:val="0"/>
          <w:sz w:val="32"/>
          <w:szCs w:val="32"/>
          <w:highlight w:val="none"/>
          <w:lang w:val="en-US" w:eastAsia="zh-CN" w:bidi="ar-SA"/>
        </w:rPr>
        <w:t>八、一般公共预算财政拨款基本支出决算表</w:t>
      </w:r>
      <w:bookmarkEnd w:id="101"/>
    </w:p>
    <w:bookmarkEnd w:id="102"/>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3" w:name="_Toc13195"/>
      <w:bookmarkStart w:id="104" w:name="_Toc9008"/>
      <w:r>
        <w:rPr>
          <w:rFonts w:hint="eastAsia" w:ascii="仿宋_GB2312" w:hAnsi="仿宋_GB2312" w:eastAsia="仿宋_GB2312" w:cs="仿宋_GB2312"/>
          <w:color w:val="auto"/>
          <w:kern w:val="0"/>
          <w:sz w:val="32"/>
          <w:szCs w:val="32"/>
          <w:highlight w:val="none"/>
          <w:lang w:val="en-US" w:eastAsia="zh-CN" w:bidi="ar-SA"/>
        </w:rPr>
        <w:t>九、一般公共预算财政拨款项目支出决算表</w:t>
      </w:r>
      <w:bookmarkEnd w:id="103"/>
    </w:p>
    <w:bookmarkEnd w:id="104"/>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5" w:name="_Toc22841"/>
      <w:bookmarkStart w:id="106" w:name="_Toc20931"/>
      <w:r>
        <w:rPr>
          <w:rFonts w:hint="eastAsia" w:ascii="仿宋_GB2312" w:hAnsi="仿宋_GB2312" w:eastAsia="仿宋_GB2312" w:cs="仿宋_GB2312"/>
          <w:color w:val="auto"/>
          <w:kern w:val="0"/>
          <w:sz w:val="32"/>
          <w:szCs w:val="32"/>
          <w:highlight w:val="none"/>
          <w:lang w:val="en-US" w:eastAsia="zh-CN" w:bidi="ar-SA"/>
        </w:rPr>
        <w:t>十、政府性基金预算财政拨款收入支出决算表</w:t>
      </w:r>
      <w:bookmarkEnd w:id="105"/>
    </w:p>
    <w:bookmarkEnd w:id="10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7" w:name="_Toc13784"/>
      <w:bookmarkStart w:id="108" w:name="_Toc6912"/>
      <w:r>
        <w:rPr>
          <w:rFonts w:hint="eastAsia" w:ascii="仿宋_GB2312" w:hAnsi="仿宋_GB2312" w:eastAsia="仿宋_GB2312" w:cs="仿宋_GB2312"/>
          <w:color w:val="auto"/>
          <w:kern w:val="0"/>
          <w:sz w:val="32"/>
          <w:szCs w:val="32"/>
          <w:highlight w:val="none"/>
          <w:lang w:val="en-US" w:eastAsia="zh-CN" w:bidi="ar-SA"/>
        </w:rPr>
        <w:t>十一、国有资本经营预算财政拨款收入支出决算表</w:t>
      </w:r>
      <w:bookmarkEnd w:id="107"/>
    </w:p>
    <w:bookmarkEnd w:id="10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9" w:name="_Toc20860"/>
      <w:bookmarkStart w:id="110" w:name="_Toc7576"/>
      <w:r>
        <w:rPr>
          <w:rFonts w:hint="eastAsia" w:ascii="仿宋_GB2312" w:hAnsi="仿宋_GB2312" w:eastAsia="仿宋_GB2312" w:cs="仿宋_GB2312"/>
          <w:color w:val="auto"/>
          <w:kern w:val="0"/>
          <w:sz w:val="32"/>
          <w:szCs w:val="32"/>
          <w:highlight w:val="none"/>
          <w:lang w:val="en-US" w:eastAsia="zh-CN" w:bidi="ar-SA"/>
        </w:rPr>
        <w:t>十二、国有资本经营预算财政拨款支出决算表</w:t>
      </w:r>
      <w:bookmarkEnd w:id="109"/>
    </w:p>
    <w:bookmarkEnd w:id="11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11" w:name="_Toc21500"/>
      <w:bookmarkStart w:id="112" w:name="_Toc9043"/>
      <w:r>
        <w:rPr>
          <w:rFonts w:hint="eastAsia" w:ascii="仿宋_GB2312" w:hAnsi="仿宋_GB2312" w:eastAsia="仿宋_GB2312" w:cs="仿宋_GB2312"/>
          <w:color w:val="auto"/>
          <w:kern w:val="0"/>
          <w:sz w:val="32"/>
          <w:szCs w:val="32"/>
          <w:highlight w:val="none"/>
          <w:lang w:val="en-US" w:eastAsia="zh-CN" w:bidi="ar-SA"/>
        </w:rPr>
        <w:t>十三、财政拨款“三公”经费支出决算表</w:t>
      </w:r>
      <w:bookmarkEnd w:id="111"/>
    </w:p>
    <w:bookmarkEnd w:id="112"/>
    <w:sectPr>
      <w:footerReference r:id="rId4"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503AD"/>
    <w:multiLevelType w:val="singleLevel"/>
    <w:tmpl w:val="889503AD"/>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050"/>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EA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47E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36F"/>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8D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BB0"/>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2C46466"/>
    <w:rsid w:val="033308D5"/>
    <w:rsid w:val="03A04752"/>
    <w:rsid w:val="09267C87"/>
    <w:rsid w:val="093A184A"/>
    <w:rsid w:val="0A2032A3"/>
    <w:rsid w:val="0B8A37D8"/>
    <w:rsid w:val="0C5027C1"/>
    <w:rsid w:val="10154878"/>
    <w:rsid w:val="10C055FF"/>
    <w:rsid w:val="118107EC"/>
    <w:rsid w:val="11DD6519"/>
    <w:rsid w:val="128F1FA8"/>
    <w:rsid w:val="16321CA0"/>
    <w:rsid w:val="16BB723D"/>
    <w:rsid w:val="17297CE3"/>
    <w:rsid w:val="17EF3CAE"/>
    <w:rsid w:val="18015F3F"/>
    <w:rsid w:val="188F365D"/>
    <w:rsid w:val="197A7DA1"/>
    <w:rsid w:val="1AD33B7B"/>
    <w:rsid w:val="1BA97497"/>
    <w:rsid w:val="1BE8440E"/>
    <w:rsid w:val="1C37329B"/>
    <w:rsid w:val="1CCE660E"/>
    <w:rsid w:val="1D155CEE"/>
    <w:rsid w:val="1EF40970"/>
    <w:rsid w:val="1F67BB88"/>
    <w:rsid w:val="1FEA3DD3"/>
    <w:rsid w:val="20F57F95"/>
    <w:rsid w:val="240371BF"/>
    <w:rsid w:val="243279D1"/>
    <w:rsid w:val="252E0CE2"/>
    <w:rsid w:val="25770175"/>
    <w:rsid w:val="25C741E6"/>
    <w:rsid w:val="27842671"/>
    <w:rsid w:val="28092D7E"/>
    <w:rsid w:val="29FD04D3"/>
    <w:rsid w:val="29FD282F"/>
    <w:rsid w:val="2ABE7A3E"/>
    <w:rsid w:val="2B4C0D09"/>
    <w:rsid w:val="2D6009A2"/>
    <w:rsid w:val="2EFA178C"/>
    <w:rsid w:val="30B46D73"/>
    <w:rsid w:val="31322DBE"/>
    <w:rsid w:val="317F000C"/>
    <w:rsid w:val="319F7F4E"/>
    <w:rsid w:val="3434719C"/>
    <w:rsid w:val="35134A0C"/>
    <w:rsid w:val="356B9E1F"/>
    <w:rsid w:val="3593A534"/>
    <w:rsid w:val="35E405E1"/>
    <w:rsid w:val="371FE82E"/>
    <w:rsid w:val="386A72E1"/>
    <w:rsid w:val="399F434D"/>
    <w:rsid w:val="39AE70AB"/>
    <w:rsid w:val="3B0F2544"/>
    <w:rsid w:val="3B586984"/>
    <w:rsid w:val="3C0C0783"/>
    <w:rsid w:val="3CCAAF3B"/>
    <w:rsid w:val="3D7EC9D4"/>
    <w:rsid w:val="3F795B0E"/>
    <w:rsid w:val="3F9F3A96"/>
    <w:rsid w:val="401F7E48"/>
    <w:rsid w:val="40350D30"/>
    <w:rsid w:val="41215ADF"/>
    <w:rsid w:val="41876D06"/>
    <w:rsid w:val="425E25FE"/>
    <w:rsid w:val="463D2CCF"/>
    <w:rsid w:val="46A43EC2"/>
    <w:rsid w:val="46DE39E7"/>
    <w:rsid w:val="491C608F"/>
    <w:rsid w:val="493C27E9"/>
    <w:rsid w:val="496F39ED"/>
    <w:rsid w:val="49FF41D3"/>
    <w:rsid w:val="4A185DC8"/>
    <w:rsid w:val="4AB40A96"/>
    <w:rsid w:val="4B295AB3"/>
    <w:rsid w:val="4BE068DB"/>
    <w:rsid w:val="4BF6002B"/>
    <w:rsid w:val="4C7D77B7"/>
    <w:rsid w:val="4ECE2238"/>
    <w:rsid w:val="4F0B3776"/>
    <w:rsid w:val="50903205"/>
    <w:rsid w:val="516F0562"/>
    <w:rsid w:val="5196408D"/>
    <w:rsid w:val="51DB4B86"/>
    <w:rsid w:val="51F55903"/>
    <w:rsid w:val="54406A2F"/>
    <w:rsid w:val="55333C3E"/>
    <w:rsid w:val="56215030"/>
    <w:rsid w:val="56660C21"/>
    <w:rsid w:val="573FA6DE"/>
    <w:rsid w:val="58312DDA"/>
    <w:rsid w:val="591B75C2"/>
    <w:rsid w:val="5A317807"/>
    <w:rsid w:val="5AF6E6DD"/>
    <w:rsid w:val="5D1FB36F"/>
    <w:rsid w:val="5DDFA015"/>
    <w:rsid w:val="5EDF6E2A"/>
    <w:rsid w:val="5F59EA40"/>
    <w:rsid w:val="5F7F9A68"/>
    <w:rsid w:val="5FFC5893"/>
    <w:rsid w:val="613746B8"/>
    <w:rsid w:val="61D45C65"/>
    <w:rsid w:val="61E7E3CA"/>
    <w:rsid w:val="64622266"/>
    <w:rsid w:val="64CA39A1"/>
    <w:rsid w:val="65052EF2"/>
    <w:rsid w:val="66A1350B"/>
    <w:rsid w:val="67E6C563"/>
    <w:rsid w:val="68A6351C"/>
    <w:rsid w:val="69AD3941"/>
    <w:rsid w:val="6BE5C713"/>
    <w:rsid w:val="6C4A05C8"/>
    <w:rsid w:val="6D195FA7"/>
    <w:rsid w:val="6D7F8892"/>
    <w:rsid w:val="6EF70EE2"/>
    <w:rsid w:val="6F722E40"/>
    <w:rsid w:val="6F9FACD4"/>
    <w:rsid w:val="6FCA4990"/>
    <w:rsid w:val="6FFFDBC2"/>
    <w:rsid w:val="70AD3C34"/>
    <w:rsid w:val="72734D90"/>
    <w:rsid w:val="72EC154D"/>
    <w:rsid w:val="757FD089"/>
    <w:rsid w:val="75F75951"/>
    <w:rsid w:val="77147EB1"/>
    <w:rsid w:val="773D4264"/>
    <w:rsid w:val="78FB5F09"/>
    <w:rsid w:val="79AE02B1"/>
    <w:rsid w:val="79E7B28D"/>
    <w:rsid w:val="7A6F97CB"/>
    <w:rsid w:val="7AF7F523"/>
    <w:rsid w:val="7AFA3931"/>
    <w:rsid w:val="7B7B7596"/>
    <w:rsid w:val="7BA550AA"/>
    <w:rsid w:val="7BFC04B5"/>
    <w:rsid w:val="7C775BAB"/>
    <w:rsid w:val="7D5F88DB"/>
    <w:rsid w:val="7DE35785"/>
    <w:rsid w:val="7E3B3840"/>
    <w:rsid w:val="7E9F7B57"/>
    <w:rsid w:val="7EF75D58"/>
    <w:rsid w:val="7F9F20EE"/>
    <w:rsid w:val="7FE231CE"/>
    <w:rsid w:val="7FEACCDD"/>
    <w:rsid w:val="7FEB4B9A"/>
    <w:rsid w:val="7FEF6E00"/>
    <w:rsid w:val="7FFA5FB6"/>
    <w:rsid w:val="7FFFB576"/>
    <w:rsid w:val="9E3A10E2"/>
    <w:rsid w:val="A9BA607B"/>
    <w:rsid w:val="A9DFE2C9"/>
    <w:rsid w:val="AD777FEB"/>
    <w:rsid w:val="B9734D1F"/>
    <w:rsid w:val="BEBF9D10"/>
    <w:rsid w:val="BEC98B1D"/>
    <w:rsid w:val="BFFD11B8"/>
    <w:rsid w:val="BFFF9241"/>
    <w:rsid w:val="CB777204"/>
    <w:rsid w:val="D7BED59B"/>
    <w:rsid w:val="D7FD5077"/>
    <w:rsid w:val="D7FE37B4"/>
    <w:rsid w:val="DFBED8B5"/>
    <w:rsid w:val="E1AD9F64"/>
    <w:rsid w:val="EBBFA58D"/>
    <w:rsid w:val="EFDFA2D4"/>
    <w:rsid w:val="F2E1F9D4"/>
    <w:rsid w:val="F3D82795"/>
    <w:rsid w:val="F4CF6D64"/>
    <w:rsid w:val="F7880819"/>
    <w:rsid w:val="F7BA3755"/>
    <w:rsid w:val="F7FE2FEB"/>
    <w:rsid w:val="F7FFCC11"/>
    <w:rsid w:val="FBCD4D2A"/>
    <w:rsid w:val="FBEF0FB9"/>
    <w:rsid w:val="FC3F751E"/>
    <w:rsid w:val="FDFD5943"/>
    <w:rsid w:val="FE67A497"/>
    <w:rsid w:val="FF6DF58E"/>
    <w:rsid w:val="FFF81597"/>
    <w:rsid w:val="FFFFD6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cs="Calibri"/>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qFormat/>
    <w:uiPriority w:val="0"/>
    <w:pPr>
      <w:ind w:firstLine="420" w:firstLineChars="200"/>
    </w:pPr>
    <w:rPr>
      <w:rFonts w:cs="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2023年度收、支总计</c:v>
                </c:pt>
                <c:pt idx="1">
                  <c:v>2024年度收、支总计</c:v>
                </c:pt>
              </c:strCache>
            </c:strRef>
          </c:cat>
          <c:val>
            <c:numRef>
              <c:f>Sheet1!$B$2:$B$3</c:f>
              <c:numCache>
                <c:formatCode>General</c:formatCode>
                <c:ptCount val="2"/>
                <c:pt idx="0">
                  <c:v>8821.63</c:v>
                </c:pt>
                <c:pt idx="1">
                  <c:v>23131</c:v>
                </c:pt>
              </c:numCache>
            </c:numRef>
          </c:val>
        </c:ser>
        <c:dLbls>
          <c:showLegendKey val="false"/>
          <c:showVal val="false"/>
          <c:showCatName val="false"/>
          <c:showSerName val="false"/>
          <c:showPercent val="false"/>
          <c:showBubbleSize val="false"/>
        </c:dLbls>
        <c:gapWidth val="219"/>
        <c:overlap val="-27"/>
        <c:axId val="213112008"/>
        <c:axId val="213112400"/>
      </c:barChart>
      <c:catAx>
        <c:axId val="21311200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400"/>
        <c:crosses val="autoZero"/>
        <c:auto val="true"/>
        <c:lblAlgn val="ctr"/>
        <c:lblOffset val="100"/>
        <c:noMultiLvlLbl val="false"/>
      </c:catAx>
      <c:valAx>
        <c:axId val="213112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008"/>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6015919564307"/>
          <c:y val="0.00763358778625954"/>
        </c:manualLayout>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296.67</c:v>
                </c:pt>
                <c:pt idx="1">
                  <c:v>22821.4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273.67</c:v>
                </c:pt>
                <c:pt idx="1">
                  <c:v>22857.33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2023年财政拨款收、支总计</c:v>
                </c:pt>
                <c:pt idx="1">
                  <c:v>2024年财政拨款收、支总计</c:v>
                </c:pt>
              </c:strCache>
            </c:strRef>
          </c:cat>
          <c:val>
            <c:numRef>
              <c:f>Sheet1!$B$2:$B$3</c:f>
              <c:numCache>
                <c:formatCode>General</c:formatCode>
                <c:ptCount val="2"/>
                <c:pt idx="0">
                  <c:v>8821.63</c:v>
                </c:pt>
                <c:pt idx="1">
                  <c:v>23131</c:v>
                </c:pt>
              </c:numCache>
            </c:numRef>
          </c:val>
        </c:ser>
        <c:dLbls>
          <c:showLegendKey val="false"/>
          <c:showVal val="false"/>
          <c:showCatName val="false"/>
          <c:showSerName val="false"/>
          <c:showPercent val="false"/>
          <c:showBubbleSize val="false"/>
        </c:dLbls>
        <c:gapWidth val="219"/>
        <c:overlap val="-27"/>
        <c:axId val="294736912"/>
        <c:axId val="294737304"/>
      </c:barChart>
      <c:catAx>
        <c:axId val="2947369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7304"/>
        <c:crosses val="autoZero"/>
        <c:auto val="true"/>
        <c:lblAlgn val="ctr"/>
        <c:lblOffset val="100"/>
        <c:noMultiLvlLbl val="false"/>
      </c:catAx>
      <c:valAx>
        <c:axId val="2947373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6912"/>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324.82</c:v>
                </c:pt>
                <c:pt idx="1">
                  <c:v>296.67</c:v>
                </c:pt>
              </c:numCache>
            </c:numRef>
          </c:val>
        </c:ser>
        <c:dLbls>
          <c:showLegendKey val="false"/>
          <c:showVal val="false"/>
          <c:showCatName val="false"/>
          <c:showSerName val="false"/>
          <c:showPercent val="false"/>
          <c:showBubbleSize val="false"/>
        </c:dLbls>
        <c:gapWidth val="219"/>
        <c:overlap val="-27"/>
        <c:axId val="213090680"/>
        <c:axId val="213091072"/>
      </c:barChart>
      <c:catAx>
        <c:axId val="21309068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1072"/>
        <c:crosses val="autoZero"/>
        <c:auto val="true"/>
        <c:lblAlgn val="ctr"/>
        <c:lblOffset val="100"/>
        <c:noMultiLvlLbl val="false"/>
      </c:catAx>
      <c:valAx>
        <c:axId val="2130910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068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46.83</c:v>
                </c:pt>
                <c:pt idx="1">
                  <c:v>8.19</c:v>
                </c:pt>
                <c:pt idx="2">
                  <c:v>219.28</c:v>
                </c:pt>
                <c:pt idx="3">
                  <c:v>22.38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2</c:v>
                </c:pt>
                <c:pt idx="2">
                  <c:v>0.1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18</Pages>
  <Words>4325</Words>
  <Characters>4710</Characters>
  <Lines>80</Lines>
  <Paragraphs>22</Paragraphs>
  <TotalTime>14</TotalTime>
  <ScaleCrop>false</ScaleCrop>
  <LinksUpToDate>false</LinksUpToDate>
  <CharactersWithSpaces>4760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2020-08-14T01:49:00Z</dcterms:created>
  <dc:creator>曹颖</dc:creator>
  <cp:lastModifiedBy> </cp:lastModifiedBy>
  <cp:lastPrinted>2023-10-24T21:41:00Z</cp:lastPrinted>
  <dcterms:modified xsi:type="dcterms:W3CDTF">2025-10-11T15:43:48Z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y fmtid="{D5CDD505-2E9C-101B-9397-08002B2CF9AE}" pid="4" name="KSOTemplateDocerSaveRecord">
    <vt:lpwstr>eyJoZGlkIjoiYTc2ZGZiNzZiNDVlOGViOWVmM2JhOTY0NGJkNjUyYzgiLCJ1c2VySWQiOiIyMjA2OTAwNTAifQ==</vt:lpwstr>
  </property>
</Properties>
</file>