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C10836">
      <w:pPr>
        <w:pStyle w:val="16"/>
        <w:jc w:val="center"/>
        <w:rPr>
          <w:rFonts w:ascii="Times New Roman" w:hAnsi="Times New Roman" w:eastAsia="仿宋" w:cs="Times New Roman"/>
          <w:sz w:val="48"/>
          <w:szCs w:val="48"/>
        </w:rPr>
      </w:pPr>
    </w:p>
    <w:p w14:paraId="62967E35">
      <w:pPr>
        <w:spacing w:line="600" w:lineRule="atLeast"/>
        <w:jc w:val="center"/>
        <w:rPr>
          <w:rFonts w:eastAsia="黑体"/>
          <w:sz w:val="52"/>
          <w:szCs w:val="52"/>
        </w:rPr>
      </w:pPr>
      <w:r>
        <w:rPr>
          <w:rFonts w:eastAsia="黑体"/>
          <w:sz w:val="52"/>
          <w:szCs w:val="52"/>
        </w:rPr>
        <w:t>广元市利州区紫兰建材厂</w:t>
      </w:r>
    </w:p>
    <w:p w14:paraId="2C924A54">
      <w:pPr>
        <w:spacing w:line="600" w:lineRule="atLeast"/>
        <w:jc w:val="center"/>
        <w:rPr>
          <w:rFonts w:eastAsia="黑体"/>
          <w:sz w:val="52"/>
          <w:szCs w:val="52"/>
        </w:rPr>
      </w:pPr>
      <w:r>
        <w:rPr>
          <w:rFonts w:eastAsia="黑体"/>
          <w:sz w:val="52"/>
          <w:szCs w:val="52"/>
        </w:rPr>
        <w:t>砖瓦用页岩矿</w:t>
      </w:r>
    </w:p>
    <w:p w14:paraId="6DF5B1F3">
      <w:pPr>
        <w:pStyle w:val="16"/>
        <w:jc w:val="center"/>
        <w:rPr>
          <w:rFonts w:ascii="Times New Roman" w:hAnsi="Times New Roman" w:eastAsia="黑体" w:cs="Times New Roman"/>
          <w:sz w:val="52"/>
          <w:szCs w:val="52"/>
        </w:rPr>
      </w:pPr>
      <w:r>
        <w:rPr>
          <w:rFonts w:ascii="Times New Roman" w:hAnsi="Times New Roman" w:eastAsia="黑体" w:cs="Times New Roman"/>
          <w:sz w:val="52"/>
          <w:szCs w:val="52"/>
        </w:rPr>
        <w:t>矿山地质环境保护与土地复垦方案</w:t>
      </w:r>
    </w:p>
    <w:p w14:paraId="3EE62DFE">
      <w:pPr>
        <w:pStyle w:val="16"/>
        <w:jc w:val="center"/>
        <w:rPr>
          <w:rFonts w:ascii="Times New Roman" w:hAnsi="Times New Roman" w:eastAsia="黑体" w:cs="Times New Roman"/>
          <w:sz w:val="52"/>
          <w:szCs w:val="52"/>
        </w:rPr>
      </w:pPr>
    </w:p>
    <w:p w14:paraId="3F8532F0">
      <w:pPr>
        <w:pStyle w:val="16"/>
        <w:jc w:val="center"/>
        <w:rPr>
          <w:rFonts w:ascii="Times New Roman" w:hAnsi="Times New Roman" w:eastAsia="黑体" w:cs="Times New Roman"/>
          <w:sz w:val="52"/>
          <w:szCs w:val="52"/>
        </w:rPr>
      </w:pPr>
    </w:p>
    <w:p w14:paraId="2EF1BAF4">
      <w:pPr>
        <w:pStyle w:val="16"/>
        <w:jc w:val="center"/>
        <w:rPr>
          <w:rFonts w:ascii="Times New Roman" w:hAnsi="Times New Roman" w:eastAsia="黑体" w:cs="Times New Roman"/>
          <w:sz w:val="52"/>
          <w:szCs w:val="52"/>
        </w:rPr>
      </w:pPr>
    </w:p>
    <w:p w14:paraId="04620121">
      <w:pPr>
        <w:pStyle w:val="16"/>
        <w:jc w:val="center"/>
        <w:rPr>
          <w:rFonts w:ascii="Times New Roman" w:hAnsi="Times New Roman" w:eastAsia="黑体" w:cs="Times New Roman"/>
          <w:sz w:val="52"/>
          <w:szCs w:val="52"/>
        </w:rPr>
      </w:pPr>
    </w:p>
    <w:p w14:paraId="0392D6BC">
      <w:pPr>
        <w:pStyle w:val="16"/>
        <w:jc w:val="center"/>
        <w:rPr>
          <w:rFonts w:ascii="Times New Roman" w:hAnsi="Times New Roman" w:eastAsia="黑体" w:cs="Times New Roman"/>
          <w:sz w:val="52"/>
          <w:szCs w:val="52"/>
        </w:rPr>
      </w:pPr>
    </w:p>
    <w:p w14:paraId="278E7208">
      <w:pPr>
        <w:pStyle w:val="16"/>
        <w:rPr>
          <w:rFonts w:ascii="Times New Roman" w:hAnsi="Times New Roman" w:eastAsia="黑体" w:cs="Times New Roman"/>
          <w:sz w:val="52"/>
          <w:szCs w:val="52"/>
        </w:rPr>
      </w:pPr>
    </w:p>
    <w:p w14:paraId="7C6E6A29">
      <w:pPr>
        <w:pStyle w:val="16"/>
        <w:rPr>
          <w:rFonts w:ascii="Times New Roman" w:hAnsi="Times New Roman" w:eastAsia="黑体" w:cs="Times New Roman"/>
          <w:sz w:val="52"/>
          <w:szCs w:val="52"/>
        </w:rPr>
      </w:pPr>
    </w:p>
    <w:p w14:paraId="3DAF3FCE">
      <w:pPr>
        <w:pStyle w:val="16"/>
        <w:jc w:val="center"/>
        <w:rPr>
          <w:rFonts w:ascii="Times New Roman" w:hAnsi="Times New Roman" w:cs="Times New Roman" w:eastAsiaTheme="minorEastAsia"/>
          <w:sz w:val="44"/>
          <w:szCs w:val="44"/>
        </w:rPr>
      </w:pPr>
    </w:p>
    <w:p w14:paraId="24DFE2CC">
      <w:pPr>
        <w:pStyle w:val="16"/>
        <w:jc w:val="center"/>
        <w:rPr>
          <w:rFonts w:ascii="Times New Roman" w:hAnsi="Times New Roman" w:cs="Times New Roman" w:eastAsiaTheme="minorEastAsia"/>
          <w:sz w:val="44"/>
          <w:szCs w:val="44"/>
        </w:rPr>
      </w:pPr>
    </w:p>
    <w:p w14:paraId="03144AB0">
      <w:pPr>
        <w:pStyle w:val="16"/>
        <w:jc w:val="center"/>
        <w:rPr>
          <w:rFonts w:ascii="Times New Roman" w:hAnsi="Times New Roman" w:cs="Times New Roman" w:eastAsiaTheme="minorEastAsia"/>
          <w:sz w:val="44"/>
          <w:szCs w:val="44"/>
        </w:rPr>
      </w:pPr>
    </w:p>
    <w:p w14:paraId="796CBA79">
      <w:pPr>
        <w:pStyle w:val="16"/>
        <w:jc w:val="center"/>
        <w:rPr>
          <w:rFonts w:ascii="Times New Roman" w:hAnsi="Times New Roman" w:cs="Times New Roman" w:eastAsiaTheme="minorEastAsia"/>
          <w:sz w:val="44"/>
          <w:szCs w:val="44"/>
        </w:rPr>
      </w:pPr>
    </w:p>
    <w:p w14:paraId="07005E3B">
      <w:pPr>
        <w:pStyle w:val="16"/>
        <w:jc w:val="center"/>
        <w:rPr>
          <w:rFonts w:ascii="Times New Roman" w:hAnsi="Times New Roman" w:cs="Times New Roman" w:eastAsiaTheme="minorEastAsia"/>
          <w:sz w:val="44"/>
          <w:szCs w:val="44"/>
        </w:rPr>
      </w:pPr>
    </w:p>
    <w:p w14:paraId="5D2FCC5F">
      <w:pPr>
        <w:pStyle w:val="16"/>
        <w:jc w:val="center"/>
        <w:rPr>
          <w:rFonts w:ascii="Times New Roman" w:hAnsi="Times New Roman" w:cs="Times New Roman" w:eastAsiaTheme="minorEastAsia"/>
          <w:sz w:val="44"/>
          <w:szCs w:val="44"/>
        </w:rPr>
      </w:pPr>
    </w:p>
    <w:p w14:paraId="318FC163">
      <w:pPr>
        <w:pStyle w:val="16"/>
        <w:jc w:val="center"/>
        <w:rPr>
          <w:rFonts w:ascii="Times New Roman" w:hAnsi="Times New Roman" w:cs="Times New Roman" w:eastAsiaTheme="minorEastAsia"/>
          <w:sz w:val="44"/>
          <w:szCs w:val="44"/>
        </w:rPr>
      </w:pPr>
      <w:r>
        <w:rPr>
          <w:rFonts w:ascii="Times New Roman" w:hAnsi="Times New Roman" w:cs="Times New Roman" w:eastAsiaTheme="minorEastAsia"/>
          <w:sz w:val="44"/>
          <w:szCs w:val="44"/>
        </w:rPr>
        <w:t>广元市利州区紫兰建材厂</w:t>
      </w:r>
    </w:p>
    <w:p w14:paraId="2A35259C">
      <w:pPr>
        <w:pStyle w:val="16"/>
        <w:jc w:val="center"/>
        <w:rPr>
          <w:rFonts w:ascii="Times New Roman" w:hAnsi="Times New Roman" w:eastAsia="仿宋" w:cs="Times New Roman"/>
          <w:sz w:val="52"/>
          <w:szCs w:val="52"/>
        </w:rPr>
      </w:pPr>
      <w:r>
        <w:rPr>
          <w:rFonts w:ascii="Times New Roman" w:hAnsi="Times New Roman" w:cs="Times New Roman" w:eastAsiaTheme="minorEastAsia"/>
          <w:sz w:val="44"/>
          <w:szCs w:val="44"/>
        </w:rPr>
        <w:t>2020年6月</w:t>
      </w:r>
    </w:p>
    <w:p w14:paraId="0A78A20F">
      <w:pPr>
        <w:pStyle w:val="16"/>
        <w:jc w:val="center"/>
        <w:rPr>
          <w:rFonts w:ascii="Times New Roman" w:hAnsi="Times New Roman" w:eastAsia="仿宋" w:cs="Times New Roman"/>
          <w:sz w:val="48"/>
          <w:szCs w:val="48"/>
        </w:rPr>
      </w:pPr>
      <w:r>
        <w:rPr>
          <w:rFonts w:ascii="Times New Roman" w:hAnsi="Times New Roman" w:eastAsia="仿宋" w:cs="Times New Roman"/>
          <w:sz w:val="52"/>
          <w:szCs w:val="52"/>
        </w:rPr>
        <w:br w:type="page"/>
      </w:r>
    </w:p>
    <w:p w14:paraId="7294E1EE">
      <w:pPr>
        <w:pStyle w:val="16"/>
        <w:jc w:val="center"/>
        <w:rPr>
          <w:rFonts w:ascii="Times New Roman" w:hAnsi="Times New Roman" w:eastAsia="仿宋" w:cs="Times New Roman"/>
          <w:sz w:val="48"/>
          <w:szCs w:val="48"/>
        </w:rPr>
      </w:pPr>
    </w:p>
    <w:p w14:paraId="6B4996CE">
      <w:pPr>
        <w:pStyle w:val="16"/>
        <w:jc w:val="center"/>
        <w:rPr>
          <w:rFonts w:ascii="Times New Roman" w:hAnsi="Times New Roman" w:eastAsia="仿宋" w:cs="Times New Roman"/>
          <w:sz w:val="48"/>
          <w:szCs w:val="48"/>
        </w:rPr>
      </w:pPr>
    </w:p>
    <w:p w14:paraId="548B04B0">
      <w:pPr>
        <w:spacing w:line="600" w:lineRule="atLeast"/>
        <w:jc w:val="center"/>
        <w:rPr>
          <w:rFonts w:eastAsia="黑体"/>
          <w:sz w:val="52"/>
          <w:szCs w:val="52"/>
        </w:rPr>
      </w:pPr>
      <w:r>
        <w:rPr>
          <w:rFonts w:eastAsia="黑体"/>
          <w:sz w:val="52"/>
          <w:szCs w:val="52"/>
        </w:rPr>
        <w:t>广元市利州区紫兰建材厂</w:t>
      </w:r>
    </w:p>
    <w:p w14:paraId="18ACB224">
      <w:pPr>
        <w:spacing w:line="600" w:lineRule="atLeast"/>
        <w:jc w:val="center"/>
        <w:rPr>
          <w:rFonts w:eastAsia="黑体"/>
          <w:sz w:val="52"/>
          <w:szCs w:val="52"/>
        </w:rPr>
      </w:pPr>
      <w:r>
        <w:rPr>
          <w:rFonts w:eastAsia="黑体"/>
          <w:sz w:val="52"/>
          <w:szCs w:val="52"/>
        </w:rPr>
        <w:t>砖瓦用页岩矿</w:t>
      </w:r>
    </w:p>
    <w:p w14:paraId="1330691F">
      <w:pPr>
        <w:pStyle w:val="16"/>
        <w:jc w:val="center"/>
        <w:rPr>
          <w:rFonts w:ascii="Times New Roman" w:hAnsi="Times New Roman" w:eastAsia="黑体" w:cs="Times New Roman"/>
          <w:sz w:val="52"/>
          <w:szCs w:val="52"/>
        </w:rPr>
      </w:pPr>
      <w:r>
        <w:rPr>
          <w:rFonts w:ascii="Times New Roman" w:hAnsi="Times New Roman" w:eastAsia="黑体" w:cs="Times New Roman"/>
          <w:sz w:val="52"/>
          <w:szCs w:val="52"/>
        </w:rPr>
        <w:t>矿山地质环境保护与土地复垦方案</w:t>
      </w:r>
    </w:p>
    <w:p w14:paraId="1A76E853">
      <w:pPr>
        <w:ind w:firstLine="880"/>
        <w:jc w:val="center"/>
        <w:rPr>
          <w:rFonts w:eastAsiaTheme="minorEastAsia"/>
          <w:sz w:val="44"/>
          <w:szCs w:val="44"/>
        </w:rPr>
      </w:pPr>
    </w:p>
    <w:p w14:paraId="63D00D2F">
      <w:pPr>
        <w:ind w:firstLine="880"/>
        <w:jc w:val="center"/>
        <w:rPr>
          <w:rFonts w:eastAsiaTheme="minorEastAsia"/>
          <w:sz w:val="44"/>
          <w:szCs w:val="44"/>
        </w:rPr>
      </w:pPr>
    </w:p>
    <w:p w14:paraId="09D19DCE">
      <w:pPr>
        <w:ind w:firstLine="880"/>
        <w:jc w:val="center"/>
        <w:rPr>
          <w:rFonts w:eastAsiaTheme="minorEastAsia"/>
          <w:sz w:val="44"/>
          <w:szCs w:val="44"/>
        </w:rPr>
      </w:pPr>
    </w:p>
    <w:p w14:paraId="376A537E">
      <w:pPr>
        <w:ind w:firstLine="880"/>
        <w:jc w:val="center"/>
        <w:rPr>
          <w:rFonts w:eastAsiaTheme="minorEastAsia"/>
          <w:sz w:val="44"/>
          <w:szCs w:val="44"/>
        </w:rPr>
      </w:pPr>
    </w:p>
    <w:p w14:paraId="3EF06879">
      <w:pPr>
        <w:ind w:firstLine="880"/>
        <w:jc w:val="center"/>
        <w:rPr>
          <w:rFonts w:eastAsiaTheme="minorEastAsia"/>
          <w:sz w:val="44"/>
          <w:szCs w:val="44"/>
        </w:rPr>
      </w:pPr>
    </w:p>
    <w:p w14:paraId="7720DD73">
      <w:pPr>
        <w:ind w:firstLine="880"/>
        <w:jc w:val="center"/>
        <w:rPr>
          <w:rFonts w:eastAsiaTheme="minorEastAsia"/>
          <w:sz w:val="44"/>
          <w:szCs w:val="44"/>
        </w:rPr>
      </w:pPr>
    </w:p>
    <w:tbl>
      <w:tblPr>
        <w:tblStyle w:val="30"/>
        <w:tblW w:w="7083" w:type="dxa"/>
        <w:tblInd w:w="70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1843"/>
        <w:gridCol w:w="5240"/>
      </w:tblGrid>
      <w:tr w14:paraId="6FCC96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09F859AB">
            <w:pPr>
              <w:jc w:val="distribute"/>
              <w:rPr>
                <w:sz w:val="32"/>
                <w:szCs w:val="32"/>
              </w:rPr>
            </w:pPr>
            <w:r>
              <w:rPr>
                <w:sz w:val="32"/>
                <w:szCs w:val="32"/>
              </w:rPr>
              <w:t>申报单位：</w:t>
            </w:r>
          </w:p>
        </w:tc>
        <w:tc>
          <w:tcPr>
            <w:tcW w:w="5240" w:type="dxa"/>
          </w:tcPr>
          <w:p w14:paraId="3A4963D1">
            <w:pPr>
              <w:rPr>
                <w:sz w:val="32"/>
                <w:szCs w:val="32"/>
              </w:rPr>
            </w:pPr>
            <w:r>
              <w:rPr>
                <w:sz w:val="32"/>
                <w:szCs w:val="32"/>
              </w:rPr>
              <w:t>广元市利州区紫兰建材厂</w:t>
            </w:r>
          </w:p>
        </w:tc>
      </w:tr>
      <w:tr w14:paraId="4C781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712F833A">
            <w:pPr>
              <w:jc w:val="distribute"/>
              <w:rPr>
                <w:sz w:val="32"/>
                <w:szCs w:val="32"/>
              </w:rPr>
            </w:pPr>
            <w:r>
              <w:rPr>
                <w:sz w:val="32"/>
                <w:szCs w:val="32"/>
              </w:rPr>
              <w:t>法人代表：</w:t>
            </w:r>
          </w:p>
        </w:tc>
        <w:tc>
          <w:tcPr>
            <w:tcW w:w="5240" w:type="dxa"/>
          </w:tcPr>
          <w:p w14:paraId="24A7E812">
            <w:pPr>
              <w:rPr>
                <w:sz w:val="32"/>
                <w:szCs w:val="32"/>
              </w:rPr>
            </w:pPr>
          </w:p>
        </w:tc>
      </w:tr>
      <w:tr w14:paraId="7E5C43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72F49AD1">
            <w:pPr>
              <w:jc w:val="distribute"/>
              <w:rPr>
                <w:sz w:val="32"/>
                <w:szCs w:val="32"/>
              </w:rPr>
            </w:pPr>
            <w:r>
              <w:rPr>
                <w:sz w:val="32"/>
                <w:szCs w:val="32"/>
              </w:rPr>
              <w:t>编制单位：</w:t>
            </w:r>
          </w:p>
        </w:tc>
        <w:tc>
          <w:tcPr>
            <w:tcW w:w="5240" w:type="dxa"/>
          </w:tcPr>
          <w:p w14:paraId="3CE3EE3C">
            <w:pPr>
              <w:rPr>
                <w:sz w:val="32"/>
                <w:szCs w:val="32"/>
              </w:rPr>
            </w:pPr>
            <w:r>
              <w:rPr>
                <w:sz w:val="32"/>
                <w:szCs w:val="32"/>
              </w:rPr>
              <w:t>广元林晨工程咨询服务有限公司</w:t>
            </w:r>
          </w:p>
        </w:tc>
      </w:tr>
      <w:tr w14:paraId="498D4E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07B362F7">
            <w:pPr>
              <w:jc w:val="distribute"/>
              <w:rPr>
                <w:sz w:val="32"/>
                <w:szCs w:val="32"/>
              </w:rPr>
            </w:pPr>
            <w:r>
              <w:rPr>
                <w:sz w:val="32"/>
                <w:szCs w:val="32"/>
              </w:rPr>
              <w:t>法人代表：</w:t>
            </w:r>
          </w:p>
        </w:tc>
        <w:tc>
          <w:tcPr>
            <w:tcW w:w="5240" w:type="dxa"/>
          </w:tcPr>
          <w:p w14:paraId="747C433D">
            <w:pPr>
              <w:rPr>
                <w:sz w:val="32"/>
                <w:szCs w:val="32"/>
              </w:rPr>
            </w:pPr>
            <w:r>
              <w:rPr>
                <w:sz w:val="32"/>
                <w:szCs w:val="32"/>
              </w:rPr>
              <w:t>周爽</w:t>
            </w:r>
          </w:p>
        </w:tc>
      </w:tr>
      <w:tr w14:paraId="1DD5C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231C6777">
            <w:pPr>
              <w:jc w:val="distribute"/>
              <w:rPr>
                <w:sz w:val="32"/>
                <w:szCs w:val="32"/>
              </w:rPr>
            </w:pPr>
            <w:r>
              <w:rPr>
                <w:sz w:val="32"/>
                <w:szCs w:val="32"/>
              </w:rPr>
              <w:t>总工程师：</w:t>
            </w:r>
          </w:p>
        </w:tc>
        <w:tc>
          <w:tcPr>
            <w:tcW w:w="5240" w:type="dxa"/>
          </w:tcPr>
          <w:p w14:paraId="178CDE67">
            <w:pPr>
              <w:rPr>
                <w:sz w:val="32"/>
                <w:szCs w:val="32"/>
              </w:rPr>
            </w:pPr>
            <w:r>
              <w:rPr>
                <w:sz w:val="32"/>
                <w:szCs w:val="32"/>
              </w:rPr>
              <w:t>周爽</w:t>
            </w:r>
          </w:p>
        </w:tc>
      </w:tr>
      <w:tr w14:paraId="4A6FAE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5006BB73">
            <w:pPr>
              <w:jc w:val="distribute"/>
              <w:rPr>
                <w:sz w:val="32"/>
                <w:szCs w:val="32"/>
              </w:rPr>
            </w:pPr>
            <w:r>
              <w:rPr>
                <w:sz w:val="32"/>
                <w:szCs w:val="32"/>
              </w:rPr>
              <w:t>项目负责人：</w:t>
            </w:r>
          </w:p>
        </w:tc>
        <w:tc>
          <w:tcPr>
            <w:tcW w:w="5240" w:type="dxa"/>
          </w:tcPr>
          <w:p w14:paraId="4C2C92C9">
            <w:pPr>
              <w:rPr>
                <w:sz w:val="32"/>
                <w:szCs w:val="32"/>
              </w:rPr>
            </w:pPr>
            <w:r>
              <w:rPr>
                <w:sz w:val="32"/>
                <w:szCs w:val="32"/>
              </w:rPr>
              <w:t>杨小燕</w:t>
            </w:r>
          </w:p>
        </w:tc>
      </w:tr>
      <w:tr w14:paraId="33F2DE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5CDDC6E1">
            <w:pPr>
              <w:jc w:val="distribute"/>
              <w:rPr>
                <w:sz w:val="32"/>
                <w:szCs w:val="32"/>
              </w:rPr>
            </w:pPr>
            <w:r>
              <w:rPr>
                <w:sz w:val="32"/>
                <w:szCs w:val="32"/>
              </w:rPr>
              <w:t>编写人员：</w:t>
            </w:r>
          </w:p>
        </w:tc>
        <w:tc>
          <w:tcPr>
            <w:tcW w:w="5240" w:type="dxa"/>
          </w:tcPr>
          <w:p w14:paraId="3E32F5A4">
            <w:pPr>
              <w:rPr>
                <w:sz w:val="32"/>
                <w:szCs w:val="32"/>
              </w:rPr>
            </w:pPr>
            <w:r>
              <w:rPr>
                <w:sz w:val="32"/>
                <w:szCs w:val="32"/>
              </w:rPr>
              <w:t>杨小燕</w:t>
            </w:r>
          </w:p>
        </w:tc>
      </w:tr>
      <w:tr w14:paraId="6D175E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1843" w:type="dxa"/>
          </w:tcPr>
          <w:p w14:paraId="2055FBEB">
            <w:pPr>
              <w:jc w:val="distribute"/>
              <w:rPr>
                <w:sz w:val="32"/>
                <w:szCs w:val="32"/>
              </w:rPr>
            </w:pPr>
            <w:r>
              <w:rPr>
                <w:sz w:val="32"/>
                <w:szCs w:val="32"/>
              </w:rPr>
              <w:t>制图人员：</w:t>
            </w:r>
          </w:p>
        </w:tc>
        <w:tc>
          <w:tcPr>
            <w:tcW w:w="5240" w:type="dxa"/>
          </w:tcPr>
          <w:p w14:paraId="5A074880">
            <w:pPr>
              <w:rPr>
                <w:sz w:val="32"/>
                <w:szCs w:val="32"/>
              </w:rPr>
            </w:pPr>
            <w:r>
              <w:rPr>
                <w:sz w:val="32"/>
                <w:szCs w:val="32"/>
              </w:rPr>
              <w:t>杨小燕</w:t>
            </w:r>
          </w:p>
        </w:tc>
      </w:tr>
    </w:tbl>
    <w:p w14:paraId="3FC3F8EB">
      <w:pPr>
        <w:ind w:firstLine="880"/>
        <w:jc w:val="center"/>
        <w:rPr>
          <w:rFonts w:eastAsiaTheme="minorEastAsia"/>
          <w:sz w:val="44"/>
          <w:szCs w:val="44"/>
        </w:rPr>
      </w:pPr>
    </w:p>
    <w:p w14:paraId="3190DF0D">
      <w:pPr>
        <w:widowControl/>
        <w:jc w:val="left"/>
        <w:rPr>
          <w:rFonts w:eastAsiaTheme="minorEastAsia"/>
          <w:sz w:val="32"/>
          <w:szCs w:val="32"/>
        </w:rPr>
      </w:pPr>
      <w:r>
        <w:rPr>
          <w:rFonts w:eastAsiaTheme="minorEastAsia"/>
          <w:sz w:val="32"/>
          <w:szCs w:val="32"/>
        </w:rPr>
        <w:br w:type="page"/>
      </w:r>
    </w:p>
    <w:p w14:paraId="6317F468">
      <w:pPr>
        <w:widowControl/>
        <w:jc w:val="left"/>
        <w:rPr>
          <w:rFonts w:ascii="宋体" w:hAnsi="宋体" w:cs="宋体"/>
          <w:kern w:val="0"/>
          <w:sz w:val="24"/>
        </w:rPr>
      </w:pPr>
      <w:r>
        <w:rPr>
          <w:rFonts w:ascii="宋体" w:hAnsi="宋体" w:cs="宋体"/>
          <w:kern w:val="0"/>
          <w:sz w:val="24"/>
        </w:rPr>
        <w:drawing>
          <wp:anchor distT="0" distB="0" distL="114300" distR="114300" simplePos="0" relativeHeight="251666432" behindDoc="0" locked="0" layoutInCell="1" allowOverlap="1">
            <wp:simplePos x="0" y="0"/>
            <wp:positionH relativeFrom="margin">
              <wp:align>center</wp:align>
            </wp:positionH>
            <wp:positionV relativeFrom="margin">
              <wp:align>top</wp:align>
            </wp:positionV>
            <wp:extent cx="6687185" cy="8762365"/>
            <wp:effectExtent l="0" t="0" r="0" b="0"/>
            <wp:wrapSquare wrapText="bothSides"/>
            <wp:docPr id="31" name="图片 31" descr="C:\Users\123\AppData\Roaming\Tencent\Users\1070675099\QQ\WinTemp\RichOle\FSJE_A%UK9I~B}2J]R7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123\AppData\Roaming\Tencent\Users\1070675099\QQ\WinTemp\RichOle\FSJE_A%UK9I~B}2J]R7C`%P.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687185" cy="8762365"/>
                    </a:xfrm>
                    <a:prstGeom prst="rect">
                      <a:avLst/>
                    </a:prstGeom>
                    <a:noFill/>
                    <a:ln>
                      <a:noFill/>
                    </a:ln>
                  </pic:spPr>
                </pic:pic>
              </a:graphicData>
            </a:graphic>
          </wp:anchor>
        </w:drawing>
      </w:r>
    </w:p>
    <w:p w14:paraId="347993BC">
      <w:pPr>
        <w:spacing w:after="240"/>
        <w:ind w:firstLine="643"/>
        <w:jc w:val="center"/>
        <w:rPr>
          <w:b/>
          <w:bCs/>
          <w:sz w:val="32"/>
          <w:szCs w:val="32"/>
        </w:rPr>
      </w:pPr>
      <w:r>
        <w:rPr>
          <w:rFonts w:hint="eastAsia"/>
          <w:b/>
          <w:bCs/>
          <w:sz w:val="32"/>
          <w:szCs w:val="32"/>
        </w:rPr>
        <w:drawing>
          <wp:anchor distT="0" distB="0" distL="114300" distR="114300" simplePos="0" relativeHeight="251667456" behindDoc="0" locked="0" layoutInCell="1" allowOverlap="1">
            <wp:simplePos x="0" y="0"/>
            <wp:positionH relativeFrom="margin">
              <wp:align>center</wp:align>
            </wp:positionH>
            <wp:positionV relativeFrom="margin">
              <wp:align>top</wp:align>
            </wp:positionV>
            <wp:extent cx="5266055" cy="8650605"/>
            <wp:effectExtent l="0" t="0" r="0" b="0"/>
            <wp:wrapSquare wrapText="bothSides"/>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0" cstate="print">
                      <a:extLst>
                        <a:ext uri="{28A0092B-C50C-407E-A947-70E740481C1C}">
                          <a14:useLocalDpi xmlns:a14="http://schemas.microsoft.com/office/drawing/2010/main" val="0"/>
                        </a:ext>
                      </a:extLst>
                    </a:blip>
                    <a:srcRect l="3166" r="5279" b="2492"/>
                    <a:stretch>
                      <a:fillRect/>
                    </a:stretch>
                  </pic:blipFill>
                  <pic:spPr>
                    <a:xfrm>
                      <a:off x="0" y="0"/>
                      <a:ext cx="5266488" cy="8650899"/>
                    </a:xfrm>
                    <a:prstGeom prst="rect">
                      <a:avLst/>
                    </a:prstGeom>
                    <a:noFill/>
                    <a:ln>
                      <a:noFill/>
                    </a:ln>
                  </pic:spPr>
                </pic:pic>
              </a:graphicData>
            </a:graphic>
          </wp:anchor>
        </w:drawing>
      </w:r>
    </w:p>
    <w:p w14:paraId="7C31AD62">
      <w:pPr>
        <w:widowControl/>
        <w:jc w:val="left"/>
        <w:rPr>
          <w:rFonts w:ascii="宋体" w:hAnsi="宋体" w:cs="宋体"/>
          <w:kern w:val="0"/>
          <w:sz w:val="24"/>
        </w:rPr>
      </w:pPr>
      <w:r>
        <w:rPr>
          <w:rFonts w:ascii="宋体" w:hAnsi="宋体" w:cs="宋体"/>
          <w:kern w:val="0"/>
          <w:sz w:val="24"/>
        </w:rPr>
        <w:drawing>
          <wp:anchor distT="0" distB="0" distL="114300" distR="114300" simplePos="0" relativeHeight="251668480" behindDoc="0" locked="0" layoutInCell="1" allowOverlap="1">
            <wp:simplePos x="0" y="0"/>
            <wp:positionH relativeFrom="margin">
              <wp:align>center</wp:align>
            </wp:positionH>
            <wp:positionV relativeFrom="margin">
              <wp:align>top</wp:align>
            </wp:positionV>
            <wp:extent cx="6487795" cy="8754110"/>
            <wp:effectExtent l="0" t="0" r="0" b="0"/>
            <wp:wrapSquare wrapText="bothSides"/>
            <wp:docPr id="33" name="图片 33" descr="C:\Users\123\AppData\Roaming\Tencent\Users\1070675099\QQ\WinTemp\RichOle\Y8RAO0(HBY87P3))YA~KH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123\AppData\Roaming\Tencent\Users\1070675099\QQ\WinTemp\RichOle\Y8RAO0(HBY87P3))YA~KHGS.png"/>
                    <pic:cNvPicPr>
                      <a:picLocks noChangeAspect="1" noChangeArrowheads="1"/>
                    </pic:cNvPicPr>
                  </pic:nvPicPr>
                  <pic:blipFill>
                    <a:blip r:embed="rId11">
                      <a:extLst>
                        <a:ext uri="{28A0092B-C50C-407E-A947-70E740481C1C}">
                          <a14:useLocalDpi xmlns:a14="http://schemas.microsoft.com/office/drawing/2010/main" val="0"/>
                        </a:ext>
                      </a:extLst>
                    </a:blip>
                    <a:srcRect l="1687"/>
                    <a:stretch>
                      <a:fillRect/>
                    </a:stretch>
                  </pic:blipFill>
                  <pic:spPr>
                    <a:xfrm>
                      <a:off x="0" y="0"/>
                      <a:ext cx="6488236" cy="8754110"/>
                    </a:xfrm>
                    <a:prstGeom prst="rect">
                      <a:avLst/>
                    </a:prstGeom>
                    <a:noFill/>
                    <a:ln>
                      <a:noFill/>
                    </a:ln>
                  </pic:spPr>
                </pic:pic>
              </a:graphicData>
            </a:graphic>
          </wp:anchor>
        </w:drawing>
      </w:r>
    </w:p>
    <w:p w14:paraId="401AA54B">
      <w:pPr>
        <w:spacing w:after="240"/>
        <w:ind w:firstLine="643"/>
        <w:jc w:val="center"/>
        <w:rPr>
          <w:b/>
          <w:bCs/>
          <w:sz w:val="32"/>
          <w:szCs w:val="32"/>
        </w:rPr>
      </w:pPr>
      <w:r>
        <w:rPr>
          <w:b/>
          <w:bCs/>
          <w:sz w:val="32"/>
          <w:szCs w:val="32"/>
        </w:rPr>
        <w:t>矿山地质环境保护与土地复垦方案信息表</w:t>
      </w:r>
    </w:p>
    <w:tbl>
      <w:tblPr>
        <w:tblStyle w:val="29"/>
        <w:tblW w:w="875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1556"/>
        <w:gridCol w:w="2271"/>
        <w:gridCol w:w="1985"/>
        <w:gridCol w:w="2129"/>
      </w:tblGrid>
      <w:tr w14:paraId="3AA2E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restart"/>
            <w:tcBorders>
              <w:top w:val="single" w:color="000000" w:sz="4" w:space="0"/>
              <w:left w:val="single" w:color="000000" w:sz="4" w:space="0"/>
              <w:bottom w:val="single" w:color="000000" w:sz="4" w:space="0"/>
              <w:right w:val="single" w:color="000000" w:sz="4" w:space="0"/>
            </w:tcBorders>
            <w:vAlign w:val="center"/>
          </w:tcPr>
          <w:p w14:paraId="57044F81">
            <w:pPr>
              <w:jc w:val="center"/>
              <w:rPr>
                <w:sz w:val="24"/>
              </w:rPr>
            </w:pPr>
            <w:r>
              <w:rPr>
                <w:sz w:val="24"/>
              </w:rPr>
              <w:t>矿</w:t>
            </w:r>
          </w:p>
          <w:p w14:paraId="0BDA565F">
            <w:pPr>
              <w:jc w:val="center"/>
              <w:rPr>
                <w:sz w:val="24"/>
              </w:rPr>
            </w:pPr>
            <w:r>
              <w:rPr>
                <w:sz w:val="24"/>
              </w:rPr>
              <w:t>山</w:t>
            </w:r>
          </w:p>
          <w:p w14:paraId="5890032D">
            <w:pPr>
              <w:jc w:val="center"/>
              <w:rPr>
                <w:sz w:val="24"/>
              </w:rPr>
            </w:pPr>
            <w:r>
              <w:rPr>
                <w:sz w:val="24"/>
              </w:rPr>
              <w:t>企</w:t>
            </w:r>
          </w:p>
          <w:p w14:paraId="30AE19D5">
            <w:pPr>
              <w:jc w:val="center"/>
              <w:rPr>
                <w:sz w:val="24"/>
              </w:rPr>
            </w:pPr>
            <w:r>
              <w:rPr>
                <w:sz w:val="24"/>
              </w:rPr>
              <w:t>业</w:t>
            </w:r>
          </w:p>
        </w:tc>
        <w:tc>
          <w:tcPr>
            <w:tcW w:w="1556" w:type="dxa"/>
            <w:tcBorders>
              <w:top w:val="single" w:color="000000" w:sz="4" w:space="0"/>
              <w:left w:val="single" w:color="000000" w:sz="4" w:space="0"/>
              <w:bottom w:val="single" w:color="000000" w:sz="4" w:space="0"/>
              <w:right w:val="single" w:color="000000" w:sz="4" w:space="0"/>
            </w:tcBorders>
            <w:vAlign w:val="center"/>
          </w:tcPr>
          <w:p w14:paraId="14960BFE">
            <w:pPr>
              <w:jc w:val="center"/>
              <w:rPr>
                <w:sz w:val="24"/>
              </w:rPr>
            </w:pPr>
            <w:r>
              <w:rPr>
                <w:sz w:val="24"/>
              </w:rPr>
              <w:t>企业名称</w:t>
            </w:r>
          </w:p>
        </w:tc>
        <w:tc>
          <w:tcPr>
            <w:tcW w:w="6385" w:type="dxa"/>
            <w:gridSpan w:val="3"/>
            <w:tcBorders>
              <w:top w:val="single" w:color="000000" w:sz="4" w:space="0"/>
              <w:left w:val="single" w:color="000000" w:sz="4" w:space="0"/>
              <w:bottom w:val="single" w:color="000000" w:sz="4" w:space="0"/>
              <w:right w:val="single" w:color="000000" w:sz="4" w:space="0"/>
            </w:tcBorders>
            <w:vAlign w:val="center"/>
          </w:tcPr>
          <w:p w14:paraId="191C8D2E">
            <w:pPr>
              <w:jc w:val="center"/>
              <w:rPr>
                <w:rFonts w:eastAsia="黑体"/>
                <w:sz w:val="52"/>
                <w:szCs w:val="52"/>
              </w:rPr>
            </w:pPr>
            <w:r>
              <w:rPr>
                <w:sz w:val="24"/>
              </w:rPr>
              <w:t>广元市利州区紫兰建材厂</w:t>
            </w:r>
          </w:p>
        </w:tc>
      </w:tr>
      <w:tr w14:paraId="54C86C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6F1006E2">
            <w:pPr>
              <w:jc w:val="center"/>
              <w:rPr>
                <w:sz w:val="24"/>
              </w:rPr>
            </w:pPr>
          </w:p>
        </w:tc>
        <w:tc>
          <w:tcPr>
            <w:tcW w:w="1556" w:type="dxa"/>
            <w:tcBorders>
              <w:top w:val="single" w:color="000000" w:sz="4" w:space="0"/>
              <w:left w:val="single" w:color="000000" w:sz="4" w:space="0"/>
              <w:bottom w:val="single" w:color="000000" w:sz="4" w:space="0"/>
              <w:right w:val="single" w:color="000000" w:sz="4" w:space="0"/>
            </w:tcBorders>
            <w:vAlign w:val="center"/>
          </w:tcPr>
          <w:p w14:paraId="25FCB618">
            <w:pPr>
              <w:jc w:val="center"/>
              <w:rPr>
                <w:sz w:val="24"/>
              </w:rPr>
            </w:pPr>
            <w:r>
              <w:rPr>
                <w:sz w:val="24"/>
              </w:rPr>
              <w:t>法人代表</w:t>
            </w:r>
          </w:p>
        </w:tc>
        <w:tc>
          <w:tcPr>
            <w:tcW w:w="2271" w:type="dxa"/>
            <w:tcBorders>
              <w:top w:val="single" w:color="000000" w:sz="4" w:space="0"/>
              <w:left w:val="single" w:color="000000" w:sz="4" w:space="0"/>
              <w:bottom w:val="single" w:color="000000" w:sz="4" w:space="0"/>
              <w:right w:val="single" w:color="000000" w:sz="4" w:space="0"/>
            </w:tcBorders>
            <w:vAlign w:val="center"/>
          </w:tcPr>
          <w:p w14:paraId="67A5CAA1">
            <w:pPr>
              <w:jc w:val="center"/>
              <w:rPr>
                <w:sz w:val="24"/>
              </w:rPr>
            </w:pPr>
          </w:p>
        </w:tc>
        <w:tc>
          <w:tcPr>
            <w:tcW w:w="1985" w:type="dxa"/>
            <w:tcBorders>
              <w:top w:val="single" w:color="000000" w:sz="4" w:space="0"/>
              <w:left w:val="single" w:color="000000" w:sz="4" w:space="0"/>
              <w:bottom w:val="single" w:color="000000" w:sz="4" w:space="0"/>
              <w:right w:val="single" w:color="000000" w:sz="4" w:space="0"/>
            </w:tcBorders>
            <w:vAlign w:val="center"/>
          </w:tcPr>
          <w:p w14:paraId="6352A3A7">
            <w:pPr>
              <w:jc w:val="center"/>
              <w:rPr>
                <w:sz w:val="24"/>
              </w:rPr>
            </w:pPr>
            <w:r>
              <w:rPr>
                <w:sz w:val="24"/>
              </w:rPr>
              <w:t>联系电话</w:t>
            </w:r>
          </w:p>
        </w:tc>
        <w:tc>
          <w:tcPr>
            <w:tcW w:w="2129" w:type="dxa"/>
            <w:tcBorders>
              <w:top w:val="single" w:color="000000" w:sz="4" w:space="0"/>
              <w:left w:val="single" w:color="000000" w:sz="4" w:space="0"/>
              <w:bottom w:val="single" w:color="000000" w:sz="4" w:space="0"/>
              <w:right w:val="single" w:color="000000" w:sz="4" w:space="0"/>
            </w:tcBorders>
            <w:vAlign w:val="center"/>
          </w:tcPr>
          <w:p w14:paraId="34029EC0">
            <w:pPr>
              <w:jc w:val="center"/>
              <w:rPr>
                <w:sz w:val="24"/>
              </w:rPr>
            </w:pPr>
          </w:p>
        </w:tc>
      </w:tr>
      <w:tr w14:paraId="331BBB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2524C197">
            <w:pPr>
              <w:jc w:val="center"/>
              <w:rPr>
                <w:sz w:val="24"/>
              </w:rPr>
            </w:pPr>
          </w:p>
        </w:tc>
        <w:tc>
          <w:tcPr>
            <w:tcW w:w="1556" w:type="dxa"/>
            <w:tcBorders>
              <w:top w:val="single" w:color="000000" w:sz="4" w:space="0"/>
              <w:left w:val="single" w:color="000000" w:sz="4" w:space="0"/>
              <w:bottom w:val="single" w:color="000000" w:sz="4" w:space="0"/>
              <w:right w:val="single" w:color="000000" w:sz="4" w:space="0"/>
            </w:tcBorders>
            <w:vAlign w:val="center"/>
          </w:tcPr>
          <w:p w14:paraId="6B346E12">
            <w:pPr>
              <w:jc w:val="center"/>
              <w:rPr>
                <w:sz w:val="24"/>
              </w:rPr>
            </w:pPr>
            <w:r>
              <w:rPr>
                <w:sz w:val="24"/>
              </w:rPr>
              <w:t>单位地址</w:t>
            </w:r>
          </w:p>
        </w:tc>
        <w:tc>
          <w:tcPr>
            <w:tcW w:w="6385" w:type="dxa"/>
            <w:gridSpan w:val="3"/>
            <w:tcBorders>
              <w:top w:val="single" w:color="000000" w:sz="4" w:space="0"/>
              <w:left w:val="single" w:color="000000" w:sz="4" w:space="0"/>
              <w:bottom w:val="single" w:color="000000" w:sz="4" w:space="0"/>
              <w:right w:val="single" w:color="000000" w:sz="4" w:space="0"/>
            </w:tcBorders>
            <w:vAlign w:val="center"/>
          </w:tcPr>
          <w:p w14:paraId="6D9D58C0">
            <w:pPr>
              <w:jc w:val="center"/>
              <w:rPr>
                <w:sz w:val="24"/>
              </w:rPr>
            </w:pPr>
            <w:r>
              <w:rPr>
                <w:sz w:val="24"/>
              </w:rPr>
              <w:t>广元市利州区宝轮镇紫兰社区</w:t>
            </w:r>
          </w:p>
        </w:tc>
      </w:tr>
      <w:tr w14:paraId="0AA1DE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5FE2279C">
            <w:pPr>
              <w:jc w:val="center"/>
              <w:rPr>
                <w:sz w:val="24"/>
              </w:rPr>
            </w:pPr>
          </w:p>
        </w:tc>
        <w:tc>
          <w:tcPr>
            <w:tcW w:w="1556" w:type="dxa"/>
            <w:tcBorders>
              <w:top w:val="single" w:color="000000" w:sz="4" w:space="0"/>
              <w:left w:val="single" w:color="000000" w:sz="4" w:space="0"/>
              <w:bottom w:val="single" w:color="000000" w:sz="4" w:space="0"/>
              <w:right w:val="single" w:color="000000" w:sz="4" w:space="0"/>
            </w:tcBorders>
            <w:vAlign w:val="center"/>
          </w:tcPr>
          <w:p w14:paraId="1FC90B98">
            <w:pPr>
              <w:jc w:val="center"/>
              <w:rPr>
                <w:sz w:val="24"/>
              </w:rPr>
            </w:pPr>
            <w:r>
              <w:rPr>
                <w:sz w:val="24"/>
              </w:rPr>
              <w:t>矿山名称</w:t>
            </w:r>
          </w:p>
        </w:tc>
        <w:tc>
          <w:tcPr>
            <w:tcW w:w="6385" w:type="dxa"/>
            <w:gridSpan w:val="3"/>
            <w:tcBorders>
              <w:top w:val="single" w:color="000000" w:sz="4" w:space="0"/>
              <w:left w:val="single" w:color="000000" w:sz="4" w:space="0"/>
              <w:bottom w:val="single" w:color="000000" w:sz="4" w:space="0"/>
              <w:right w:val="single" w:color="000000" w:sz="4" w:space="0"/>
            </w:tcBorders>
            <w:vAlign w:val="center"/>
          </w:tcPr>
          <w:p w14:paraId="606CC277">
            <w:pPr>
              <w:pStyle w:val="16"/>
              <w:jc w:val="center"/>
              <w:rPr>
                <w:rFonts w:ascii="Times New Roman" w:hAnsi="Times New Roman" w:cs="Times New Roman"/>
                <w:sz w:val="24"/>
              </w:rPr>
            </w:pPr>
            <w:r>
              <w:rPr>
                <w:rFonts w:ascii="Times New Roman" w:hAnsi="Times New Roman" w:cs="Times New Roman"/>
                <w:sz w:val="24"/>
                <w:szCs w:val="24"/>
              </w:rPr>
              <w:t>广元市利州区紫兰建材厂</w:t>
            </w:r>
          </w:p>
        </w:tc>
      </w:tr>
      <w:tr w14:paraId="6D998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1ACA1973">
            <w:pPr>
              <w:jc w:val="center"/>
              <w:rPr>
                <w:sz w:val="24"/>
              </w:rPr>
            </w:pPr>
          </w:p>
        </w:tc>
        <w:tc>
          <w:tcPr>
            <w:tcW w:w="1556" w:type="dxa"/>
            <w:vMerge w:val="restart"/>
            <w:tcBorders>
              <w:top w:val="single" w:color="000000" w:sz="4" w:space="0"/>
              <w:left w:val="single" w:color="000000" w:sz="4" w:space="0"/>
              <w:bottom w:val="single" w:color="000000" w:sz="4" w:space="0"/>
              <w:right w:val="single" w:color="000000" w:sz="4" w:space="0"/>
            </w:tcBorders>
            <w:vAlign w:val="center"/>
          </w:tcPr>
          <w:p w14:paraId="0008531F">
            <w:pPr>
              <w:jc w:val="center"/>
              <w:rPr>
                <w:sz w:val="24"/>
              </w:rPr>
            </w:pPr>
            <w:r>
              <w:rPr>
                <w:sz w:val="24"/>
              </w:rPr>
              <w:t>采矿许可证</w:t>
            </w:r>
          </w:p>
        </w:tc>
        <w:tc>
          <w:tcPr>
            <w:tcW w:w="6385" w:type="dxa"/>
            <w:gridSpan w:val="3"/>
            <w:tcBorders>
              <w:top w:val="single" w:color="000000" w:sz="4" w:space="0"/>
              <w:left w:val="single" w:color="000000" w:sz="4" w:space="0"/>
              <w:bottom w:val="single" w:color="000000" w:sz="4" w:space="0"/>
              <w:right w:val="single" w:color="000000" w:sz="4" w:space="0"/>
            </w:tcBorders>
            <w:vAlign w:val="center"/>
          </w:tcPr>
          <w:p w14:paraId="1F0445FB">
            <w:pPr>
              <w:rPr>
                <w:sz w:val="24"/>
              </w:rPr>
            </w:pPr>
            <w:r>
              <w:rPr>
                <w:sz w:val="24"/>
              </w:rPr>
              <w:t>新申请□持有√变更□</w:t>
            </w:r>
          </w:p>
        </w:tc>
      </w:tr>
      <w:tr w14:paraId="315A23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6177B708">
            <w:pPr>
              <w:jc w:val="center"/>
              <w:rPr>
                <w:sz w:val="24"/>
              </w:rPr>
            </w:pPr>
          </w:p>
        </w:tc>
        <w:tc>
          <w:tcPr>
            <w:tcW w:w="1556" w:type="dxa"/>
            <w:vMerge w:val="continue"/>
            <w:tcBorders>
              <w:top w:val="single" w:color="000000" w:sz="4" w:space="0"/>
              <w:left w:val="single" w:color="000000" w:sz="4" w:space="0"/>
              <w:bottom w:val="single" w:color="000000" w:sz="4" w:space="0"/>
              <w:right w:val="single" w:color="000000" w:sz="4" w:space="0"/>
            </w:tcBorders>
            <w:vAlign w:val="center"/>
          </w:tcPr>
          <w:p w14:paraId="6D9039AF">
            <w:pPr>
              <w:jc w:val="center"/>
              <w:rPr>
                <w:sz w:val="24"/>
              </w:rPr>
            </w:pPr>
          </w:p>
        </w:tc>
        <w:tc>
          <w:tcPr>
            <w:tcW w:w="6385" w:type="dxa"/>
            <w:gridSpan w:val="3"/>
            <w:tcBorders>
              <w:top w:val="single" w:color="000000" w:sz="4" w:space="0"/>
              <w:left w:val="single" w:color="000000" w:sz="4" w:space="0"/>
              <w:bottom w:val="single" w:color="000000" w:sz="4" w:space="0"/>
              <w:right w:val="single" w:color="000000" w:sz="4" w:space="0"/>
            </w:tcBorders>
            <w:vAlign w:val="center"/>
          </w:tcPr>
          <w:p w14:paraId="3059BA29">
            <w:pPr>
              <w:rPr>
                <w:sz w:val="24"/>
              </w:rPr>
            </w:pPr>
            <w:r>
              <w:rPr>
                <w:sz w:val="24"/>
              </w:rPr>
              <w:t>以上情况请选择一种并打“√”</w:t>
            </w:r>
          </w:p>
        </w:tc>
      </w:tr>
      <w:tr w14:paraId="6F01A0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restart"/>
            <w:tcBorders>
              <w:top w:val="single" w:color="000000" w:sz="4" w:space="0"/>
              <w:left w:val="single" w:color="000000" w:sz="4" w:space="0"/>
              <w:bottom w:val="single" w:color="000000" w:sz="4" w:space="0"/>
              <w:right w:val="single" w:color="000000" w:sz="4" w:space="0"/>
            </w:tcBorders>
            <w:vAlign w:val="center"/>
          </w:tcPr>
          <w:p w14:paraId="7EC35C95">
            <w:pPr>
              <w:jc w:val="center"/>
              <w:rPr>
                <w:sz w:val="24"/>
              </w:rPr>
            </w:pPr>
            <w:r>
              <w:rPr>
                <w:sz w:val="24"/>
              </w:rPr>
              <w:t>编</w:t>
            </w:r>
          </w:p>
          <w:p w14:paraId="68D4C2DC">
            <w:pPr>
              <w:jc w:val="center"/>
              <w:rPr>
                <w:sz w:val="24"/>
              </w:rPr>
            </w:pPr>
            <w:r>
              <w:rPr>
                <w:sz w:val="24"/>
              </w:rPr>
              <w:t>制</w:t>
            </w:r>
          </w:p>
          <w:p w14:paraId="1679871B">
            <w:pPr>
              <w:jc w:val="center"/>
              <w:rPr>
                <w:sz w:val="24"/>
              </w:rPr>
            </w:pPr>
            <w:r>
              <w:rPr>
                <w:sz w:val="24"/>
              </w:rPr>
              <w:t>单</w:t>
            </w:r>
          </w:p>
          <w:p w14:paraId="0B544BD5">
            <w:pPr>
              <w:jc w:val="center"/>
              <w:rPr>
                <w:sz w:val="24"/>
              </w:rPr>
            </w:pPr>
            <w:r>
              <w:rPr>
                <w:sz w:val="24"/>
              </w:rPr>
              <w:t>位</w:t>
            </w:r>
          </w:p>
        </w:tc>
        <w:tc>
          <w:tcPr>
            <w:tcW w:w="1556" w:type="dxa"/>
            <w:tcBorders>
              <w:top w:val="single" w:color="000000" w:sz="4" w:space="0"/>
              <w:left w:val="single" w:color="000000" w:sz="4" w:space="0"/>
              <w:bottom w:val="single" w:color="000000" w:sz="4" w:space="0"/>
              <w:right w:val="single" w:color="000000" w:sz="4" w:space="0"/>
            </w:tcBorders>
            <w:vAlign w:val="center"/>
          </w:tcPr>
          <w:p w14:paraId="4F6C1E4A">
            <w:pPr>
              <w:jc w:val="center"/>
              <w:rPr>
                <w:sz w:val="24"/>
              </w:rPr>
            </w:pPr>
            <w:r>
              <w:rPr>
                <w:sz w:val="24"/>
              </w:rPr>
              <w:t>单位名称</w:t>
            </w:r>
          </w:p>
        </w:tc>
        <w:tc>
          <w:tcPr>
            <w:tcW w:w="6385" w:type="dxa"/>
            <w:gridSpan w:val="3"/>
            <w:tcBorders>
              <w:top w:val="single" w:color="000000" w:sz="4" w:space="0"/>
              <w:left w:val="single" w:color="000000" w:sz="4" w:space="0"/>
              <w:bottom w:val="single" w:color="000000" w:sz="4" w:space="0"/>
              <w:right w:val="single" w:color="000000" w:sz="4" w:space="0"/>
            </w:tcBorders>
            <w:vAlign w:val="center"/>
          </w:tcPr>
          <w:p w14:paraId="03132458">
            <w:pPr>
              <w:jc w:val="center"/>
              <w:rPr>
                <w:sz w:val="24"/>
              </w:rPr>
            </w:pPr>
            <w:r>
              <w:rPr>
                <w:sz w:val="24"/>
              </w:rPr>
              <w:t>广元林晨工程咨询服务有限公司</w:t>
            </w:r>
          </w:p>
        </w:tc>
      </w:tr>
      <w:tr w14:paraId="1A6A0D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070D2568">
            <w:pPr>
              <w:jc w:val="center"/>
              <w:rPr>
                <w:sz w:val="32"/>
                <w:szCs w:val="32"/>
              </w:rPr>
            </w:pPr>
          </w:p>
        </w:tc>
        <w:tc>
          <w:tcPr>
            <w:tcW w:w="1556" w:type="dxa"/>
            <w:tcBorders>
              <w:top w:val="single" w:color="000000" w:sz="4" w:space="0"/>
              <w:left w:val="single" w:color="000000" w:sz="4" w:space="0"/>
              <w:bottom w:val="single" w:color="000000" w:sz="4" w:space="0"/>
              <w:right w:val="single" w:color="000000" w:sz="4" w:space="0"/>
            </w:tcBorders>
            <w:vAlign w:val="center"/>
          </w:tcPr>
          <w:p w14:paraId="231D46E1">
            <w:pPr>
              <w:jc w:val="center"/>
              <w:rPr>
                <w:sz w:val="24"/>
              </w:rPr>
            </w:pPr>
            <w:r>
              <w:rPr>
                <w:sz w:val="24"/>
              </w:rPr>
              <w:t>法人代表</w:t>
            </w:r>
          </w:p>
        </w:tc>
        <w:tc>
          <w:tcPr>
            <w:tcW w:w="6385" w:type="dxa"/>
            <w:gridSpan w:val="3"/>
            <w:tcBorders>
              <w:top w:val="single" w:color="000000" w:sz="4" w:space="0"/>
              <w:left w:val="single" w:color="000000" w:sz="4" w:space="0"/>
              <w:bottom w:val="single" w:color="000000" w:sz="4" w:space="0"/>
              <w:right w:val="single" w:color="000000" w:sz="4" w:space="0"/>
            </w:tcBorders>
            <w:vAlign w:val="center"/>
          </w:tcPr>
          <w:p w14:paraId="26807E46">
            <w:pPr>
              <w:jc w:val="center"/>
              <w:rPr>
                <w:sz w:val="24"/>
              </w:rPr>
            </w:pPr>
            <w:r>
              <w:rPr>
                <w:sz w:val="24"/>
              </w:rPr>
              <w:t>周爽</w:t>
            </w:r>
          </w:p>
        </w:tc>
      </w:tr>
      <w:tr w14:paraId="687515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3881C8F8">
            <w:pPr>
              <w:jc w:val="center"/>
              <w:rPr>
                <w:sz w:val="32"/>
                <w:szCs w:val="32"/>
              </w:rPr>
            </w:pPr>
          </w:p>
        </w:tc>
        <w:tc>
          <w:tcPr>
            <w:tcW w:w="1556" w:type="dxa"/>
            <w:vMerge w:val="restart"/>
            <w:tcBorders>
              <w:top w:val="single" w:color="000000" w:sz="4" w:space="0"/>
              <w:left w:val="single" w:color="000000" w:sz="4" w:space="0"/>
              <w:bottom w:val="single" w:color="000000" w:sz="4" w:space="0"/>
              <w:right w:val="single" w:color="000000" w:sz="4" w:space="0"/>
            </w:tcBorders>
            <w:vAlign w:val="center"/>
          </w:tcPr>
          <w:p w14:paraId="097CDF31">
            <w:pPr>
              <w:jc w:val="center"/>
              <w:rPr>
                <w:sz w:val="24"/>
              </w:rPr>
            </w:pPr>
            <w:r>
              <w:rPr>
                <w:sz w:val="24"/>
              </w:rPr>
              <w:t>主</w:t>
            </w:r>
          </w:p>
          <w:p w14:paraId="65E3A684">
            <w:pPr>
              <w:jc w:val="center"/>
              <w:rPr>
                <w:sz w:val="24"/>
              </w:rPr>
            </w:pPr>
            <w:r>
              <w:rPr>
                <w:sz w:val="24"/>
              </w:rPr>
              <w:t>要</w:t>
            </w:r>
          </w:p>
          <w:p w14:paraId="1290D9ED">
            <w:pPr>
              <w:jc w:val="center"/>
              <w:rPr>
                <w:sz w:val="24"/>
              </w:rPr>
            </w:pPr>
            <w:r>
              <w:rPr>
                <w:sz w:val="24"/>
              </w:rPr>
              <w:t>编</w:t>
            </w:r>
          </w:p>
          <w:p w14:paraId="338E53D6">
            <w:pPr>
              <w:jc w:val="center"/>
              <w:rPr>
                <w:sz w:val="24"/>
              </w:rPr>
            </w:pPr>
            <w:r>
              <w:rPr>
                <w:sz w:val="24"/>
              </w:rPr>
              <w:t>制</w:t>
            </w:r>
          </w:p>
          <w:p w14:paraId="280ED0EF">
            <w:pPr>
              <w:jc w:val="center"/>
              <w:rPr>
                <w:sz w:val="24"/>
              </w:rPr>
            </w:pPr>
            <w:r>
              <w:rPr>
                <w:sz w:val="24"/>
              </w:rPr>
              <w:t>人</w:t>
            </w:r>
          </w:p>
          <w:p w14:paraId="637CE337">
            <w:pPr>
              <w:jc w:val="center"/>
              <w:rPr>
                <w:sz w:val="24"/>
              </w:rPr>
            </w:pPr>
            <w:r>
              <w:rPr>
                <w:sz w:val="24"/>
              </w:rPr>
              <w:t>员</w:t>
            </w:r>
          </w:p>
        </w:tc>
        <w:tc>
          <w:tcPr>
            <w:tcW w:w="2271" w:type="dxa"/>
            <w:tcBorders>
              <w:top w:val="single" w:color="000000" w:sz="4" w:space="0"/>
              <w:left w:val="single" w:color="000000" w:sz="4" w:space="0"/>
              <w:bottom w:val="single" w:color="000000" w:sz="4" w:space="0"/>
              <w:right w:val="single" w:color="000000" w:sz="4" w:space="0"/>
            </w:tcBorders>
            <w:vAlign w:val="center"/>
          </w:tcPr>
          <w:p w14:paraId="4A627B35">
            <w:pPr>
              <w:jc w:val="center"/>
              <w:rPr>
                <w:sz w:val="24"/>
              </w:rPr>
            </w:pPr>
            <w:r>
              <w:rPr>
                <w:sz w:val="24"/>
              </w:rPr>
              <w:t>姓名</w:t>
            </w:r>
          </w:p>
        </w:tc>
        <w:tc>
          <w:tcPr>
            <w:tcW w:w="1985" w:type="dxa"/>
            <w:tcBorders>
              <w:top w:val="single" w:color="000000" w:sz="4" w:space="0"/>
              <w:left w:val="single" w:color="000000" w:sz="4" w:space="0"/>
              <w:bottom w:val="single" w:color="000000" w:sz="4" w:space="0"/>
              <w:right w:val="single" w:color="000000" w:sz="4" w:space="0"/>
            </w:tcBorders>
            <w:vAlign w:val="center"/>
          </w:tcPr>
          <w:p w14:paraId="0F3BDBB3">
            <w:pPr>
              <w:jc w:val="center"/>
              <w:rPr>
                <w:sz w:val="24"/>
              </w:rPr>
            </w:pPr>
            <w:r>
              <w:rPr>
                <w:sz w:val="24"/>
              </w:rPr>
              <w:t>职务</w:t>
            </w:r>
          </w:p>
        </w:tc>
        <w:tc>
          <w:tcPr>
            <w:tcW w:w="2129" w:type="dxa"/>
            <w:tcBorders>
              <w:top w:val="single" w:color="000000" w:sz="4" w:space="0"/>
              <w:left w:val="single" w:color="000000" w:sz="4" w:space="0"/>
              <w:bottom w:val="single" w:color="000000" w:sz="4" w:space="0"/>
              <w:right w:val="single" w:color="000000" w:sz="4" w:space="0"/>
            </w:tcBorders>
            <w:vAlign w:val="center"/>
          </w:tcPr>
          <w:p w14:paraId="41ACCC94">
            <w:pPr>
              <w:jc w:val="center"/>
              <w:rPr>
                <w:sz w:val="24"/>
              </w:rPr>
            </w:pPr>
            <w:r>
              <w:rPr>
                <w:sz w:val="24"/>
              </w:rPr>
              <w:t>联系电话</w:t>
            </w:r>
          </w:p>
        </w:tc>
      </w:tr>
      <w:tr w14:paraId="0E88C8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3D679B9F">
            <w:pPr>
              <w:jc w:val="center"/>
              <w:rPr>
                <w:sz w:val="32"/>
                <w:szCs w:val="32"/>
              </w:rPr>
            </w:pPr>
          </w:p>
        </w:tc>
        <w:tc>
          <w:tcPr>
            <w:tcW w:w="1556" w:type="dxa"/>
            <w:vMerge w:val="continue"/>
            <w:tcBorders>
              <w:top w:val="single" w:color="000000" w:sz="4" w:space="0"/>
              <w:left w:val="single" w:color="000000" w:sz="4" w:space="0"/>
              <w:bottom w:val="single" w:color="000000" w:sz="4" w:space="0"/>
              <w:right w:val="single" w:color="000000" w:sz="4" w:space="0"/>
            </w:tcBorders>
            <w:vAlign w:val="center"/>
          </w:tcPr>
          <w:p w14:paraId="30E440CF">
            <w:pPr>
              <w:jc w:val="center"/>
            </w:pPr>
          </w:p>
        </w:tc>
        <w:tc>
          <w:tcPr>
            <w:tcW w:w="2271" w:type="dxa"/>
            <w:tcBorders>
              <w:top w:val="single" w:color="000000" w:sz="4" w:space="0"/>
              <w:left w:val="single" w:color="000000" w:sz="4" w:space="0"/>
              <w:bottom w:val="single" w:color="000000" w:sz="4" w:space="0"/>
              <w:right w:val="single" w:color="000000" w:sz="4" w:space="0"/>
            </w:tcBorders>
            <w:vAlign w:val="center"/>
          </w:tcPr>
          <w:p w14:paraId="7906A68B">
            <w:pPr>
              <w:jc w:val="center"/>
              <w:rPr>
                <w:sz w:val="24"/>
              </w:rPr>
            </w:pPr>
            <w:r>
              <w:rPr>
                <w:sz w:val="24"/>
              </w:rPr>
              <w:t>李刚</w:t>
            </w:r>
          </w:p>
        </w:tc>
        <w:tc>
          <w:tcPr>
            <w:tcW w:w="1985" w:type="dxa"/>
            <w:tcBorders>
              <w:top w:val="single" w:color="000000" w:sz="4" w:space="0"/>
              <w:left w:val="single" w:color="000000" w:sz="4" w:space="0"/>
              <w:bottom w:val="single" w:color="000000" w:sz="4" w:space="0"/>
              <w:right w:val="single" w:color="000000" w:sz="4" w:space="0"/>
            </w:tcBorders>
            <w:vAlign w:val="center"/>
          </w:tcPr>
          <w:p w14:paraId="12D5C6F8">
            <w:pPr>
              <w:jc w:val="center"/>
              <w:rPr>
                <w:sz w:val="24"/>
              </w:rPr>
            </w:pPr>
            <w:r>
              <w:rPr>
                <w:sz w:val="24"/>
              </w:rPr>
              <w:t>技术负责</w:t>
            </w:r>
          </w:p>
        </w:tc>
        <w:tc>
          <w:tcPr>
            <w:tcW w:w="2129" w:type="dxa"/>
            <w:tcBorders>
              <w:top w:val="single" w:color="000000" w:sz="4" w:space="0"/>
              <w:left w:val="single" w:color="000000" w:sz="4" w:space="0"/>
              <w:bottom w:val="single" w:color="000000" w:sz="4" w:space="0"/>
              <w:right w:val="single" w:color="000000" w:sz="4" w:space="0"/>
            </w:tcBorders>
            <w:vAlign w:val="center"/>
          </w:tcPr>
          <w:p w14:paraId="584E0F14">
            <w:pPr>
              <w:jc w:val="center"/>
              <w:rPr>
                <w:sz w:val="24"/>
              </w:rPr>
            </w:pPr>
          </w:p>
        </w:tc>
      </w:tr>
      <w:tr w14:paraId="408E4A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1323F281">
            <w:pPr>
              <w:jc w:val="center"/>
              <w:rPr>
                <w:sz w:val="32"/>
                <w:szCs w:val="32"/>
              </w:rPr>
            </w:pPr>
          </w:p>
        </w:tc>
        <w:tc>
          <w:tcPr>
            <w:tcW w:w="1556" w:type="dxa"/>
            <w:vMerge w:val="continue"/>
            <w:tcBorders>
              <w:top w:val="single" w:color="000000" w:sz="4" w:space="0"/>
              <w:left w:val="single" w:color="000000" w:sz="4" w:space="0"/>
              <w:bottom w:val="single" w:color="000000" w:sz="4" w:space="0"/>
              <w:right w:val="single" w:color="000000" w:sz="4" w:space="0"/>
            </w:tcBorders>
            <w:vAlign w:val="center"/>
          </w:tcPr>
          <w:p w14:paraId="1958C1A7">
            <w:pPr>
              <w:jc w:val="center"/>
            </w:pPr>
          </w:p>
        </w:tc>
        <w:tc>
          <w:tcPr>
            <w:tcW w:w="2271" w:type="dxa"/>
            <w:tcBorders>
              <w:top w:val="single" w:color="000000" w:sz="4" w:space="0"/>
              <w:left w:val="single" w:color="000000" w:sz="4" w:space="0"/>
              <w:bottom w:val="single" w:color="000000" w:sz="4" w:space="0"/>
              <w:right w:val="single" w:color="000000" w:sz="4" w:space="0"/>
            </w:tcBorders>
            <w:vAlign w:val="center"/>
          </w:tcPr>
          <w:p w14:paraId="3C67E092">
            <w:pPr>
              <w:jc w:val="center"/>
              <w:rPr>
                <w:sz w:val="24"/>
              </w:rPr>
            </w:pPr>
            <w:r>
              <w:rPr>
                <w:sz w:val="24"/>
              </w:rPr>
              <w:t>杨小燕</w:t>
            </w:r>
          </w:p>
        </w:tc>
        <w:tc>
          <w:tcPr>
            <w:tcW w:w="1985" w:type="dxa"/>
            <w:tcBorders>
              <w:top w:val="single" w:color="000000" w:sz="4" w:space="0"/>
              <w:left w:val="single" w:color="000000" w:sz="4" w:space="0"/>
              <w:bottom w:val="single" w:color="000000" w:sz="4" w:space="0"/>
              <w:right w:val="single" w:color="000000" w:sz="4" w:space="0"/>
            </w:tcBorders>
            <w:vAlign w:val="center"/>
          </w:tcPr>
          <w:p w14:paraId="36C24C3B">
            <w:pPr>
              <w:jc w:val="center"/>
              <w:rPr>
                <w:sz w:val="24"/>
              </w:rPr>
            </w:pPr>
            <w:r>
              <w:rPr>
                <w:sz w:val="24"/>
              </w:rPr>
              <w:t>报告编制</w:t>
            </w:r>
          </w:p>
        </w:tc>
        <w:tc>
          <w:tcPr>
            <w:tcW w:w="2129" w:type="dxa"/>
            <w:tcBorders>
              <w:top w:val="single" w:color="000000" w:sz="4" w:space="0"/>
              <w:left w:val="single" w:color="000000" w:sz="4" w:space="0"/>
              <w:bottom w:val="single" w:color="000000" w:sz="4" w:space="0"/>
              <w:right w:val="single" w:color="000000" w:sz="4" w:space="0"/>
            </w:tcBorders>
            <w:vAlign w:val="center"/>
          </w:tcPr>
          <w:p w14:paraId="505A36F0">
            <w:pPr>
              <w:jc w:val="center"/>
              <w:rPr>
                <w:sz w:val="24"/>
              </w:rPr>
            </w:pPr>
          </w:p>
        </w:tc>
      </w:tr>
      <w:tr w14:paraId="3F81AE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73A90148">
            <w:pPr>
              <w:jc w:val="center"/>
              <w:rPr>
                <w:sz w:val="32"/>
                <w:szCs w:val="32"/>
              </w:rPr>
            </w:pPr>
          </w:p>
        </w:tc>
        <w:tc>
          <w:tcPr>
            <w:tcW w:w="1556" w:type="dxa"/>
            <w:vMerge w:val="continue"/>
            <w:tcBorders>
              <w:top w:val="single" w:color="000000" w:sz="4" w:space="0"/>
              <w:left w:val="single" w:color="000000" w:sz="4" w:space="0"/>
              <w:bottom w:val="single" w:color="000000" w:sz="4" w:space="0"/>
              <w:right w:val="single" w:color="000000" w:sz="4" w:space="0"/>
            </w:tcBorders>
            <w:vAlign w:val="center"/>
          </w:tcPr>
          <w:p w14:paraId="31D24698">
            <w:pPr>
              <w:jc w:val="center"/>
            </w:pPr>
          </w:p>
        </w:tc>
        <w:tc>
          <w:tcPr>
            <w:tcW w:w="2271" w:type="dxa"/>
            <w:tcBorders>
              <w:top w:val="single" w:color="000000" w:sz="4" w:space="0"/>
              <w:left w:val="single" w:color="000000" w:sz="4" w:space="0"/>
              <w:bottom w:val="single" w:color="000000" w:sz="4" w:space="0"/>
              <w:right w:val="single" w:color="000000" w:sz="4" w:space="0"/>
            </w:tcBorders>
            <w:vAlign w:val="center"/>
          </w:tcPr>
          <w:p w14:paraId="1C4BD8B2">
            <w:pPr>
              <w:jc w:val="center"/>
              <w:rPr>
                <w:sz w:val="24"/>
              </w:rPr>
            </w:pPr>
            <w:r>
              <w:rPr>
                <w:sz w:val="24"/>
              </w:rPr>
              <w:t>杨小燕</w:t>
            </w:r>
          </w:p>
        </w:tc>
        <w:tc>
          <w:tcPr>
            <w:tcW w:w="1985" w:type="dxa"/>
            <w:tcBorders>
              <w:top w:val="single" w:color="000000" w:sz="4" w:space="0"/>
              <w:left w:val="single" w:color="000000" w:sz="4" w:space="0"/>
              <w:bottom w:val="single" w:color="000000" w:sz="4" w:space="0"/>
              <w:right w:val="single" w:color="000000" w:sz="4" w:space="0"/>
            </w:tcBorders>
            <w:vAlign w:val="center"/>
          </w:tcPr>
          <w:p w14:paraId="0D68621F">
            <w:pPr>
              <w:jc w:val="center"/>
              <w:rPr>
                <w:sz w:val="24"/>
              </w:rPr>
            </w:pPr>
            <w:r>
              <w:rPr>
                <w:sz w:val="24"/>
              </w:rPr>
              <w:t>制图人员</w:t>
            </w:r>
          </w:p>
        </w:tc>
        <w:tc>
          <w:tcPr>
            <w:tcW w:w="2129" w:type="dxa"/>
            <w:tcBorders>
              <w:top w:val="single" w:color="000000" w:sz="4" w:space="0"/>
              <w:left w:val="single" w:color="000000" w:sz="4" w:space="0"/>
              <w:bottom w:val="single" w:color="000000" w:sz="4" w:space="0"/>
              <w:right w:val="single" w:color="000000" w:sz="4" w:space="0"/>
            </w:tcBorders>
            <w:vAlign w:val="center"/>
          </w:tcPr>
          <w:p w14:paraId="3EB7C0AB">
            <w:pPr>
              <w:jc w:val="center"/>
              <w:rPr>
                <w:sz w:val="24"/>
              </w:rPr>
            </w:pPr>
          </w:p>
        </w:tc>
      </w:tr>
      <w:tr w14:paraId="2D38B5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081CA81C">
            <w:pPr>
              <w:jc w:val="center"/>
              <w:rPr>
                <w:sz w:val="32"/>
                <w:szCs w:val="32"/>
              </w:rPr>
            </w:pPr>
          </w:p>
        </w:tc>
        <w:tc>
          <w:tcPr>
            <w:tcW w:w="1556" w:type="dxa"/>
            <w:vMerge w:val="continue"/>
            <w:tcBorders>
              <w:top w:val="single" w:color="000000" w:sz="4" w:space="0"/>
              <w:left w:val="single" w:color="000000" w:sz="4" w:space="0"/>
              <w:bottom w:val="single" w:color="000000" w:sz="4" w:space="0"/>
              <w:right w:val="single" w:color="000000" w:sz="4" w:space="0"/>
            </w:tcBorders>
            <w:vAlign w:val="center"/>
          </w:tcPr>
          <w:p w14:paraId="2CFAF66C">
            <w:pPr>
              <w:jc w:val="center"/>
            </w:pPr>
          </w:p>
        </w:tc>
        <w:tc>
          <w:tcPr>
            <w:tcW w:w="2271" w:type="dxa"/>
            <w:tcBorders>
              <w:top w:val="single" w:color="000000" w:sz="4" w:space="0"/>
              <w:left w:val="single" w:color="000000" w:sz="4" w:space="0"/>
              <w:bottom w:val="single" w:color="000000" w:sz="4" w:space="0"/>
              <w:right w:val="single" w:color="000000" w:sz="4" w:space="0"/>
            </w:tcBorders>
            <w:vAlign w:val="center"/>
          </w:tcPr>
          <w:p w14:paraId="250FC180">
            <w:pPr>
              <w:jc w:val="center"/>
              <w:rPr>
                <w:rFonts w:eastAsiaTheme="minorEastAsia"/>
                <w:sz w:val="24"/>
              </w:rPr>
            </w:pPr>
          </w:p>
        </w:tc>
        <w:tc>
          <w:tcPr>
            <w:tcW w:w="1985" w:type="dxa"/>
            <w:tcBorders>
              <w:top w:val="single" w:color="000000" w:sz="4" w:space="0"/>
              <w:left w:val="single" w:color="000000" w:sz="4" w:space="0"/>
              <w:bottom w:val="single" w:color="000000" w:sz="4" w:space="0"/>
              <w:right w:val="single" w:color="000000" w:sz="4" w:space="0"/>
            </w:tcBorders>
            <w:vAlign w:val="center"/>
          </w:tcPr>
          <w:p w14:paraId="04FE423F">
            <w:pPr>
              <w:jc w:val="center"/>
              <w:rPr>
                <w:sz w:val="24"/>
              </w:rPr>
            </w:pPr>
          </w:p>
        </w:tc>
        <w:tc>
          <w:tcPr>
            <w:tcW w:w="2129" w:type="dxa"/>
            <w:tcBorders>
              <w:top w:val="single" w:color="000000" w:sz="4" w:space="0"/>
              <w:left w:val="single" w:color="000000" w:sz="4" w:space="0"/>
              <w:bottom w:val="single" w:color="000000" w:sz="4" w:space="0"/>
              <w:right w:val="single" w:color="000000" w:sz="4" w:space="0"/>
            </w:tcBorders>
            <w:vAlign w:val="center"/>
          </w:tcPr>
          <w:p w14:paraId="53D3B89E">
            <w:pPr>
              <w:jc w:val="center"/>
              <w:rPr>
                <w:sz w:val="24"/>
              </w:rPr>
            </w:pPr>
          </w:p>
        </w:tc>
      </w:tr>
      <w:tr w14:paraId="6A18CD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exact"/>
        </w:trPr>
        <w:tc>
          <w:tcPr>
            <w:tcW w:w="817" w:type="dxa"/>
            <w:vMerge w:val="continue"/>
            <w:tcBorders>
              <w:top w:val="single" w:color="000000" w:sz="4" w:space="0"/>
              <w:left w:val="single" w:color="000000" w:sz="4" w:space="0"/>
              <w:bottom w:val="single" w:color="000000" w:sz="4" w:space="0"/>
              <w:right w:val="single" w:color="000000" w:sz="4" w:space="0"/>
            </w:tcBorders>
          </w:tcPr>
          <w:p w14:paraId="73C1DF07">
            <w:pPr>
              <w:jc w:val="center"/>
              <w:rPr>
                <w:sz w:val="32"/>
                <w:szCs w:val="32"/>
              </w:rPr>
            </w:pPr>
          </w:p>
        </w:tc>
        <w:tc>
          <w:tcPr>
            <w:tcW w:w="1556" w:type="dxa"/>
            <w:vMerge w:val="continue"/>
            <w:tcBorders>
              <w:top w:val="single" w:color="000000" w:sz="4" w:space="0"/>
              <w:left w:val="single" w:color="000000" w:sz="4" w:space="0"/>
              <w:bottom w:val="single" w:color="000000" w:sz="4" w:space="0"/>
              <w:right w:val="single" w:color="000000" w:sz="4" w:space="0"/>
            </w:tcBorders>
            <w:vAlign w:val="center"/>
          </w:tcPr>
          <w:p w14:paraId="388549E9">
            <w:pPr>
              <w:jc w:val="center"/>
            </w:pPr>
          </w:p>
        </w:tc>
        <w:tc>
          <w:tcPr>
            <w:tcW w:w="2271" w:type="dxa"/>
            <w:tcBorders>
              <w:top w:val="single" w:color="000000" w:sz="4" w:space="0"/>
              <w:left w:val="single" w:color="000000" w:sz="4" w:space="0"/>
              <w:bottom w:val="single" w:color="000000" w:sz="4" w:space="0"/>
              <w:right w:val="single" w:color="000000" w:sz="4" w:space="0"/>
            </w:tcBorders>
            <w:vAlign w:val="center"/>
          </w:tcPr>
          <w:p w14:paraId="4EF50232">
            <w:pPr>
              <w:jc w:val="center"/>
            </w:pPr>
          </w:p>
        </w:tc>
        <w:tc>
          <w:tcPr>
            <w:tcW w:w="1985" w:type="dxa"/>
            <w:tcBorders>
              <w:top w:val="single" w:color="000000" w:sz="4" w:space="0"/>
              <w:left w:val="single" w:color="000000" w:sz="4" w:space="0"/>
              <w:bottom w:val="single" w:color="000000" w:sz="4" w:space="0"/>
              <w:right w:val="single" w:color="000000" w:sz="4" w:space="0"/>
            </w:tcBorders>
            <w:vAlign w:val="center"/>
          </w:tcPr>
          <w:p w14:paraId="7B1438A2">
            <w:pPr>
              <w:jc w:val="center"/>
            </w:pPr>
          </w:p>
        </w:tc>
        <w:tc>
          <w:tcPr>
            <w:tcW w:w="2129" w:type="dxa"/>
            <w:tcBorders>
              <w:top w:val="single" w:color="000000" w:sz="4" w:space="0"/>
              <w:left w:val="single" w:color="000000" w:sz="4" w:space="0"/>
              <w:bottom w:val="single" w:color="000000" w:sz="4" w:space="0"/>
              <w:right w:val="single" w:color="000000" w:sz="4" w:space="0"/>
            </w:tcBorders>
            <w:vAlign w:val="center"/>
          </w:tcPr>
          <w:p w14:paraId="5F069A52">
            <w:pPr>
              <w:jc w:val="center"/>
            </w:pPr>
          </w:p>
        </w:tc>
      </w:tr>
      <w:tr w14:paraId="6A114D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59" w:hRule="exact"/>
        </w:trPr>
        <w:tc>
          <w:tcPr>
            <w:tcW w:w="817" w:type="dxa"/>
            <w:tcBorders>
              <w:top w:val="single" w:color="000000" w:sz="4" w:space="0"/>
              <w:left w:val="single" w:color="000000" w:sz="4" w:space="0"/>
              <w:bottom w:val="single" w:color="000000" w:sz="4" w:space="0"/>
              <w:right w:val="single" w:color="000000" w:sz="4" w:space="0"/>
            </w:tcBorders>
            <w:vAlign w:val="center"/>
          </w:tcPr>
          <w:p w14:paraId="08D803F1">
            <w:pPr>
              <w:jc w:val="center"/>
              <w:rPr>
                <w:sz w:val="24"/>
              </w:rPr>
            </w:pPr>
            <w:r>
              <w:rPr>
                <w:sz w:val="24"/>
              </w:rPr>
              <w:t>审</w:t>
            </w:r>
          </w:p>
          <w:p w14:paraId="109B7B55">
            <w:pPr>
              <w:jc w:val="center"/>
              <w:rPr>
                <w:sz w:val="24"/>
              </w:rPr>
            </w:pPr>
            <w:r>
              <w:rPr>
                <w:sz w:val="24"/>
              </w:rPr>
              <w:t>查</w:t>
            </w:r>
          </w:p>
          <w:p w14:paraId="54AEA6E9">
            <w:pPr>
              <w:jc w:val="center"/>
              <w:rPr>
                <w:sz w:val="24"/>
              </w:rPr>
            </w:pPr>
            <w:r>
              <w:rPr>
                <w:sz w:val="24"/>
              </w:rPr>
              <w:t>申</w:t>
            </w:r>
          </w:p>
          <w:p w14:paraId="7528B7E0">
            <w:pPr>
              <w:jc w:val="center"/>
              <w:rPr>
                <w:sz w:val="24"/>
              </w:rPr>
            </w:pPr>
            <w:r>
              <w:rPr>
                <w:sz w:val="24"/>
              </w:rPr>
              <w:t>请</w:t>
            </w:r>
          </w:p>
        </w:tc>
        <w:tc>
          <w:tcPr>
            <w:tcW w:w="7941" w:type="dxa"/>
            <w:gridSpan w:val="4"/>
            <w:tcBorders>
              <w:top w:val="single" w:color="000000" w:sz="4" w:space="0"/>
              <w:left w:val="single" w:color="000000" w:sz="4" w:space="0"/>
              <w:bottom w:val="single" w:color="000000" w:sz="4" w:space="0"/>
              <w:right w:val="single" w:color="000000" w:sz="4" w:space="0"/>
            </w:tcBorders>
          </w:tcPr>
          <w:p w14:paraId="0650CE02">
            <w:pPr>
              <w:spacing w:line="276" w:lineRule="auto"/>
              <w:ind w:firstLine="480"/>
              <w:rPr>
                <w:sz w:val="24"/>
              </w:rPr>
            </w:pPr>
          </w:p>
          <w:p w14:paraId="16AD0ED1">
            <w:pPr>
              <w:spacing w:line="276" w:lineRule="auto"/>
              <w:ind w:firstLine="480" w:firstLineChars="200"/>
              <w:rPr>
                <w:sz w:val="24"/>
              </w:rPr>
            </w:pPr>
            <w:r>
              <w:rPr>
                <w:sz w:val="24"/>
              </w:rPr>
              <w:t>我单位已按要求编制矿山地质环境保护与土地复垦方案，保证方案中所引数据的真实性，同意按国家相关保密规定对文本进行相应处理后进行公示，承诺按批准后的方案做好矿山地质环境保护与土地复垦工作。</w:t>
            </w:r>
          </w:p>
          <w:p w14:paraId="6DBBE0B1">
            <w:pPr>
              <w:spacing w:line="276" w:lineRule="auto"/>
              <w:ind w:firstLine="480" w:firstLineChars="200"/>
              <w:rPr>
                <w:sz w:val="24"/>
              </w:rPr>
            </w:pPr>
            <w:r>
              <w:rPr>
                <w:sz w:val="24"/>
              </w:rPr>
              <w:t>请予以审查。</w:t>
            </w:r>
          </w:p>
          <w:p w14:paraId="221F3DD2">
            <w:pPr>
              <w:spacing w:line="276" w:lineRule="auto"/>
              <w:ind w:firstLine="480" w:firstLineChars="200"/>
              <w:rPr>
                <w:sz w:val="24"/>
              </w:rPr>
            </w:pPr>
          </w:p>
          <w:p w14:paraId="372DF65B">
            <w:pPr>
              <w:spacing w:line="276" w:lineRule="auto"/>
              <w:ind w:firstLine="480" w:firstLineChars="200"/>
              <w:rPr>
                <w:sz w:val="24"/>
              </w:rPr>
            </w:pPr>
          </w:p>
          <w:p w14:paraId="37C8ECC7">
            <w:pPr>
              <w:spacing w:line="276" w:lineRule="auto"/>
              <w:ind w:right="480"/>
              <w:rPr>
                <w:sz w:val="24"/>
              </w:rPr>
            </w:pPr>
          </w:p>
          <w:p w14:paraId="343BD5B9">
            <w:pPr>
              <w:spacing w:line="276" w:lineRule="auto"/>
              <w:ind w:right="480"/>
              <w:rPr>
                <w:sz w:val="24"/>
              </w:rPr>
            </w:pPr>
          </w:p>
          <w:p w14:paraId="44EB5676">
            <w:pPr>
              <w:spacing w:line="276" w:lineRule="auto"/>
              <w:ind w:right="480" w:firstLine="3240" w:firstLineChars="1350"/>
              <w:rPr>
                <w:sz w:val="24"/>
              </w:rPr>
            </w:pPr>
            <w:r>
              <w:rPr>
                <w:sz w:val="24"/>
              </w:rPr>
              <w:t>广元市利州区紫兰建材厂（盖章）</w:t>
            </w:r>
          </w:p>
          <w:p w14:paraId="2404AA4E">
            <w:pPr>
              <w:spacing w:line="276" w:lineRule="auto"/>
              <w:ind w:firstLine="2280" w:firstLineChars="950"/>
              <w:rPr>
                <w:sz w:val="24"/>
              </w:rPr>
            </w:pPr>
          </w:p>
          <w:p w14:paraId="430C3C10">
            <w:pPr>
              <w:spacing w:line="276" w:lineRule="auto"/>
              <w:ind w:firstLine="2280" w:firstLineChars="950"/>
              <w:rPr>
                <w:sz w:val="24"/>
              </w:rPr>
            </w:pPr>
            <w:r>
              <w:rPr>
                <w:sz w:val="24"/>
              </w:rPr>
              <w:t>联系人：联系电话：</w:t>
            </w:r>
          </w:p>
        </w:tc>
      </w:tr>
    </w:tbl>
    <w:p w14:paraId="3DB91EAA">
      <w:pPr>
        <w:widowControl/>
        <w:jc w:val="left"/>
        <w:rPr>
          <w:b/>
          <w:bCs/>
          <w:sz w:val="32"/>
          <w:szCs w:val="32"/>
        </w:rPr>
      </w:pPr>
      <w:r>
        <w:rPr>
          <w:b/>
          <w:bCs/>
          <w:sz w:val="32"/>
          <w:szCs w:val="32"/>
        </w:rPr>
        <w:br w:type="page"/>
      </w:r>
    </w:p>
    <w:p w14:paraId="029BB8F5">
      <w:pPr>
        <w:pStyle w:val="73"/>
        <w:ind w:firstLine="562"/>
        <w:jc w:val="center"/>
        <w:rPr>
          <w:rFonts w:eastAsia="宋体" w:cs="Times New Roman"/>
          <w:b/>
          <w:sz w:val="28"/>
          <w:szCs w:val="28"/>
        </w:rPr>
      </w:pPr>
      <w:r>
        <w:rPr>
          <w:rFonts w:eastAsia="宋体" w:cs="Times New Roman"/>
          <w:b/>
          <w:sz w:val="28"/>
          <w:szCs w:val="28"/>
        </w:rPr>
        <w:t>矿山地质环境保护与土地复垦方案报告表</w:t>
      </w:r>
    </w:p>
    <w:tbl>
      <w:tblPr>
        <w:tblStyle w:val="29"/>
        <w:tblW w:w="83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42"/>
        <w:gridCol w:w="689"/>
        <w:gridCol w:w="345"/>
        <w:gridCol w:w="425"/>
        <w:gridCol w:w="142"/>
        <w:gridCol w:w="87"/>
        <w:gridCol w:w="64"/>
        <w:gridCol w:w="274"/>
        <w:gridCol w:w="309"/>
        <w:gridCol w:w="42"/>
        <w:gridCol w:w="611"/>
        <w:gridCol w:w="143"/>
        <w:gridCol w:w="424"/>
        <w:gridCol w:w="390"/>
        <w:gridCol w:w="66"/>
        <w:gridCol w:w="114"/>
        <w:gridCol w:w="526"/>
        <w:gridCol w:w="461"/>
        <w:gridCol w:w="175"/>
        <w:gridCol w:w="648"/>
        <w:gridCol w:w="98"/>
        <w:gridCol w:w="275"/>
        <w:gridCol w:w="42"/>
        <w:gridCol w:w="212"/>
        <w:gridCol w:w="851"/>
      </w:tblGrid>
      <w:tr w14:paraId="48408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restart"/>
            <w:textDirection w:val="tbRlV"/>
            <w:vAlign w:val="center"/>
          </w:tcPr>
          <w:p w14:paraId="340DA640">
            <w:pPr>
              <w:widowControl/>
              <w:jc w:val="center"/>
              <w:rPr>
                <w:rFonts w:eastAsia="仿宋"/>
                <w:kern w:val="0"/>
                <w:szCs w:val="21"/>
              </w:rPr>
            </w:pPr>
            <w:r>
              <w:rPr>
                <w:rFonts w:eastAsia="仿宋"/>
                <w:kern w:val="0"/>
                <w:szCs w:val="21"/>
              </w:rPr>
              <w:t>项目概况</w:t>
            </w:r>
          </w:p>
        </w:tc>
        <w:tc>
          <w:tcPr>
            <w:tcW w:w="1276" w:type="dxa"/>
            <w:gridSpan w:val="3"/>
            <w:vAlign w:val="center"/>
          </w:tcPr>
          <w:p w14:paraId="5DC1F55B">
            <w:pPr>
              <w:spacing w:before="120" w:after="120" w:line="220" w:lineRule="exact"/>
              <w:jc w:val="center"/>
              <w:rPr>
                <w:rFonts w:eastAsia="仿宋"/>
                <w:szCs w:val="21"/>
              </w:rPr>
            </w:pPr>
            <w:r>
              <w:rPr>
                <w:rFonts w:eastAsia="仿宋"/>
                <w:szCs w:val="21"/>
              </w:rPr>
              <w:t>项目名称</w:t>
            </w:r>
          </w:p>
        </w:tc>
        <w:tc>
          <w:tcPr>
            <w:tcW w:w="6379" w:type="dxa"/>
            <w:gridSpan w:val="22"/>
            <w:vAlign w:val="center"/>
          </w:tcPr>
          <w:p w14:paraId="24397229">
            <w:pPr>
              <w:spacing w:before="120" w:after="120" w:line="220" w:lineRule="exact"/>
              <w:jc w:val="center"/>
              <w:rPr>
                <w:rFonts w:eastAsia="仿宋"/>
                <w:kern w:val="0"/>
                <w:szCs w:val="21"/>
              </w:rPr>
            </w:pPr>
            <w:r>
              <w:rPr>
                <w:rFonts w:eastAsia="仿宋"/>
                <w:szCs w:val="21"/>
              </w:rPr>
              <w:t>广元市利州区紫兰建材厂砖瓦用页岩矿矿山地质环境保护与土地复垦方案</w:t>
            </w:r>
          </w:p>
        </w:tc>
      </w:tr>
      <w:tr w14:paraId="73F3D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vAlign w:val="center"/>
          </w:tcPr>
          <w:p w14:paraId="1C0107F0">
            <w:pPr>
              <w:widowControl/>
              <w:jc w:val="center"/>
              <w:rPr>
                <w:rFonts w:eastAsia="仿宋"/>
                <w:kern w:val="0"/>
                <w:szCs w:val="21"/>
              </w:rPr>
            </w:pPr>
          </w:p>
        </w:tc>
        <w:tc>
          <w:tcPr>
            <w:tcW w:w="1276" w:type="dxa"/>
            <w:gridSpan w:val="3"/>
            <w:vAlign w:val="center"/>
          </w:tcPr>
          <w:p w14:paraId="439277A0">
            <w:pPr>
              <w:spacing w:before="120" w:after="120" w:line="220" w:lineRule="exact"/>
              <w:jc w:val="center"/>
              <w:rPr>
                <w:rFonts w:eastAsia="仿宋"/>
                <w:szCs w:val="21"/>
              </w:rPr>
            </w:pPr>
            <w:r>
              <w:rPr>
                <w:rFonts w:eastAsia="仿宋"/>
                <w:szCs w:val="21"/>
              </w:rPr>
              <w:t>单位名称</w:t>
            </w:r>
          </w:p>
        </w:tc>
        <w:tc>
          <w:tcPr>
            <w:tcW w:w="6379" w:type="dxa"/>
            <w:gridSpan w:val="22"/>
            <w:vAlign w:val="center"/>
          </w:tcPr>
          <w:p w14:paraId="7A2B9D7B">
            <w:pPr>
              <w:spacing w:before="120" w:after="120" w:line="220" w:lineRule="exact"/>
              <w:jc w:val="center"/>
              <w:rPr>
                <w:rFonts w:eastAsia="仿宋"/>
                <w:szCs w:val="21"/>
              </w:rPr>
            </w:pPr>
            <w:r>
              <w:rPr>
                <w:rFonts w:eastAsia="仿宋"/>
                <w:szCs w:val="21"/>
              </w:rPr>
              <w:t>广元市利州区紫兰建材厂</w:t>
            </w:r>
          </w:p>
        </w:tc>
      </w:tr>
      <w:tr w14:paraId="2A698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vAlign w:val="center"/>
          </w:tcPr>
          <w:p w14:paraId="31F1A6FD">
            <w:pPr>
              <w:widowControl/>
              <w:jc w:val="center"/>
              <w:rPr>
                <w:rFonts w:eastAsia="仿宋"/>
                <w:kern w:val="0"/>
                <w:szCs w:val="21"/>
              </w:rPr>
            </w:pPr>
          </w:p>
        </w:tc>
        <w:tc>
          <w:tcPr>
            <w:tcW w:w="1276" w:type="dxa"/>
            <w:gridSpan w:val="3"/>
            <w:vAlign w:val="center"/>
          </w:tcPr>
          <w:p w14:paraId="7DEC3E1C">
            <w:pPr>
              <w:spacing w:before="120" w:after="120" w:line="220" w:lineRule="exact"/>
              <w:jc w:val="center"/>
              <w:rPr>
                <w:rFonts w:eastAsia="仿宋"/>
                <w:szCs w:val="21"/>
              </w:rPr>
            </w:pPr>
            <w:r>
              <w:rPr>
                <w:rFonts w:eastAsia="仿宋"/>
                <w:szCs w:val="21"/>
              </w:rPr>
              <w:t>单位地址</w:t>
            </w:r>
          </w:p>
        </w:tc>
        <w:tc>
          <w:tcPr>
            <w:tcW w:w="6379" w:type="dxa"/>
            <w:gridSpan w:val="22"/>
            <w:vAlign w:val="center"/>
          </w:tcPr>
          <w:p w14:paraId="2B7D5460">
            <w:pPr>
              <w:spacing w:before="120" w:after="120" w:line="220" w:lineRule="exact"/>
              <w:jc w:val="center"/>
              <w:rPr>
                <w:rFonts w:eastAsia="仿宋"/>
                <w:kern w:val="0"/>
                <w:szCs w:val="21"/>
              </w:rPr>
            </w:pPr>
            <w:r>
              <w:rPr>
                <w:rFonts w:eastAsia="仿宋"/>
                <w:kern w:val="0"/>
                <w:szCs w:val="21"/>
              </w:rPr>
              <w:t>广元市利州区宝轮镇紫兰社区</w:t>
            </w:r>
          </w:p>
        </w:tc>
      </w:tr>
      <w:tr w14:paraId="06A73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vAlign w:val="center"/>
          </w:tcPr>
          <w:p w14:paraId="745893E1">
            <w:pPr>
              <w:widowControl/>
              <w:jc w:val="center"/>
              <w:rPr>
                <w:rFonts w:eastAsia="仿宋"/>
                <w:kern w:val="0"/>
                <w:szCs w:val="21"/>
              </w:rPr>
            </w:pPr>
          </w:p>
        </w:tc>
        <w:tc>
          <w:tcPr>
            <w:tcW w:w="1276" w:type="dxa"/>
            <w:gridSpan w:val="3"/>
            <w:vAlign w:val="center"/>
          </w:tcPr>
          <w:p w14:paraId="512C8319">
            <w:pPr>
              <w:spacing w:before="120" w:after="120" w:line="220" w:lineRule="exact"/>
              <w:jc w:val="center"/>
              <w:rPr>
                <w:rFonts w:eastAsia="仿宋"/>
                <w:szCs w:val="21"/>
              </w:rPr>
            </w:pPr>
            <w:r>
              <w:rPr>
                <w:rFonts w:eastAsia="仿宋"/>
                <w:szCs w:val="21"/>
              </w:rPr>
              <w:t>法人代表</w:t>
            </w:r>
          </w:p>
        </w:tc>
        <w:tc>
          <w:tcPr>
            <w:tcW w:w="1954" w:type="dxa"/>
            <w:gridSpan w:val="8"/>
            <w:vAlign w:val="center"/>
          </w:tcPr>
          <w:p w14:paraId="3B1D038A">
            <w:pPr>
              <w:spacing w:before="120" w:after="120" w:line="220" w:lineRule="exact"/>
              <w:jc w:val="center"/>
              <w:rPr>
                <w:rFonts w:eastAsia="仿宋"/>
                <w:szCs w:val="21"/>
              </w:rPr>
            </w:pPr>
          </w:p>
        </w:tc>
        <w:tc>
          <w:tcPr>
            <w:tcW w:w="2124" w:type="dxa"/>
            <w:gridSpan w:val="7"/>
            <w:vAlign w:val="center"/>
          </w:tcPr>
          <w:p w14:paraId="1446C05A">
            <w:pPr>
              <w:spacing w:before="120" w:after="120" w:line="220" w:lineRule="exact"/>
              <w:jc w:val="center"/>
              <w:rPr>
                <w:rFonts w:eastAsia="仿宋"/>
                <w:szCs w:val="21"/>
              </w:rPr>
            </w:pPr>
            <w:r>
              <w:rPr>
                <w:rFonts w:eastAsia="仿宋"/>
                <w:szCs w:val="21"/>
              </w:rPr>
              <w:t>联系电话</w:t>
            </w:r>
          </w:p>
        </w:tc>
        <w:tc>
          <w:tcPr>
            <w:tcW w:w="2301" w:type="dxa"/>
            <w:gridSpan w:val="7"/>
            <w:vAlign w:val="center"/>
          </w:tcPr>
          <w:p w14:paraId="5EF0140C">
            <w:pPr>
              <w:spacing w:before="120" w:after="120" w:line="220" w:lineRule="exact"/>
              <w:jc w:val="center"/>
              <w:rPr>
                <w:rFonts w:eastAsia="仿宋"/>
                <w:szCs w:val="21"/>
              </w:rPr>
            </w:pPr>
          </w:p>
        </w:tc>
      </w:tr>
      <w:tr w14:paraId="7A327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vAlign w:val="center"/>
          </w:tcPr>
          <w:p w14:paraId="76F461EB">
            <w:pPr>
              <w:widowControl/>
              <w:jc w:val="center"/>
              <w:rPr>
                <w:rFonts w:eastAsia="仿宋"/>
                <w:kern w:val="0"/>
                <w:szCs w:val="21"/>
              </w:rPr>
            </w:pPr>
          </w:p>
        </w:tc>
        <w:tc>
          <w:tcPr>
            <w:tcW w:w="1276" w:type="dxa"/>
            <w:gridSpan w:val="3"/>
            <w:vAlign w:val="center"/>
          </w:tcPr>
          <w:p w14:paraId="3054686B">
            <w:pPr>
              <w:spacing w:before="120" w:after="120" w:line="220" w:lineRule="exact"/>
              <w:jc w:val="center"/>
              <w:rPr>
                <w:rFonts w:eastAsia="仿宋"/>
                <w:szCs w:val="21"/>
              </w:rPr>
            </w:pPr>
            <w:r>
              <w:rPr>
                <w:rFonts w:eastAsia="仿宋"/>
                <w:szCs w:val="21"/>
              </w:rPr>
              <w:t>企业性质</w:t>
            </w:r>
          </w:p>
        </w:tc>
        <w:tc>
          <w:tcPr>
            <w:tcW w:w="1954" w:type="dxa"/>
            <w:gridSpan w:val="8"/>
            <w:vAlign w:val="center"/>
          </w:tcPr>
          <w:p w14:paraId="3D98618A">
            <w:pPr>
              <w:spacing w:before="120" w:after="120" w:line="220" w:lineRule="exact"/>
              <w:jc w:val="center"/>
              <w:rPr>
                <w:rFonts w:eastAsia="仿宋"/>
                <w:szCs w:val="21"/>
              </w:rPr>
            </w:pPr>
            <w:r>
              <w:rPr>
                <w:rFonts w:eastAsia="仿宋"/>
                <w:szCs w:val="21"/>
              </w:rPr>
              <w:t>私营合伙企业</w:t>
            </w:r>
          </w:p>
        </w:tc>
        <w:tc>
          <w:tcPr>
            <w:tcW w:w="2124" w:type="dxa"/>
            <w:gridSpan w:val="7"/>
            <w:vAlign w:val="center"/>
          </w:tcPr>
          <w:p w14:paraId="24D93BA4">
            <w:pPr>
              <w:spacing w:before="120" w:after="120" w:line="220" w:lineRule="exact"/>
              <w:jc w:val="center"/>
              <w:rPr>
                <w:rFonts w:eastAsia="仿宋"/>
                <w:szCs w:val="21"/>
              </w:rPr>
            </w:pPr>
            <w:r>
              <w:rPr>
                <w:rFonts w:eastAsia="仿宋"/>
                <w:szCs w:val="21"/>
              </w:rPr>
              <w:t>项目性质</w:t>
            </w:r>
          </w:p>
        </w:tc>
        <w:tc>
          <w:tcPr>
            <w:tcW w:w="2301" w:type="dxa"/>
            <w:gridSpan w:val="7"/>
            <w:vAlign w:val="center"/>
          </w:tcPr>
          <w:p w14:paraId="337DFD83">
            <w:pPr>
              <w:spacing w:before="120" w:after="120" w:line="220" w:lineRule="exact"/>
              <w:jc w:val="center"/>
              <w:rPr>
                <w:rFonts w:eastAsia="仿宋"/>
                <w:szCs w:val="21"/>
              </w:rPr>
            </w:pPr>
          </w:p>
        </w:tc>
      </w:tr>
      <w:tr w14:paraId="053BF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vAlign w:val="center"/>
          </w:tcPr>
          <w:p w14:paraId="0BC2168A">
            <w:pPr>
              <w:widowControl/>
              <w:jc w:val="center"/>
              <w:rPr>
                <w:rFonts w:eastAsia="仿宋"/>
                <w:kern w:val="0"/>
                <w:szCs w:val="21"/>
              </w:rPr>
            </w:pPr>
          </w:p>
        </w:tc>
        <w:tc>
          <w:tcPr>
            <w:tcW w:w="1276" w:type="dxa"/>
            <w:gridSpan w:val="3"/>
            <w:vAlign w:val="center"/>
          </w:tcPr>
          <w:p w14:paraId="1A6089AD">
            <w:pPr>
              <w:spacing w:before="120" w:after="120" w:line="220" w:lineRule="exact"/>
              <w:jc w:val="center"/>
              <w:rPr>
                <w:rFonts w:eastAsia="仿宋"/>
                <w:szCs w:val="21"/>
              </w:rPr>
            </w:pPr>
            <w:r>
              <w:rPr>
                <w:rFonts w:eastAsia="仿宋"/>
                <w:szCs w:val="21"/>
              </w:rPr>
              <w:t>项目位置</w:t>
            </w:r>
          </w:p>
        </w:tc>
        <w:tc>
          <w:tcPr>
            <w:tcW w:w="6379" w:type="dxa"/>
            <w:gridSpan w:val="22"/>
            <w:vAlign w:val="center"/>
          </w:tcPr>
          <w:p w14:paraId="5CFE9E38">
            <w:pPr>
              <w:spacing w:before="120" w:after="120" w:line="220" w:lineRule="exact"/>
              <w:jc w:val="center"/>
              <w:rPr>
                <w:rFonts w:eastAsia="仿宋"/>
                <w:szCs w:val="21"/>
              </w:rPr>
            </w:pPr>
            <w:r>
              <w:rPr>
                <w:rFonts w:eastAsia="仿宋"/>
                <w:szCs w:val="21"/>
              </w:rPr>
              <w:t>广元市利州区宝轮镇紫兰社区</w:t>
            </w:r>
          </w:p>
        </w:tc>
      </w:tr>
      <w:tr w14:paraId="073D2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vAlign w:val="center"/>
          </w:tcPr>
          <w:p w14:paraId="656E7C27">
            <w:pPr>
              <w:widowControl/>
              <w:jc w:val="center"/>
              <w:rPr>
                <w:rFonts w:eastAsia="仿宋"/>
                <w:kern w:val="0"/>
                <w:szCs w:val="21"/>
              </w:rPr>
            </w:pPr>
          </w:p>
        </w:tc>
        <w:tc>
          <w:tcPr>
            <w:tcW w:w="1276" w:type="dxa"/>
            <w:gridSpan w:val="3"/>
            <w:vAlign w:val="center"/>
          </w:tcPr>
          <w:p w14:paraId="7567147C">
            <w:pPr>
              <w:spacing w:before="120" w:after="120" w:line="220" w:lineRule="exact"/>
              <w:jc w:val="center"/>
              <w:rPr>
                <w:rFonts w:eastAsia="仿宋"/>
                <w:szCs w:val="21"/>
              </w:rPr>
            </w:pPr>
            <w:r>
              <w:rPr>
                <w:rFonts w:eastAsia="仿宋"/>
                <w:szCs w:val="21"/>
              </w:rPr>
              <w:t>资源储量</w:t>
            </w:r>
          </w:p>
        </w:tc>
        <w:tc>
          <w:tcPr>
            <w:tcW w:w="3617" w:type="dxa"/>
            <w:gridSpan w:val="14"/>
            <w:vAlign w:val="center"/>
          </w:tcPr>
          <w:p w14:paraId="35CD3511">
            <w:pPr>
              <w:spacing w:before="120" w:after="120" w:line="220" w:lineRule="exact"/>
              <w:jc w:val="center"/>
              <w:rPr>
                <w:rFonts w:eastAsia="仿宋"/>
                <w:szCs w:val="21"/>
              </w:rPr>
            </w:pPr>
            <w:r>
              <w:rPr>
                <w:rFonts w:eastAsia="仿宋"/>
                <w:szCs w:val="21"/>
              </w:rPr>
              <w:t>13.56万t</w:t>
            </w:r>
          </w:p>
        </w:tc>
        <w:tc>
          <w:tcPr>
            <w:tcW w:w="1382" w:type="dxa"/>
            <w:gridSpan w:val="4"/>
            <w:vAlign w:val="center"/>
          </w:tcPr>
          <w:p w14:paraId="49A1EA86">
            <w:pPr>
              <w:spacing w:before="120" w:after="120" w:line="220" w:lineRule="exact"/>
              <w:jc w:val="center"/>
              <w:rPr>
                <w:rFonts w:eastAsia="仿宋"/>
                <w:szCs w:val="21"/>
              </w:rPr>
            </w:pPr>
            <w:r>
              <w:rPr>
                <w:rFonts w:eastAsia="仿宋"/>
                <w:szCs w:val="21"/>
              </w:rPr>
              <w:t>生产能力</w:t>
            </w:r>
          </w:p>
        </w:tc>
        <w:tc>
          <w:tcPr>
            <w:tcW w:w="1380" w:type="dxa"/>
            <w:gridSpan w:val="4"/>
            <w:vAlign w:val="center"/>
          </w:tcPr>
          <w:p w14:paraId="5DA3E19C">
            <w:pPr>
              <w:widowControl/>
              <w:spacing w:line="220" w:lineRule="exact"/>
              <w:jc w:val="center"/>
              <w:rPr>
                <w:rFonts w:eastAsia="仿宋"/>
                <w:kern w:val="0"/>
                <w:szCs w:val="21"/>
              </w:rPr>
            </w:pPr>
            <w:r>
              <w:rPr>
                <w:rFonts w:eastAsia="仿宋"/>
                <w:szCs w:val="21"/>
              </w:rPr>
              <w:t>4.0万t/a</w:t>
            </w:r>
          </w:p>
        </w:tc>
      </w:tr>
      <w:tr w14:paraId="63F1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vAlign w:val="center"/>
          </w:tcPr>
          <w:p w14:paraId="42002967">
            <w:pPr>
              <w:widowControl/>
              <w:jc w:val="center"/>
              <w:rPr>
                <w:rFonts w:eastAsia="仿宋"/>
                <w:kern w:val="0"/>
                <w:szCs w:val="21"/>
              </w:rPr>
            </w:pPr>
          </w:p>
        </w:tc>
        <w:tc>
          <w:tcPr>
            <w:tcW w:w="1276" w:type="dxa"/>
            <w:gridSpan w:val="3"/>
            <w:vAlign w:val="center"/>
          </w:tcPr>
          <w:p w14:paraId="492E76F4">
            <w:pPr>
              <w:spacing w:line="220" w:lineRule="exact"/>
              <w:jc w:val="center"/>
              <w:rPr>
                <w:rFonts w:eastAsia="仿宋"/>
                <w:szCs w:val="21"/>
              </w:rPr>
            </w:pPr>
            <w:r>
              <w:rPr>
                <w:rFonts w:eastAsia="仿宋"/>
                <w:szCs w:val="21"/>
              </w:rPr>
              <w:t>采矿证</w:t>
            </w:r>
          </w:p>
        </w:tc>
        <w:tc>
          <w:tcPr>
            <w:tcW w:w="3617" w:type="dxa"/>
            <w:gridSpan w:val="14"/>
            <w:vAlign w:val="center"/>
          </w:tcPr>
          <w:p w14:paraId="0C6C21F4">
            <w:pPr>
              <w:spacing w:before="120" w:after="120" w:line="220" w:lineRule="exact"/>
              <w:jc w:val="center"/>
              <w:rPr>
                <w:rFonts w:eastAsia="仿宋"/>
                <w:szCs w:val="21"/>
              </w:rPr>
            </w:pPr>
            <w:r>
              <w:rPr>
                <w:rFonts w:eastAsia="仿宋"/>
                <w:szCs w:val="21"/>
                <w:lang w:val="zh-CN"/>
              </w:rPr>
              <w:t>C5108022009057130017749</w:t>
            </w:r>
          </w:p>
        </w:tc>
        <w:tc>
          <w:tcPr>
            <w:tcW w:w="1382" w:type="dxa"/>
            <w:gridSpan w:val="4"/>
            <w:vAlign w:val="center"/>
          </w:tcPr>
          <w:p w14:paraId="622055AA">
            <w:pPr>
              <w:spacing w:before="120" w:after="120" w:line="220" w:lineRule="exact"/>
              <w:jc w:val="center"/>
              <w:rPr>
                <w:rFonts w:eastAsia="仿宋"/>
                <w:szCs w:val="21"/>
              </w:rPr>
            </w:pPr>
            <w:r>
              <w:rPr>
                <w:rFonts w:eastAsia="仿宋"/>
                <w:szCs w:val="21"/>
              </w:rPr>
              <w:t>矿区面积</w:t>
            </w:r>
          </w:p>
        </w:tc>
        <w:tc>
          <w:tcPr>
            <w:tcW w:w="1380" w:type="dxa"/>
            <w:gridSpan w:val="4"/>
            <w:vAlign w:val="center"/>
          </w:tcPr>
          <w:p w14:paraId="45450BAC">
            <w:pPr>
              <w:widowControl/>
              <w:spacing w:before="120" w:after="120" w:line="220" w:lineRule="exact"/>
              <w:jc w:val="center"/>
              <w:rPr>
                <w:rFonts w:eastAsia="仿宋"/>
                <w:kern w:val="0"/>
                <w:szCs w:val="21"/>
              </w:rPr>
            </w:pPr>
            <w:r>
              <w:rPr>
                <w:rFonts w:eastAsia="仿宋"/>
                <w:kern w:val="0"/>
                <w:szCs w:val="21"/>
              </w:rPr>
              <w:t>0.0206km</w:t>
            </w:r>
            <w:r>
              <w:rPr>
                <w:rFonts w:eastAsia="仿宋"/>
                <w:kern w:val="0"/>
                <w:szCs w:val="21"/>
                <w:vertAlign w:val="superscript"/>
              </w:rPr>
              <w:t>2</w:t>
            </w:r>
          </w:p>
        </w:tc>
      </w:tr>
      <w:tr w14:paraId="33F32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vAlign w:val="center"/>
          </w:tcPr>
          <w:p w14:paraId="4BD8316B">
            <w:pPr>
              <w:widowControl/>
              <w:jc w:val="center"/>
              <w:rPr>
                <w:rFonts w:eastAsia="仿宋"/>
                <w:kern w:val="0"/>
                <w:szCs w:val="21"/>
              </w:rPr>
            </w:pPr>
          </w:p>
        </w:tc>
        <w:tc>
          <w:tcPr>
            <w:tcW w:w="2577" w:type="dxa"/>
            <w:gridSpan w:val="9"/>
            <w:vAlign w:val="center"/>
          </w:tcPr>
          <w:p w14:paraId="3036E26B">
            <w:pPr>
              <w:spacing w:before="120" w:after="120" w:line="220" w:lineRule="exact"/>
              <w:jc w:val="center"/>
              <w:rPr>
                <w:rFonts w:eastAsia="仿宋"/>
                <w:szCs w:val="21"/>
              </w:rPr>
            </w:pPr>
            <w:r>
              <w:rPr>
                <w:rFonts w:eastAsia="仿宋"/>
                <w:szCs w:val="21"/>
              </w:rPr>
              <w:t>项目位置土地利用现状图幅号</w:t>
            </w:r>
          </w:p>
        </w:tc>
        <w:tc>
          <w:tcPr>
            <w:tcW w:w="5078" w:type="dxa"/>
            <w:gridSpan w:val="16"/>
            <w:vAlign w:val="center"/>
          </w:tcPr>
          <w:p w14:paraId="600E74BC">
            <w:pPr>
              <w:spacing w:before="120" w:after="120" w:line="220" w:lineRule="exact"/>
              <w:jc w:val="center"/>
              <w:rPr>
                <w:rFonts w:eastAsia="仿宋"/>
                <w:szCs w:val="21"/>
              </w:rPr>
            </w:pPr>
            <w:r>
              <w:rPr>
                <w:rFonts w:eastAsia="仿宋"/>
                <w:szCs w:val="21"/>
              </w:rPr>
              <w:t>I48 G087059</w:t>
            </w:r>
          </w:p>
        </w:tc>
      </w:tr>
      <w:tr w14:paraId="3A3AF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continue"/>
            <w:tcBorders>
              <w:bottom w:val="single" w:color="auto" w:sz="4" w:space="0"/>
            </w:tcBorders>
            <w:vAlign w:val="center"/>
          </w:tcPr>
          <w:p w14:paraId="1527133E">
            <w:pPr>
              <w:widowControl/>
              <w:jc w:val="center"/>
              <w:rPr>
                <w:rFonts w:eastAsia="仿宋"/>
                <w:kern w:val="0"/>
                <w:szCs w:val="21"/>
              </w:rPr>
            </w:pPr>
          </w:p>
        </w:tc>
        <w:tc>
          <w:tcPr>
            <w:tcW w:w="2577" w:type="dxa"/>
            <w:gridSpan w:val="9"/>
            <w:tcBorders>
              <w:bottom w:val="single" w:color="auto" w:sz="4" w:space="0"/>
            </w:tcBorders>
            <w:vAlign w:val="center"/>
          </w:tcPr>
          <w:p w14:paraId="3E690F5C">
            <w:pPr>
              <w:spacing w:before="120" w:after="120" w:line="220" w:lineRule="exact"/>
              <w:jc w:val="center"/>
              <w:rPr>
                <w:rFonts w:eastAsia="仿宋"/>
                <w:szCs w:val="21"/>
              </w:rPr>
            </w:pPr>
            <w:r>
              <w:rPr>
                <w:rFonts w:eastAsia="仿宋"/>
                <w:szCs w:val="21"/>
              </w:rPr>
              <w:t>矿山剩余服务年限</w:t>
            </w:r>
          </w:p>
        </w:tc>
        <w:tc>
          <w:tcPr>
            <w:tcW w:w="1610" w:type="dxa"/>
            <w:gridSpan w:val="5"/>
            <w:tcBorders>
              <w:bottom w:val="single" w:color="auto" w:sz="4" w:space="0"/>
            </w:tcBorders>
            <w:vAlign w:val="center"/>
          </w:tcPr>
          <w:p w14:paraId="2B4C24E7">
            <w:pPr>
              <w:spacing w:before="120" w:after="120" w:line="220" w:lineRule="exact"/>
              <w:jc w:val="center"/>
              <w:rPr>
                <w:rFonts w:eastAsia="仿宋"/>
                <w:szCs w:val="21"/>
              </w:rPr>
            </w:pPr>
            <w:r>
              <w:rPr>
                <w:rFonts w:eastAsia="仿宋"/>
                <w:szCs w:val="21"/>
              </w:rPr>
              <w:t>0a</w:t>
            </w:r>
          </w:p>
        </w:tc>
        <w:tc>
          <w:tcPr>
            <w:tcW w:w="2405" w:type="dxa"/>
            <w:gridSpan w:val="9"/>
            <w:tcBorders>
              <w:bottom w:val="single" w:color="auto" w:sz="4" w:space="0"/>
            </w:tcBorders>
            <w:vAlign w:val="center"/>
          </w:tcPr>
          <w:p w14:paraId="2FFA7B5D">
            <w:pPr>
              <w:spacing w:before="120" w:after="120" w:line="220" w:lineRule="exact"/>
              <w:jc w:val="center"/>
              <w:rPr>
                <w:rFonts w:eastAsia="仿宋"/>
                <w:szCs w:val="21"/>
              </w:rPr>
            </w:pPr>
            <w:r>
              <w:rPr>
                <w:rFonts w:eastAsia="仿宋"/>
                <w:szCs w:val="21"/>
              </w:rPr>
              <w:t>土地复垦方案服务年限</w:t>
            </w:r>
          </w:p>
        </w:tc>
        <w:tc>
          <w:tcPr>
            <w:tcW w:w="1063" w:type="dxa"/>
            <w:gridSpan w:val="2"/>
            <w:tcBorders>
              <w:bottom w:val="single" w:color="auto" w:sz="4" w:space="0"/>
            </w:tcBorders>
            <w:vAlign w:val="center"/>
          </w:tcPr>
          <w:p w14:paraId="2E6FAAE0">
            <w:pPr>
              <w:spacing w:before="120" w:after="120" w:line="220" w:lineRule="exact"/>
              <w:jc w:val="center"/>
              <w:rPr>
                <w:rFonts w:eastAsia="仿宋"/>
                <w:szCs w:val="21"/>
              </w:rPr>
            </w:pPr>
            <w:r>
              <w:rPr>
                <w:rFonts w:eastAsia="仿宋"/>
                <w:szCs w:val="21"/>
              </w:rPr>
              <w:t>3.1年</w:t>
            </w:r>
          </w:p>
        </w:tc>
      </w:tr>
      <w:tr w14:paraId="5DC66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675" w:type="dxa"/>
            <w:vMerge w:val="restart"/>
            <w:vAlign w:val="center"/>
          </w:tcPr>
          <w:p w14:paraId="02DCC632">
            <w:pPr>
              <w:widowControl/>
              <w:jc w:val="center"/>
              <w:rPr>
                <w:rFonts w:eastAsia="仿宋"/>
                <w:kern w:val="0"/>
                <w:szCs w:val="21"/>
              </w:rPr>
            </w:pPr>
            <w:r>
              <w:rPr>
                <w:rFonts w:eastAsia="仿宋"/>
                <w:kern w:val="0"/>
                <w:szCs w:val="21"/>
              </w:rPr>
              <w:t>方</w:t>
            </w:r>
          </w:p>
          <w:p w14:paraId="337A7DE6">
            <w:pPr>
              <w:widowControl/>
              <w:jc w:val="center"/>
              <w:rPr>
                <w:rFonts w:eastAsia="仿宋"/>
                <w:kern w:val="0"/>
                <w:szCs w:val="21"/>
              </w:rPr>
            </w:pPr>
            <w:r>
              <w:rPr>
                <w:rFonts w:eastAsia="仿宋"/>
                <w:kern w:val="0"/>
                <w:szCs w:val="21"/>
              </w:rPr>
              <w:t>案</w:t>
            </w:r>
          </w:p>
          <w:p w14:paraId="4F130B20">
            <w:pPr>
              <w:widowControl/>
              <w:jc w:val="center"/>
              <w:rPr>
                <w:rFonts w:eastAsia="仿宋"/>
                <w:kern w:val="0"/>
                <w:szCs w:val="21"/>
              </w:rPr>
            </w:pPr>
            <w:r>
              <w:rPr>
                <w:rFonts w:eastAsia="仿宋"/>
                <w:kern w:val="0"/>
                <w:szCs w:val="21"/>
              </w:rPr>
              <w:t>编</w:t>
            </w:r>
          </w:p>
          <w:p w14:paraId="643ADC48">
            <w:pPr>
              <w:widowControl/>
              <w:jc w:val="center"/>
              <w:rPr>
                <w:rFonts w:eastAsia="仿宋"/>
                <w:kern w:val="0"/>
                <w:szCs w:val="21"/>
              </w:rPr>
            </w:pPr>
            <w:r>
              <w:rPr>
                <w:rFonts w:eastAsia="仿宋"/>
                <w:kern w:val="0"/>
                <w:szCs w:val="21"/>
              </w:rPr>
              <w:t>制</w:t>
            </w:r>
          </w:p>
          <w:p w14:paraId="6B711120">
            <w:pPr>
              <w:widowControl/>
              <w:jc w:val="center"/>
              <w:rPr>
                <w:rFonts w:eastAsia="仿宋"/>
                <w:kern w:val="0"/>
                <w:szCs w:val="21"/>
              </w:rPr>
            </w:pPr>
            <w:r>
              <w:rPr>
                <w:rFonts w:eastAsia="仿宋"/>
                <w:kern w:val="0"/>
                <w:szCs w:val="21"/>
              </w:rPr>
              <w:t>单</w:t>
            </w:r>
          </w:p>
          <w:p w14:paraId="3EDB65B6">
            <w:pPr>
              <w:widowControl/>
              <w:jc w:val="center"/>
              <w:rPr>
                <w:rFonts w:eastAsia="仿宋"/>
                <w:kern w:val="0"/>
                <w:szCs w:val="21"/>
              </w:rPr>
            </w:pPr>
            <w:r>
              <w:rPr>
                <w:rFonts w:eastAsia="仿宋"/>
                <w:kern w:val="0"/>
                <w:szCs w:val="21"/>
              </w:rPr>
              <w:t>位</w:t>
            </w:r>
          </w:p>
        </w:tc>
        <w:tc>
          <w:tcPr>
            <w:tcW w:w="2577" w:type="dxa"/>
            <w:gridSpan w:val="9"/>
            <w:vAlign w:val="center"/>
          </w:tcPr>
          <w:p w14:paraId="2FD5F0B0">
            <w:pPr>
              <w:spacing w:before="120" w:after="120" w:line="220" w:lineRule="exact"/>
              <w:jc w:val="center"/>
              <w:rPr>
                <w:rFonts w:eastAsia="仿宋"/>
                <w:szCs w:val="21"/>
              </w:rPr>
            </w:pPr>
            <w:r>
              <w:rPr>
                <w:rFonts w:eastAsia="仿宋"/>
                <w:szCs w:val="21"/>
              </w:rPr>
              <w:t>编制单位名称</w:t>
            </w:r>
          </w:p>
        </w:tc>
        <w:tc>
          <w:tcPr>
            <w:tcW w:w="5078" w:type="dxa"/>
            <w:gridSpan w:val="16"/>
            <w:vAlign w:val="center"/>
          </w:tcPr>
          <w:p w14:paraId="60C95E8E">
            <w:pPr>
              <w:spacing w:before="120" w:after="120" w:line="220" w:lineRule="exact"/>
              <w:jc w:val="center"/>
              <w:rPr>
                <w:rFonts w:eastAsia="仿宋"/>
                <w:szCs w:val="21"/>
              </w:rPr>
            </w:pPr>
            <w:r>
              <w:rPr>
                <w:rFonts w:eastAsia="仿宋"/>
                <w:szCs w:val="21"/>
              </w:rPr>
              <w:t>广元林晨工程咨询服务有限公司</w:t>
            </w:r>
          </w:p>
        </w:tc>
      </w:tr>
      <w:tr w14:paraId="77C2F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rPr>
        <w:tc>
          <w:tcPr>
            <w:tcW w:w="675" w:type="dxa"/>
            <w:vMerge w:val="continue"/>
            <w:vAlign w:val="center"/>
          </w:tcPr>
          <w:p w14:paraId="64528127">
            <w:pPr>
              <w:widowControl/>
              <w:jc w:val="center"/>
              <w:rPr>
                <w:rFonts w:eastAsia="仿宋"/>
                <w:kern w:val="0"/>
                <w:szCs w:val="21"/>
              </w:rPr>
            </w:pPr>
          </w:p>
        </w:tc>
        <w:tc>
          <w:tcPr>
            <w:tcW w:w="2577" w:type="dxa"/>
            <w:gridSpan w:val="9"/>
            <w:vAlign w:val="center"/>
          </w:tcPr>
          <w:p w14:paraId="531322FC">
            <w:pPr>
              <w:spacing w:before="120" w:after="120" w:line="220" w:lineRule="exact"/>
              <w:jc w:val="center"/>
              <w:rPr>
                <w:rFonts w:eastAsia="仿宋"/>
                <w:szCs w:val="21"/>
              </w:rPr>
            </w:pPr>
            <w:r>
              <w:rPr>
                <w:rFonts w:eastAsia="仿宋"/>
                <w:szCs w:val="21"/>
              </w:rPr>
              <w:t>法人代表</w:t>
            </w:r>
          </w:p>
        </w:tc>
        <w:tc>
          <w:tcPr>
            <w:tcW w:w="5078" w:type="dxa"/>
            <w:gridSpan w:val="16"/>
            <w:vAlign w:val="center"/>
          </w:tcPr>
          <w:p w14:paraId="54CB5BA4">
            <w:pPr>
              <w:spacing w:before="120" w:after="120" w:line="220" w:lineRule="exact"/>
              <w:jc w:val="center"/>
              <w:rPr>
                <w:rFonts w:eastAsia="仿宋"/>
                <w:szCs w:val="21"/>
              </w:rPr>
            </w:pPr>
            <w:r>
              <w:rPr>
                <w:rFonts w:eastAsia="仿宋"/>
                <w:szCs w:val="21"/>
              </w:rPr>
              <w:t>周爽</w:t>
            </w:r>
          </w:p>
        </w:tc>
      </w:tr>
      <w:tr w14:paraId="51072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trPr>
        <w:tc>
          <w:tcPr>
            <w:tcW w:w="675" w:type="dxa"/>
            <w:vMerge w:val="continue"/>
            <w:vAlign w:val="center"/>
          </w:tcPr>
          <w:p w14:paraId="572C43E5">
            <w:pPr>
              <w:widowControl/>
              <w:jc w:val="center"/>
              <w:rPr>
                <w:rFonts w:eastAsia="仿宋"/>
                <w:kern w:val="0"/>
                <w:szCs w:val="21"/>
              </w:rPr>
            </w:pPr>
          </w:p>
        </w:tc>
        <w:tc>
          <w:tcPr>
            <w:tcW w:w="1843" w:type="dxa"/>
            <w:gridSpan w:val="5"/>
            <w:vAlign w:val="center"/>
          </w:tcPr>
          <w:p w14:paraId="201A61EA">
            <w:pPr>
              <w:spacing w:before="120" w:after="120" w:line="220" w:lineRule="exact"/>
              <w:jc w:val="center"/>
              <w:rPr>
                <w:rFonts w:eastAsia="仿宋"/>
                <w:szCs w:val="21"/>
              </w:rPr>
            </w:pPr>
            <w:r>
              <w:rPr>
                <w:rFonts w:eastAsia="仿宋"/>
                <w:szCs w:val="21"/>
              </w:rPr>
              <w:t>资质证书名称</w:t>
            </w:r>
          </w:p>
        </w:tc>
        <w:tc>
          <w:tcPr>
            <w:tcW w:w="2410" w:type="dxa"/>
            <w:gridSpan w:val="10"/>
            <w:vAlign w:val="center"/>
          </w:tcPr>
          <w:p w14:paraId="45CAB514">
            <w:pPr>
              <w:spacing w:before="120" w:after="120" w:line="220" w:lineRule="exact"/>
              <w:jc w:val="center"/>
              <w:rPr>
                <w:rFonts w:eastAsia="仿宋"/>
                <w:szCs w:val="21"/>
              </w:rPr>
            </w:pPr>
          </w:p>
        </w:tc>
        <w:tc>
          <w:tcPr>
            <w:tcW w:w="1276" w:type="dxa"/>
            <w:gridSpan w:val="4"/>
            <w:vAlign w:val="center"/>
          </w:tcPr>
          <w:p w14:paraId="1E9855BA">
            <w:pPr>
              <w:spacing w:before="120" w:after="120" w:line="220" w:lineRule="exact"/>
              <w:jc w:val="center"/>
              <w:rPr>
                <w:rFonts w:eastAsia="仿宋"/>
                <w:szCs w:val="21"/>
              </w:rPr>
            </w:pPr>
            <w:r>
              <w:rPr>
                <w:rFonts w:eastAsia="仿宋"/>
                <w:szCs w:val="21"/>
              </w:rPr>
              <w:t>资质等级</w:t>
            </w:r>
          </w:p>
        </w:tc>
        <w:tc>
          <w:tcPr>
            <w:tcW w:w="2126" w:type="dxa"/>
            <w:gridSpan w:val="6"/>
            <w:vAlign w:val="center"/>
          </w:tcPr>
          <w:p w14:paraId="479B836C">
            <w:pPr>
              <w:spacing w:before="120" w:after="120" w:line="220" w:lineRule="exact"/>
              <w:jc w:val="center"/>
              <w:rPr>
                <w:rFonts w:eastAsia="仿宋"/>
                <w:szCs w:val="21"/>
              </w:rPr>
            </w:pPr>
          </w:p>
        </w:tc>
      </w:tr>
      <w:tr w14:paraId="74360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675" w:type="dxa"/>
            <w:vMerge w:val="continue"/>
            <w:vAlign w:val="center"/>
          </w:tcPr>
          <w:p w14:paraId="6AE53680">
            <w:pPr>
              <w:widowControl/>
              <w:jc w:val="center"/>
              <w:rPr>
                <w:rFonts w:eastAsia="仿宋"/>
                <w:kern w:val="0"/>
                <w:szCs w:val="21"/>
              </w:rPr>
            </w:pPr>
          </w:p>
        </w:tc>
        <w:tc>
          <w:tcPr>
            <w:tcW w:w="1843" w:type="dxa"/>
            <w:gridSpan w:val="5"/>
            <w:vAlign w:val="center"/>
          </w:tcPr>
          <w:p w14:paraId="671EE13A">
            <w:pPr>
              <w:spacing w:before="120" w:after="120" w:line="220" w:lineRule="exact"/>
              <w:jc w:val="center"/>
              <w:rPr>
                <w:rFonts w:eastAsia="仿宋"/>
                <w:szCs w:val="21"/>
              </w:rPr>
            </w:pPr>
            <w:r>
              <w:rPr>
                <w:rFonts w:eastAsia="仿宋"/>
                <w:szCs w:val="21"/>
              </w:rPr>
              <w:t>发证机关</w:t>
            </w:r>
          </w:p>
        </w:tc>
        <w:tc>
          <w:tcPr>
            <w:tcW w:w="2410" w:type="dxa"/>
            <w:gridSpan w:val="10"/>
            <w:vAlign w:val="center"/>
          </w:tcPr>
          <w:p w14:paraId="4F873D52">
            <w:pPr>
              <w:spacing w:before="120" w:after="120" w:line="220" w:lineRule="exact"/>
              <w:jc w:val="center"/>
              <w:rPr>
                <w:rFonts w:eastAsia="仿宋"/>
                <w:szCs w:val="21"/>
              </w:rPr>
            </w:pPr>
          </w:p>
        </w:tc>
        <w:tc>
          <w:tcPr>
            <w:tcW w:w="1276" w:type="dxa"/>
            <w:gridSpan w:val="4"/>
            <w:vAlign w:val="center"/>
          </w:tcPr>
          <w:p w14:paraId="5AA1990B">
            <w:pPr>
              <w:spacing w:before="120" w:after="120" w:line="220" w:lineRule="exact"/>
              <w:jc w:val="center"/>
              <w:rPr>
                <w:rFonts w:eastAsia="仿宋"/>
                <w:szCs w:val="21"/>
              </w:rPr>
            </w:pPr>
            <w:r>
              <w:rPr>
                <w:rFonts w:eastAsia="仿宋"/>
                <w:szCs w:val="21"/>
              </w:rPr>
              <w:t>编号</w:t>
            </w:r>
          </w:p>
        </w:tc>
        <w:tc>
          <w:tcPr>
            <w:tcW w:w="2126" w:type="dxa"/>
            <w:gridSpan w:val="6"/>
            <w:vAlign w:val="center"/>
          </w:tcPr>
          <w:p w14:paraId="459CFADF">
            <w:pPr>
              <w:spacing w:before="120" w:after="120" w:line="220" w:lineRule="exact"/>
              <w:jc w:val="center"/>
              <w:rPr>
                <w:rFonts w:eastAsia="仿宋"/>
                <w:w w:val="80"/>
                <w:szCs w:val="21"/>
              </w:rPr>
            </w:pPr>
          </w:p>
        </w:tc>
      </w:tr>
      <w:tr w14:paraId="215C6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675" w:type="dxa"/>
            <w:vMerge w:val="continue"/>
            <w:vAlign w:val="center"/>
          </w:tcPr>
          <w:p w14:paraId="0A771849">
            <w:pPr>
              <w:widowControl/>
              <w:jc w:val="center"/>
              <w:rPr>
                <w:rFonts w:eastAsia="仿宋"/>
                <w:kern w:val="0"/>
                <w:szCs w:val="21"/>
              </w:rPr>
            </w:pPr>
          </w:p>
        </w:tc>
        <w:tc>
          <w:tcPr>
            <w:tcW w:w="1843" w:type="dxa"/>
            <w:gridSpan w:val="5"/>
            <w:vAlign w:val="center"/>
          </w:tcPr>
          <w:p w14:paraId="18716463">
            <w:pPr>
              <w:spacing w:before="120" w:after="120" w:line="220" w:lineRule="exact"/>
              <w:jc w:val="center"/>
              <w:rPr>
                <w:rFonts w:eastAsia="仿宋"/>
                <w:szCs w:val="21"/>
              </w:rPr>
            </w:pPr>
            <w:r>
              <w:rPr>
                <w:rFonts w:eastAsia="仿宋"/>
                <w:szCs w:val="21"/>
              </w:rPr>
              <w:t>联系人</w:t>
            </w:r>
          </w:p>
        </w:tc>
        <w:tc>
          <w:tcPr>
            <w:tcW w:w="2410" w:type="dxa"/>
            <w:gridSpan w:val="10"/>
            <w:vAlign w:val="center"/>
          </w:tcPr>
          <w:p w14:paraId="61516208">
            <w:pPr>
              <w:spacing w:before="120" w:after="120" w:line="220" w:lineRule="exact"/>
              <w:jc w:val="center"/>
              <w:rPr>
                <w:rFonts w:eastAsia="仿宋"/>
                <w:szCs w:val="21"/>
              </w:rPr>
            </w:pPr>
          </w:p>
        </w:tc>
        <w:tc>
          <w:tcPr>
            <w:tcW w:w="1276" w:type="dxa"/>
            <w:gridSpan w:val="4"/>
            <w:vAlign w:val="center"/>
          </w:tcPr>
          <w:p w14:paraId="1DBE28B8">
            <w:pPr>
              <w:spacing w:before="120" w:after="120" w:line="220" w:lineRule="exact"/>
              <w:jc w:val="center"/>
              <w:rPr>
                <w:rFonts w:eastAsia="仿宋"/>
                <w:szCs w:val="21"/>
              </w:rPr>
            </w:pPr>
            <w:r>
              <w:rPr>
                <w:rFonts w:eastAsia="仿宋"/>
                <w:szCs w:val="21"/>
              </w:rPr>
              <w:t>联系电话</w:t>
            </w:r>
          </w:p>
        </w:tc>
        <w:tc>
          <w:tcPr>
            <w:tcW w:w="2126" w:type="dxa"/>
            <w:gridSpan w:val="6"/>
            <w:vAlign w:val="center"/>
          </w:tcPr>
          <w:p w14:paraId="23E1935B">
            <w:pPr>
              <w:spacing w:before="120" w:after="120" w:line="220" w:lineRule="exact"/>
              <w:jc w:val="center"/>
              <w:rPr>
                <w:rFonts w:eastAsia="仿宋"/>
                <w:szCs w:val="21"/>
              </w:rPr>
            </w:pPr>
          </w:p>
        </w:tc>
      </w:tr>
      <w:tr w14:paraId="33B91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675" w:type="dxa"/>
            <w:vMerge w:val="continue"/>
            <w:vAlign w:val="center"/>
          </w:tcPr>
          <w:p w14:paraId="1A185581">
            <w:pPr>
              <w:widowControl/>
              <w:jc w:val="center"/>
              <w:rPr>
                <w:rFonts w:eastAsia="仿宋"/>
                <w:kern w:val="0"/>
                <w:szCs w:val="21"/>
              </w:rPr>
            </w:pPr>
          </w:p>
        </w:tc>
        <w:tc>
          <w:tcPr>
            <w:tcW w:w="7655" w:type="dxa"/>
            <w:gridSpan w:val="25"/>
            <w:vAlign w:val="center"/>
          </w:tcPr>
          <w:p w14:paraId="7D84228B">
            <w:pPr>
              <w:spacing w:before="120" w:after="120" w:line="220" w:lineRule="exact"/>
              <w:jc w:val="center"/>
              <w:rPr>
                <w:rFonts w:eastAsia="仿宋"/>
                <w:szCs w:val="21"/>
              </w:rPr>
            </w:pPr>
            <w:r>
              <w:rPr>
                <w:rFonts w:eastAsia="仿宋"/>
                <w:szCs w:val="21"/>
              </w:rPr>
              <w:t>主要编制人员</w:t>
            </w:r>
          </w:p>
        </w:tc>
      </w:tr>
      <w:tr w14:paraId="5E5C4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675" w:type="dxa"/>
            <w:vMerge w:val="continue"/>
            <w:vAlign w:val="center"/>
          </w:tcPr>
          <w:p w14:paraId="3DCDC4BD">
            <w:pPr>
              <w:widowControl/>
              <w:jc w:val="center"/>
              <w:rPr>
                <w:rFonts w:eastAsia="仿宋"/>
                <w:kern w:val="0"/>
                <w:szCs w:val="21"/>
              </w:rPr>
            </w:pPr>
          </w:p>
        </w:tc>
        <w:tc>
          <w:tcPr>
            <w:tcW w:w="1701" w:type="dxa"/>
            <w:gridSpan w:val="4"/>
            <w:vAlign w:val="center"/>
          </w:tcPr>
          <w:p w14:paraId="514B1A5E">
            <w:pPr>
              <w:spacing w:before="120" w:after="120" w:line="220" w:lineRule="exact"/>
              <w:jc w:val="center"/>
              <w:rPr>
                <w:rFonts w:eastAsia="仿宋"/>
                <w:szCs w:val="21"/>
              </w:rPr>
            </w:pPr>
            <w:r>
              <w:rPr>
                <w:rFonts w:eastAsia="仿宋"/>
                <w:szCs w:val="21"/>
              </w:rPr>
              <w:t>姓名</w:t>
            </w:r>
          </w:p>
        </w:tc>
        <w:tc>
          <w:tcPr>
            <w:tcW w:w="918" w:type="dxa"/>
            <w:gridSpan w:val="6"/>
            <w:vAlign w:val="center"/>
          </w:tcPr>
          <w:p w14:paraId="613450DB">
            <w:pPr>
              <w:spacing w:before="120" w:after="120" w:line="220" w:lineRule="exact"/>
              <w:jc w:val="center"/>
              <w:rPr>
                <w:rFonts w:eastAsia="仿宋"/>
                <w:szCs w:val="21"/>
              </w:rPr>
            </w:pPr>
            <w:r>
              <w:rPr>
                <w:rFonts w:eastAsia="仿宋"/>
                <w:szCs w:val="21"/>
              </w:rPr>
              <w:t>职务</w:t>
            </w:r>
          </w:p>
        </w:tc>
        <w:tc>
          <w:tcPr>
            <w:tcW w:w="1748" w:type="dxa"/>
            <w:gridSpan w:val="6"/>
            <w:vAlign w:val="center"/>
          </w:tcPr>
          <w:p w14:paraId="5D9F340A">
            <w:pPr>
              <w:spacing w:before="120" w:after="120" w:line="220" w:lineRule="exact"/>
              <w:jc w:val="center"/>
              <w:rPr>
                <w:rFonts w:eastAsia="仿宋"/>
                <w:szCs w:val="21"/>
              </w:rPr>
            </w:pPr>
            <w:r>
              <w:rPr>
                <w:rFonts w:eastAsia="仿宋"/>
                <w:szCs w:val="21"/>
              </w:rPr>
              <w:t>职称</w:t>
            </w:r>
          </w:p>
        </w:tc>
        <w:tc>
          <w:tcPr>
            <w:tcW w:w="1162" w:type="dxa"/>
            <w:gridSpan w:val="3"/>
            <w:vAlign w:val="center"/>
          </w:tcPr>
          <w:p w14:paraId="3593E5C1">
            <w:pPr>
              <w:spacing w:before="120" w:after="120" w:line="220" w:lineRule="exact"/>
              <w:jc w:val="center"/>
              <w:rPr>
                <w:rFonts w:eastAsia="仿宋"/>
                <w:szCs w:val="21"/>
              </w:rPr>
            </w:pPr>
            <w:r>
              <w:rPr>
                <w:rFonts w:eastAsia="仿宋"/>
                <w:szCs w:val="21"/>
              </w:rPr>
              <w:t>单位</w:t>
            </w:r>
          </w:p>
        </w:tc>
        <w:tc>
          <w:tcPr>
            <w:tcW w:w="2126" w:type="dxa"/>
            <w:gridSpan w:val="6"/>
            <w:vAlign w:val="center"/>
          </w:tcPr>
          <w:p w14:paraId="15D7ED36">
            <w:pPr>
              <w:spacing w:before="120" w:after="120" w:line="220" w:lineRule="exact"/>
              <w:jc w:val="center"/>
              <w:rPr>
                <w:rFonts w:eastAsia="仿宋"/>
                <w:szCs w:val="21"/>
              </w:rPr>
            </w:pPr>
            <w:r>
              <w:rPr>
                <w:rFonts w:eastAsia="仿宋"/>
                <w:szCs w:val="21"/>
              </w:rPr>
              <w:t>签名</w:t>
            </w:r>
          </w:p>
        </w:tc>
      </w:tr>
      <w:tr w14:paraId="3F05C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trPr>
        <w:tc>
          <w:tcPr>
            <w:tcW w:w="675" w:type="dxa"/>
            <w:vMerge w:val="continue"/>
            <w:vAlign w:val="center"/>
          </w:tcPr>
          <w:p w14:paraId="1207F77E">
            <w:pPr>
              <w:widowControl/>
              <w:jc w:val="center"/>
              <w:rPr>
                <w:rFonts w:eastAsia="仿宋"/>
                <w:kern w:val="0"/>
                <w:szCs w:val="21"/>
              </w:rPr>
            </w:pPr>
          </w:p>
        </w:tc>
        <w:tc>
          <w:tcPr>
            <w:tcW w:w="1701" w:type="dxa"/>
            <w:gridSpan w:val="4"/>
            <w:vAlign w:val="center"/>
          </w:tcPr>
          <w:p w14:paraId="11265D24">
            <w:pPr>
              <w:jc w:val="center"/>
              <w:rPr>
                <w:szCs w:val="21"/>
              </w:rPr>
            </w:pPr>
            <w:r>
              <w:rPr>
                <w:rFonts w:eastAsia="仿宋"/>
                <w:szCs w:val="21"/>
              </w:rPr>
              <w:t>李刚</w:t>
            </w:r>
          </w:p>
        </w:tc>
        <w:tc>
          <w:tcPr>
            <w:tcW w:w="918" w:type="dxa"/>
            <w:gridSpan w:val="6"/>
            <w:vAlign w:val="center"/>
          </w:tcPr>
          <w:p w14:paraId="2B5F8855">
            <w:pPr>
              <w:jc w:val="center"/>
              <w:rPr>
                <w:rFonts w:eastAsia="仿宋"/>
                <w:szCs w:val="21"/>
              </w:rPr>
            </w:pPr>
            <w:r>
              <w:rPr>
                <w:rFonts w:eastAsia="仿宋"/>
                <w:szCs w:val="21"/>
              </w:rPr>
              <w:t>技术负责</w:t>
            </w:r>
          </w:p>
        </w:tc>
        <w:tc>
          <w:tcPr>
            <w:tcW w:w="1748" w:type="dxa"/>
            <w:gridSpan w:val="6"/>
            <w:vAlign w:val="center"/>
          </w:tcPr>
          <w:p w14:paraId="6C21808C">
            <w:pPr>
              <w:spacing w:before="120" w:after="120" w:line="220" w:lineRule="exact"/>
              <w:jc w:val="center"/>
              <w:rPr>
                <w:rFonts w:eastAsia="仿宋"/>
                <w:szCs w:val="21"/>
              </w:rPr>
            </w:pPr>
            <w:r>
              <w:rPr>
                <w:rFonts w:eastAsia="仿宋"/>
                <w:szCs w:val="21"/>
              </w:rPr>
              <w:t>工程师</w:t>
            </w:r>
          </w:p>
        </w:tc>
        <w:tc>
          <w:tcPr>
            <w:tcW w:w="1162" w:type="dxa"/>
            <w:gridSpan w:val="3"/>
            <w:vMerge w:val="restart"/>
            <w:vAlign w:val="center"/>
          </w:tcPr>
          <w:p w14:paraId="11012855">
            <w:pPr>
              <w:spacing w:before="120" w:after="120" w:line="220" w:lineRule="exact"/>
              <w:jc w:val="center"/>
              <w:rPr>
                <w:rFonts w:eastAsia="仿宋"/>
                <w:szCs w:val="21"/>
              </w:rPr>
            </w:pPr>
            <w:r>
              <w:rPr>
                <w:rFonts w:eastAsia="仿宋"/>
                <w:szCs w:val="21"/>
              </w:rPr>
              <w:t>广元林晨工程咨询服务有限公司</w:t>
            </w:r>
          </w:p>
        </w:tc>
        <w:tc>
          <w:tcPr>
            <w:tcW w:w="2126" w:type="dxa"/>
            <w:gridSpan w:val="6"/>
            <w:vAlign w:val="center"/>
          </w:tcPr>
          <w:p w14:paraId="58004D6A">
            <w:pPr>
              <w:spacing w:before="120" w:after="120" w:line="220" w:lineRule="exact"/>
              <w:jc w:val="center"/>
              <w:rPr>
                <w:rFonts w:eastAsia="仿宋"/>
                <w:szCs w:val="21"/>
              </w:rPr>
            </w:pPr>
          </w:p>
        </w:tc>
      </w:tr>
      <w:tr w14:paraId="482B4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675" w:type="dxa"/>
            <w:vMerge w:val="continue"/>
            <w:vAlign w:val="center"/>
          </w:tcPr>
          <w:p w14:paraId="41A3B8B9">
            <w:pPr>
              <w:widowControl/>
              <w:jc w:val="center"/>
              <w:rPr>
                <w:rFonts w:eastAsia="仿宋"/>
                <w:kern w:val="0"/>
                <w:szCs w:val="21"/>
              </w:rPr>
            </w:pPr>
          </w:p>
        </w:tc>
        <w:tc>
          <w:tcPr>
            <w:tcW w:w="1701" w:type="dxa"/>
            <w:gridSpan w:val="4"/>
            <w:vAlign w:val="center"/>
          </w:tcPr>
          <w:p w14:paraId="17E8B5D0">
            <w:pPr>
              <w:jc w:val="center"/>
              <w:rPr>
                <w:rFonts w:eastAsia="仿宋"/>
                <w:szCs w:val="21"/>
              </w:rPr>
            </w:pPr>
            <w:r>
              <w:rPr>
                <w:rFonts w:eastAsia="仿宋"/>
                <w:szCs w:val="21"/>
              </w:rPr>
              <w:t>杨小燕</w:t>
            </w:r>
          </w:p>
        </w:tc>
        <w:tc>
          <w:tcPr>
            <w:tcW w:w="918" w:type="dxa"/>
            <w:gridSpan w:val="6"/>
            <w:vAlign w:val="center"/>
          </w:tcPr>
          <w:p w14:paraId="59BC5D08">
            <w:pPr>
              <w:jc w:val="center"/>
              <w:rPr>
                <w:rFonts w:eastAsia="仿宋"/>
                <w:szCs w:val="21"/>
              </w:rPr>
            </w:pPr>
            <w:r>
              <w:rPr>
                <w:rFonts w:eastAsia="仿宋"/>
                <w:szCs w:val="21"/>
              </w:rPr>
              <w:t>报告编制</w:t>
            </w:r>
          </w:p>
        </w:tc>
        <w:tc>
          <w:tcPr>
            <w:tcW w:w="1748" w:type="dxa"/>
            <w:gridSpan w:val="6"/>
            <w:vAlign w:val="center"/>
          </w:tcPr>
          <w:p w14:paraId="00B5BDB8">
            <w:pPr>
              <w:spacing w:before="120" w:after="120" w:line="220" w:lineRule="exact"/>
              <w:jc w:val="center"/>
              <w:rPr>
                <w:rFonts w:eastAsia="仿宋"/>
                <w:szCs w:val="21"/>
              </w:rPr>
            </w:pPr>
            <w:r>
              <w:rPr>
                <w:rFonts w:eastAsia="仿宋"/>
                <w:szCs w:val="21"/>
              </w:rPr>
              <w:t>工程师</w:t>
            </w:r>
          </w:p>
        </w:tc>
        <w:tc>
          <w:tcPr>
            <w:tcW w:w="1162" w:type="dxa"/>
            <w:gridSpan w:val="3"/>
            <w:vMerge w:val="continue"/>
            <w:vAlign w:val="center"/>
          </w:tcPr>
          <w:p w14:paraId="25FB9485">
            <w:pPr>
              <w:spacing w:before="120" w:after="120" w:line="220" w:lineRule="exact"/>
              <w:jc w:val="center"/>
              <w:rPr>
                <w:rFonts w:eastAsia="仿宋"/>
                <w:szCs w:val="21"/>
              </w:rPr>
            </w:pPr>
          </w:p>
        </w:tc>
        <w:tc>
          <w:tcPr>
            <w:tcW w:w="2126" w:type="dxa"/>
            <w:gridSpan w:val="6"/>
            <w:vAlign w:val="center"/>
          </w:tcPr>
          <w:p w14:paraId="110E2BBF">
            <w:pPr>
              <w:spacing w:before="120" w:after="120" w:line="220" w:lineRule="exact"/>
              <w:jc w:val="center"/>
              <w:rPr>
                <w:rFonts w:eastAsia="仿宋"/>
                <w:szCs w:val="21"/>
              </w:rPr>
            </w:pPr>
          </w:p>
        </w:tc>
      </w:tr>
      <w:tr w14:paraId="5F7A4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675" w:type="dxa"/>
            <w:vMerge w:val="continue"/>
            <w:tcBorders>
              <w:bottom w:val="single" w:color="auto" w:sz="4" w:space="0"/>
            </w:tcBorders>
            <w:vAlign w:val="center"/>
          </w:tcPr>
          <w:p w14:paraId="3140AB02">
            <w:pPr>
              <w:widowControl/>
              <w:jc w:val="center"/>
              <w:rPr>
                <w:rFonts w:eastAsia="仿宋"/>
                <w:kern w:val="0"/>
                <w:szCs w:val="21"/>
              </w:rPr>
            </w:pPr>
          </w:p>
        </w:tc>
        <w:tc>
          <w:tcPr>
            <w:tcW w:w="1701" w:type="dxa"/>
            <w:gridSpan w:val="4"/>
            <w:tcBorders>
              <w:bottom w:val="single" w:color="auto" w:sz="4" w:space="0"/>
            </w:tcBorders>
            <w:vAlign w:val="center"/>
          </w:tcPr>
          <w:p w14:paraId="661B95C1">
            <w:pPr>
              <w:jc w:val="center"/>
              <w:rPr>
                <w:rFonts w:eastAsia="仿宋"/>
                <w:szCs w:val="21"/>
              </w:rPr>
            </w:pPr>
            <w:r>
              <w:rPr>
                <w:rFonts w:eastAsia="仿宋"/>
                <w:szCs w:val="21"/>
              </w:rPr>
              <w:t>杨小燕</w:t>
            </w:r>
          </w:p>
        </w:tc>
        <w:tc>
          <w:tcPr>
            <w:tcW w:w="918" w:type="dxa"/>
            <w:gridSpan w:val="6"/>
            <w:tcBorders>
              <w:bottom w:val="single" w:color="auto" w:sz="4" w:space="0"/>
            </w:tcBorders>
            <w:vAlign w:val="center"/>
          </w:tcPr>
          <w:p w14:paraId="2FD40F48">
            <w:pPr>
              <w:jc w:val="center"/>
              <w:rPr>
                <w:rFonts w:eastAsia="仿宋"/>
                <w:szCs w:val="21"/>
              </w:rPr>
            </w:pPr>
            <w:r>
              <w:rPr>
                <w:rFonts w:eastAsia="仿宋"/>
                <w:szCs w:val="21"/>
              </w:rPr>
              <w:t>制图人员</w:t>
            </w:r>
          </w:p>
        </w:tc>
        <w:tc>
          <w:tcPr>
            <w:tcW w:w="1748" w:type="dxa"/>
            <w:gridSpan w:val="6"/>
            <w:tcBorders>
              <w:bottom w:val="single" w:color="auto" w:sz="4" w:space="0"/>
            </w:tcBorders>
            <w:vAlign w:val="center"/>
          </w:tcPr>
          <w:p w14:paraId="56039698">
            <w:pPr>
              <w:spacing w:before="120" w:after="120" w:line="220" w:lineRule="exact"/>
              <w:jc w:val="center"/>
              <w:rPr>
                <w:rFonts w:eastAsia="仿宋"/>
                <w:szCs w:val="21"/>
              </w:rPr>
            </w:pPr>
            <w:r>
              <w:rPr>
                <w:rFonts w:eastAsia="仿宋"/>
                <w:szCs w:val="21"/>
              </w:rPr>
              <w:t>工程师</w:t>
            </w:r>
          </w:p>
        </w:tc>
        <w:tc>
          <w:tcPr>
            <w:tcW w:w="1162" w:type="dxa"/>
            <w:gridSpan w:val="3"/>
            <w:vMerge w:val="continue"/>
            <w:tcBorders>
              <w:bottom w:val="single" w:color="auto" w:sz="4" w:space="0"/>
            </w:tcBorders>
            <w:vAlign w:val="center"/>
          </w:tcPr>
          <w:p w14:paraId="7F5B3239">
            <w:pPr>
              <w:spacing w:before="120" w:after="120" w:line="220" w:lineRule="exact"/>
              <w:jc w:val="center"/>
              <w:rPr>
                <w:rFonts w:eastAsia="仿宋"/>
                <w:szCs w:val="21"/>
              </w:rPr>
            </w:pPr>
          </w:p>
        </w:tc>
        <w:tc>
          <w:tcPr>
            <w:tcW w:w="2126" w:type="dxa"/>
            <w:gridSpan w:val="6"/>
            <w:tcBorders>
              <w:bottom w:val="single" w:color="auto" w:sz="4" w:space="0"/>
            </w:tcBorders>
            <w:vAlign w:val="center"/>
          </w:tcPr>
          <w:p w14:paraId="7C287465">
            <w:pPr>
              <w:spacing w:before="120" w:after="120" w:line="220" w:lineRule="exact"/>
              <w:jc w:val="center"/>
              <w:rPr>
                <w:rFonts w:eastAsia="仿宋"/>
                <w:szCs w:val="21"/>
              </w:rPr>
            </w:pPr>
          </w:p>
        </w:tc>
      </w:tr>
      <w:tr w14:paraId="1400F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2376" w:type="dxa"/>
            <w:gridSpan w:val="5"/>
            <w:tcBorders>
              <w:bottom w:val="single" w:color="auto" w:sz="4" w:space="0"/>
            </w:tcBorders>
            <w:vAlign w:val="center"/>
          </w:tcPr>
          <w:p w14:paraId="7077B3D4">
            <w:pPr>
              <w:spacing w:before="120" w:after="120" w:line="220" w:lineRule="exact"/>
              <w:jc w:val="center"/>
              <w:rPr>
                <w:rFonts w:eastAsia="仿宋"/>
                <w:color w:val="000000" w:themeColor="text1"/>
                <w:szCs w:val="21"/>
              </w:rPr>
            </w:pPr>
            <w:r>
              <w:rPr>
                <w:rFonts w:eastAsia="仿宋"/>
                <w:color w:val="000000" w:themeColor="text1"/>
                <w:szCs w:val="21"/>
              </w:rPr>
              <w:t>矿山地质环境影响评估区面积</w:t>
            </w:r>
            <w:r>
              <w:rPr>
                <w:rFonts w:eastAsia="仿宋"/>
                <w:color w:val="000000" w:themeColor="text1"/>
                <w:kern w:val="0"/>
                <w:szCs w:val="21"/>
              </w:rPr>
              <w:t>（hm</w:t>
            </w:r>
            <w:r>
              <w:rPr>
                <w:rFonts w:eastAsia="仿宋"/>
                <w:color w:val="000000" w:themeColor="text1"/>
                <w:kern w:val="0"/>
                <w:szCs w:val="21"/>
                <w:vertAlign w:val="superscript"/>
              </w:rPr>
              <w:t>2</w:t>
            </w:r>
            <w:r>
              <w:rPr>
                <w:rFonts w:eastAsia="仿宋"/>
                <w:color w:val="000000" w:themeColor="text1"/>
                <w:kern w:val="0"/>
                <w:szCs w:val="21"/>
              </w:rPr>
              <w:t>）</w:t>
            </w:r>
          </w:p>
        </w:tc>
        <w:tc>
          <w:tcPr>
            <w:tcW w:w="2096" w:type="dxa"/>
            <w:gridSpan w:val="9"/>
            <w:tcBorders>
              <w:bottom w:val="single" w:color="auto" w:sz="4" w:space="0"/>
            </w:tcBorders>
            <w:vAlign w:val="center"/>
          </w:tcPr>
          <w:p w14:paraId="6520B2FD">
            <w:pPr>
              <w:spacing w:before="120" w:after="120" w:line="220" w:lineRule="exact"/>
              <w:jc w:val="center"/>
              <w:rPr>
                <w:rFonts w:eastAsia="仿宋"/>
                <w:color w:val="000000" w:themeColor="text1"/>
                <w:szCs w:val="21"/>
              </w:rPr>
            </w:pPr>
            <w:r>
              <w:rPr>
                <w:rFonts w:eastAsia="仿宋"/>
                <w:color w:val="000000" w:themeColor="text1"/>
                <w:szCs w:val="21"/>
              </w:rPr>
              <w:t>6.39</w:t>
            </w:r>
          </w:p>
        </w:tc>
        <w:tc>
          <w:tcPr>
            <w:tcW w:w="1732" w:type="dxa"/>
            <w:gridSpan w:val="6"/>
            <w:tcBorders>
              <w:bottom w:val="single" w:color="auto" w:sz="4" w:space="0"/>
            </w:tcBorders>
            <w:vAlign w:val="center"/>
          </w:tcPr>
          <w:p w14:paraId="6ADA6A73">
            <w:pPr>
              <w:spacing w:before="120" w:after="120" w:line="220" w:lineRule="exact"/>
              <w:jc w:val="center"/>
              <w:rPr>
                <w:rFonts w:eastAsia="仿宋"/>
                <w:color w:val="000000" w:themeColor="text1"/>
                <w:szCs w:val="21"/>
              </w:rPr>
            </w:pPr>
            <w:r>
              <w:rPr>
                <w:rFonts w:eastAsia="仿宋"/>
                <w:color w:val="000000" w:themeColor="text1"/>
                <w:szCs w:val="21"/>
              </w:rPr>
              <w:t>评估分级</w:t>
            </w:r>
          </w:p>
        </w:tc>
        <w:tc>
          <w:tcPr>
            <w:tcW w:w="2126" w:type="dxa"/>
            <w:gridSpan w:val="6"/>
            <w:tcBorders>
              <w:bottom w:val="single" w:color="auto" w:sz="4" w:space="0"/>
            </w:tcBorders>
            <w:vAlign w:val="center"/>
          </w:tcPr>
          <w:p w14:paraId="341A32EB">
            <w:pPr>
              <w:spacing w:before="120" w:after="120" w:line="220" w:lineRule="exact"/>
              <w:jc w:val="center"/>
              <w:rPr>
                <w:rFonts w:eastAsia="仿宋"/>
                <w:color w:val="000000" w:themeColor="text1"/>
                <w:szCs w:val="21"/>
              </w:rPr>
            </w:pPr>
            <w:r>
              <w:rPr>
                <w:rFonts w:eastAsia="仿宋"/>
                <w:color w:val="000000" w:themeColor="text1"/>
                <w:szCs w:val="21"/>
              </w:rPr>
              <w:t>二级</w:t>
            </w:r>
          </w:p>
        </w:tc>
      </w:tr>
      <w:tr w14:paraId="28216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2376" w:type="dxa"/>
            <w:gridSpan w:val="5"/>
            <w:tcBorders>
              <w:bottom w:val="single" w:color="auto" w:sz="4" w:space="0"/>
            </w:tcBorders>
            <w:vAlign w:val="center"/>
          </w:tcPr>
          <w:p w14:paraId="0220D919">
            <w:pPr>
              <w:spacing w:before="120" w:after="120" w:line="220" w:lineRule="exact"/>
              <w:jc w:val="center"/>
              <w:rPr>
                <w:rFonts w:eastAsia="仿宋"/>
                <w:color w:val="000000" w:themeColor="text1"/>
                <w:szCs w:val="21"/>
              </w:rPr>
            </w:pPr>
            <w:r>
              <w:rPr>
                <w:rFonts w:eastAsia="仿宋"/>
                <w:color w:val="000000" w:themeColor="text1"/>
                <w:szCs w:val="21"/>
              </w:rPr>
              <w:t>矿山地质环境保护投资估算</w:t>
            </w:r>
          </w:p>
        </w:tc>
        <w:tc>
          <w:tcPr>
            <w:tcW w:w="2096" w:type="dxa"/>
            <w:gridSpan w:val="9"/>
            <w:tcBorders>
              <w:bottom w:val="single" w:color="auto" w:sz="4" w:space="0"/>
            </w:tcBorders>
            <w:vAlign w:val="center"/>
          </w:tcPr>
          <w:p w14:paraId="1328B5FD">
            <w:pPr>
              <w:spacing w:before="120" w:after="120" w:line="220" w:lineRule="exact"/>
              <w:jc w:val="center"/>
              <w:rPr>
                <w:rFonts w:eastAsia="仿宋"/>
                <w:color w:val="000000" w:themeColor="text1"/>
                <w:szCs w:val="21"/>
              </w:rPr>
            </w:pPr>
            <w:r>
              <w:rPr>
                <w:rFonts w:eastAsia="仿宋"/>
                <w:color w:val="000000" w:themeColor="text1"/>
                <w:szCs w:val="21"/>
              </w:rPr>
              <w:t>3.72</w:t>
            </w:r>
          </w:p>
        </w:tc>
        <w:tc>
          <w:tcPr>
            <w:tcW w:w="1732" w:type="dxa"/>
            <w:gridSpan w:val="6"/>
            <w:tcBorders>
              <w:bottom w:val="single" w:color="auto" w:sz="4" w:space="0"/>
            </w:tcBorders>
            <w:vAlign w:val="center"/>
          </w:tcPr>
          <w:p w14:paraId="401F56B3">
            <w:pPr>
              <w:spacing w:before="120" w:after="120" w:line="220" w:lineRule="exact"/>
              <w:jc w:val="center"/>
              <w:rPr>
                <w:rFonts w:eastAsia="仿宋"/>
                <w:color w:val="000000" w:themeColor="text1"/>
                <w:szCs w:val="21"/>
              </w:rPr>
            </w:pPr>
            <w:r>
              <w:rPr>
                <w:rFonts w:eastAsia="仿宋"/>
                <w:color w:val="000000" w:themeColor="text1"/>
                <w:szCs w:val="21"/>
              </w:rPr>
              <w:t>公顷投资</w:t>
            </w:r>
          </w:p>
        </w:tc>
        <w:tc>
          <w:tcPr>
            <w:tcW w:w="2126" w:type="dxa"/>
            <w:gridSpan w:val="6"/>
            <w:tcBorders>
              <w:bottom w:val="single" w:color="auto" w:sz="4" w:space="0"/>
            </w:tcBorders>
            <w:vAlign w:val="center"/>
          </w:tcPr>
          <w:p w14:paraId="0196A022">
            <w:pPr>
              <w:spacing w:before="120" w:after="120" w:line="220" w:lineRule="exact"/>
              <w:jc w:val="center"/>
              <w:rPr>
                <w:rFonts w:eastAsia="仿宋"/>
                <w:color w:val="000000" w:themeColor="text1"/>
                <w:szCs w:val="21"/>
              </w:rPr>
            </w:pPr>
            <w:r>
              <w:rPr>
                <w:rFonts w:eastAsia="仿宋"/>
                <w:color w:val="000000" w:themeColor="text1"/>
                <w:szCs w:val="21"/>
              </w:rPr>
              <w:t>15405.0元</w:t>
            </w:r>
          </w:p>
        </w:tc>
      </w:tr>
      <w:tr w14:paraId="2536A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675" w:type="dxa"/>
            <w:vMerge w:val="restart"/>
            <w:tcBorders>
              <w:top w:val="single" w:color="auto" w:sz="4" w:space="0"/>
            </w:tcBorders>
            <w:vAlign w:val="center"/>
          </w:tcPr>
          <w:p w14:paraId="600D0BB3">
            <w:pPr>
              <w:widowControl/>
              <w:jc w:val="center"/>
              <w:rPr>
                <w:rFonts w:eastAsia="仿宋"/>
                <w:color w:val="000000" w:themeColor="text1"/>
                <w:kern w:val="0"/>
                <w:szCs w:val="21"/>
              </w:rPr>
            </w:pPr>
            <w:r>
              <w:rPr>
                <w:rFonts w:eastAsia="仿宋"/>
                <w:color w:val="000000" w:themeColor="text1"/>
                <w:kern w:val="0"/>
                <w:szCs w:val="21"/>
              </w:rPr>
              <w:t>复垦</w:t>
            </w:r>
          </w:p>
          <w:p w14:paraId="2C0C3521">
            <w:pPr>
              <w:widowControl/>
              <w:jc w:val="center"/>
              <w:rPr>
                <w:rFonts w:eastAsia="仿宋"/>
                <w:color w:val="000000" w:themeColor="text1"/>
                <w:kern w:val="0"/>
                <w:szCs w:val="21"/>
              </w:rPr>
            </w:pPr>
            <w:r>
              <w:rPr>
                <w:rFonts w:eastAsia="仿宋"/>
                <w:color w:val="000000" w:themeColor="text1"/>
                <w:kern w:val="0"/>
                <w:szCs w:val="21"/>
              </w:rPr>
              <w:t>区土</w:t>
            </w:r>
          </w:p>
          <w:p w14:paraId="16B47E92">
            <w:pPr>
              <w:widowControl/>
              <w:jc w:val="center"/>
              <w:rPr>
                <w:rFonts w:eastAsia="仿宋"/>
                <w:color w:val="000000" w:themeColor="text1"/>
                <w:kern w:val="0"/>
                <w:szCs w:val="21"/>
              </w:rPr>
            </w:pPr>
            <w:r>
              <w:rPr>
                <w:rFonts w:eastAsia="仿宋"/>
                <w:color w:val="000000" w:themeColor="text1"/>
                <w:kern w:val="0"/>
                <w:szCs w:val="21"/>
              </w:rPr>
              <w:t>地利</w:t>
            </w:r>
          </w:p>
          <w:p w14:paraId="6F1CD426">
            <w:pPr>
              <w:widowControl/>
              <w:jc w:val="center"/>
              <w:rPr>
                <w:rFonts w:eastAsia="仿宋"/>
                <w:color w:val="000000" w:themeColor="text1"/>
                <w:kern w:val="0"/>
                <w:szCs w:val="21"/>
              </w:rPr>
            </w:pPr>
            <w:r>
              <w:rPr>
                <w:rFonts w:eastAsia="仿宋"/>
                <w:color w:val="000000" w:themeColor="text1"/>
                <w:kern w:val="0"/>
                <w:szCs w:val="21"/>
              </w:rPr>
              <w:t>用现</w:t>
            </w:r>
          </w:p>
          <w:p w14:paraId="41062742">
            <w:pPr>
              <w:widowControl/>
              <w:jc w:val="center"/>
              <w:rPr>
                <w:rFonts w:eastAsia="仿宋"/>
                <w:color w:val="000000" w:themeColor="text1"/>
                <w:kern w:val="0"/>
                <w:szCs w:val="21"/>
              </w:rPr>
            </w:pPr>
            <w:r>
              <w:rPr>
                <w:rFonts w:eastAsia="仿宋"/>
                <w:color w:val="000000" w:themeColor="text1"/>
                <w:kern w:val="0"/>
                <w:szCs w:val="21"/>
              </w:rPr>
              <w:t>状</w:t>
            </w:r>
          </w:p>
        </w:tc>
        <w:tc>
          <w:tcPr>
            <w:tcW w:w="1701" w:type="dxa"/>
            <w:gridSpan w:val="4"/>
            <w:vMerge w:val="restart"/>
            <w:tcBorders>
              <w:top w:val="single" w:color="auto" w:sz="4" w:space="0"/>
            </w:tcBorders>
            <w:vAlign w:val="center"/>
          </w:tcPr>
          <w:p w14:paraId="2527B7CC">
            <w:pPr>
              <w:widowControl/>
              <w:jc w:val="center"/>
              <w:rPr>
                <w:rFonts w:eastAsia="仿宋"/>
                <w:color w:val="000000" w:themeColor="text1"/>
                <w:kern w:val="0"/>
                <w:szCs w:val="21"/>
              </w:rPr>
            </w:pPr>
            <w:r>
              <w:rPr>
                <w:rFonts w:eastAsia="仿宋"/>
                <w:color w:val="000000" w:themeColor="text1"/>
                <w:kern w:val="0"/>
                <w:szCs w:val="21"/>
              </w:rPr>
              <w:t>一级地类</w:t>
            </w:r>
          </w:p>
        </w:tc>
        <w:tc>
          <w:tcPr>
            <w:tcW w:w="1672" w:type="dxa"/>
            <w:gridSpan w:val="8"/>
            <w:vMerge w:val="restart"/>
            <w:tcBorders>
              <w:top w:val="single" w:color="auto" w:sz="4" w:space="0"/>
            </w:tcBorders>
            <w:vAlign w:val="center"/>
          </w:tcPr>
          <w:p w14:paraId="669F3373">
            <w:pPr>
              <w:widowControl/>
              <w:jc w:val="center"/>
              <w:rPr>
                <w:rFonts w:eastAsia="仿宋"/>
                <w:color w:val="000000" w:themeColor="text1"/>
                <w:kern w:val="0"/>
                <w:szCs w:val="21"/>
              </w:rPr>
            </w:pPr>
            <w:r>
              <w:rPr>
                <w:rFonts w:eastAsia="仿宋"/>
                <w:color w:val="000000" w:themeColor="text1"/>
                <w:kern w:val="0"/>
                <w:szCs w:val="21"/>
              </w:rPr>
              <w:t>二级地类</w:t>
            </w:r>
          </w:p>
        </w:tc>
        <w:tc>
          <w:tcPr>
            <w:tcW w:w="4282" w:type="dxa"/>
            <w:gridSpan w:val="13"/>
            <w:tcBorders>
              <w:top w:val="single" w:color="auto" w:sz="4" w:space="0"/>
            </w:tcBorders>
            <w:vAlign w:val="center"/>
          </w:tcPr>
          <w:p w14:paraId="2324FB5A">
            <w:pPr>
              <w:widowControl/>
              <w:jc w:val="center"/>
              <w:rPr>
                <w:rFonts w:eastAsia="仿宋"/>
                <w:color w:val="000000" w:themeColor="text1"/>
                <w:kern w:val="0"/>
                <w:szCs w:val="21"/>
              </w:rPr>
            </w:pPr>
            <w:r>
              <w:rPr>
                <w:rFonts w:eastAsia="仿宋"/>
                <w:color w:val="000000" w:themeColor="text1"/>
                <w:kern w:val="0"/>
                <w:szCs w:val="21"/>
              </w:rPr>
              <w:t>面积（hm</w:t>
            </w:r>
            <w:r>
              <w:rPr>
                <w:rFonts w:eastAsia="仿宋"/>
                <w:color w:val="000000" w:themeColor="text1"/>
                <w:kern w:val="0"/>
                <w:szCs w:val="21"/>
                <w:vertAlign w:val="superscript"/>
              </w:rPr>
              <w:t>2</w:t>
            </w:r>
            <w:r>
              <w:rPr>
                <w:rFonts w:eastAsia="仿宋"/>
                <w:color w:val="000000" w:themeColor="text1"/>
                <w:kern w:val="0"/>
                <w:szCs w:val="21"/>
              </w:rPr>
              <w:t>）</w:t>
            </w:r>
          </w:p>
        </w:tc>
      </w:tr>
      <w:tr w14:paraId="5FE8B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vAlign w:val="center"/>
          </w:tcPr>
          <w:p w14:paraId="02635C21">
            <w:pPr>
              <w:jc w:val="center"/>
              <w:rPr>
                <w:rFonts w:eastAsia="仿宋"/>
                <w:color w:val="000000" w:themeColor="text1"/>
                <w:kern w:val="0"/>
                <w:szCs w:val="21"/>
              </w:rPr>
            </w:pPr>
          </w:p>
        </w:tc>
        <w:tc>
          <w:tcPr>
            <w:tcW w:w="1701" w:type="dxa"/>
            <w:gridSpan w:val="4"/>
            <w:vMerge w:val="continue"/>
            <w:vAlign w:val="center"/>
          </w:tcPr>
          <w:p w14:paraId="0DC1EC1D">
            <w:pPr>
              <w:widowControl/>
              <w:jc w:val="center"/>
              <w:rPr>
                <w:rFonts w:eastAsia="仿宋"/>
                <w:color w:val="000000" w:themeColor="text1"/>
                <w:kern w:val="0"/>
                <w:szCs w:val="21"/>
              </w:rPr>
            </w:pPr>
          </w:p>
        </w:tc>
        <w:tc>
          <w:tcPr>
            <w:tcW w:w="1672" w:type="dxa"/>
            <w:gridSpan w:val="8"/>
            <w:vMerge w:val="continue"/>
            <w:vAlign w:val="center"/>
          </w:tcPr>
          <w:p w14:paraId="0D49A6B0">
            <w:pPr>
              <w:widowControl/>
              <w:jc w:val="center"/>
              <w:rPr>
                <w:rFonts w:eastAsia="仿宋"/>
                <w:color w:val="000000" w:themeColor="text1"/>
                <w:kern w:val="0"/>
                <w:szCs w:val="21"/>
              </w:rPr>
            </w:pPr>
          </w:p>
        </w:tc>
        <w:tc>
          <w:tcPr>
            <w:tcW w:w="994" w:type="dxa"/>
            <w:gridSpan w:val="4"/>
            <w:vAlign w:val="center"/>
          </w:tcPr>
          <w:p w14:paraId="1511BC38">
            <w:pPr>
              <w:widowControl/>
              <w:jc w:val="center"/>
              <w:rPr>
                <w:rFonts w:eastAsia="仿宋"/>
                <w:color w:val="000000" w:themeColor="text1"/>
                <w:kern w:val="0"/>
                <w:szCs w:val="21"/>
              </w:rPr>
            </w:pPr>
            <w:r>
              <w:rPr>
                <w:rFonts w:eastAsia="仿宋"/>
                <w:color w:val="000000" w:themeColor="text1"/>
                <w:kern w:val="0"/>
                <w:szCs w:val="21"/>
              </w:rPr>
              <w:t>已损毁</w:t>
            </w:r>
          </w:p>
        </w:tc>
        <w:tc>
          <w:tcPr>
            <w:tcW w:w="987" w:type="dxa"/>
            <w:gridSpan w:val="2"/>
            <w:vAlign w:val="center"/>
          </w:tcPr>
          <w:p w14:paraId="63331C93">
            <w:pPr>
              <w:widowControl/>
              <w:jc w:val="center"/>
              <w:rPr>
                <w:rFonts w:eastAsia="仿宋"/>
                <w:color w:val="000000" w:themeColor="text1"/>
                <w:kern w:val="0"/>
                <w:szCs w:val="21"/>
              </w:rPr>
            </w:pPr>
            <w:r>
              <w:rPr>
                <w:rFonts w:eastAsia="仿宋"/>
                <w:color w:val="000000" w:themeColor="text1"/>
                <w:kern w:val="0"/>
                <w:szCs w:val="21"/>
              </w:rPr>
              <w:t>拟损毁</w:t>
            </w:r>
          </w:p>
        </w:tc>
        <w:tc>
          <w:tcPr>
            <w:tcW w:w="1450" w:type="dxa"/>
            <w:gridSpan w:val="6"/>
            <w:vAlign w:val="center"/>
          </w:tcPr>
          <w:p w14:paraId="25670FA3">
            <w:pPr>
              <w:jc w:val="center"/>
              <w:rPr>
                <w:rFonts w:eastAsia="仿宋"/>
                <w:color w:val="000000" w:themeColor="text1"/>
                <w:kern w:val="0"/>
                <w:szCs w:val="21"/>
              </w:rPr>
            </w:pPr>
            <w:r>
              <w:rPr>
                <w:rFonts w:eastAsia="仿宋"/>
                <w:color w:val="000000" w:themeColor="text1"/>
                <w:kern w:val="0"/>
                <w:szCs w:val="21"/>
              </w:rPr>
              <w:t>永久性</w:t>
            </w:r>
          </w:p>
          <w:p w14:paraId="58DE1F9B">
            <w:pPr>
              <w:jc w:val="center"/>
              <w:rPr>
                <w:rFonts w:eastAsia="仿宋"/>
                <w:color w:val="000000" w:themeColor="text1"/>
                <w:kern w:val="0"/>
                <w:szCs w:val="21"/>
              </w:rPr>
            </w:pPr>
            <w:r>
              <w:rPr>
                <w:rFonts w:eastAsia="仿宋"/>
                <w:color w:val="000000" w:themeColor="text1"/>
                <w:kern w:val="0"/>
                <w:szCs w:val="21"/>
              </w:rPr>
              <w:t>建设用地</w:t>
            </w:r>
          </w:p>
        </w:tc>
        <w:tc>
          <w:tcPr>
            <w:tcW w:w="851" w:type="dxa"/>
            <w:vAlign w:val="center"/>
          </w:tcPr>
          <w:p w14:paraId="549F02B7">
            <w:pPr>
              <w:jc w:val="center"/>
              <w:rPr>
                <w:rFonts w:eastAsia="仿宋"/>
                <w:color w:val="000000" w:themeColor="text1"/>
                <w:kern w:val="0"/>
                <w:szCs w:val="21"/>
              </w:rPr>
            </w:pPr>
            <w:r>
              <w:rPr>
                <w:rFonts w:eastAsia="仿宋"/>
                <w:color w:val="000000" w:themeColor="text1"/>
                <w:kern w:val="0"/>
                <w:szCs w:val="21"/>
              </w:rPr>
              <w:t>合计</w:t>
            </w:r>
          </w:p>
        </w:tc>
      </w:tr>
      <w:tr w14:paraId="001CE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75" w:type="dxa"/>
            <w:vMerge w:val="continue"/>
            <w:vAlign w:val="center"/>
          </w:tcPr>
          <w:p w14:paraId="71A1E799">
            <w:pPr>
              <w:jc w:val="center"/>
              <w:rPr>
                <w:rFonts w:eastAsia="仿宋"/>
                <w:color w:val="000000" w:themeColor="text1"/>
                <w:kern w:val="0"/>
                <w:szCs w:val="21"/>
              </w:rPr>
            </w:pPr>
          </w:p>
        </w:tc>
        <w:tc>
          <w:tcPr>
            <w:tcW w:w="1701" w:type="dxa"/>
            <w:gridSpan w:val="4"/>
            <w:vAlign w:val="center"/>
          </w:tcPr>
          <w:p w14:paraId="2BEDF47A">
            <w:pPr>
              <w:widowControl/>
              <w:jc w:val="center"/>
              <w:rPr>
                <w:rFonts w:eastAsia="仿宋"/>
                <w:color w:val="000000" w:themeColor="text1"/>
                <w:kern w:val="0"/>
                <w:szCs w:val="21"/>
              </w:rPr>
            </w:pPr>
            <w:r>
              <w:rPr>
                <w:rFonts w:eastAsia="仿宋"/>
                <w:color w:val="000000" w:themeColor="text1"/>
                <w:kern w:val="0"/>
                <w:szCs w:val="21"/>
              </w:rPr>
              <w:t>耕地</w:t>
            </w:r>
          </w:p>
        </w:tc>
        <w:tc>
          <w:tcPr>
            <w:tcW w:w="1672" w:type="dxa"/>
            <w:gridSpan w:val="8"/>
            <w:vAlign w:val="center"/>
          </w:tcPr>
          <w:p w14:paraId="679F081A">
            <w:pPr>
              <w:widowControl/>
              <w:jc w:val="center"/>
              <w:rPr>
                <w:rFonts w:eastAsia="仿宋"/>
                <w:color w:val="000000" w:themeColor="text1"/>
                <w:kern w:val="0"/>
                <w:szCs w:val="21"/>
              </w:rPr>
            </w:pPr>
            <w:r>
              <w:rPr>
                <w:rFonts w:eastAsia="仿宋"/>
                <w:color w:val="000000" w:themeColor="text1"/>
                <w:kern w:val="0"/>
                <w:szCs w:val="21"/>
              </w:rPr>
              <w:t>旱地</w:t>
            </w:r>
          </w:p>
        </w:tc>
        <w:tc>
          <w:tcPr>
            <w:tcW w:w="994" w:type="dxa"/>
            <w:gridSpan w:val="4"/>
            <w:vAlign w:val="center"/>
          </w:tcPr>
          <w:p w14:paraId="096E7BB2">
            <w:pPr>
              <w:widowControl/>
              <w:jc w:val="center"/>
              <w:rPr>
                <w:rFonts w:eastAsia="仿宋"/>
                <w:color w:val="000000" w:themeColor="text1"/>
                <w:kern w:val="0"/>
                <w:szCs w:val="21"/>
              </w:rPr>
            </w:pPr>
            <w:r>
              <w:rPr>
                <w:rFonts w:eastAsia="仿宋"/>
                <w:color w:val="000000" w:themeColor="text1"/>
                <w:kern w:val="0"/>
                <w:szCs w:val="21"/>
              </w:rPr>
              <w:t>0.8593</w:t>
            </w:r>
          </w:p>
        </w:tc>
        <w:tc>
          <w:tcPr>
            <w:tcW w:w="987" w:type="dxa"/>
            <w:gridSpan w:val="2"/>
            <w:vAlign w:val="center"/>
          </w:tcPr>
          <w:p w14:paraId="55841C0C">
            <w:pPr>
              <w:widowControl/>
              <w:jc w:val="center"/>
              <w:rPr>
                <w:rFonts w:eastAsia="仿宋"/>
                <w:color w:val="000000" w:themeColor="text1"/>
                <w:kern w:val="0"/>
                <w:szCs w:val="21"/>
              </w:rPr>
            </w:pPr>
            <w:r>
              <w:rPr>
                <w:rFonts w:eastAsia="仿宋"/>
                <w:color w:val="000000" w:themeColor="text1"/>
                <w:kern w:val="0"/>
                <w:szCs w:val="21"/>
              </w:rPr>
              <w:t>0</w:t>
            </w:r>
          </w:p>
        </w:tc>
        <w:tc>
          <w:tcPr>
            <w:tcW w:w="1450" w:type="dxa"/>
            <w:gridSpan w:val="6"/>
            <w:vAlign w:val="center"/>
          </w:tcPr>
          <w:p w14:paraId="7CD57211">
            <w:pPr>
              <w:widowControl/>
              <w:jc w:val="center"/>
              <w:rPr>
                <w:rFonts w:eastAsia="仿宋"/>
                <w:color w:val="000000" w:themeColor="text1"/>
                <w:kern w:val="0"/>
                <w:szCs w:val="21"/>
              </w:rPr>
            </w:pPr>
            <w:r>
              <w:rPr>
                <w:rFonts w:eastAsia="仿宋"/>
                <w:color w:val="000000" w:themeColor="text1"/>
                <w:kern w:val="0"/>
                <w:szCs w:val="21"/>
              </w:rPr>
              <w:t>0</w:t>
            </w:r>
          </w:p>
        </w:tc>
        <w:tc>
          <w:tcPr>
            <w:tcW w:w="851" w:type="dxa"/>
            <w:vAlign w:val="center"/>
          </w:tcPr>
          <w:p w14:paraId="127636D9">
            <w:pPr>
              <w:widowControl/>
              <w:jc w:val="center"/>
              <w:rPr>
                <w:rFonts w:eastAsia="仿宋"/>
                <w:color w:val="000000" w:themeColor="text1"/>
                <w:kern w:val="0"/>
                <w:szCs w:val="21"/>
              </w:rPr>
            </w:pPr>
            <w:r>
              <w:rPr>
                <w:rFonts w:eastAsia="仿宋"/>
                <w:color w:val="000000" w:themeColor="text1"/>
                <w:kern w:val="0"/>
                <w:szCs w:val="21"/>
              </w:rPr>
              <w:t>0.8593</w:t>
            </w:r>
          </w:p>
        </w:tc>
      </w:tr>
      <w:tr w14:paraId="55997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vAlign w:val="center"/>
          </w:tcPr>
          <w:p w14:paraId="31E837AC">
            <w:pPr>
              <w:jc w:val="center"/>
              <w:rPr>
                <w:rFonts w:eastAsia="仿宋"/>
                <w:color w:val="000000" w:themeColor="text1"/>
                <w:kern w:val="0"/>
                <w:szCs w:val="21"/>
              </w:rPr>
            </w:pPr>
          </w:p>
        </w:tc>
        <w:tc>
          <w:tcPr>
            <w:tcW w:w="1701" w:type="dxa"/>
            <w:gridSpan w:val="4"/>
            <w:vMerge w:val="restart"/>
            <w:vAlign w:val="center"/>
          </w:tcPr>
          <w:p w14:paraId="71C82051">
            <w:pPr>
              <w:jc w:val="center"/>
              <w:rPr>
                <w:rFonts w:eastAsia="仿宋"/>
                <w:color w:val="000000" w:themeColor="text1"/>
                <w:kern w:val="0"/>
                <w:szCs w:val="21"/>
              </w:rPr>
            </w:pPr>
            <w:r>
              <w:rPr>
                <w:rFonts w:eastAsia="仿宋"/>
                <w:color w:val="000000" w:themeColor="text1"/>
                <w:kern w:val="0"/>
                <w:szCs w:val="21"/>
              </w:rPr>
              <w:t>林地</w:t>
            </w:r>
          </w:p>
        </w:tc>
        <w:tc>
          <w:tcPr>
            <w:tcW w:w="1672" w:type="dxa"/>
            <w:gridSpan w:val="8"/>
            <w:vAlign w:val="center"/>
          </w:tcPr>
          <w:p w14:paraId="5A8F440A">
            <w:pPr>
              <w:widowControl/>
              <w:jc w:val="center"/>
              <w:rPr>
                <w:rFonts w:eastAsia="仿宋"/>
                <w:color w:val="000000" w:themeColor="text1"/>
                <w:kern w:val="0"/>
                <w:szCs w:val="21"/>
              </w:rPr>
            </w:pPr>
            <w:r>
              <w:rPr>
                <w:rFonts w:eastAsia="仿宋"/>
                <w:color w:val="000000" w:themeColor="text1"/>
                <w:kern w:val="0"/>
                <w:szCs w:val="21"/>
              </w:rPr>
              <w:t>有林地</w:t>
            </w:r>
          </w:p>
        </w:tc>
        <w:tc>
          <w:tcPr>
            <w:tcW w:w="994" w:type="dxa"/>
            <w:gridSpan w:val="4"/>
            <w:vAlign w:val="center"/>
          </w:tcPr>
          <w:p w14:paraId="179431AC">
            <w:pPr>
              <w:widowControl/>
              <w:jc w:val="center"/>
              <w:rPr>
                <w:rFonts w:eastAsia="仿宋"/>
                <w:color w:val="000000" w:themeColor="text1"/>
                <w:kern w:val="0"/>
                <w:szCs w:val="21"/>
              </w:rPr>
            </w:pPr>
            <w:r>
              <w:rPr>
                <w:color w:val="000000" w:themeColor="text1"/>
                <w:kern w:val="0"/>
                <w:szCs w:val="21"/>
              </w:rPr>
              <w:t>0.0999</w:t>
            </w:r>
          </w:p>
        </w:tc>
        <w:tc>
          <w:tcPr>
            <w:tcW w:w="987" w:type="dxa"/>
            <w:gridSpan w:val="2"/>
            <w:vAlign w:val="center"/>
          </w:tcPr>
          <w:p w14:paraId="08F9C121">
            <w:pPr>
              <w:widowControl/>
              <w:jc w:val="center"/>
              <w:rPr>
                <w:rFonts w:eastAsia="仿宋"/>
                <w:color w:val="000000" w:themeColor="text1"/>
                <w:kern w:val="0"/>
                <w:szCs w:val="21"/>
              </w:rPr>
            </w:pPr>
            <w:r>
              <w:rPr>
                <w:rFonts w:eastAsia="仿宋"/>
                <w:color w:val="000000" w:themeColor="text1"/>
                <w:kern w:val="0"/>
                <w:szCs w:val="21"/>
              </w:rPr>
              <w:t>0</w:t>
            </w:r>
          </w:p>
        </w:tc>
        <w:tc>
          <w:tcPr>
            <w:tcW w:w="1450" w:type="dxa"/>
            <w:gridSpan w:val="6"/>
            <w:vAlign w:val="center"/>
          </w:tcPr>
          <w:p w14:paraId="165263AA">
            <w:pPr>
              <w:widowControl/>
              <w:jc w:val="center"/>
              <w:rPr>
                <w:rFonts w:eastAsia="仿宋"/>
                <w:color w:val="000000" w:themeColor="text1"/>
                <w:kern w:val="0"/>
                <w:szCs w:val="21"/>
              </w:rPr>
            </w:pPr>
            <w:r>
              <w:rPr>
                <w:rFonts w:eastAsia="仿宋"/>
                <w:color w:val="000000" w:themeColor="text1"/>
                <w:kern w:val="0"/>
                <w:szCs w:val="21"/>
              </w:rPr>
              <w:t>0</w:t>
            </w:r>
          </w:p>
        </w:tc>
        <w:tc>
          <w:tcPr>
            <w:tcW w:w="851" w:type="dxa"/>
            <w:vAlign w:val="center"/>
          </w:tcPr>
          <w:p w14:paraId="3B5DD283">
            <w:pPr>
              <w:widowControl/>
              <w:jc w:val="center"/>
              <w:rPr>
                <w:rFonts w:eastAsia="仿宋"/>
                <w:color w:val="000000" w:themeColor="text1"/>
                <w:kern w:val="0"/>
                <w:szCs w:val="21"/>
              </w:rPr>
            </w:pPr>
            <w:r>
              <w:rPr>
                <w:color w:val="000000" w:themeColor="text1"/>
                <w:kern w:val="0"/>
                <w:szCs w:val="21"/>
              </w:rPr>
              <w:t>0.0999</w:t>
            </w:r>
          </w:p>
        </w:tc>
      </w:tr>
      <w:tr w14:paraId="1A4FF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vAlign w:val="center"/>
          </w:tcPr>
          <w:p w14:paraId="4E0A3989">
            <w:pPr>
              <w:jc w:val="center"/>
              <w:rPr>
                <w:rFonts w:eastAsia="仿宋"/>
                <w:color w:val="000000" w:themeColor="text1"/>
                <w:kern w:val="0"/>
                <w:szCs w:val="21"/>
              </w:rPr>
            </w:pPr>
          </w:p>
        </w:tc>
        <w:tc>
          <w:tcPr>
            <w:tcW w:w="1701" w:type="dxa"/>
            <w:gridSpan w:val="4"/>
            <w:vMerge w:val="continue"/>
            <w:vAlign w:val="center"/>
          </w:tcPr>
          <w:p w14:paraId="6A0F503F">
            <w:pPr>
              <w:jc w:val="center"/>
              <w:rPr>
                <w:rFonts w:eastAsia="仿宋"/>
                <w:color w:val="000000" w:themeColor="text1"/>
                <w:kern w:val="0"/>
                <w:szCs w:val="21"/>
              </w:rPr>
            </w:pPr>
          </w:p>
        </w:tc>
        <w:tc>
          <w:tcPr>
            <w:tcW w:w="1672" w:type="dxa"/>
            <w:gridSpan w:val="8"/>
            <w:vAlign w:val="center"/>
          </w:tcPr>
          <w:p w14:paraId="6852E2AD">
            <w:pPr>
              <w:widowControl/>
              <w:jc w:val="center"/>
              <w:rPr>
                <w:rFonts w:eastAsia="仿宋"/>
                <w:color w:val="000000" w:themeColor="text1"/>
                <w:kern w:val="0"/>
                <w:szCs w:val="21"/>
              </w:rPr>
            </w:pPr>
            <w:r>
              <w:rPr>
                <w:rFonts w:eastAsia="仿宋"/>
                <w:color w:val="000000" w:themeColor="text1"/>
                <w:kern w:val="0"/>
                <w:szCs w:val="21"/>
              </w:rPr>
              <w:t>其他林地</w:t>
            </w:r>
          </w:p>
        </w:tc>
        <w:tc>
          <w:tcPr>
            <w:tcW w:w="994" w:type="dxa"/>
            <w:gridSpan w:val="4"/>
            <w:vAlign w:val="center"/>
          </w:tcPr>
          <w:p w14:paraId="46B07C46">
            <w:pPr>
              <w:widowControl/>
              <w:jc w:val="center"/>
              <w:rPr>
                <w:color w:val="000000" w:themeColor="text1"/>
                <w:kern w:val="0"/>
                <w:szCs w:val="21"/>
              </w:rPr>
            </w:pPr>
            <w:r>
              <w:rPr>
                <w:color w:val="000000" w:themeColor="text1"/>
                <w:kern w:val="0"/>
                <w:szCs w:val="21"/>
              </w:rPr>
              <w:t>0.3962</w:t>
            </w:r>
          </w:p>
        </w:tc>
        <w:tc>
          <w:tcPr>
            <w:tcW w:w="987" w:type="dxa"/>
            <w:gridSpan w:val="2"/>
            <w:vAlign w:val="center"/>
          </w:tcPr>
          <w:p w14:paraId="26345267">
            <w:pPr>
              <w:widowControl/>
              <w:jc w:val="center"/>
              <w:rPr>
                <w:rFonts w:eastAsia="仿宋"/>
                <w:color w:val="000000" w:themeColor="text1"/>
                <w:kern w:val="0"/>
                <w:szCs w:val="21"/>
              </w:rPr>
            </w:pPr>
            <w:r>
              <w:rPr>
                <w:rFonts w:eastAsia="仿宋"/>
                <w:color w:val="000000" w:themeColor="text1"/>
                <w:kern w:val="0"/>
                <w:szCs w:val="21"/>
              </w:rPr>
              <w:t>0</w:t>
            </w:r>
          </w:p>
        </w:tc>
        <w:tc>
          <w:tcPr>
            <w:tcW w:w="1450" w:type="dxa"/>
            <w:gridSpan w:val="6"/>
            <w:vAlign w:val="center"/>
          </w:tcPr>
          <w:p w14:paraId="273F89B3">
            <w:pPr>
              <w:widowControl/>
              <w:jc w:val="center"/>
              <w:rPr>
                <w:rFonts w:eastAsia="仿宋"/>
                <w:color w:val="000000" w:themeColor="text1"/>
                <w:kern w:val="0"/>
                <w:szCs w:val="21"/>
              </w:rPr>
            </w:pPr>
            <w:r>
              <w:rPr>
                <w:rFonts w:eastAsia="仿宋"/>
                <w:color w:val="000000" w:themeColor="text1"/>
                <w:kern w:val="0"/>
                <w:szCs w:val="21"/>
              </w:rPr>
              <w:t>0</w:t>
            </w:r>
          </w:p>
        </w:tc>
        <w:tc>
          <w:tcPr>
            <w:tcW w:w="851" w:type="dxa"/>
            <w:vAlign w:val="center"/>
          </w:tcPr>
          <w:p w14:paraId="2A5EC000">
            <w:pPr>
              <w:widowControl/>
              <w:jc w:val="center"/>
              <w:rPr>
                <w:color w:val="000000" w:themeColor="text1"/>
                <w:kern w:val="0"/>
                <w:szCs w:val="21"/>
              </w:rPr>
            </w:pPr>
            <w:r>
              <w:rPr>
                <w:color w:val="000000" w:themeColor="text1"/>
                <w:kern w:val="0"/>
                <w:szCs w:val="21"/>
              </w:rPr>
              <w:t>0.3962</w:t>
            </w:r>
          </w:p>
        </w:tc>
      </w:tr>
      <w:tr w14:paraId="5094F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vAlign w:val="center"/>
          </w:tcPr>
          <w:p w14:paraId="7D58CD62">
            <w:pPr>
              <w:jc w:val="center"/>
              <w:rPr>
                <w:rFonts w:eastAsia="仿宋"/>
                <w:color w:val="000000" w:themeColor="text1"/>
                <w:kern w:val="0"/>
                <w:szCs w:val="21"/>
              </w:rPr>
            </w:pPr>
          </w:p>
        </w:tc>
        <w:tc>
          <w:tcPr>
            <w:tcW w:w="1701" w:type="dxa"/>
            <w:gridSpan w:val="4"/>
            <w:vAlign w:val="center"/>
          </w:tcPr>
          <w:p w14:paraId="2B7DC7F2">
            <w:pPr>
              <w:jc w:val="center"/>
              <w:rPr>
                <w:rFonts w:eastAsia="仿宋"/>
                <w:color w:val="000000" w:themeColor="text1"/>
                <w:kern w:val="0"/>
                <w:szCs w:val="21"/>
              </w:rPr>
            </w:pPr>
            <w:r>
              <w:rPr>
                <w:rFonts w:eastAsia="仿宋"/>
                <w:color w:val="000000" w:themeColor="text1"/>
                <w:kern w:val="0"/>
                <w:szCs w:val="21"/>
              </w:rPr>
              <w:t>工矿仓储用地</w:t>
            </w:r>
          </w:p>
        </w:tc>
        <w:tc>
          <w:tcPr>
            <w:tcW w:w="1672" w:type="dxa"/>
            <w:gridSpan w:val="8"/>
            <w:vAlign w:val="center"/>
          </w:tcPr>
          <w:p w14:paraId="5AC8B3A1">
            <w:pPr>
              <w:widowControl/>
              <w:jc w:val="center"/>
              <w:rPr>
                <w:rFonts w:eastAsia="仿宋"/>
                <w:color w:val="000000" w:themeColor="text1"/>
                <w:kern w:val="0"/>
                <w:szCs w:val="21"/>
              </w:rPr>
            </w:pPr>
            <w:r>
              <w:rPr>
                <w:rFonts w:eastAsia="仿宋"/>
                <w:color w:val="000000" w:themeColor="text1"/>
                <w:kern w:val="0"/>
                <w:szCs w:val="21"/>
              </w:rPr>
              <w:t>采矿用地</w:t>
            </w:r>
          </w:p>
        </w:tc>
        <w:tc>
          <w:tcPr>
            <w:tcW w:w="994" w:type="dxa"/>
            <w:gridSpan w:val="4"/>
            <w:vAlign w:val="center"/>
          </w:tcPr>
          <w:p w14:paraId="759DAF79">
            <w:pPr>
              <w:widowControl/>
              <w:jc w:val="center"/>
              <w:rPr>
                <w:color w:val="000000" w:themeColor="text1"/>
                <w:kern w:val="0"/>
                <w:szCs w:val="21"/>
              </w:rPr>
            </w:pPr>
            <w:r>
              <w:rPr>
                <w:color w:val="000000" w:themeColor="text1"/>
                <w:kern w:val="0"/>
                <w:szCs w:val="21"/>
              </w:rPr>
              <w:t>0.7997</w:t>
            </w:r>
          </w:p>
        </w:tc>
        <w:tc>
          <w:tcPr>
            <w:tcW w:w="987" w:type="dxa"/>
            <w:gridSpan w:val="2"/>
            <w:vAlign w:val="center"/>
          </w:tcPr>
          <w:p w14:paraId="099243EB">
            <w:pPr>
              <w:widowControl/>
              <w:jc w:val="center"/>
              <w:rPr>
                <w:rFonts w:eastAsia="仿宋"/>
                <w:color w:val="000000" w:themeColor="text1"/>
                <w:kern w:val="0"/>
                <w:szCs w:val="21"/>
              </w:rPr>
            </w:pPr>
            <w:r>
              <w:rPr>
                <w:rFonts w:eastAsia="仿宋"/>
                <w:color w:val="000000" w:themeColor="text1"/>
                <w:kern w:val="0"/>
                <w:szCs w:val="21"/>
              </w:rPr>
              <w:t>0</w:t>
            </w:r>
          </w:p>
        </w:tc>
        <w:tc>
          <w:tcPr>
            <w:tcW w:w="1450" w:type="dxa"/>
            <w:gridSpan w:val="6"/>
            <w:vAlign w:val="center"/>
          </w:tcPr>
          <w:p w14:paraId="551A6298">
            <w:pPr>
              <w:widowControl/>
              <w:jc w:val="center"/>
              <w:rPr>
                <w:rFonts w:eastAsia="仿宋"/>
                <w:color w:val="000000" w:themeColor="text1"/>
                <w:kern w:val="0"/>
                <w:szCs w:val="21"/>
              </w:rPr>
            </w:pPr>
            <w:r>
              <w:rPr>
                <w:rFonts w:eastAsia="仿宋"/>
                <w:color w:val="000000" w:themeColor="text1"/>
                <w:kern w:val="0"/>
                <w:szCs w:val="21"/>
              </w:rPr>
              <w:t>0</w:t>
            </w:r>
          </w:p>
        </w:tc>
        <w:tc>
          <w:tcPr>
            <w:tcW w:w="851" w:type="dxa"/>
            <w:vAlign w:val="center"/>
          </w:tcPr>
          <w:p w14:paraId="3FD95D24">
            <w:pPr>
              <w:widowControl/>
              <w:jc w:val="center"/>
              <w:rPr>
                <w:color w:val="000000" w:themeColor="text1"/>
                <w:kern w:val="0"/>
                <w:szCs w:val="21"/>
              </w:rPr>
            </w:pPr>
            <w:r>
              <w:rPr>
                <w:color w:val="000000" w:themeColor="text1"/>
                <w:kern w:val="0"/>
                <w:szCs w:val="21"/>
              </w:rPr>
              <w:t>0.7997</w:t>
            </w:r>
          </w:p>
        </w:tc>
      </w:tr>
      <w:tr w14:paraId="0613A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5" w:type="dxa"/>
            <w:vMerge w:val="continue"/>
            <w:vAlign w:val="center"/>
          </w:tcPr>
          <w:p w14:paraId="363CAF06">
            <w:pPr>
              <w:jc w:val="center"/>
              <w:rPr>
                <w:rFonts w:eastAsia="仿宋"/>
                <w:color w:val="000000" w:themeColor="text1"/>
                <w:kern w:val="0"/>
                <w:szCs w:val="21"/>
              </w:rPr>
            </w:pPr>
          </w:p>
        </w:tc>
        <w:tc>
          <w:tcPr>
            <w:tcW w:w="1701" w:type="dxa"/>
            <w:gridSpan w:val="4"/>
            <w:vAlign w:val="center"/>
          </w:tcPr>
          <w:p w14:paraId="36EB7AFF">
            <w:pPr>
              <w:jc w:val="center"/>
              <w:rPr>
                <w:rFonts w:eastAsia="仿宋"/>
                <w:color w:val="000000" w:themeColor="text1"/>
                <w:kern w:val="0"/>
                <w:szCs w:val="21"/>
              </w:rPr>
            </w:pPr>
            <w:r>
              <w:rPr>
                <w:rFonts w:eastAsia="仿宋"/>
                <w:color w:val="000000" w:themeColor="text1"/>
                <w:kern w:val="0"/>
                <w:szCs w:val="21"/>
              </w:rPr>
              <w:t>住宅用地</w:t>
            </w:r>
          </w:p>
        </w:tc>
        <w:tc>
          <w:tcPr>
            <w:tcW w:w="1672" w:type="dxa"/>
            <w:gridSpan w:val="8"/>
            <w:vAlign w:val="center"/>
          </w:tcPr>
          <w:p w14:paraId="59100069">
            <w:pPr>
              <w:widowControl/>
              <w:jc w:val="center"/>
              <w:rPr>
                <w:rFonts w:eastAsia="仿宋"/>
                <w:color w:val="000000" w:themeColor="text1"/>
                <w:kern w:val="0"/>
                <w:szCs w:val="21"/>
              </w:rPr>
            </w:pPr>
            <w:r>
              <w:rPr>
                <w:rFonts w:eastAsia="仿宋"/>
                <w:color w:val="000000" w:themeColor="text1"/>
                <w:kern w:val="0"/>
                <w:szCs w:val="21"/>
              </w:rPr>
              <w:t>城镇住宅用地</w:t>
            </w:r>
          </w:p>
        </w:tc>
        <w:tc>
          <w:tcPr>
            <w:tcW w:w="994" w:type="dxa"/>
            <w:gridSpan w:val="4"/>
            <w:vAlign w:val="center"/>
          </w:tcPr>
          <w:p w14:paraId="243E812A">
            <w:pPr>
              <w:widowControl/>
              <w:jc w:val="center"/>
              <w:rPr>
                <w:color w:val="000000" w:themeColor="text1"/>
                <w:kern w:val="0"/>
                <w:szCs w:val="21"/>
              </w:rPr>
            </w:pPr>
            <w:r>
              <w:rPr>
                <w:color w:val="000000" w:themeColor="text1"/>
                <w:kern w:val="0"/>
                <w:szCs w:val="21"/>
              </w:rPr>
              <w:t>0.2597</w:t>
            </w:r>
          </w:p>
        </w:tc>
        <w:tc>
          <w:tcPr>
            <w:tcW w:w="987" w:type="dxa"/>
            <w:gridSpan w:val="2"/>
            <w:vAlign w:val="center"/>
          </w:tcPr>
          <w:p w14:paraId="2EAD96E7">
            <w:pPr>
              <w:widowControl/>
              <w:jc w:val="center"/>
              <w:rPr>
                <w:rFonts w:eastAsia="仿宋"/>
                <w:color w:val="000000" w:themeColor="text1"/>
                <w:kern w:val="0"/>
                <w:szCs w:val="21"/>
              </w:rPr>
            </w:pPr>
            <w:r>
              <w:rPr>
                <w:rFonts w:eastAsia="仿宋"/>
                <w:color w:val="000000" w:themeColor="text1"/>
                <w:kern w:val="0"/>
                <w:szCs w:val="21"/>
              </w:rPr>
              <w:t>0</w:t>
            </w:r>
          </w:p>
        </w:tc>
        <w:tc>
          <w:tcPr>
            <w:tcW w:w="1450" w:type="dxa"/>
            <w:gridSpan w:val="6"/>
            <w:vAlign w:val="center"/>
          </w:tcPr>
          <w:p w14:paraId="52C05502">
            <w:pPr>
              <w:widowControl/>
              <w:jc w:val="center"/>
              <w:rPr>
                <w:rFonts w:eastAsia="仿宋"/>
                <w:color w:val="000000" w:themeColor="text1"/>
                <w:kern w:val="0"/>
                <w:szCs w:val="21"/>
              </w:rPr>
            </w:pPr>
            <w:r>
              <w:rPr>
                <w:rFonts w:eastAsia="仿宋"/>
                <w:color w:val="000000" w:themeColor="text1"/>
                <w:kern w:val="0"/>
                <w:szCs w:val="21"/>
              </w:rPr>
              <w:t>0</w:t>
            </w:r>
          </w:p>
        </w:tc>
        <w:tc>
          <w:tcPr>
            <w:tcW w:w="851" w:type="dxa"/>
            <w:vAlign w:val="center"/>
          </w:tcPr>
          <w:p w14:paraId="17C72BB6">
            <w:pPr>
              <w:widowControl/>
              <w:jc w:val="center"/>
              <w:rPr>
                <w:color w:val="000000" w:themeColor="text1"/>
                <w:kern w:val="0"/>
                <w:szCs w:val="21"/>
              </w:rPr>
            </w:pPr>
            <w:r>
              <w:rPr>
                <w:color w:val="000000" w:themeColor="text1"/>
                <w:kern w:val="0"/>
                <w:szCs w:val="21"/>
              </w:rPr>
              <w:t>0.2597</w:t>
            </w:r>
          </w:p>
        </w:tc>
      </w:tr>
      <w:tr w14:paraId="2555E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675" w:type="dxa"/>
            <w:vMerge w:val="continue"/>
            <w:vAlign w:val="center"/>
          </w:tcPr>
          <w:p w14:paraId="7FFD32E0">
            <w:pPr>
              <w:widowControl/>
              <w:jc w:val="center"/>
              <w:rPr>
                <w:rFonts w:eastAsia="仿宋"/>
                <w:color w:val="000000" w:themeColor="text1"/>
                <w:kern w:val="0"/>
                <w:szCs w:val="21"/>
              </w:rPr>
            </w:pPr>
          </w:p>
        </w:tc>
        <w:tc>
          <w:tcPr>
            <w:tcW w:w="3373" w:type="dxa"/>
            <w:gridSpan w:val="12"/>
            <w:vAlign w:val="center"/>
          </w:tcPr>
          <w:p w14:paraId="32F46C07">
            <w:pPr>
              <w:widowControl/>
              <w:jc w:val="center"/>
              <w:rPr>
                <w:rFonts w:eastAsia="仿宋"/>
                <w:color w:val="000000" w:themeColor="text1"/>
                <w:kern w:val="0"/>
                <w:szCs w:val="21"/>
              </w:rPr>
            </w:pPr>
            <w:r>
              <w:rPr>
                <w:rFonts w:eastAsia="仿宋"/>
                <w:color w:val="000000" w:themeColor="text1"/>
                <w:kern w:val="0"/>
                <w:szCs w:val="21"/>
              </w:rPr>
              <w:t>合计</w:t>
            </w:r>
          </w:p>
        </w:tc>
        <w:tc>
          <w:tcPr>
            <w:tcW w:w="994" w:type="dxa"/>
            <w:gridSpan w:val="4"/>
            <w:vAlign w:val="center"/>
          </w:tcPr>
          <w:p w14:paraId="138C19C3">
            <w:pPr>
              <w:widowControl/>
              <w:jc w:val="center"/>
              <w:rPr>
                <w:color w:val="000000" w:themeColor="text1"/>
                <w:kern w:val="0"/>
                <w:szCs w:val="21"/>
              </w:rPr>
            </w:pPr>
            <w:r>
              <w:rPr>
                <w:color w:val="000000" w:themeColor="text1"/>
                <w:kern w:val="0"/>
                <w:szCs w:val="21"/>
              </w:rPr>
              <w:t>2.4148</w:t>
            </w:r>
          </w:p>
        </w:tc>
        <w:tc>
          <w:tcPr>
            <w:tcW w:w="987" w:type="dxa"/>
            <w:gridSpan w:val="2"/>
            <w:vAlign w:val="center"/>
          </w:tcPr>
          <w:p w14:paraId="24160190">
            <w:pPr>
              <w:widowControl/>
              <w:jc w:val="center"/>
              <w:rPr>
                <w:color w:val="000000" w:themeColor="text1"/>
                <w:kern w:val="0"/>
                <w:szCs w:val="21"/>
              </w:rPr>
            </w:pPr>
            <w:r>
              <w:rPr>
                <w:color w:val="000000" w:themeColor="text1"/>
                <w:kern w:val="0"/>
                <w:szCs w:val="21"/>
              </w:rPr>
              <w:t>0</w:t>
            </w:r>
          </w:p>
        </w:tc>
        <w:tc>
          <w:tcPr>
            <w:tcW w:w="1450" w:type="dxa"/>
            <w:gridSpan w:val="6"/>
            <w:vAlign w:val="center"/>
          </w:tcPr>
          <w:p w14:paraId="7663BDCC">
            <w:pPr>
              <w:widowControl/>
              <w:jc w:val="center"/>
              <w:rPr>
                <w:color w:val="000000" w:themeColor="text1"/>
                <w:kern w:val="0"/>
                <w:szCs w:val="21"/>
              </w:rPr>
            </w:pPr>
            <w:r>
              <w:rPr>
                <w:color w:val="000000" w:themeColor="text1"/>
                <w:kern w:val="0"/>
                <w:szCs w:val="21"/>
              </w:rPr>
              <w:t>0</w:t>
            </w:r>
          </w:p>
        </w:tc>
        <w:tc>
          <w:tcPr>
            <w:tcW w:w="851" w:type="dxa"/>
            <w:vAlign w:val="center"/>
          </w:tcPr>
          <w:p w14:paraId="6929D8CB">
            <w:pPr>
              <w:widowControl/>
              <w:jc w:val="center"/>
              <w:rPr>
                <w:color w:val="000000" w:themeColor="text1"/>
                <w:kern w:val="0"/>
                <w:szCs w:val="21"/>
              </w:rPr>
            </w:pPr>
            <w:r>
              <w:rPr>
                <w:color w:val="000000" w:themeColor="text1"/>
                <w:kern w:val="0"/>
                <w:szCs w:val="21"/>
              </w:rPr>
              <w:t>2.4148</w:t>
            </w:r>
          </w:p>
        </w:tc>
      </w:tr>
      <w:tr w14:paraId="5FB8A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605" w:type="dxa"/>
            <w:gridSpan w:val="7"/>
            <w:vMerge w:val="restart"/>
            <w:vAlign w:val="center"/>
          </w:tcPr>
          <w:p w14:paraId="7F84DB95">
            <w:pPr>
              <w:widowControl/>
              <w:jc w:val="center"/>
              <w:rPr>
                <w:rFonts w:eastAsia="仿宋"/>
                <w:color w:val="000000" w:themeColor="text1"/>
                <w:kern w:val="0"/>
                <w:szCs w:val="21"/>
              </w:rPr>
            </w:pPr>
            <w:r>
              <w:rPr>
                <w:rFonts w:eastAsia="仿宋"/>
                <w:color w:val="000000" w:themeColor="text1"/>
                <w:kern w:val="0"/>
                <w:szCs w:val="21"/>
              </w:rPr>
              <w:t>复垦责任范围内土地损毁类型及占地面积</w:t>
            </w:r>
          </w:p>
        </w:tc>
        <w:tc>
          <w:tcPr>
            <w:tcW w:w="2437" w:type="dxa"/>
            <w:gridSpan w:val="10"/>
            <w:vMerge w:val="restart"/>
            <w:vAlign w:val="center"/>
          </w:tcPr>
          <w:p w14:paraId="734E185B">
            <w:pPr>
              <w:spacing w:before="120" w:after="120"/>
              <w:jc w:val="center"/>
              <w:rPr>
                <w:rFonts w:eastAsia="仿宋"/>
                <w:color w:val="000000" w:themeColor="text1"/>
                <w:kern w:val="0"/>
                <w:szCs w:val="21"/>
              </w:rPr>
            </w:pPr>
            <w:r>
              <w:rPr>
                <w:rFonts w:eastAsia="仿宋"/>
                <w:color w:val="000000" w:themeColor="text1"/>
                <w:kern w:val="0"/>
                <w:szCs w:val="21"/>
              </w:rPr>
              <w:t>类型</w:t>
            </w:r>
          </w:p>
        </w:tc>
        <w:tc>
          <w:tcPr>
            <w:tcW w:w="3288" w:type="dxa"/>
            <w:gridSpan w:val="9"/>
            <w:vAlign w:val="center"/>
          </w:tcPr>
          <w:p w14:paraId="770256BD">
            <w:pPr>
              <w:widowControl/>
              <w:jc w:val="center"/>
              <w:rPr>
                <w:rFonts w:eastAsia="仿宋"/>
                <w:color w:val="000000" w:themeColor="text1"/>
                <w:kern w:val="0"/>
                <w:szCs w:val="21"/>
              </w:rPr>
            </w:pPr>
            <w:r>
              <w:rPr>
                <w:rFonts w:eastAsia="仿宋"/>
                <w:color w:val="000000" w:themeColor="text1"/>
                <w:kern w:val="0"/>
                <w:szCs w:val="21"/>
              </w:rPr>
              <w:t>面积（hm</w:t>
            </w:r>
            <w:r>
              <w:rPr>
                <w:rFonts w:eastAsia="仿宋"/>
                <w:color w:val="000000" w:themeColor="text1"/>
                <w:kern w:val="0"/>
                <w:szCs w:val="21"/>
                <w:vertAlign w:val="superscript"/>
              </w:rPr>
              <w:t>2</w:t>
            </w:r>
            <w:r>
              <w:rPr>
                <w:rFonts w:eastAsia="仿宋"/>
                <w:color w:val="000000" w:themeColor="text1"/>
                <w:kern w:val="0"/>
                <w:szCs w:val="21"/>
              </w:rPr>
              <w:t>）</w:t>
            </w:r>
          </w:p>
        </w:tc>
      </w:tr>
      <w:tr w14:paraId="6248D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05" w:type="dxa"/>
            <w:gridSpan w:val="7"/>
            <w:vMerge w:val="continue"/>
            <w:vAlign w:val="center"/>
          </w:tcPr>
          <w:p w14:paraId="230EBC42">
            <w:pPr>
              <w:widowControl/>
              <w:jc w:val="center"/>
              <w:rPr>
                <w:rFonts w:eastAsia="仿宋"/>
                <w:color w:val="000000" w:themeColor="text1"/>
                <w:kern w:val="0"/>
                <w:szCs w:val="21"/>
              </w:rPr>
            </w:pPr>
          </w:p>
        </w:tc>
        <w:tc>
          <w:tcPr>
            <w:tcW w:w="2437" w:type="dxa"/>
            <w:gridSpan w:val="10"/>
            <w:vMerge w:val="continue"/>
            <w:vAlign w:val="center"/>
          </w:tcPr>
          <w:p w14:paraId="34D34A73">
            <w:pPr>
              <w:widowControl/>
              <w:jc w:val="center"/>
              <w:rPr>
                <w:rFonts w:eastAsia="仿宋"/>
                <w:color w:val="000000" w:themeColor="text1"/>
                <w:kern w:val="0"/>
                <w:szCs w:val="21"/>
              </w:rPr>
            </w:pPr>
          </w:p>
        </w:tc>
        <w:tc>
          <w:tcPr>
            <w:tcW w:w="1162" w:type="dxa"/>
            <w:gridSpan w:val="3"/>
            <w:vAlign w:val="center"/>
          </w:tcPr>
          <w:p w14:paraId="1644475A">
            <w:pPr>
              <w:widowControl/>
              <w:jc w:val="center"/>
              <w:rPr>
                <w:rFonts w:eastAsia="仿宋"/>
                <w:color w:val="000000" w:themeColor="text1"/>
                <w:kern w:val="0"/>
                <w:szCs w:val="21"/>
              </w:rPr>
            </w:pPr>
            <w:r>
              <w:rPr>
                <w:rFonts w:eastAsia="仿宋"/>
                <w:color w:val="000000" w:themeColor="text1"/>
                <w:kern w:val="0"/>
                <w:szCs w:val="21"/>
              </w:rPr>
              <w:t>小计</w:t>
            </w:r>
          </w:p>
        </w:tc>
        <w:tc>
          <w:tcPr>
            <w:tcW w:w="1063" w:type="dxa"/>
            <w:gridSpan w:val="4"/>
            <w:vAlign w:val="center"/>
          </w:tcPr>
          <w:p w14:paraId="0937F087">
            <w:pPr>
              <w:widowControl/>
              <w:jc w:val="center"/>
              <w:rPr>
                <w:rFonts w:eastAsia="仿宋"/>
                <w:color w:val="000000" w:themeColor="text1"/>
                <w:kern w:val="0"/>
                <w:szCs w:val="21"/>
              </w:rPr>
            </w:pPr>
            <w:r>
              <w:rPr>
                <w:rFonts w:eastAsia="仿宋"/>
                <w:color w:val="000000" w:themeColor="text1"/>
                <w:kern w:val="0"/>
                <w:szCs w:val="21"/>
              </w:rPr>
              <w:t>已损毁或占用</w:t>
            </w:r>
          </w:p>
        </w:tc>
        <w:tc>
          <w:tcPr>
            <w:tcW w:w="1063" w:type="dxa"/>
            <w:gridSpan w:val="2"/>
            <w:vAlign w:val="center"/>
          </w:tcPr>
          <w:p w14:paraId="1245440C">
            <w:pPr>
              <w:widowControl/>
              <w:jc w:val="center"/>
              <w:rPr>
                <w:rFonts w:eastAsia="仿宋"/>
                <w:color w:val="000000" w:themeColor="text1"/>
                <w:kern w:val="0"/>
                <w:szCs w:val="21"/>
              </w:rPr>
            </w:pPr>
            <w:r>
              <w:rPr>
                <w:rFonts w:eastAsia="仿宋"/>
                <w:color w:val="000000" w:themeColor="text1"/>
                <w:kern w:val="0"/>
                <w:szCs w:val="21"/>
              </w:rPr>
              <w:t>新增拟损毁或占用</w:t>
            </w:r>
          </w:p>
        </w:tc>
      </w:tr>
      <w:tr w14:paraId="54CEF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trPr>
        <w:tc>
          <w:tcPr>
            <w:tcW w:w="2605" w:type="dxa"/>
            <w:gridSpan w:val="7"/>
            <w:vMerge w:val="continue"/>
            <w:vAlign w:val="center"/>
          </w:tcPr>
          <w:p w14:paraId="2CA47337">
            <w:pPr>
              <w:widowControl/>
              <w:jc w:val="center"/>
              <w:rPr>
                <w:rFonts w:eastAsia="仿宋"/>
                <w:color w:val="000000" w:themeColor="text1"/>
                <w:kern w:val="0"/>
                <w:szCs w:val="21"/>
              </w:rPr>
            </w:pPr>
          </w:p>
        </w:tc>
        <w:tc>
          <w:tcPr>
            <w:tcW w:w="2437" w:type="dxa"/>
            <w:gridSpan w:val="10"/>
            <w:vAlign w:val="center"/>
          </w:tcPr>
          <w:p w14:paraId="3A1113B4">
            <w:pPr>
              <w:jc w:val="center"/>
              <w:rPr>
                <w:rFonts w:eastAsia="仿宋"/>
                <w:color w:val="000000" w:themeColor="text1"/>
                <w:szCs w:val="21"/>
              </w:rPr>
            </w:pPr>
            <w:r>
              <w:rPr>
                <w:rFonts w:eastAsia="仿宋"/>
                <w:color w:val="000000" w:themeColor="text1"/>
                <w:szCs w:val="21"/>
              </w:rPr>
              <w:t>压占</w:t>
            </w:r>
          </w:p>
        </w:tc>
        <w:tc>
          <w:tcPr>
            <w:tcW w:w="1162" w:type="dxa"/>
            <w:gridSpan w:val="3"/>
            <w:vAlign w:val="center"/>
          </w:tcPr>
          <w:p w14:paraId="1D32582A">
            <w:pPr>
              <w:jc w:val="center"/>
              <w:rPr>
                <w:color w:val="000000" w:themeColor="text1"/>
                <w:szCs w:val="21"/>
              </w:rPr>
            </w:pPr>
            <w:r>
              <w:rPr>
                <w:color w:val="000000" w:themeColor="text1"/>
                <w:kern w:val="0"/>
                <w:szCs w:val="21"/>
              </w:rPr>
              <w:t>1.8545</w:t>
            </w:r>
          </w:p>
        </w:tc>
        <w:tc>
          <w:tcPr>
            <w:tcW w:w="1063" w:type="dxa"/>
            <w:gridSpan w:val="4"/>
            <w:vAlign w:val="center"/>
          </w:tcPr>
          <w:p w14:paraId="165FFF54">
            <w:pPr>
              <w:jc w:val="center"/>
              <w:rPr>
                <w:color w:val="000000" w:themeColor="text1"/>
                <w:szCs w:val="21"/>
              </w:rPr>
            </w:pPr>
            <w:r>
              <w:rPr>
                <w:color w:val="000000" w:themeColor="text1"/>
                <w:kern w:val="0"/>
                <w:szCs w:val="21"/>
              </w:rPr>
              <w:t>1.8545</w:t>
            </w:r>
          </w:p>
        </w:tc>
        <w:tc>
          <w:tcPr>
            <w:tcW w:w="1063" w:type="dxa"/>
            <w:gridSpan w:val="2"/>
            <w:vAlign w:val="center"/>
          </w:tcPr>
          <w:p w14:paraId="722ECD45">
            <w:pPr>
              <w:jc w:val="center"/>
              <w:rPr>
                <w:rFonts w:eastAsia="仿宋"/>
                <w:color w:val="000000" w:themeColor="text1"/>
                <w:szCs w:val="21"/>
              </w:rPr>
            </w:pPr>
            <w:r>
              <w:rPr>
                <w:color w:val="000000" w:themeColor="text1"/>
                <w:kern w:val="0"/>
                <w:szCs w:val="21"/>
              </w:rPr>
              <w:t>0</w:t>
            </w:r>
          </w:p>
        </w:tc>
      </w:tr>
      <w:tr w14:paraId="4EE4E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2605" w:type="dxa"/>
            <w:gridSpan w:val="7"/>
            <w:vMerge w:val="continue"/>
            <w:vAlign w:val="center"/>
          </w:tcPr>
          <w:p w14:paraId="411D290E">
            <w:pPr>
              <w:widowControl/>
              <w:jc w:val="center"/>
              <w:rPr>
                <w:rFonts w:eastAsia="仿宋"/>
                <w:color w:val="000000" w:themeColor="text1"/>
                <w:kern w:val="0"/>
                <w:szCs w:val="21"/>
              </w:rPr>
            </w:pPr>
          </w:p>
        </w:tc>
        <w:tc>
          <w:tcPr>
            <w:tcW w:w="2437" w:type="dxa"/>
            <w:gridSpan w:val="10"/>
            <w:vAlign w:val="center"/>
          </w:tcPr>
          <w:p w14:paraId="5F6D0335">
            <w:pPr>
              <w:widowControl/>
              <w:jc w:val="center"/>
              <w:rPr>
                <w:rFonts w:eastAsia="仿宋"/>
                <w:color w:val="000000" w:themeColor="text1"/>
                <w:kern w:val="0"/>
                <w:szCs w:val="21"/>
              </w:rPr>
            </w:pPr>
            <w:r>
              <w:rPr>
                <w:rFonts w:eastAsia="仿宋"/>
                <w:color w:val="000000" w:themeColor="text1"/>
                <w:kern w:val="0"/>
                <w:szCs w:val="21"/>
              </w:rPr>
              <w:t>挖损</w:t>
            </w:r>
          </w:p>
        </w:tc>
        <w:tc>
          <w:tcPr>
            <w:tcW w:w="1162" w:type="dxa"/>
            <w:gridSpan w:val="3"/>
            <w:vAlign w:val="center"/>
          </w:tcPr>
          <w:p w14:paraId="248F9421">
            <w:pPr>
              <w:jc w:val="center"/>
              <w:rPr>
                <w:rFonts w:eastAsia="仿宋"/>
                <w:color w:val="000000" w:themeColor="text1"/>
                <w:szCs w:val="21"/>
              </w:rPr>
            </w:pPr>
            <w:r>
              <w:rPr>
                <w:color w:val="000000" w:themeColor="text1"/>
                <w:kern w:val="0"/>
                <w:szCs w:val="21"/>
              </w:rPr>
              <w:t>0.5603</w:t>
            </w:r>
          </w:p>
        </w:tc>
        <w:tc>
          <w:tcPr>
            <w:tcW w:w="1063" w:type="dxa"/>
            <w:gridSpan w:val="4"/>
            <w:vAlign w:val="center"/>
          </w:tcPr>
          <w:p w14:paraId="46AD1A72">
            <w:pPr>
              <w:jc w:val="center"/>
              <w:rPr>
                <w:rFonts w:eastAsia="仿宋"/>
                <w:color w:val="000000" w:themeColor="text1"/>
                <w:szCs w:val="21"/>
              </w:rPr>
            </w:pPr>
            <w:r>
              <w:rPr>
                <w:color w:val="000000" w:themeColor="text1"/>
                <w:kern w:val="0"/>
                <w:szCs w:val="21"/>
              </w:rPr>
              <w:t>0.5603</w:t>
            </w:r>
          </w:p>
        </w:tc>
        <w:tc>
          <w:tcPr>
            <w:tcW w:w="1063" w:type="dxa"/>
            <w:gridSpan w:val="2"/>
            <w:vAlign w:val="center"/>
          </w:tcPr>
          <w:p w14:paraId="6DD8E186">
            <w:pPr>
              <w:jc w:val="center"/>
              <w:rPr>
                <w:rFonts w:eastAsia="仿宋"/>
                <w:color w:val="000000" w:themeColor="text1"/>
                <w:szCs w:val="21"/>
              </w:rPr>
            </w:pPr>
            <w:r>
              <w:rPr>
                <w:color w:val="000000" w:themeColor="text1"/>
                <w:kern w:val="0"/>
                <w:szCs w:val="21"/>
              </w:rPr>
              <w:t>0</w:t>
            </w:r>
          </w:p>
        </w:tc>
      </w:tr>
      <w:tr w14:paraId="73E45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2605" w:type="dxa"/>
            <w:gridSpan w:val="7"/>
            <w:vMerge w:val="continue"/>
            <w:vAlign w:val="center"/>
          </w:tcPr>
          <w:p w14:paraId="09CA64E4">
            <w:pPr>
              <w:widowControl/>
              <w:jc w:val="center"/>
              <w:rPr>
                <w:rFonts w:eastAsia="仿宋"/>
                <w:color w:val="000000" w:themeColor="text1"/>
                <w:kern w:val="0"/>
                <w:szCs w:val="21"/>
              </w:rPr>
            </w:pPr>
          </w:p>
        </w:tc>
        <w:tc>
          <w:tcPr>
            <w:tcW w:w="2437" w:type="dxa"/>
            <w:gridSpan w:val="10"/>
            <w:vAlign w:val="center"/>
          </w:tcPr>
          <w:p w14:paraId="62CDF5C8">
            <w:pPr>
              <w:widowControl/>
              <w:jc w:val="center"/>
              <w:rPr>
                <w:rFonts w:eastAsia="仿宋"/>
                <w:color w:val="000000" w:themeColor="text1"/>
                <w:kern w:val="0"/>
                <w:szCs w:val="21"/>
              </w:rPr>
            </w:pPr>
            <w:r>
              <w:rPr>
                <w:rFonts w:eastAsia="仿宋"/>
                <w:color w:val="000000" w:themeColor="text1"/>
                <w:kern w:val="0"/>
                <w:szCs w:val="21"/>
              </w:rPr>
              <w:t>合计</w:t>
            </w:r>
          </w:p>
        </w:tc>
        <w:tc>
          <w:tcPr>
            <w:tcW w:w="1162" w:type="dxa"/>
            <w:gridSpan w:val="3"/>
            <w:vAlign w:val="center"/>
          </w:tcPr>
          <w:p w14:paraId="6A7A7E47">
            <w:pPr>
              <w:jc w:val="center"/>
              <w:rPr>
                <w:color w:val="000000" w:themeColor="text1"/>
                <w:szCs w:val="21"/>
              </w:rPr>
            </w:pPr>
            <w:r>
              <w:rPr>
                <w:color w:val="000000" w:themeColor="text1"/>
                <w:kern w:val="0"/>
                <w:szCs w:val="21"/>
              </w:rPr>
              <w:t>2.4148</w:t>
            </w:r>
          </w:p>
        </w:tc>
        <w:tc>
          <w:tcPr>
            <w:tcW w:w="1063" w:type="dxa"/>
            <w:gridSpan w:val="4"/>
            <w:vAlign w:val="center"/>
          </w:tcPr>
          <w:p w14:paraId="385CEA0A">
            <w:pPr>
              <w:jc w:val="center"/>
              <w:rPr>
                <w:color w:val="000000" w:themeColor="text1"/>
                <w:szCs w:val="21"/>
              </w:rPr>
            </w:pPr>
            <w:r>
              <w:rPr>
                <w:color w:val="000000" w:themeColor="text1"/>
                <w:kern w:val="0"/>
                <w:szCs w:val="21"/>
              </w:rPr>
              <w:t>2.4148</w:t>
            </w:r>
          </w:p>
        </w:tc>
        <w:tc>
          <w:tcPr>
            <w:tcW w:w="1063" w:type="dxa"/>
            <w:gridSpan w:val="2"/>
            <w:vAlign w:val="center"/>
          </w:tcPr>
          <w:p w14:paraId="69B12198">
            <w:pPr>
              <w:jc w:val="center"/>
              <w:rPr>
                <w:rFonts w:eastAsia="仿宋"/>
                <w:color w:val="000000" w:themeColor="text1"/>
                <w:szCs w:val="21"/>
              </w:rPr>
            </w:pPr>
            <w:r>
              <w:rPr>
                <w:rFonts w:eastAsia="仿宋"/>
                <w:color w:val="000000" w:themeColor="text1"/>
                <w:szCs w:val="21"/>
              </w:rPr>
              <w:t>0</w:t>
            </w:r>
          </w:p>
        </w:tc>
      </w:tr>
      <w:tr w14:paraId="747F6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917" w:type="dxa"/>
            <w:gridSpan w:val="2"/>
            <w:vMerge w:val="restart"/>
            <w:vAlign w:val="center"/>
          </w:tcPr>
          <w:p w14:paraId="79208AB0">
            <w:pPr>
              <w:widowControl/>
              <w:jc w:val="center"/>
              <w:rPr>
                <w:rFonts w:eastAsia="仿宋"/>
                <w:color w:val="000000" w:themeColor="text1"/>
                <w:kern w:val="0"/>
                <w:szCs w:val="21"/>
              </w:rPr>
            </w:pPr>
            <w:r>
              <w:rPr>
                <w:rFonts w:eastAsia="仿宋"/>
                <w:color w:val="000000" w:themeColor="text1"/>
                <w:kern w:val="0"/>
                <w:szCs w:val="21"/>
              </w:rPr>
              <w:t>复垦区土地面积</w:t>
            </w:r>
          </w:p>
        </w:tc>
        <w:tc>
          <w:tcPr>
            <w:tcW w:w="1688" w:type="dxa"/>
            <w:gridSpan w:val="5"/>
            <w:vMerge w:val="restart"/>
            <w:vAlign w:val="center"/>
          </w:tcPr>
          <w:p w14:paraId="48705071">
            <w:pPr>
              <w:jc w:val="center"/>
              <w:rPr>
                <w:rFonts w:eastAsia="仿宋"/>
                <w:color w:val="000000" w:themeColor="text1"/>
                <w:szCs w:val="21"/>
              </w:rPr>
            </w:pPr>
            <w:r>
              <w:rPr>
                <w:rFonts w:eastAsia="仿宋"/>
                <w:color w:val="000000" w:themeColor="text1"/>
                <w:szCs w:val="21"/>
              </w:rPr>
              <w:t>一级地类</w:t>
            </w:r>
          </w:p>
        </w:tc>
        <w:tc>
          <w:tcPr>
            <w:tcW w:w="2437" w:type="dxa"/>
            <w:gridSpan w:val="10"/>
            <w:vMerge w:val="restart"/>
            <w:vAlign w:val="center"/>
          </w:tcPr>
          <w:p w14:paraId="0FF13145">
            <w:pPr>
              <w:jc w:val="center"/>
              <w:rPr>
                <w:rFonts w:eastAsia="仿宋"/>
                <w:color w:val="000000" w:themeColor="text1"/>
                <w:szCs w:val="21"/>
              </w:rPr>
            </w:pPr>
            <w:r>
              <w:rPr>
                <w:rFonts w:eastAsia="仿宋"/>
                <w:color w:val="000000" w:themeColor="text1"/>
                <w:szCs w:val="21"/>
              </w:rPr>
              <w:t>二级</w:t>
            </w:r>
          </w:p>
        </w:tc>
        <w:tc>
          <w:tcPr>
            <w:tcW w:w="3288" w:type="dxa"/>
            <w:gridSpan w:val="9"/>
            <w:vAlign w:val="center"/>
          </w:tcPr>
          <w:p w14:paraId="4A32BA05">
            <w:pPr>
              <w:jc w:val="center"/>
              <w:rPr>
                <w:rFonts w:eastAsia="仿宋"/>
                <w:color w:val="000000" w:themeColor="text1"/>
                <w:szCs w:val="21"/>
              </w:rPr>
            </w:pPr>
            <w:r>
              <w:rPr>
                <w:rFonts w:eastAsia="仿宋"/>
                <w:color w:val="000000" w:themeColor="text1"/>
                <w:szCs w:val="21"/>
              </w:rPr>
              <w:t>面积</w:t>
            </w:r>
            <w:r>
              <w:rPr>
                <w:rFonts w:eastAsia="仿宋"/>
                <w:color w:val="000000" w:themeColor="text1"/>
                <w:kern w:val="0"/>
                <w:szCs w:val="21"/>
              </w:rPr>
              <w:t>（hm</w:t>
            </w:r>
            <w:r>
              <w:rPr>
                <w:rFonts w:eastAsia="仿宋"/>
                <w:color w:val="000000" w:themeColor="text1"/>
                <w:kern w:val="0"/>
                <w:szCs w:val="21"/>
                <w:vertAlign w:val="superscript"/>
              </w:rPr>
              <w:t>2</w:t>
            </w:r>
            <w:r>
              <w:rPr>
                <w:rFonts w:eastAsia="仿宋"/>
                <w:color w:val="000000" w:themeColor="text1"/>
                <w:kern w:val="0"/>
                <w:szCs w:val="21"/>
              </w:rPr>
              <w:t>）</w:t>
            </w:r>
          </w:p>
        </w:tc>
      </w:tr>
      <w:tr w14:paraId="0ADA9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917" w:type="dxa"/>
            <w:gridSpan w:val="2"/>
            <w:vMerge w:val="continue"/>
            <w:vAlign w:val="center"/>
          </w:tcPr>
          <w:p w14:paraId="1D1AB894">
            <w:pPr>
              <w:jc w:val="center"/>
              <w:rPr>
                <w:rFonts w:eastAsia="仿宋"/>
                <w:color w:val="000000" w:themeColor="text1"/>
                <w:kern w:val="0"/>
                <w:szCs w:val="21"/>
              </w:rPr>
            </w:pPr>
          </w:p>
        </w:tc>
        <w:tc>
          <w:tcPr>
            <w:tcW w:w="1688" w:type="dxa"/>
            <w:gridSpan w:val="5"/>
            <w:vMerge w:val="continue"/>
            <w:vAlign w:val="center"/>
          </w:tcPr>
          <w:p w14:paraId="1D871B1B">
            <w:pPr>
              <w:widowControl/>
              <w:jc w:val="center"/>
              <w:rPr>
                <w:rFonts w:eastAsia="仿宋"/>
                <w:color w:val="000000" w:themeColor="text1"/>
                <w:kern w:val="0"/>
                <w:szCs w:val="21"/>
              </w:rPr>
            </w:pPr>
          </w:p>
        </w:tc>
        <w:tc>
          <w:tcPr>
            <w:tcW w:w="2437" w:type="dxa"/>
            <w:gridSpan w:val="10"/>
            <w:vMerge w:val="continue"/>
            <w:vAlign w:val="center"/>
          </w:tcPr>
          <w:p w14:paraId="3253F348">
            <w:pPr>
              <w:jc w:val="center"/>
              <w:rPr>
                <w:rFonts w:eastAsia="仿宋"/>
                <w:color w:val="000000" w:themeColor="text1"/>
                <w:szCs w:val="21"/>
              </w:rPr>
            </w:pPr>
          </w:p>
        </w:tc>
        <w:tc>
          <w:tcPr>
            <w:tcW w:w="1810" w:type="dxa"/>
            <w:gridSpan w:val="4"/>
            <w:vAlign w:val="center"/>
          </w:tcPr>
          <w:p w14:paraId="6B210F48">
            <w:pPr>
              <w:jc w:val="center"/>
              <w:rPr>
                <w:rFonts w:eastAsia="仿宋"/>
                <w:color w:val="000000" w:themeColor="text1"/>
                <w:szCs w:val="21"/>
              </w:rPr>
            </w:pPr>
            <w:r>
              <w:rPr>
                <w:rFonts w:eastAsia="仿宋"/>
                <w:color w:val="000000" w:themeColor="text1"/>
                <w:szCs w:val="21"/>
              </w:rPr>
              <w:t>已复垦</w:t>
            </w:r>
          </w:p>
        </w:tc>
        <w:tc>
          <w:tcPr>
            <w:tcW w:w="1478" w:type="dxa"/>
            <w:gridSpan w:val="5"/>
            <w:vAlign w:val="center"/>
          </w:tcPr>
          <w:p w14:paraId="7EE8FDFD">
            <w:pPr>
              <w:jc w:val="center"/>
              <w:rPr>
                <w:rFonts w:eastAsia="仿宋"/>
                <w:color w:val="000000" w:themeColor="text1"/>
                <w:szCs w:val="21"/>
              </w:rPr>
            </w:pPr>
            <w:r>
              <w:rPr>
                <w:rFonts w:eastAsia="仿宋"/>
                <w:color w:val="000000" w:themeColor="text1"/>
                <w:szCs w:val="21"/>
              </w:rPr>
              <w:t>拟复垦</w:t>
            </w:r>
          </w:p>
        </w:tc>
      </w:tr>
      <w:tr w14:paraId="1249C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917" w:type="dxa"/>
            <w:gridSpan w:val="2"/>
            <w:vMerge w:val="continue"/>
            <w:vAlign w:val="center"/>
          </w:tcPr>
          <w:p w14:paraId="64008C4B">
            <w:pPr>
              <w:widowControl/>
              <w:jc w:val="center"/>
              <w:rPr>
                <w:rFonts w:eastAsia="仿宋"/>
                <w:color w:val="000000" w:themeColor="text1"/>
                <w:kern w:val="0"/>
                <w:szCs w:val="21"/>
              </w:rPr>
            </w:pPr>
          </w:p>
        </w:tc>
        <w:tc>
          <w:tcPr>
            <w:tcW w:w="1688" w:type="dxa"/>
            <w:gridSpan w:val="5"/>
            <w:shd w:val="clear" w:color="auto" w:fill="auto"/>
            <w:vAlign w:val="center"/>
          </w:tcPr>
          <w:p w14:paraId="3531410C">
            <w:pPr>
              <w:widowControl/>
              <w:jc w:val="center"/>
              <w:rPr>
                <w:rFonts w:eastAsia="仿宋"/>
                <w:color w:val="000000" w:themeColor="text1"/>
                <w:kern w:val="0"/>
                <w:szCs w:val="21"/>
              </w:rPr>
            </w:pPr>
            <w:r>
              <w:rPr>
                <w:rFonts w:eastAsia="仿宋"/>
                <w:color w:val="000000" w:themeColor="text1"/>
                <w:kern w:val="0"/>
                <w:szCs w:val="21"/>
              </w:rPr>
              <w:t>耕地（01）</w:t>
            </w:r>
          </w:p>
        </w:tc>
        <w:tc>
          <w:tcPr>
            <w:tcW w:w="2437" w:type="dxa"/>
            <w:gridSpan w:val="10"/>
            <w:vAlign w:val="center"/>
          </w:tcPr>
          <w:p w14:paraId="3A34DB4D">
            <w:pPr>
              <w:widowControl/>
              <w:jc w:val="center"/>
              <w:rPr>
                <w:rFonts w:eastAsia="仿宋"/>
                <w:color w:val="000000" w:themeColor="text1"/>
                <w:kern w:val="0"/>
                <w:szCs w:val="21"/>
              </w:rPr>
            </w:pPr>
            <w:r>
              <w:rPr>
                <w:rFonts w:eastAsia="仿宋"/>
                <w:color w:val="000000" w:themeColor="text1"/>
                <w:kern w:val="0"/>
                <w:szCs w:val="21"/>
              </w:rPr>
              <w:t>旱地（013）</w:t>
            </w:r>
          </w:p>
        </w:tc>
        <w:tc>
          <w:tcPr>
            <w:tcW w:w="1810" w:type="dxa"/>
            <w:gridSpan w:val="4"/>
            <w:vAlign w:val="center"/>
          </w:tcPr>
          <w:p w14:paraId="796E2E0A">
            <w:pPr>
              <w:widowControl/>
              <w:jc w:val="center"/>
              <w:rPr>
                <w:rFonts w:eastAsia="仿宋"/>
                <w:color w:val="000000" w:themeColor="text1"/>
                <w:kern w:val="0"/>
                <w:szCs w:val="21"/>
              </w:rPr>
            </w:pPr>
            <w:r>
              <w:rPr>
                <w:rFonts w:eastAsia="仿宋"/>
                <w:color w:val="000000" w:themeColor="text1"/>
                <w:kern w:val="0"/>
                <w:szCs w:val="21"/>
              </w:rPr>
              <w:t>0</w:t>
            </w:r>
          </w:p>
        </w:tc>
        <w:tc>
          <w:tcPr>
            <w:tcW w:w="1478" w:type="dxa"/>
            <w:gridSpan w:val="5"/>
            <w:vAlign w:val="center"/>
          </w:tcPr>
          <w:p w14:paraId="24BCF8BF">
            <w:pPr>
              <w:spacing w:before="120" w:after="120"/>
              <w:jc w:val="center"/>
              <w:rPr>
                <w:color w:val="000000" w:themeColor="text1"/>
                <w:szCs w:val="21"/>
              </w:rPr>
            </w:pPr>
            <w:r>
              <w:rPr>
                <w:color w:val="000000" w:themeColor="text1"/>
                <w:szCs w:val="21"/>
              </w:rPr>
              <w:t>1.8545</w:t>
            </w:r>
          </w:p>
        </w:tc>
      </w:tr>
      <w:tr w14:paraId="1C39F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917" w:type="dxa"/>
            <w:gridSpan w:val="2"/>
            <w:vMerge w:val="continue"/>
            <w:vAlign w:val="center"/>
          </w:tcPr>
          <w:p w14:paraId="45F78226">
            <w:pPr>
              <w:widowControl/>
              <w:jc w:val="center"/>
              <w:rPr>
                <w:rFonts w:eastAsia="仿宋"/>
                <w:color w:val="000000" w:themeColor="text1"/>
                <w:kern w:val="0"/>
                <w:szCs w:val="21"/>
              </w:rPr>
            </w:pPr>
          </w:p>
        </w:tc>
        <w:tc>
          <w:tcPr>
            <w:tcW w:w="1688" w:type="dxa"/>
            <w:gridSpan w:val="5"/>
            <w:shd w:val="clear" w:color="auto" w:fill="auto"/>
            <w:vAlign w:val="center"/>
          </w:tcPr>
          <w:p w14:paraId="5135D545">
            <w:pPr>
              <w:widowControl/>
              <w:jc w:val="center"/>
              <w:rPr>
                <w:rFonts w:eastAsia="仿宋"/>
                <w:color w:val="000000" w:themeColor="text1"/>
                <w:kern w:val="0"/>
                <w:szCs w:val="21"/>
              </w:rPr>
            </w:pPr>
            <w:r>
              <w:rPr>
                <w:rFonts w:eastAsia="仿宋"/>
                <w:color w:val="000000" w:themeColor="text1"/>
                <w:kern w:val="0"/>
                <w:szCs w:val="21"/>
              </w:rPr>
              <w:t>林地（03）</w:t>
            </w:r>
          </w:p>
        </w:tc>
        <w:tc>
          <w:tcPr>
            <w:tcW w:w="2437" w:type="dxa"/>
            <w:gridSpan w:val="10"/>
            <w:vAlign w:val="center"/>
          </w:tcPr>
          <w:p w14:paraId="2F1F271B">
            <w:pPr>
              <w:widowControl/>
              <w:jc w:val="center"/>
              <w:rPr>
                <w:rFonts w:eastAsia="仿宋"/>
                <w:color w:val="000000" w:themeColor="text1"/>
                <w:kern w:val="0"/>
                <w:szCs w:val="21"/>
              </w:rPr>
            </w:pPr>
            <w:r>
              <w:rPr>
                <w:rFonts w:eastAsia="仿宋"/>
                <w:color w:val="000000" w:themeColor="text1"/>
                <w:kern w:val="0"/>
                <w:szCs w:val="21"/>
              </w:rPr>
              <w:t>有林地（031）</w:t>
            </w:r>
          </w:p>
        </w:tc>
        <w:tc>
          <w:tcPr>
            <w:tcW w:w="1810" w:type="dxa"/>
            <w:gridSpan w:val="4"/>
            <w:vAlign w:val="center"/>
          </w:tcPr>
          <w:p w14:paraId="3013986E">
            <w:pPr>
              <w:widowControl/>
              <w:jc w:val="center"/>
              <w:rPr>
                <w:rFonts w:eastAsia="仿宋"/>
                <w:color w:val="000000" w:themeColor="text1"/>
                <w:kern w:val="0"/>
                <w:szCs w:val="21"/>
              </w:rPr>
            </w:pPr>
            <w:r>
              <w:rPr>
                <w:rFonts w:eastAsia="仿宋"/>
                <w:color w:val="000000" w:themeColor="text1"/>
                <w:kern w:val="0"/>
                <w:szCs w:val="21"/>
              </w:rPr>
              <w:t>0</w:t>
            </w:r>
          </w:p>
        </w:tc>
        <w:tc>
          <w:tcPr>
            <w:tcW w:w="1478" w:type="dxa"/>
            <w:gridSpan w:val="5"/>
            <w:vAlign w:val="center"/>
          </w:tcPr>
          <w:p w14:paraId="2467A4F5">
            <w:pPr>
              <w:spacing w:before="120" w:after="120"/>
              <w:jc w:val="center"/>
              <w:rPr>
                <w:color w:val="000000" w:themeColor="text1"/>
                <w:szCs w:val="21"/>
              </w:rPr>
            </w:pPr>
            <w:r>
              <w:rPr>
                <w:color w:val="000000" w:themeColor="text1"/>
                <w:szCs w:val="21"/>
              </w:rPr>
              <w:t>0.3652</w:t>
            </w:r>
          </w:p>
        </w:tc>
      </w:tr>
      <w:tr w14:paraId="4688E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917" w:type="dxa"/>
            <w:gridSpan w:val="2"/>
            <w:vMerge w:val="continue"/>
            <w:vAlign w:val="center"/>
          </w:tcPr>
          <w:p w14:paraId="557E760E">
            <w:pPr>
              <w:widowControl/>
              <w:jc w:val="center"/>
              <w:rPr>
                <w:rFonts w:eastAsia="仿宋"/>
                <w:color w:val="000000" w:themeColor="text1"/>
                <w:kern w:val="0"/>
                <w:szCs w:val="21"/>
              </w:rPr>
            </w:pPr>
          </w:p>
        </w:tc>
        <w:tc>
          <w:tcPr>
            <w:tcW w:w="1688" w:type="dxa"/>
            <w:gridSpan w:val="5"/>
            <w:shd w:val="clear" w:color="auto" w:fill="auto"/>
            <w:vAlign w:val="center"/>
          </w:tcPr>
          <w:p w14:paraId="27BED6AD">
            <w:pPr>
              <w:widowControl/>
              <w:jc w:val="center"/>
              <w:rPr>
                <w:rFonts w:eastAsia="仿宋"/>
                <w:color w:val="000000" w:themeColor="text1"/>
                <w:kern w:val="0"/>
                <w:szCs w:val="21"/>
              </w:rPr>
            </w:pPr>
            <w:r>
              <w:rPr>
                <w:rFonts w:eastAsia="仿宋"/>
                <w:color w:val="000000" w:themeColor="text1"/>
                <w:kern w:val="0"/>
                <w:szCs w:val="21"/>
              </w:rPr>
              <w:t>草地（04）</w:t>
            </w:r>
          </w:p>
        </w:tc>
        <w:tc>
          <w:tcPr>
            <w:tcW w:w="2437" w:type="dxa"/>
            <w:gridSpan w:val="10"/>
            <w:vAlign w:val="center"/>
          </w:tcPr>
          <w:p w14:paraId="750AB02B">
            <w:pPr>
              <w:widowControl/>
              <w:jc w:val="center"/>
              <w:rPr>
                <w:rFonts w:eastAsia="仿宋"/>
                <w:color w:val="000000" w:themeColor="text1"/>
                <w:kern w:val="0"/>
                <w:szCs w:val="21"/>
              </w:rPr>
            </w:pPr>
            <w:r>
              <w:rPr>
                <w:rFonts w:eastAsia="仿宋"/>
                <w:color w:val="000000" w:themeColor="text1"/>
                <w:kern w:val="0"/>
                <w:szCs w:val="21"/>
              </w:rPr>
              <w:t>其他草地（043）</w:t>
            </w:r>
          </w:p>
        </w:tc>
        <w:tc>
          <w:tcPr>
            <w:tcW w:w="1810" w:type="dxa"/>
            <w:gridSpan w:val="4"/>
            <w:vAlign w:val="center"/>
          </w:tcPr>
          <w:p w14:paraId="64FB7CBD">
            <w:pPr>
              <w:widowControl/>
              <w:jc w:val="center"/>
              <w:rPr>
                <w:rFonts w:eastAsia="仿宋"/>
                <w:color w:val="000000" w:themeColor="text1"/>
                <w:kern w:val="0"/>
                <w:szCs w:val="21"/>
              </w:rPr>
            </w:pPr>
            <w:r>
              <w:rPr>
                <w:rFonts w:eastAsia="仿宋"/>
                <w:color w:val="000000" w:themeColor="text1"/>
                <w:kern w:val="0"/>
                <w:szCs w:val="21"/>
              </w:rPr>
              <w:t>0</w:t>
            </w:r>
          </w:p>
        </w:tc>
        <w:tc>
          <w:tcPr>
            <w:tcW w:w="1478" w:type="dxa"/>
            <w:gridSpan w:val="5"/>
            <w:vAlign w:val="center"/>
          </w:tcPr>
          <w:p w14:paraId="7C3B72C3">
            <w:pPr>
              <w:spacing w:before="120" w:after="120"/>
              <w:jc w:val="center"/>
              <w:rPr>
                <w:color w:val="000000" w:themeColor="text1"/>
                <w:szCs w:val="21"/>
              </w:rPr>
            </w:pPr>
            <w:r>
              <w:rPr>
                <w:color w:val="000000" w:themeColor="text1"/>
                <w:szCs w:val="21"/>
              </w:rPr>
              <w:t>0.1951</w:t>
            </w:r>
          </w:p>
        </w:tc>
      </w:tr>
      <w:tr w14:paraId="0C177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trPr>
        <w:tc>
          <w:tcPr>
            <w:tcW w:w="917" w:type="dxa"/>
            <w:gridSpan w:val="2"/>
            <w:vMerge w:val="continue"/>
            <w:vAlign w:val="center"/>
          </w:tcPr>
          <w:p w14:paraId="62884DB6">
            <w:pPr>
              <w:widowControl/>
              <w:jc w:val="center"/>
              <w:rPr>
                <w:rFonts w:eastAsia="仿宋"/>
                <w:color w:val="000000" w:themeColor="text1"/>
                <w:kern w:val="0"/>
                <w:szCs w:val="21"/>
              </w:rPr>
            </w:pPr>
          </w:p>
        </w:tc>
        <w:tc>
          <w:tcPr>
            <w:tcW w:w="4125" w:type="dxa"/>
            <w:gridSpan w:val="15"/>
            <w:vAlign w:val="center"/>
          </w:tcPr>
          <w:p w14:paraId="1F3FC02B">
            <w:pPr>
              <w:jc w:val="center"/>
              <w:rPr>
                <w:rFonts w:eastAsia="仿宋"/>
                <w:color w:val="000000" w:themeColor="text1"/>
                <w:szCs w:val="21"/>
              </w:rPr>
            </w:pPr>
            <w:r>
              <w:rPr>
                <w:rFonts w:eastAsia="仿宋"/>
                <w:color w:val="000000" w:themeColor="text1"/>
                <w:szCs w:val="21"/>
              </w:rPr>
              <w:t>合计</w:t>
            </w:r>
          </w:p>
        </w:tc>
        <w:tc>
          <w:tcPr>
            <w:tcW w:w="1810" w:type="dxa"/>
            <w:gridSpan w:val="4"/>
            <w:vAlign w:val="center"/>
          </w:tcPr>
          <w:p w14:paraId="1545FEE7">
            <w:pPr>
              <w:widowControl/>
              <w:jc w:val="center"/>
              <w:rPr>
                <w:rFonts w:eastAsia="仿宋"/>
                <w:color w:val="000000" w:themeColor="text1"/>
                <w:kern w:val="0"/>
                <w:szCs w:val="21"/>
              </w:rPr>
            </w:pPr>
            <w:r>
              <w:rPr>
                <w:rFonts w:eastAsia="仿宋"/>
                <w:color w:val="000000" w:themeColor="text1"/>
                <w:kern w:val="0"/>
                <w:szCs w:val="21"/>
              </w:rPr>
              <w:t>0</w:t>
            </w:r>
          </w:p>
        </w:tc>
        <w:tc>
          <w:tcPr>
            <w:tcW w:w="1478" w:type="dxa"/>
            <w:gridSpan w:val="5"/>
            <w:vAlign w:val="center"/>
          </w:tcPr>
          <w:p w14:paraId="39B44B22">
            <w:pPr>
              <w:jc w:val="center"/>
              <w:rPr>
                <w:rFonts w:eastAsia="仿宋"/>
                <w:color w:val="000000" w:themeColor="text1"/>
                <w:szCs w:val="21"/>
              </w:rPr>
            </w:pPr>
            <w:r>
              <w:rPr>
                <w:rFonts w:eastAsia="仿宋"/>
                <w:color w:val="000000" w:themeColor="text1"/>
                <w:szCs w:val="21"/>
              </w:rPr>
              <w:t>2.4148</w:t>
            </w:r>
          </w:p>
        </w:tc>
      </w:tr>
      <w:tr w14:paraId="59EAC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917" w:type="dxa"/>
            <w:gridSpan w:val="2"/>
            <w:vMerge w:val="continue"/>
            <w:vAlign w:val="center"/>
          </w:tcPr>
          <w:p w14:paraId="4F004120">
            <w:pPr>
              <w:widowControl/>
              <w:jc w:val="center"/>
              <w:rPr>
                <w:rFonts w:eastAsia="仿宋"/>
                <w:color w:val="000000" w:themeColor="text1"/>
                <w:kern w:val="0"/>
                <w:szCs w:val="21"/>
              </w:rPr>
            </w:pPr>
          </w:p>
        </w:tc>
        <w:tc>
          <w:tcPr>
            <w:tcW w:w="1752" w:type="dxa"/>
            <w:gridSpan w:val="6"/>
            <w:vAlign w:val="center"/>
          </w:tcPr>
          <w:p w14:paraId="4E798157">
            <w:pPr>
              <w:jc w:val="center"/>
              <w:rPr>
                <w:rFonts w:eastAsia="仿宋"/>
                <w:color w:val="000000" w:themeColor="text1"/>
                <w:szCs w:val="21"/>
              </w:rPr>
            </w:pPr>
            <w:r>
              <w:rPr>
                <w:rFonts w:eastAsia="仿宋"/>
                <w:color w:val="000000" w:themeColor="text1"/>
                <w:szCs w:val="21"/>
              </w:rPr>
              <w:t>复垦目标面积</w:t>
            </w:r>
          </w:p>
        </w:tc>
        <w:tc>
          <w:tcPr>
            <w:tcW w:w="2373" w:type="dxa"/>
            <w:gridSpan w:val="9"/>
            <w:vAlign w:val="center"/>
          </w:tcPr>
          <w:p w14:paraId="46B76A3F">
            <w:pPr>
              <w:jc w:val="center"/>
              <w:rPr>
                <w:rFonts w:eastAsia="仿宋"/>
                <w:color w:val="000000" w:themeColor="text1"/>
                <w:szCs w:val="21"/>
              </w:rPr>
            </w:pPr>
            <w:r>
              <w:rPr>
                <w:rFonts w:eastAsia="仿宋"/>
                <w:color w:val="000000" w:themeColor="text1"/>
                <w:szCs w:val="21"/>
              </w:rPr>
              <w:t>2.4148</w:t>
            </w:r>
          </w:p>
        </w:tc>
        <w:tc>
          <w:tcPr>
            <w:tcW w:w="1810" w:type="dxa"/>
            <w:gridSpan w:val="4"/>
            <w:vAlign w:val="center"/>
          </w:tcPr>
          <w:p w14:paraId="52EC2D69">
            <w:pPr>
              <w:jc w:val="center"/>
              <w:rPr>
                <w:rFonts w:eastAsia="仿宋"/>
                <w:color w:val="000000" w:themeColor="text1"/>
                <w:szCs w:val="21"/>
              </w:rPr>
            </w:pPr>
            <w:r>
              <w:rPr>
                <w:rFonts w:eastAsia="仿宋"/>
                <w:color w:val="000000" w:themeColor="text1"/>
                <w:szCs w:val="21"/>
              </w:rPr>
              <w:t>土地复垦率（%）</w:t>
            </w:r>
          </w:p>
        </w:tc>
        <w:tc>
          <w:tcPr>
            <w:tcW w:w="1478" w:type="dxa"/>
            <w:gridSpan w:val="5"/>
            <w:vAlign w:val="center"/>
          </w:tcPr>
          <w:p w14:paraId="48869046">
            <w:pPr>
              <w:jc w:val="center"/>
              <w:rPr>
                <w:rFonts w:eastAsia="仿宋"/>
                <w:color w:val="000000" w:themeColor="text1"/>
                <w:szCs w:val="21"/>
              </w:rPr>
            </w:pPr>
            <w:r>
              <w:rPr>
                <w:rFonts w:eastAsia="仿宋"/>
                <w:color w:val="000000" w:themeColor="text1"/>
                <w:szCs w:val="21"/>
              </w:rPr>
              <w:t>100</w:t>
            </w:r>
          </w:p>
        </w:tc>
      </w:tr>
      <w:tr w14:paraId="7F043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917" w:type="dxa"/>
            <w:gridSpan w:val="2"/>
            <w:vAlign w:val="center"/>
          </w:tcPr>
          <w:p w14:paraId="7682A94B">
            <w:pPr>
              <w:widowControl/>
              <w:jc w:val="center"/>
              <w:rPr>
                <w:rFonts w:eastAsia="仿宋"/>
                <w:color w:val="000000" w:themeColor="text1"/>
                <w:kern w:val="0"/>
                <w:szCs w:val="21"/>
              </w:rPr>
            </w:pPr>
            <w:r>
              <w:rPr>
                <w:rFonts w:eastAsia="仿宋"/>
                <w:color w:val="000000" w:themeColor="text1"/>
                <w:kern w:val="0"/>
                <w:szCs w:val="21"/>
              </w:rPr>
              <w:t>土地复垦投资估算总额</w:t>
            </w:r>
          </w:p>
        </w:tc>
        <w:tc>
          <w:tcPr>
            <w:tcW w:w="1752" w:type="dxa"/>
            <w:gridSpan w:val="6"/>
            <w:vAlign w:val="center"/>
          </w:tcPr>
          <w:p w14:paraId="0D703D92">
            <w:pPr>
              <w:jc w:val="center"/>
              <w:rPr>
                <w:rFonts w:eastAsia="仿宋"/>
                <w:color w:val="000000" w:themeColor="text1"/>
                <w:szCs w:val="21"/>
              </w:rPr>
            </w:pPr>
            <w:r>
              <w:rPr>
                <w:rFonts w:eastAsia="仿宋"/>
                <w:color w:val="000000" w:themeColor="text1"/>
                <w:szCs w:val="21"/>
              </w:rPr>
              <w:t>万元</w:t>
            </w:r>
          </w:p>
        </w:tc>
        <w:tc>
          <w:tcPr>
            <w:tcW w:w="1379" w:type="dxa"/>
            <w:gridSpan w:val="5"/>
            <w:vAlign w:val="center"/>
          </w:tcPr>
          <w:p w14:paraId="3ACE110A">
            <w:pPr>
              <w:jc w:val="center"/>
              <w:rPr>
                <w:color w:val="000000" w:themeColor="text1"/>
                <w:kern w:val="0"/>
                <w:szCs w:val="21"/>
              </w:rPr>
            </w:pPr>
            <w:r>
              <w:rPr>
                <w:color w:val="000000" w:themeColor="text1"/>
                <w:kern w:val="0"/>
                <w:szCs w:val="21"/>
              </w:rPr>
              <w:t>29.</w:t>
            </w:r>
            <w:r>
              <w:rPr>
                <w:rFonts w:hint="eastAsia"/>
                <w:color w:val="000000" w:themeColor="text1"/>
                <w:kern w:val="0"/>
                <w:szCs w:val="21"/>
              </w:rPr>
              <w:t>50</w:t>
            </w:r>
          </w:p>
        </w:tc>
        <w:tc>
          <w:tcPr>
            <w:tcW w:w="1520" w:type="dxa"/>
            <w:gridSpan w:val="5"/>
            <w:vAlign w:val="center"/>
          </w:tcPr>
          <w:p w14:paraId="19F27899">
            <w:pPr>
              <w:jc w:val="center"/>
              <w:rPr>
                <w:rFonts w:eastAsia="仿宋"/>
                <w:color w:val="000000" w:themeColor="text1"/>
                <w:szCs w:val="21"/>
              </w:rPr>
            </w:pPr>
            <w:r>
              <w:rPr>
                <w:rFonts w:eastAsia="仿宋"/>
                <w:color w:val="000000" w:themeColor="text1"/>
                <w:szCs w:val="21"/>
              </w:rPr>
              <w:t>亩均投资</w:t>
            </w:r>
          </w:p>
        </w:tc>
        <w:tc>
          <w:tcPr>
            <w:tcW w:w="1657" w:type="dxa"/>
            <w:gridSpan w:val="5"/>
            <w:vAlign w:val="center"/>
          </w:tcPr>
          <w:p w14:paraId="5025170A">
            <w:pPr>
              <w:jc w:val="center"/>
              <w:rPr>
                <w:rFonts w:eastAsia="仿宋"/>
                <w:color w:val="000000" w:themeColor="text1"/>
                <w:szCs w:val="21"/>
              </w:rPr>
            </w:pPr>
            <w:r>
              <w:rPr>
                <w:rFonts w:eastAsia="仿宋"/>
                <w:color w:val="000000" w:themeColor="text1"/>
                <w:szCs w:val="21"/>
              </w:rPr>
              <w:t>元/亩</w:t>
            </w:r>
          </w:p>
        </w:tc>
        <w:tc>
          <w:tcPr>
            <w:tcW w:w="1105" w:type="dxa"/>
            <w:gridSpan w:val="3"/>
            <w:vAlign w:val="center"/>
          </w:tcPr>
          <w:p w14:paraId="0246B1A0">
            <w:pPr>
              <w:jc w:val="center"/>
              <w:rPr>
                <w:rFonts w:eastAsia="仿宋"/>
                <w:color w:val="000000" w:themeColor="text1"/>
                <w:szCs w:val="21"/>
              </w:rPr>
            </w:pPr>
            <w:r>
              <w:rPr>
                <w:rFonts w:eastAsia="仿宋"/>
                <w:color w:val="000000" w:themeColor="text1"/>
                <w:szCs w:val="21"/>
              </w:rPr>
              <w:t>8</w:t>
            </w:r>
            <w:r>
              <w:rPr>
                <w:rFonts w:hint="eastAsia" w:eastAsia="仿宋"/>
                <w:color w:val="000000" w:themeColor="text1"/>
                <w:szCs w:val="21"/>
              </w:rPr>
              <w:t>144.2</w:t>
            </w:r>
          </w:p>
        </w:tc>
      </w:tr>
      <w:tr w14:paraId="333FE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17" w:type="dxa"/>
            <w:gridSpan w:val="2"/>
            <w:vAlign w:val="center"/>
          </w:tcPr>
          <w:p w14:paraId="5602DA17">
            <w:pPr>
              <w:widowControl/>
              <w:jc w:val="center"/>
              <w:rPr>
                <w:rFonts w:eastAsia="仿宋"/>
                <w:color w:val="000000" w:themeColor="text1"/>
                <w:kern w:val="0"/>
                <w:szCs w:val="21"/>
              </w:rPr>
            </w:pPr>
            <w:r>
              <w:rPr>
                <w:rFonts w:eastAsia="仿宋"/>
                <w:color w:val="000000" w:themeColor="text1"/>
                <w:kern w:val="0"/>
                <w:szCs w:val="21"/>
              </w:rPr>
              <w:t>工作计划</w:t>
            </w:r>
          </w:p>
          <w:p w14:paraId="02CCCCF6">
            <w:pPr>
              <w:widowControl/>
              <w:jc w:val="center"/>
              <w:rPr>
                <w:rFonts w:eastAsia="仿宋"/>
                <w:color w:val="000000" w:themeColor="text1"/>
                <w:kern w:val="0"/>
                <w:szCs w:val="21"/>
              </w:rPr>
            </w:pPr>
            <w:r>
              <w:rPr>
                <w:rFonts w:eastAsia="仿宋"/>
                <w:color w:val="000000" w:themeColor="text1"/>
                <w:kern w:val="0"/>
                <w:szCs w:val="21"/>
              </w:rPr>
              <w:t>及保障措施</w:t>
            </w:r>
          </w:p>
        </w:tc>
        <w:tc>
          <w:tcPr>
            <w:tcW w:w="7413" w:type="dxa"/>
            <w:gridSpan w:val="24"/>
            <w:vAlign w:val="center"/>
          </w:tcPr>
          <w:p w14:paraId="0004B866">
            <w:pPr>
              <w:widowControl/>
              <w:jc w:val="left"/>
              <w:rPr>
                <w:rFonts w:eastAsia="仿宋"/>
                <w:b/>
                <w:color w:val="000000" w:themeColor="text1"/>
                <w:kern w:val="0"/>
                <w:szCs w:val="21"/>
              </w:rPr>
            </w:pPr>
            <w:r>
              <w:rPr>
                <w:rFonts w:eastAsia="仿宋"/>
                <w:b/>
                <w:color w:val="000000" w:themeColor="text1"/>
                <w:kern w:val="0"/>
                <w:szCs w:val="21"/>
              </w:rPr>
              <w:t>一、工作计划</w:t>
            </w:r>
          </w:p>
          <w:p w14:paraId="20CC2841">
            <w:pPr>
              <w:spacing w:line="360" w:lineRule="auto"/>
              <w:ind w:firstLine="420" w:firstLineChars="200"/>
              <w:jc w:val="left"/>
              <w:rPr>
                <w:rFonts w:eastAsia="仿宋"/>
                <w:b/>
                <w:color w:val="000000" w:themeColor="text1"/>
                <w:kern w:val="0"/>
                <w:szCs w:val="21"/>
              </w:rPr>
            </w:pPr>
            <w:r>
              <w:rPr>
                <w:rFonts w:eastAsia="仿宋"/>
                <w:color w:val="000000" w:themeColor="text1"/>
                <w:kern w:val="0"/>
                <w:szCs w:val="21"/>
              </w:rPr>
              <w:t>《广元市利州区紫兰建材厂砖瓦用页岩矿矿产资源开发利用方案》设计的剩余生产服务年限为0年。本着“预防为主、防治结合”、“在开发中保护、在保护中开发”、“因地制宜、边开采边治理”的原则，依据《矿山地质环境保护规定》，确定本方案服务年限为3.1年。待现场堆场材料用完后，若不继续生产，则按本方案进行复垦；若其他土地复垦义务人在原地址新办采矿许可证，需重新编制矿山地质环境保护与土地复垦方案。</w:t>
            </w:r>
          </w:p>
          <w:p w14:paraId="3E03BBF3">
            <w:pPr>
              <w:spacing w:line="360" w:lineRule="auto"/>
              <w:ind w:firstLine="420" w:firstLineChars="200"/>
              <w:jc w:val="left"/>
              <w:rPr>
                <w:rFonts w:eastAsia="仿宋"/>
                <w:color w:val="000000" w:themeColor="text1"/>
                <w:kern w:val="0"/>
                <w:szCs w:val="21"/>
              </w:rPr>
            </w:pPr>
            <w:r>
              <w:rPr>
                <w:rFonts w:eastAsia="仿宋"/>
                <w:color w:val="000000" w:themeColor="text1"/>
                <w:kern w:val="0"/>
                <w:szCs w:val="21"/>
              </w:rPr>
              <w:t>1、主要措施</w:t>
            </w:r>
          </w:p>
          <w:p w14:paraId="72DFEA1C">
            <w:pPr>
              <w:spacing w:line="360" w:lineRule="auto"/>
              <w:ind w:firstLine="420" w:firstLineChars="200"/>
              <w:jc w:val="left"/>
              <w:rPr>
                <w:rFonts w:eastAsia="仿宋"/>
                <w:color w:val="000000" w:themeColor="text1"/>
                <w:kern w:val="0"/>
                <w:szCs w:val="21"/>
              </w:rPr>
            </w:pPr>
            <w:r>
              <w:rPr>
                <w:rFonts w:hint="eastAsia" w:ascii="宋体" w:hAnsi="宋体" w:cs="宋体"/>
                <w:color w:val="000000" w:themeColor="text1"/>
                <w:kern w:val="0"/>
                <w:szCs w:val="21"/>
              </w:rPr>
              <w:t>①</w:t>
            </w:r>
            <w:r>
              <w:rPr>
                <w:rFonts w:eastAsia="仿宋"/>
                <w:color w:val="000000" w:themeColor="text1"/>
                <w:kern w:val="0"/>
                <w:szCs w:val="21"/>
              </w:rPr>
              <w:t>工程技术措施</w:t>
            </w:r>
          </w:p>
          <w:p w14:paraId="070FDF33">
            <w:pPr>
              <w:spacing w:line="360" w:lineRule="auto"/>
              <w:ind w:firstLine="420" w:firstLineChars="200"/>
              <w:jc w:val="left"/>
              <w:rPr>
                <w:rFonts w:eastAsia="仿宋"/>
                <w:color w:val="000000" w:themeColor="text1"/>
                <w:kern w:val="0"/>
                <w:szCs w:val="21"/>
              </w:rPr>
            </w:pPr>
            <w:r>
              <w:rPr>
                <w:rFonts w:eastAsia="仿宋"/>
                <w:color w:val="000000" w:themeColor="text1"/>
                <w:kern w:val="0"/>
                <w:szCs w:val="21"/>
              </w:rPr>
              <w:t>本复垦方案采用表土工程、拆除工程、平整工程、生物化学工程、植被重建工程对复垦责任范围进行复垦。</w:t>
            </w:r>
          </w:p>
          <w:p w14:paraId="3AB97EAD">
            <w:pPr>
              <w:spacing w:line="360" w:lineRule="auto"/>
              <w:ind w:firstLine="420" w:firstLineChars="200"/>
              <w:jc w:val="left"/>
              <w:rPr>
                <w:rFonts w:eastAsia="仿宋"/>
                <w:color w:val="000000" w:themeColor="text1"/>
                <w:kern w:val="0"/>
                <w:szCs w:val="21"/>
              </w:rPr>
            </w:pPr>
            <w:r>
              <w:rPr>
                <w:rFonts w:hint="eastAsia" w:ascii="宋体" w:hAnsi="宋体" w:cs="宋体"/>
                <w:color w:val="000000" w:themeColor="text1"/>
                <w:kern w:val="0"/>
                <w:szCs w:val="21"/>
              </w:rPr>
              <w:t>②</w:t>
            </w:r>
            <w:r>
              <w:rPr>
                <w:rFonts w:eastAsia="仿宋"/>
                <w:color w:val="000000" w:themeColor="text1"/>
                <w:kern w:val="0"/>
                <w:szCs w:val="21"/>
              </w:rPr>
              <w:t>管护措施</w:t>
            </w:r>
          </w:p>
          <w:p w14:paraId="701AA9A7">
            <w:pPr>
              <w:spacing w:line="360" w:lineRule="auto"/>
              <w:ind w:firstLine="420" w:firstLineChars="200"/>
              <w:jc w:val="left"/>
              <w:rPr>
                <w:rFonts w:eastAsia="仿宋"/>
                <w:color w:val="000000" w:themeColor="text1"/>
                <w:kern w:val="0"/>
                <w:szCs w:val="21"/>
              </w:rPr>
            </w:pPr>
            <w:r>
              <w:rPr>
                <w:rFonts w:eastAsia="仿宋"/>
                <w:color w:val="000000" w:themeColor="text1"/>
                <w:kern w:val="0"/>
                <w:szCs w:val="21"/>
              </w:rPr>
              <w:t>本项目管护对象主要是针对土地复垦项目所涉及植被进行管护。</w:t>
            </w:r>
          </w:p>
          <w:p w14:paraId="1FADE1DB">
            <w:pPr>
              <w:spacing w:line="360" w:lineRule="auto"/>
              <w:ind w:firstLine="420" w:firstLineChars="200"/>
              <w:jc w:val="left"/>
              <w:rPr>
                <w:rFonts w:eastAsia="仿宋"/>
                <w:color w:val="000000" w:themeColor="text1"/>
                <w:kern w:val="0"/>
                <w:szCs w:val="21"/>
              </w:rPr>
            </w:pPr>
            <w:r>
              <w:rPr>
                <w:rFonts w:hint="eastAsia" w:ascii="宋体" w:hAnsi="宋体" w:cs="宋体"/>
                <w:color w:val="000000" w:themeColor="text1"/>
                <w:kern w:val="0"/>
                <w:szCs w:val="21"/>
              </w:rPr>
              <w:t>③</w:t>
            </w:r>
            <w:r>
              <w:rPr>
                <w:rFonts w:eastAsia="仿宋"/>
                <w:color w:val="000000" w:themeColor="text1"/>
                <w:kern w:val="0"/>
                <w:szCs w:val="21"/>
              </w:rPr>
              <w:t>监测措施</w:t>
            </w:r>
          </w:p>
          <w:p w14:paraId="431E860B">
            <w:pPr>
              <w:spacing w:line="360" w:lineRule="auto"/>
              <w:ind w:firstLine="420" w:firstLineChars="200"/>
              <w:jc w:val="left"/>
              <w:rPr>
                <w:rFonts w:eastAsia="仿宋"/>
                <w:color w:val="000000" w:themeColor="text1"/>
                <w:kern w:val="0"/>
                <w:szCs w:val="21"/>
              </w:rPr>
            </w:pPr>
            <w:r>
              <w:rPr>
                <w:rFonts w:eastAsia="仿宋"/>
                <w:color w:val="000000" w:themeColor="text1"/>
                <w:kern w:val="0"/>
                <w:szCs w:val="21"/>
              </w:rPr>
              <w:t>通过对复垦土地的监测，以及植被存活率的监测，到达是否达到相应要求等。</w:t>
            </w:r>
          </w:p>
          <w:p w14:paraId="65DF1746">
            <w:pPr>
              <w:ind w:firstLine="420" w:firstLineChars="200"/>
              <w:jc w:val="left"/>
              <w:rPr>
                <w:rFonts w:eastAsia="仿宋"/>
                <w:color w:val="000000" w:themeColor="text1"/>
                <w:kern w:val="0"/>
                <w:szCs w:val="21"/>
              </w:rPr>
            </w:pPr>
            <w:r>
              <w:rPr>
                <w:rFonts w:eastAsia="仿宋"/>
                <w:color w:val="000000" w:themeColor="text1"/>
                <w:kern w:val="0"/>
                <w:szCs w:val="21"/>
              </w:rPr>
              <w:t>2、工程量汇总</w:t>
            </w:r>
          </w:p>
          <w:p w14:paraId="6839F374">
            <w:pPr>
              <w:widowControl/>
              <w:ind w:firstLine="420" w:firstLineChars="200"/>
              <w:jc w:val="center"/>
              <w:rPr>
                <w:rFonts w:eastAsia="仿宋"/>
                <w:color w:val="000000" w:themeColor="text1"/>
                <w:kern w:val="0"/>
                <w:szCs w:val="21"/>
              </w:rPr>
            </w:pPr>
            <w:r>
              <w:rPr>
                <w:rFonts w:eastAsia="仿宋"/>
                <w:color w:val="000000" w:themeColor="text1"/>
                <w:kern w:val="0"/>
                <w:szCs w:val="21"/>
              </w:rPr>
              <w:t>工程量统计表</w:t>
            </w:r>
          </w:p>
          <w:tbl>
            <w:tblPr>
              <w:tblStyle w:val="29"/>
              <w:tblW w:w="72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3067"/>
              <w:gridCol w:w="2095"/>
              <w:gridCol w:w="1311"/>
            </w:tblGrid>
            <w:tr w14:paraId="77562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blHeader/>
              </w:trPr>
              <w:tc>
                <w:tcPr>
                  <w:tcW w:w="773" w:type="dxa"/>
                  <w:vAlign w:val="center"/>
                </w:tcPr>
                <w:p w14:paraId="6C1A8610">
                  <w:pPr>
                    <w:widowControl/>
                    <w:jc w:val="center"/>
                    <w:rPr>
                      <w:rFonts w:eastAsia="仿宋"/>
                      <w:color w:val="000000" w:themeColor="text1"/>
                      <w:kern w:val="0"/>
                      <w:szCs w:val="21"/>
                    </w:rPr>
                  </w:pPr>
                  <w:r>
                    <w:rPr>
                      <w:rFonts w:eastAsia="仿宋"/>
                      <w:color w:val="000000" w:themeColor="text1"/>
                      <w:kern w:val="0"/>
                      <w:szCs w:val="21"/>
                    </w:rPr>
                    <w:t>序号</w:t>
                  </w:r>
                </w:p>
              </w:tc>
              <w:tc>
                <w:tcPr>
                  <w:tcW w:w="3067" w:type="dxa"/>
                  <w:vAlign w:val="center"/>
                </w:tcPr>
                <w:p w14:paraId="41F2762C">
                  <w:pPr>
                    <w:widowControl/>
                    <w:jc w:val="center"/>
                    <w:rPr>
                      <w:rFonts w:eastAsia="仿宋"/>
                      <w:color w:val="000000" w:themeColor="text1"/>
                      <w:kern w:val="0"/>
                      <w:szCs w:val="21"/>
                    </w:rPr>
                  </w:pPr>
                  <w:r>
                    <w:rPr>
                      <w:rFonts w:eastAsia="仿宋"/>
                      <w:color w:val="000000" w:themeColor="text1"/>
                      <w:kern w:val="0"/>
                      <w:szCs w:val="21"/>
                    </w:rPr>
                    <w:t>工程名称</w:t>
                  </w:r>
                </w:p>
              </w:tc>
              <w:tc>
                <w:tcPr>
                  <w:tcW w:w="2095" w:type="dxa"/>
                  <w:vAlign w:val="center"/>
                </w:tcPr>
                <w:p w14:paraId="52FA5C8B">
                  <w:pPr>
                    <w:widowControl/>
                    <w:jc w:val="center"/>
                    <w:rPr>
                      <w:rFonts w:eastAsia="仿宋"/>
                      <w:color w:val="000000" w:themeColor="text1"/>
                      <w:kern w:val="0"/>
                      <w:szCs w:val="21"/>
                    </w:rPr>
                  </w:pPr>
                  <w:r>
                    <w:rPr>
                      <w:rFonts w:eastAsia="仿宋"/>
                      <w:color w:val="000000" w:themeColor="text1"/>
                      <w:kern w:val="0"/>
                      <w:szCs w:val="21"/>
                    </w:rPr>
                    <w:t>单位</w:t>
                  </w:r>
                </w:p>
              </w:tc>
              <w:tc>
                <w:tcPr>
                  <w:tcW w:w="1311" w:type="dxa"/>
                  <w:vAlign w:val="center"/>
                </w:tcPr>
                <w:p w14:paraId="1C35277E">
                  <w:pPr>
                    <w:widowControl/>
                    <w:jc w:val="center"/>
                    <w:rPr>
                      <w:rFonts w:eastAsia="仿宋"/>
                      <w:color w:val="000000" w:themeColor="text1"/>
                      <w:kern w:val="0"/>
                      <w:szCs w:val="21"/>
                    </w:rPr>
                  </w:pPr>
                  <w:r>
                    <w:rPr>
                      <w:rFonts w:eastAsia="仿宋"/>
                      <w:color w:val="000000" w:themeColor="text1"/>
                      <w:kern w:val="0"/>
                      <w:szCs w:val="21"/>
                    </w:rPr>
                    <w:t>数量</w:t>
                  </w:r>
                </w:p>
              </w:tc>
            </w:tr>
            <w:tr w14:paraId="6E970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03CAA05C">
                  <w:pPr>
                    <w:widowControl/>
                    <w:jc w:val="center"/>
                    <w:rPr>
                      <w:rFonts w:eastAsia="仿宋"/>
                      <w:color w:val="000000" w:themeColor="text1"/>
                      <w:kern w:val="0"/>
                      <w:szCs w:val="21"/>
                    </w:rPr>
                  </w:pPr>
                  <w:r>
                    <w:rPr>
                      <w:rFonts w:eastAsia="仿宋"/>
                      <w:color w:val="000000" w:themeColor="text1"/>
                      <w:kern w:val="0"/>
                      <w:szCs w:val="21"/>
                    </w:rPr>
                    <w:t>一</w:t>
                  </w:r>
                </w:p>
              </w:tc>
              <w:tc>
                <w:tcPr>
                  <w:tcW w:w="3067" w:type="dxa"/>
                  <w:vAlign w:val="center"/>
                </w:tcPr>
                <w:p w14:paraId="1BC0B42B">
                  <w:pPr>
                    <w:widowControl/>
                    <w:jc w:val="center"/>
                    <w:rPr>
                      <w:rFonts w:eastAsia="仿宋"/>
                      <w:color w:val="000000" w:themeColor="text1"/>
                      <w:kern w:val="0"/>
                      <w:szCs w:val="21"/>
                    </w:rPr>
                  </w:pPr>
                  <w:r>
                    <w:rPr>
                      <w:rFonts w:eastAsia="仿宋"/>
                      <w:color w:val="000000" w:themeColor="text1"/>
                      <w:kern w:val="0"/>
                      <w:szCs w:val="21"/>
                    </w:rPr>
                    <w:t>土壤重构工程</w:t>
                  </w:r>
                </w:p>
              </w:tc>
              <w:tc>
                <w:tcPr>
                  <w:tcW w:w="2095" w:type="dxa"/>
                  <w:vAlign w:val="center"/>
                </w:tcPr>
                <w:p w14:paraId="585DBD6E">
                  <w:pPr>
                    <w:widowControl/>
                    <w:jc w:val="center"/>
                    <w:rPr>
                      <w:rFonts w:eastAsia="仿宋"/>
                      <w:color w:val="000000" w:themeColor="text1"/>
                      <w:kern w:val="0"/>
                      <w:szCs w:val="21"/>
                    </w:rPr>
                  </w:pPr>
                  <w:r>
                    <w:rPr>
                      <w:rFonts w:eastAsia="仿宋"/>
                      <w:color w:val="000000" w:themeColor="text1"/>
                      <w:kern w:val="0"/>
                      <w:szCs w:val="21"/>
                    </w:rPr>
                    <w:t>　</w:t>
                  </w:r>
                </w:p>
              </w:tc>
              <w:tc>
                <w:tcPr>
                  <w:tcW w:w="1311" w:type="dxa"/>
                  <w:vAlign w:val="center"/>
                </w:tcPr>
                <w:p w14:paraId="417CB724">
                  <w:pPr>
                    <w:widowControl/>
                    <w:jc w:val="center"/>
                    <w:rPr>
                      <w:rFonts w:eastAsia="仿宋"/>
                      <w:color w:val="000000" w:themeColor="text1"/>
                      <w:kern w:val="0"/>
                      <w:szCs w:val="21"/>
                    </w:rPr>
                  </w:pPr>
                  <w:r>
                    <w:rPr>
                      <w:rFonts w:eastAsia="仿宋"/>
                      <w:color w:val="000000" w:themeColor="text1"/>
                      <w:kern w:val="0"/>
                      <w:szCs w:val="21"/>
                    </w:rPr>
                    <w:t>　</w:t>
                  </w:r>
                </w:p>
              </w:tc>
            </w:tr>
            <w:tr w14:paraId="07636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2485DA85">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00D61DA8">
                  <w:pPr>
                    <w:widowControl/>
                    <w:jc w:val="center"/>
                    <w:rPr>
                      <w:rFonts w:eastAsia="仿宋"/>
                      <w:color w:val="000000" w:themeColor="text1"/>
                      <w:kern w:val="0"/>
                      <w:szCs w:val="21"/>
                    </w:rPr>
                  </w:pPr>
                  <w:r>
                    <w:rPr>
                      <w:rFonts w:eastAsia="仿宋"/>
                      <w:color w:val="000000" w:themeColor="text1"/>
                      <w:kern w:val="0"/>
                      <w:szCs w:val="21"/>
                    </w:rPr>
                    <w:t>拆除工程</w:t>
                  </w:r>
                </w:p>
              </w:tc>
              <w:tc>
                <w:tcPr>
                  <w:tcW w:w="2095" w:type="dxa"/>
                  <w:vAlign w:val="center"/>
                </w:tcPr>
                <w:p w14:paraId="3B8D3A04">
                  <w:pPr>
                    <w:widowControl/>
                    <w:jc w:val="center"/>
                    <w:rPr>
                      <w:rFonts w:eastAsia="仿宋"/>
                      <w:color w:val="000000" w:themeColor="text1"/>
                      <w:kern w:val="0"/>
                      <w:szCs w:val="21"/>
                    </w:rPr>
                  </w:pPr>
                  <w:r>
                    <w:rPr>
                      <w:rFonts w:eastAsia="仿宋"/>
                      <w:color w:val="000000" w:themeColor="text1"/>
                      <w:kern w:val="0"/>
                      <w:szCs w:val="21"/>
                    </w:rPr>
                    <w:t>　</w:t>
                  </w:r>
                </w:p>
              </w:tc>
              <w:tc>
                <w:tcPr>
                  <w:tcW w:w="1311" w:type="dxa"/>
                  <w:vAlign w:val="center"/>
                </w:tcPr>
                <w:p w14:paraId="0279027A">
                  <w:pPr>
                    <w:widowControl/>
                    <w:jc w:val="center"/>
                    <w:rPr>
                      <w:rFonts w:eastAsia="仿宋"/>
                      <w:color w:val="000000" w:themeColor="text1"/>
                      <w:kern w:val="0"/>
                      <w:szCs w:val="21"/>
                    </w:rPr>
                  </w:pPr>
                  <w:r>
                    <w:rPr>
                      <w:rFonts w:eastAsia="仿宋"/>
                      <w:color w:val="000000" w:themeColor="text1"/>
                      <w:kern w:val="0"/>
                      <w:szCs w:val="21"/>
                    </w:rPr>
                    <w:t>　</w:t>
                  </w:r>
                </w:p>
              </w:tc>
            </w:tr>
            <w:tr w14:paraId="63417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3B596F5C">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2CC723F8">
                  <w:pPr>
                    <w:widowControl/>
                    <w:jc w:val="center"/>
                    <w:rPr>
                      <w:rFonts w:eastAsia="仿宋"/>
                      <w:color w:val="000000" w:themeColor="text1"/>
                      <w:kern w:val="0"/>
                      <w:szCs w:val="21"/>
                    </w:rPr>
                  </w:pPr>
                  <w:r>
                    <w:rPr>
                      <w:rFonts w:eastAsia="仿宋"/>
                      <w:color w:val="000000" w:themeColor="text1"/>
                      <w:kern w:val="0"/>
                      <w:szCs w:val="21"/>
                    </w:rPr>
                    <w:t>砌体拆除</w:t>
                  </w:r>
                </w:p>
              </w:tc>
              <w:tc>
                <w:tcPr>
                  <w:tcW w:w="2095" w:type="dxa"/>
                  <w:vAlign w:val="center"/>
                </w:tcPr>
                <w:p w14:paraId="08F914A7">
                  <w:pPr>
                    <w:widowControl/>
                    <w:jc w:val="center"/>
                    <w:rPr>
                      <w:rFonts w:eastAsia="仿宋"/>
                      <w:color w:val="000000" w:themeColor="text1"/>
                      <w:kern w:val="0"/>
                      <w:szCs w:val="21"/>
                    </w:rPr>
                  </w:pPr>
                  <w:r>
                    <w:rPr>
                      <w:rFonts w:eastAsia="仿宋"/>
                      <w:color w:val="000000" w:themeColor="text1"/>
                      <w:kern w:val="0"/>
                      <w:szCs w:val="21"/>
                    </w:rPr>
                    <w:t>m</w:t>
                  </w:r>
                  <w:r>
                    <w:rPr>
                      <w:rFonts w:eastAsia="仿宋"/>
                      <w:color w:val="000000" w:themeColor="text1"/>
                      <w:kern w:val="0"/>
                      <w:szCs w:val="21"/>
                      <w:vertAlign w:val="superscript"/>
                    </w:rPr>
                    <w:t>3</w:t>
                  </w:r>
                </w:p>
              </w:tc>
              <w:tc>
                <w:tcPr>
                  <w:tcW w:w="1311" w:type="dxa"/>
                  <w:vAlign w:val="center"/>
                </w:tcPr>
                <w:p w14:paraId="41CC0F9A">
                  <w:pPr>
                    <w:widowControl/>
                    <w:jc w:val="center"/>
                    <w:rPr>
                      <w:rFonts w:eastAsia="仿宋"/>
                      <w:color w:val="000000" w:themeColor="text1"/>
                      <w:kern w:val="0"/>
                      <w:szCs w:val="21"/>
                    </w:rPr>
                  </w:pPr>
                  <w:r>
                    <w:rPr>
                      <w:rFonts w:eastAsia="仿宋"/>
                      <w:color w:val="000000" w:themeColor="text1"/>
                      <w:kern w:val="0"/>
                      <w:szCs w:val="21"/>
                    </w:rPr>
                    <w:t>82</w:t>
                  </w:r>
                </w:p>
              </w:tc>
            </w:tr>
            <w:tr w14:paraId="6E653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38A4860C">
                  <w:pPr>
                    <w:widowControl/>
                    <w:jc w:val="center"/>
                    <w:rPr>
                      <w:rFonts w:eastAsia="仿宋"/>
                      <w:color w:val="000000" w:themeColor="text1"/>
                      <w:kern w:val="0"/>
                      <w:szCs w:val="21"/>
                    </w:rPr>
                  </w:pPr>
                  <w:r>
                    <w:rPr>
                      <w:rFonts w:eastAsia="仿宋"/>
                      <w:color w:val="000000" w:themeColor="text1"/>
                      <w:kern w:val="0"/>
                      <w:szCs w:val="21"/>
                    </w:rPr>
                    <w:t>（2）</w:t>
                  </w:r>
                </w:p>
              </w:tc>
              <w:tc>
                <w:tcPr>
                  <w:tcW w:w="3067" w:type="dxa"/>
                  <w:vAlign w:val="center"/>
                </w:tcPr>
                <w:p w14:paraId="5C67B5AB">
                  <w:pPr>
                    <w:widowControl/>
                    <w:jc w:val="center"/>
                    <w:rPr>
                      <w:rFonts w:eastAsia="仿宋"/>
                      <w:color w:val="000000" w:themeColor="text1"/>
                      <w:kern w:val="0"/>
                      <w:szCs w:val="21"/>
                    </w:rPr>
                  </w:pPr>
                  <w:r>
                    <w:rPr>
                      <w:rFonts w:eastAsia="仿宋"/>
                      <w:color w:val="000000" w:themeColor="text1"/>
                      <w:kern w:val="0"/>
                      <w:szCs w:val="21"/>
                    </w:rPr>
                    <w:t>混凝土拆除</w:t>
                  </w:r>
                </w:p>
              </w:tc>
              <w:tc>
                <w:tcPr>
                  <w:tcW w:w="2095" w:type="dxa"/>
                  <w:vAlign w:val="center"/>
                </w:tcPr>
                <w:p w14:paraId="51A7AC05">
                  <w:pPr>
                    <w:widowControl/>
                    <w:jc w:val="center"/>
                    <w:rPr>
                      <w:rFonts w:eastAsia="仿宋"/>
                      <w:color w:val="000000" w:themeColor="text1"/>
                      <w:kern w:val="0"/>
                      <w:szCs w:val="21"/>
                    </w:rPr>
                  </w:pPr>
                  <w:r>
                    <w:rPr>
                      <w:rFonts w:eastAsia="仿宋"/>
                      <w:color w:val="000000" w:themeColor="text1"/>
                      <w:kern w:val="0"/>
                      <w:szCs w:val="21"/>
                    </w:rPr>
                    <w:t>m</w:t>
                  </w:r>
                  <w:r>
                    <w:rPr>
                      <w:rFonts w:eastAsia="仿宋"/>
                      <w:color w:val="000000" w:themeColor="text1"/>
                      <w:kern w:val="0"/>
                      <w:szCs w:val="21"/>
                      <w:vertAlign w:val="superscript"/>
                    </w:rPr>
                    <w:t>3</w:t>
                  </w:r>
                </w:p>
              </w:tc>
              <w:tc>
                <w:tcPr>
                  <w:tcW w:w="1311" w:type="dxa"/>
                  <w:vAlign w:val="center"/>
                </w:tcPr>
                <w:p w14:paraId="71C7DAD8">
                  <w:pPr>
                    <w:widowControl/>
                    <w:jc w:val="center"/>
                    <w:rPr>
                      <w:rFonts w:eastAsia="仿宋"/>
                      <w:color w:val="000000" w:themeColor="text1"/>
                      <w:kern w:val="0"/>
                      <w:szCs w:val="21"/>
                    </w:rPr>
                  </w:pPr>
                  <w:r>
                    <w:rPr>
                      <w:rFonts w:eastAsia="仿宋"/>
                      <w:color w:val="000000" w:themeColor="text1"/>
                      <w:kern w:val="0"/>
                      <w:szCs w:val="21"/>
                    </w:rPr>
                    <w:t>49</w:t>
                  </w:r>
                </w:p>
              </w:tc>
            </w:tr>
            <w:tr w14:paraId="3FC53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3549C9A5">
                  <w:pPr>
                    <w:widowControl/>
                    <w:jc w:val="center"/>
                    <w:rPr>
                      <w:rFonts w:eastAsia="仿宋"/>
                      <w:color w:val="000000" w:themeColor="text1"/>
                      <w:kern w:val="0"/>
                      <w:szCs w:val="21"/>
                    </w:rPr>
                  </w:pPr>
                  <w:r>
                    <w:rPr>
                      <w:rFonts w:eastAsia="仿宋"/>
                      <w:color w:val="000000" w:themeColor="text1"/>
                      <w:kern w:val="0"/>
                      <w:szCs w:val="21"/>
                    </w:rPr>
                    <w:t>2</w:t>
                  </w:r>
                </w:p>
              </w:tc>
              <w:tc>
                <w:tcPr>
                  <w:tcW w:w="3067" w:type="dxa"/>
                  <w:vAlign w:val="center"/>
                </w:tcPr>
                <w:p w14:paraId="00FC51C1">
                  <w:pPr>
                    <w:widowControl/>
                    <w:jc w:val="center"/>
                    <w:rPr>
                      <w:rFonts w:eastAsia="仿宋"/>
                      <w:color w:val="000000" w:themeColor="text1"/>
                      <w:kern w:val="0"/>
                      <w:szCs w:val="21"/>
                    </w:rPr>
                  </w:pPr>
                  <w:r>
                    <w:rPr>
                      <w:rFonts w:eastAsia="仿宋"/>
                      <w:color w:val="000000" w:themeColor="text1"/>
                      <w:kern w:val="0"/>
                      <w:szCs w:val="21"/>
                    </w:rPr>
                    <w:t>废渣清运工程</w:t>
                  </w:r>
                </w:p>
              </w:tc>
              <w:tc>
                <w:tcPr>
                  <w:tcW w:w="2095" w:type="dxa"/>
                  <w:vAlign w:val="center"/>
                </w:tcPr>
                <w:p w14:paraId="5D3D4DF8">
                  <w:pPr>
                    <w:widowControl/>
                    <w:jc w:val="center"/>
                    <w:rPr>
                      <w:rFonts w:eastAsia="仿宋"/>
                      <w:color w:val="000000" w:themeColor="text1"/>
                      <w:kern w:val="0"/>
                      <w:szCs w:val="21"/>
                    </w:rPr>
                  </w:pPr>
                  <w:r>
                    <w:rPr>
                      <w:rFonts w:eastAsia="仿宋"/>
                      <w:color w:val="000000" w:themeColor="text1"/>
                      <w:kern w:val="0"/>
                      <w:szCs w:val="21"/>
                    </w:rPr>
                    <w:t>　</w:t>
                  </w:r>
                </w:p>
              </w:tc>
              <w:tc>
                <w:tcPr>
                  <w:tcW w:w="1311" w:type="dxa"/>
                  <w:vAlign w:val="center"/>
                </w:tcPr>
                <w:p w14:paraId="4583D201">
                  <w:pPr>
                    <w:widowControl/>
                    <w:jc w:val="center"/>
                    <w:rPr>
                      <w:rFonts w:eastAsia="仿宋"/>
                      <w:color w:val="000000" w:themeColor="text1"/>
                      <w:kern w:val="0"/>
                      <w:szCs w:val="21"/>
                    </w:rPr>
                  </w:pPr>
                </w:p>
              </w:tc>
            </w:tr>
            <w:tr w14:paraId="37C0C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33694F80">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4295EF65">
                  <w:pPr>
                    <w:widowControl/>
                    <w:jc w:val="center"/>
                    <w:rPr>
                      <w:rFonts w:eastAsia="仿宋"/>
                      <w:color w:val="000000" w:themeColor="text1"/>
                      <w:kern w:val="0"/>
                      <w:szCs w:val="21"/>
                    </w:rPr>
                  </w:pPr>
                  <w:r>
                    <w:rPr>
                      <w:rFonts w:eastAsia="仿宋"/>
                      <w:color w:val="000000" w:themeColor="text1"/>
                      <w:kern w:val="0"/>
                      <w:szCs w:val="21"/>
                    </w:rPr>
                    <w:t>废渣清运</w:t>
                  </w:r>
                </w:p>
              </w:tc>
              <w:tc>
                <w:tcPr>
                  <w:tcW w:w="2095" w:type="dxa"/>
                  <w:vAlign w:val="center"/>
                </w:tcPr>
                <w:p w14:paraId="1CE309A9">
                  <w:pPr>
                    <w:widowControl/>
                    <w:jc w:val="center"/>
                    <w:rPr>
                      <w:rFonts w:eastAsia="仿宋"/>
                      <w:color w:val="000000" w:themeColor="text1"/>
                      <w:kern w:val="0"/>
                      <w:szCs w:val="21"/>
                    </w:rPr>
                  </w:pPr>
                  <w:r>
                    <w:rPr>
                      <w:rFonts w:eastAsia="仿宋"/>
                      <w:color w:val="000000" w:themeColor="text1"/>
                      <w:kern w:val="0"/>
                      <w:szCs w:val="21"/>
                    </w:rPr>
                    <w:t>m</w:t>
                  </w:r>
                  <w:r>
                    <w:rPr>
                      <w:rFonts w:eastAsia="仿宋"/>
                      <w:color w:val="000000" w:themeColor="text1"/>
                      <w:kern w:val="0"/>
                      <w:szCs w:val="21"/>
                      <w:vertAlign w:val="superscript"/>
                    </w:rPr>
                    <w:t>3</w:t>
                  </w:r>
                </w:p>
              </w:tc>
              <w:tc>
                <w:tcPr>
                  <w:tcW w:w="1311" w:type="dxa"/>
                  <w:vAlign w:val="center"/>
                </w:tcPr>
                <w:p w14:paraId="1064BD4D">
                  <w:pPr>
                    <w:widowControl/>
                    <w:jc w:val="center"/>
                    <w:rPr>
                      <w:rFonts w:eastAsia="仿宋"/>
                      <w:color w:val="000000" w:themeColor="text1"/>
                      <w:kern w:val="0"/>
                      <w:szCs w:val="21"/>
                    </w:rPr>
                  </w:pPr>
                  <w:r>
                    <w:rPr>
                      <w:rFonts w:eastAsia="仿宋"/>
                      <w:color w:val="000000" w:themeColor="text1"/>
                      <w:kern w:val="0"/>
                      <w:szCs w:val="21"/>
                    </w:rPr>
                    <w:t>131</w:t>
                  </w:r>
                </w:p>
              </w:tc>
            </w:tr>
            <w:tr w14:paraId="0F06A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6140AB59">
                  <w:pPr>
                    <w:widowControl/>
                    <w:jc w:val="center"/>
                    <w:rPr>
                      <w:rFonts w:eastAsia="仿宋"/>
                      <w:color w:val="000000" w:themeColor="text1"/>
                      <w:kern w:val="0"/>
                      <w:szCs w:val="21"/>
                    </w:rPr>
                  </w:pPr>
                  <w:r>
                    <w:rPr>
                      <w:rFonts w:eastAsia="仿宋"/>
                      <w:color w:val="000000" w:themeColor="text1"/>
                      <w:kern w:val="0"/>
                      <w:szCs w:val="21"/>
                    </w:rPr>
                    <w:t>3</w:t>
                  </w:r>
                </w:p>
              </w:tc>
              <w:tc>
                <w:tcPr>
                  <w:tcW w:w="3067" w:type="dxa"/>
                  <w:vAlign w:val="center"/>
                </w:tcPr>
                <w:p w14:paraId="5DAC69D0">
                  <w:pPr>
                    <w:widowControl/>
                    <w:jc w:val="center"/>
                    <w:rPr>
                      <w:rFonts w:eastAsia="仿宋"/>
                      <w:color w:val="000000" w:themeColor="text1"/>
                      <w:kern w:val="0"/>
                      <w:szCs w:val="21"/>
                    </w:rPr>
                  </w:pPr>
                  <w:r>
                    <w:rPr>
                      <w:rFonts w:eastAsia="仿宋"/>
                      <w:color w:val="000000" w:themeColor="text1"/>
                      <w:kern w:val="0"/>
                      <w:szCs w:val="21"/>
                    </w:rPr>
                    <w:t>表土工程</w:t>
                  </w:r>
                </w:p>
              </w:tc>
              <w:tc>
                <w:tcPr>
                  <w:tcW w:w="2095" w:type="dxa"/>
                  <w:vAlign w:val="center"/>
                </w:tcPr>
                <w:p w14:paraId="09D148A4">
                  <w:pPr>
                    <w:widowControl/>
                    <w:jc w:val="center"/>
                    <w:rPr>
                      <w:rFonts w:eastAsia="仿宋"/>
                      <w:color w:val="000000" w:themeColor="text1"/>
                      <w:kern w:val="0"/>
                      <w:szCs w:val="21"/>
                    </w:rPr>
                  </w:pPr>
                  <w:r>
                    <w:rPr>
                      <w:rFonts w:eastAsia="仿宋"/>
                      <w:color w:val="000000" w:themeColor="text1"/>
                      <w:kern w:val="0"/>
                      <w:szCs w:val="21"/>
                    </w:rPr>
                    <w:t>　</w:t>
                  </w:r>
                </w:p>
              </w:tc>
              <w:tc>
                <w:tcPr>
                  <w:tcW w:w="1311" w:type="dxa"/>
                  <w:vAlign w:val="center"/>
                </w:tcPr>
                <w:p w14:paraId="4E718FCE">
                  <w:pPr>
                    <w:widowControl/>
                    <w:jc w:val="center"/>
                    <w:rPr>
                      <w:rFonts w:eastAsia="仿宋"/>
                      <w:color w:val="000000" w:themeColor="text1"/>
                      <w:kern w:val="0"/>
                      <w:szCs w:val="21"/>
                    </w:rPr>
                  </w:pPr>
                </w:p>
              </w:tc>
            </w:tr>
            <w:tr w14:paraId="6E182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3C5D834E">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3B74ACDC">
                  <w:pPr>
                    <w:widowControl/>
                    <w:jc w:val="center"/>
                    <w:rPr>
                      <w:rFonts w:eastAsia="仿宋"/>
                      <w:color w:val="000000" w:themeColor="text1"/>
                      <w:kern w:val="0"/>
                      <w:szCs w:val="21"/>
                    </w:rPr>
                  </w:pPr>
                  <w:r>
                    <w:rPr>
                      <w:rFonts w:eastAsia="仿宋"/>
                      <w:color w:val="000000" w:themeColor="text1"/>
                      <w:kern w:val="0"/>
                      <w:szCs w:val="21"/>
                    </w:rPr>
                    <w:t>表土回覆</w:t>
                  </w:r>
                </w:p>
              </w:tc>
              <w:tc>
                <w:tcPr>
                  <w:tcW w:w="2095" w:type="dxa"/>
                  <w:vAlign w:val="center"/>
                </w:tcPr>
                <w:p w14:paraId="1138D13C">
                  <w:pPr>
                    <w:widowControl/>
                    <w:jc w:val="center"/>
                    <w:rPr>
                      <w:rFonts w:eastAsia="仿宋"/>
                      <w:color w:val="000000" w:themeColor="text1"/>
                      <w:kern w:val="0"/>
                      <w:szCs w:val="21"/>
                    </w:rPr>
                  </w:pPr>
                  <w:r>
                    <w:rPr>
                      <w:rFonts w:eastAsia="仿宋"/>
                      <w:color w:val="000000" w:themeColor="text1"/>
                      <w:kern w:val="0"/>
                      <w:szCs w:val="21"/>
                    </w:rPr>
                    <w:t>m</w:t>
                  </w:r>
                  <w:r>
                    <w:rPr>
                      <w:rFonts w:eastAsia="仿宋"/>
                      <w:color w:val="000000" w:themeColor="text1"/>
                      <w:kern w:val="0"/>
                      <w:szCs w:val="21"/>
                      <w:vertAlign w:val="superscript"/>
                    </w:rPr>
                    <w:t>3</w:t>
                  </w:r>
                </w:p>
              </w:tc>
              <w:tc>
                <w:tcPr>
                  <w:tcW w:w="1311" w:type="dxa"/>
                  <w:vAlign w:val="center"/>
                </w:tcPr>
                <w:p w14:paraId="067A342A">
                  <w:pPr>
                    <w:widowControl/>
                    <w:jc w:val="center"/>
                    <w:rPr>
                      <w:rFonts w:eastAsia="仿宋"/>
                      <w:color w:val="000000" w:themeColor="text1"/>
                      <w:kern w:val="0"/>
                      <w:szCs w:val="21"/>
                    </w:rPr>
                  </w:pPr>
                  <w:r>
                    <w:rPr>
                      <w:rFonts w:eastAsia="仿宋"/>
                      <w:color w:val="000000" w:themeColor="text1"/>
                      <w:kern w:val="0"/>
                      <w:szCs w:val="21"/>
                    </w:rPr>
                    <w:t>7545.82</w:t>
                  </w:r>
                </w:p>
              </w:tc>
            </w:tr>
            <w:tr w14:paraId="32AE6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5C10A1F6">
                  <w:pPr>
                    <w:widowControl/>
                    <w:jc w:val="center"/>
                    <w:rPr>
                      <w:rFonts w:eastAsia="仿宋"/>
                      <w:color w:val="000000" w:themeColor="text1"/>
                      <w:kern w:val="0"/>
                      <w:szCs w:val="21"/>
                    </w:rPr>
                  </w:pPr>
                  <w:r>
                    <w:rPr>
                      <w:rFonts w:eastAsia="仿宋"/>
                      <w:color w:val="000000" w:themeColor="text1"/>
                      <w:kern w:val="0"/>
                      <w:szCs w:val="21"/>
                    </w:rPr>
                    <w:t>4</w:t>
                  </w:r>
                </w:p>
              </w:tc>
              <w:tc>
                <w:tcPr>
                  <w:tcW w:w="3067" w:type="dxa"/>
                  <w:vAlign w:val="center"/>
                </w:tcPr>
                <w:p w14:paraId="365730BF">
                  <w:pPr>
                    <w:widowControl/>
                    <w:jc w:val="center"/>
                    <w:rPr>
                      <w:rFonts w:eastAsia="仿宋"/>
                      <w:color w:val="000000" w:themeColor="text1"/>
                      <w:kern w:val="0"/>
                      <w:szCs w:val="21"/>
                    </w:rPr>
                  </w:pPr>
                  <w:r>
                    <w:rPr>
                      <w:rFonts w:eastAsia="仿宋"/>
                      <w:color w:val="000000" w:themeColor="text1"/>
                      <w:kern w:val="0"/>
                      <w:szCs w:val="21"/>
                    </w:rPr>
                    <w:t>平整工程</w:t>
                  </w:r>
                </w:p>
              </w:tc>
              <w:tc>
                <w:tcPr>
                  <w:tcW w:w="2095" w:type="dxa"/>
                  <w:vAlign w:val="center"/>
                </w:tcPr>
                <w:p w14:paraId="08ABB779">
                  <w:pPr>
                    <w:widowControl/>
                    <w:jc w:val="center"/>
                    <w:rPr>
                      <w:rFonts w:eastAsia="仿宋"/>
                      <w:color w:val="000000" w:themeColor="text1"/>
                      <w:kern w:val="0"/>
                      <w:szCs w:val="21"/>
                    </w:rPr>
                  </w:pPr>
                </w:p>
              </w:tc>
              <w:tc>
                <w:tcPr>
                  <w:tcW w:w="1311" w:type="dxa"/>
                  <w:vAlign w:val="center"/>
                </w:tcPr>
                <w:p w14:paraId="1B363FD6">
                  <w:pPr>
                    <w:widowControl/>
                    <w:jc w:val="center"/>
                    <w:rPr>
                      <w:rFonts w:eastAsia="仿宋"/>
                      <w:color w:val="000000" w:themeColor="text1"/>
                      <w:kern w:val="0"/>
                      <w:szCs w:val="21"/>
                    </w:rPr>
                  </w:pPr>
                </w:p>
              </w:tc>
            </w:tr>
            <w:tr w14:paraId="28A7A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335DEE06">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0BF33806">
                  <w:pPr>
                    <w:widowControl/>
                    <w:jc w:val="center"/>
                    <w:rPr>
                      <w:rFonts w:eastAsia="仿宋"/>
                      <w:color w:val="000000" w:themeColor="text1"/>
                      <w:kern w:val="0"/>
                      <w:szCs w:val="21"/>
                    </w:rPr>
                  </w:pPr>
                  <w:r>
                    <w:rPr>
                      <w:rFonts w:eastAsia="仿宋"/>
                      <w:color w:val="000000" w:themeColor="text1"/>
                      <w:kern w:val="0"/>
                      <w:szCs w:val="21"/>
                    </w:rPr>
                    <w:t>场地平整</w:t>
                  </w:r>
                </w:p>
              </w:tc>
              <w:tc>
                <w:tcPr>
                  <w:tcW w:w="2095" w:type="dxa"/>
                  <w:vAlign w:val="center"/>
                </w:tcPr>
                <w:p w14:paraId="006A7D68">
                  <w:pPr>
                    <w:widowControl/>
                    <w:jc w:val="center"/>
                    <w:rPr>
                      <w:rFonts w:eastAsia="仿宋"/>
                      <w:color w:val="000000" w:themeColor="text1"/>
                      <w:kern w:val="0"/>
                      <w:szCs w:val="21"/>
                    </w:rPr>
                  </w:pPr>
                  <w:r>
                    <w:rPr>
                      <w:rFonts w:eastAsia="仿宋"/>
                      <w:color w:val="000000" w:themeColor="text1"/>
                      <w:kern w:val="0"/>
                      <w:szCs w:val="21"/>
                    </w:rPr>
                    <w:t>m</w:t>
                  </w:r>
                  <w:r>
                    <w:rPr>
                      <w:rFonts w:eastAsia="仿宋"/>
                      <w:color w:val="000000" w:themeColor="text1"/>
                      <w:kern w:val="0"/>
                      <w:szCs w:val="21"/>
                      <w:vertAlign w:val="superscript"/>
                    </w:rPr>
                    <w:t>2</w:t>
                  </w:r>
                </w:p>
              </w:tc>
              <w:tc>
                <w:tcPr>
                  <w:tcW w:w="1311" w:type="dxa"/>
                  <w:vAlign w:val="center"/>
                </w:tcPr>
                <w:p w14:paraId="3D40051C">
                  <w:pPr>
                    <w:widowControl/>
                    <w:jc w:val="center"/>
                    <w:rPr>
                      <w:rFonts w:eastAsia="仿宋"/>
                      <w:color w:val="000000" w:themeColor="text1"/>
                      <w:kern w:val="0"/>
                      <w:szCs w:val="21"/>
                    </w:rPr>
                  </w:pPr>
                  <w:r>
                    <w:rPr>
                      <w:rFonts w:eastAsia="仿宋"/>
                      <w:color w:val="000000" w:themeColor="text1"/>
                      <w:kern w:val="0"/>
                      <w:szCs w:val="21"/>
                    </w:rPr>
                    <w:t>22197</w:t>
                  </w:r>
                </w:p>
              </w:tc>
            </w:tr>
            <w:tr w14:paraId="398B8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1480FA59">
                  <w:pPr>
                    <w:widowControl/>
                    <w:jc w:val="center"/>
                    <w:rPr>
                      <w:rFonts w:eastAsia="仿宋"/>
                      <w:color w:val="000000" w:themeColor="text1"/>
                      <w:kern w:val="0"/>
                      <w:szCs w:val="21"/>
                    </w:rPr>
                  </w:pPr>
                  <w:r>
                    <w:rPr>
                      <w:rFonts w:eastAsia="仿宋"/>
                      <w:color w:val="000000" w:themeColor="text1"/>
                      <w:kern w:val="0"/>
                      <w:szCs w:val="21"/>
                    </w:rPr>
                    <w:t>5</w:t>
                  </w:r>
                </w:p>
              </w:tc>
              <w:tc>
                <w:tcPr>
                  <w:tcW w:w="3067" w:type="dxa"/>
                  <w:vAlign w:val="center"/>
                </w:tcPr>
                <w:p w14:paraId="2B9CF8ED">
                  <w:pPr>
                    <w:widowControl/>
                    <w:jc w:val="center"/>
                    <w:rPr>
                      <w:rFonts w:eastAsia="仿宋"/>
                      <w:color w:val="000000" w:themeColor="text1"/>
                      <w:kern w:val="0"/>
                      <w:szCs w:val="21"/>
                    </w:rPr>
                  </w:pPr>
                  <w:r>
                    <w:rPr>
                      <w:rFonts w:eastAsia="仿宋"/>
                      <w:color w:val="000000" w:themeColor="text1"/>
                      <w:kern w:val="0"/>
                      <w:szCs w:val="21"/>
                    </w:rPr>
                    <w:t>生物化学工程</w:t>
                  </w:r>
                </w:p>
              </w:tc>
              <w:tc>
                <w:tcPr>
                  <w:tcW w:w="2095" w:type="dxa"/>
                  <w:vAlign w:val="center"/>
                </w:tcPr>
                <w:p w14:paraId="5204D0A7">
                  <w:pPr>
                    <w:widowControl/>
                    <w:jc w:val="center"/>
                    <w:rPr>
                      <w:rFonts w:eastAsia="仿宋"/>
                      <w:color w:val="000000" w:themeColor="text1"/>
                      <w:kern w:val="0"/>
                      <w:szCs w:val="21"/>
                    </w:rPr>
                  </w:pPr>
                  <w:r>
                    <w:rPr>
                      <w:rFonts w:eastAsia="仿宋"/>
                      <w:color w:val="000000" w:themeColor="text1"/>
                      <w:kern w:val="0"/>
                      <w:szCs w:val="21"/>
                    </w:rPr>
                    <w:t>　</w:t>
                  </w:r>
                </w:p>
              </w:tc>
              <w:tc>
                <w:tcPr>
                  <w:tcW w:w="1311" w:type="dxa"/>
                  <w:vAlign w:val="center"/>
                </w:tcPr>
                <w:p w14:paraId="496AADAD">
                  <w:pPr>
                    <w:widowControl/>
                    <w:jc w:val="center"/>
                    <w:rPr>
                      <w:rFonts w:eastAsia="仿宋"/>
                      <w:color w:val="000000" w:themeColor="text1"/>
                      <w:kern w:val="0"/>
                      <w:szCs w:val="21"/>
                    </w:rPr>
                  </w:pPr>
                </w:p>
              </w:tc>
            </w:tr>
            <w:tr w14:paraId="6FCF9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7DE52965">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0F183A39">
                  <w:pPr>
                    <w:widowControl/>
                    <w:jc w:val="center"/>
                    <w:rPr>
                      <w:rFonts w:eastAsia="仿宋"/>
                      <w:color w:val="000000" w:themeColor="text1"/>
                      <w:kern w:val="0"/>
                      <w:szCs w:val="21"/>
                    </w:rPr>
                  </w:pPr>
                  <w:r>
                    <w:rPr>
                      <w:rFonts w:eastAsia="仿宋"/>
                      <w:color w:val="000000" w:themeColor="text1"/>
                      <w:kern w:val="0"/>
                      <w:szCs w:val="21"/>
                    </w:rPr>
                    <w:t>耕地地力培肥</w:t>
                  </w:r>
                </w:p>
              </w:tc>
              <w:tc>
                <w:tcPr>
                  <w:tcW w:w="2095" w:type="dxa"/>
                  <w:vAlign w:val="center"/>
                </w:tcPr>
                <w:p w14:paraId="3FD5DA5A">
                  <w:pPr>
                    <w:widowControl/>
                    <w:jc w:val="center"/>
                    <w:rPr>
                      <w:rFonts w:eastAsia="仿宋"/>
                      <w:color w:val="000000" w:themeColor="text1"/>
                      <w:kern w:val="0"/>
                      <w:szCs w:val="21"/>
                    </w:rPr>
                  </w:pPr>
                  <w:r>
                    <w:rPr>
                      <w:rFonts w:eastAsia="仿宋"/>
                      <w:color w:val="000000" w:themeColor="text1"/>
                      <w:kern w:val="0"/>
                      <w:szCs w:val="21"/>
                    </w:rPr>
                    <w:t>hm</w:t>
                  </w:r>
                  <w:r>
                    <w:rPr>
                      <w:rFonts w:eastAsia="仿宋"/>
                      <w:color w:val="000000" w:themeColor="text1"/>
                      <w:kern w:val="0"/>
                      <w:szCs w:val="21"/>
                      <w:vertAlign w:val="superscript"/>
                    </w:rPr>
                    <w:t>2</w:t>
                  </w:r>
                </w:p>
              </w:tc>
              <w:tc>
                <w:tcPr>
                  <w:tcW w:w="1311" w:type="dxa"/>
                  <w:vAlign w:val="center"/>
                </w:tcPr>
                <w:p w14:paraId="6473233B">
                  <w:pPr>
                    <w:widowControl/>
                    <w:jc w:val="center"/>
                    <w:rPr>
                      <w:rFonts w:eastAsia="仿宋"/>
                      <w:color w:val="000000" w:themeColor="text1"/>
                      <w:kern w:val="0"/>
                      <w:szCs w:val="21"/>
                    </w:rPr>
                  </w:pPr>
                  <w:r>
                    <w:rPr>
                      <w:rFonts w:eastAsia="仿宋"/>
                      <w:color w:val="000000" w:themeColor="text1"/>
                      <w:kern w:val="0"/>
                      <w:szCs w:val="21"/>
                    </w:rPr>
                    <w:t>1.8545</w:t>
                  </w:r>
                </w:p>
              </w:tc>
            </w:tr>
            <w:tr w14:paraId="7AAF1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75B713DB">
                  <w:pPr>
                    <w:widowControl/>
                    <w:jc w:val="center"/>
                    <w:rPr>
                      <w:rFonts w:eastAsia="仿宋"/>
                      <w:color w:val="000000" w:themeColor="text1"/>
                      <w:kern w:val="0"/>
                      <w:szCs w:val="21"/>
                    </w:rPr>
                  </w:pPr>
                  <w:r>
                    <w:rPr>
                      <w:rFonts w:eastAsia="仿宋"/>
                      <w:color w:val="000000" w:themeColor="text1"/>
                      <w:kern w:val="0"/>
                      <w:szCs w:val="21"/>
                    </w:rPr>
                    <w:t>（2）</w:t>
                  </w:r>
                </w:p>
              </w:tc>
              <w:tc>
                <w:tcPr>
                  <w:tcW w:w="3067" w:type="dxa"/>
                  <w:vAlign w:val="center"/>
                </w:tcPr>
                <w:p w14:paraId="1E4724F0">
                  <w:pPr>
                    <w:widowControl/>
                    <w:jc w:val="center"/>
                    <w:rPr>
                      <w:rFonts w:eastAsia="仿宋"/>
                      <w:color w:val="000000" w:themeColor="text1"/>
                      <w:kern w:val="0"/>
                      <w:szCs w:val="21"/>
                    </w:rPr>
                  </w:pPr>
                  <w:r>
                    <w:rPr>
                      <w:rFonts w:eastAsia="仿宋"/>
                      <w:color w:val="000000" w:themeColor="text1"/>
                      <w:kern w:val="0"/>
                      <w:szCs w:val="21"/>
                    </w:rPr>
                    <w:t>林地地力培肥</w:t>
                  </w:r>
                </w:p>
              </w:tc>
              <w:tc>
                <w:tcPr>
                  <w:tcW w:w="2095" w:type="dxa"/>
                  <w:vAlign w:val="center"/>
                </w:tcPr>
                <w:p w14:paraId="1D533E68">
                  <w:pPr>
                    <w:widowControl/>
                    <w:jc w:val="center"/>
                    <w:rPr>
                      <w:rFonts w:eastAsia="仿宋"/>
                      <w:color w:val="000000" w:themeColor="text1"/>
                      <w:kern w:val="0"/>
                      <w:szCs w:val="21"/>
                    </w:rPr>
                  </w:pPr>
                  <w:r>
                    <w:rPr>
                      <w:rFonts w:eastAsia="仿宋"/>
                      <w:color w:val="000000" w:themeColor="text1"/>
                      <w:kern w:val="0"/>
                      <w:szCs w:val="21"/>
                    </w:rPr>
                    <w:t>hm</w:t>
                  </w:r>
                  <w:r>
                    <w:rPr>
                      <w:rFonts w:eastAsia="仿宋"/>
                      <w:color w:val="000000" w:themeColor="text1"/>
                      <w:kern w:val="0"/>
                      <w:szCs w:val="21"/>
                      <w:vertAlign w:val="superscript"/>
                    </w:rPr>
                    <w:t>2</w:t>
                  </w:r>
                </w:p>
              </w:tc>
              <w:tc>
                <w:tcPr>
                  <w:tcW w:w="1311" w:type="dxa"/>
                  <w:vAlign w:val="center"/>
                </w:tcPr>
                <w:p w14:paraId="251433FB">
                  <w:pPr>
                    <w:widowControl/>
                    <w:jc w:val="center"/>
                    <w:rPr>
                      <w:rFonts w:eastAsia="仿宋"/>
                      <w:color w:val="000000" w:themeColor="text1"/>
                      <w:kern w:val="0"/>
                      <w:szCs w:val="21"/>
                    </w:rPr>
                  </w:pPr>
                  <w:r>
                    <w:rPr>
                      <w:rFonts w:eastAsia="仿宋"/>
                      <w:color w:val="000000" w:themeColor="text1"/>
                      <w:kern w:val="0"/>
                      <w:szCs w:val="21"/>
                    </w:rPr>
                    <w:t>0.3652</w:t>
                  </w:r>
                </w:p>
              </w:tc>
            </w:tr>
            <w:tr w14:paraId="0661D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7D0CF7B4">
                  <w:pPr>
                    <w:widowControl/>
                    <w:jc w:val="center"/>
                    <w:rPr>
                      <w:rFonts w:eastAsia="仿宋"/>
                      <w:color w:val="000000" w:themeColor="text1"/>
                      <w:kern w:val="0"/>
                      <w:szCs w:val="21"/>
                    </w:rPr>
                  </w:pPr>
                  <w:r>
                    <w:rPr>
                      <w:rFonts w:eastAsia="仿宋"/>
                      <w:color w:val="000000" w:themeColor="text1"/>
                      <w:kern w:val="0"/>
                      <w:szCs w:val="21"/>
                    </w:rPr>
                    <w:t>二</w:t>
                  </w:r>
                </w:p>
              </w:tc>
              <w:tc>
                <w:tcPr>
                  <w:tcW w:w="3067" w:type="dxa"/>
                  <w:vAlign w:val="center"/>
                </w:tcPr>
                <w:p w14:paraId="7E05395E">
                  <w:pPr>
                    <w:widowControl/>
                    <w:jc w:val="center"/>
                    <w:rPr>
                      <w:rFonts w:eastAsia="仿宋"/>
                      <w:color w:val="000000" w:themeColor="text1"/>
                      <w:kern w:val="0"/>
                      <w:szCs w:val="21"/>
                    </w:rPr>
                  </w:pPr>
                  <w:r>
                    <w:rPr>
                      <w:rFonts w:eastAsia="仿宋"/>
                      <w:color w:val="000000" w:themeColor="text1"/>
                      <w:kern w:val="0"/>
                      <w:szCs w:val="21"/>
                    </w:rPr>
                    <w:t>植被重建工程</w:t>
                  </w:r>
                </w:p>
              </w:tc>
              <w:tc>
                <w:tcPr>
                  <w:tcW w:w="2095" w:type="dxa"/>
                  <w:vAlign w:val="center"/>
                </w:tcPr>
                <w:p w14:paraId="5784B3F4">
                  <w:pPr>
                    <w:widowControl/>
                    <w:jc w:val="center"/>
                    <w:rPr>
                      <w:rFonts w:eastAsia="仿宋"/>
                      <w:color w:val="000000" w:themeColor="text1"/>
                      <w:kern w:val="0"/>
                      <w:szCs w:val="21"/>
                    </w:rPr>
                  </w:pPr>
                  <w:r>
                    <w:rPr>
                      <w:rFonts w:eastAsia="仿宋"/>
                      <w:color w:val="000000" w:themeColor="text1"/>
                      <w:kern w:val="0"/>
                      <w:szCs w:val="21"/>
                    </w:rPr>
                    <w:t>　</w:t>
                  </w:r>
                </w:p>
              </w:tc>
              <w:tc>
                <w:tcPr>
                  <w:tcW w:w="1311" w:type="dxa"/>
                  <w:vAlign w:val="center"/>
                </w:tcPr>
                <w:p w14:paraId="026395D7">
                  <w:pPr>
                    <w:widowControl/>
                    <w:jc w:val="center"/>
                    <w:rPr>
                      <w:rFonts w:eastAsia="仿宋"/>
                      <w:color w:val="000000" w:themeColor="text1"/>
                      <w:kern w:val="0"/>
                      <w:szCs w:val="21"/>
                    </w:rPr>
                  </w:pPr>
                </w:p>
              </w:tc>
            </w:tr>
            <w:tr w14:paraId="1AB1C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2ED82B39">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3DB4CC0A">
                  <w:pPr>
                    <w:widowControl/>
                    <w:jc w:val="center"/>
                    <w:rPr>
                      <w:rFonts w:eastAsia="仿宋"/>
                      <w:color w:val="000000" w:themeColor="text1"/>
                      <w:kern w:val="0"/>
                      <w:szCs w:val="21"/>
                    </w:rPr>
                  </w:pPr>
                  <w:r>
                    <w:rPr>
                      <w:rFonts w:eastAsia="仿宋"/>
                      <w:color w:val="000000" w:themeColor="text1"/>
                      <w:kern w:val="0"/>
                      <w:szCs w:val="21"/>
                    </w:rPr>
                    <w:t>林草恢复工程</w:t>
                  </w:r>
                </w:p>
              </w:tc>
              <w:tc>
                <w:tcPr>
                  <w:tcW w:w="2095" w:type="dxa"/>
                  <w:vAlign w:val="center"/>
                </w:tcPr>
                <w:p w14:paraId="551D9174">
                  <w:pPr>
                    <w:widowControl/>
                    <w:jc w:val="center"/>
                    <w:rPr>
                      <w:rFonts w:eastAsia="仿宋"/>
                      <w:color w:val="000000" w:themeColor="text1"/>
                      <w:kern w:val="0"/>
                      <w:szCs w:val="21"/>
                    </w:rPr>
                  </w:pPr>
                  <w:r>
                    <w:rPr>
                      <w:rFonts w:eastAsia="仿宋"/>
                      <w:color w:val="000000" w:themeColor="text1"/>
                      <w:kern w:val="0"/>
                      <w:szCs w:val="21"/>
                    </w:rPr>
                    <w:t>　</w:t>
                  </w:r>
                </w:p>
              </w:tc>
              <w:tc>
                <w:tcPr>
                  <w:tcW w:w="1311" w:type="dxa"/>
                  <w:vAlign w:val="center"/>
                </w:tcPr>
                <w:p w14:paraId="1CF10A5B">
                  <w:pPr>
                    <w:widowControl/>
                    <w:jc w:val="center"/>
                    <w:rPr>
                      <w:rFonts w:eastAsia="仿宋"/>
                      <w:color w:val="000000" w:themeColor="text1"/>
                      <w:kern w:val="0"/>
                      <w:szCs w:val="21"/>
                    </w:rPr>
                  </w:pPr>
                </w:p>
              </w:tc>
            </w:tr>
            <w:tr w14:paraId="28124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718D3511">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4B8D8EFC">
                  <w:pPr>
                    <w:widowControl/>
                    <w:jc w:val="center"/>
                    <w:rPr>
                      <w:rFonts w:eastAsia="仿宋"/>
                      <w:color w:val="000000" w:themeColor="text1"/>
                      <w:kern w:val="0"/>
                      <w:szCs w:val="21"/>
                    </w:rPr>
                  </w:pPr>
                  <w:r>
                    <w:rPr>
                      <w:rFonts w:eastAsia="仿宋"/>
                      <w:color w:val="000000" w:themeColor="text1"/>
                      <w:kern w:val="0"/>
                      <w:szCs w:val="21"/>
                    </w:rPr>
                    <w:t>栽植马尾松</w:t>
                  </w:r>
                </w:p>
              </w:tc>
              <w:tc>
                <w:tcPr>
                  <w:tcW w:w="2095" w:type="dxa"/>
                  <w:vAlign w:val="center"/>
                </w:tcPr>
                <w:p w14:paraId="573B8D38">
                  <w:pPr>
                    <w:widowControl/>
                    <w:jc w:val="center"/>
                    <w:rPr>
                      <w:rFonts w:eastAsia="仿宋"/>
                      <w:color w:val="000000" w:themeColor="text1"/>
                      <w:kern w:val="0"/>
                      <w:szCs w:val="21"/>
                    </w:rPr>
                  </w:pPr>
                  <w:r>
                    <w:rPr>
                      <w:rFonts w:eastAsia="仿宋"/>
                      <w:color w:val="000000" w:themeColor="text1"/>
                      <w:kern w:val="0"/>
                      <w:szCs w:val="21"/>
                    </w:rPr>
                    <w:t>株</w:t>
                  </w:r>
                </w:p>
              </w:tc>
              <w:tc>
                <w:tcPr>
                  <w:tcW w:w="1311" w:type="dxa"/>
                  <w:vAlign w:val="center"/>
                </w:tcPr>
                <w:p w14:paraId="601DD509">
                  <w:pPr>
                    <w:widowControl/>
                    <w:jc w:val="center"/>
                    <w:rPr>
                      <w:rFonts w:eastAsia="仿宋"/>
                      <w:color w:val="000000" w:themeColor="text1"/>
                      <w:kern w:val="0"/>
                      <w:szCs w:val="21"/>
                    </w:rPr>
                  </w:pPr>
                  <w:r>
                    <w:rPr>
                      <w:rFonts w:eastAsia="仿宋"/>
                      <w:color w:val="000000" w:themeColor="text1"/>
                      <w:kern w:val="0"/>
                      <w:szCs w:val="21"/>
                    </w:rPr>
                    <w:t>913</w:t>
                  </w:r>
                </w:p>
              </w:tc>
            </w:tr>
            <w:tr w14:paraId="127F9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032D3A6C">
                  <w:pPr>
                    <w:widowControl/>
                    <w:jc w:val="center"/>
                    <w:rPr>
                      <w:rFonts w:eastAsia="仿宋"/>
                      <w:color w:val="000000" w:themeColor="text1"/>
                      <w:kern w:val="0"/>
                      <w:szCs w:val="21"/>
                    </w:rPr>
                  </w:pPr>
                  <w:r>
                    <w:rPr>
                      <w:rFonts w:eastAsia="仿宋"/>
                      <w:color w:val="000000" w:themeColor="text1"/>
                      <w:kern w:val="0"/>
                      <w:szCs w:val="21"/>
                    </w:rPr>
                    <w:t>（2）</w:t>
                  </w:r>
                </w:p>
              </w:tc>
              <w:tc>
                <w:tcPr>
                  <w:tcW w:w="3067" w:type="dxa"/>
                  <w:vAlign w:val="center"/>
                </w:tcPr>
                <w:p w14:paraId="0CF9F9F8">
                  <w:pPr>
                    <w:widowControl/>
                    <w:jc w:val="center"/>
                    <w:rPr>
                      <w:rFonts w:eastAsia="仿宋"/>
                      <w:color w:val="000000" w:themeColor="text1"/>
                      <w:kern w:val="0"/>
                      <w:szCs w:val="21"/>
                    </w:rPr>
                  </w:pPr>
                  <w:r>
                    <w:rPr>
                      <w:rFonts w:eastAsia="仿宋"/>
                      <w:color w:val="000000" w:themeColor="text1"/>
                      <w:kern w:val="0"/>
                      <w:szCs w:val="21"/>
                    </w:rPr>
                    <w:t>栽植爬山虎</w:t>
                  </w:r>
                </w:p>
              </w:tc>
              <w:tc>
                <w:tcPr>
                  <w:tcW w:w="2095" w:type="dxa"/>
                  <w:vAlign w:val="center"/>
                </w:tcPr>
                <w:p w14:paraId="799788E1">
                  <w:pPr>
                    <w:widowControl/>
                    <w:jc w:val="center"/>
                    <w:rPr>
                      <w:rFonts w:eastAsia="仿宋"/>
                      <w:color w:val="000000" w:themeColor="text1"/>
                      <w:kern w:val="0"/>
                      <w:szCs w:val="21"/>
                    </w:rPr>
                  </w:pPr>
                  <w:r>
                    <w:rPr>
                      <w:rFonts w:eastAsia="仿宋"/>
                      <w:color w:val="000000" w:themeColor="text1"/>
                      <w:kern w:val="0"/>
                      <w:szCs w:val="21"/>
                    </w:rPr>
                    <w:t>株</w:t>
                  </w:r>
                </w:p>
              </w:tc>
              <w:tc>
                <w:tcPr>
                  <w:tcW w:w="1311" w:type="dxa"/>
                  <w:vAlign w:val="center"/>
                </w:tcPr>
                <w:p w14:paraId="304B56CA">
                  <w:pPr>
                    <w:widowControl/>
                    <w:jc w:val="center"/>
                    <w:rPr>
                      <w:rFonts w:eastAsia="仿宋"/>
                      <w:color w:val="000000" w:themeColor="text1"/>
                      <w:kern w:val="0"/>
                      <w:szCs w:val="21"/>
                    </w:rPr>
                  </w:pPr>
                  <w:r>
                    <w:rPr>
                      <w:rFonts w:eastAsia="仿宋"/>
                      <w:color w:val="000000" w:themeColor="text1"/>
                      <w:kern w:val="0"/>
                      <w:szCs w:val="21"/>
                    </w:rPr>
                    <w:t>617</w:t>
                  </w:r>
                </w:p>
              </w:tc>
            </w:tr>
            <w:tr w14:paraId="18DF1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2A3F2699">
                  <w:pPr>
                    <w:widowControl/>
                    <w:jc w:val="center"/>
                    <w:rPr>
                      <w:rFonts w:eastAsia="仿宋"/>
                      <w:color w:val="000000" w:themeColor="text1"/>
                      <w:kern w:val="0"/>
                      <w:szCs w:val="21"/>
                    </w:rPr>
                  </w:pPr>
                  <w:r>
                    <w:rPr>
                      <w:rFonts w:eastAsia="仿宋"/>
                      <w:color w:val="000000" w:themeColor="text1"/>
                      <w:kern w:val="0"/>
                      <w:szCs w:val="21"/>
                    </w:rPr>
                    <w:t>（3）</w:t>
                  </w:r>
                </w:p>
              </w:tc>
              <w:tc>
                <w:tcPr>
                  <w:tcW w:w="3067" w:type="dxa"/>
                  <w:vAlign w:val="center"/>
                </w:tcPr>
                <w:p w14:paraId="5E40486B">
                  <w:pPr>
                    <w:widowControl/>
                    <w:jc w:val="center"/>
                    <w:rPr>
                      <w:rFonts w:eastAsia="仿宋"/>
                      <w:color w:val="000000" w:themeColor="text1"/>
                      <w:kern w:val="0"/>
                      <w:szCs w:val="21"/>
                    </w:rPr>
                  </w:pPr>
                  <w:r>
                    <w:rPr>
                      <w:rFonts w:eastAsia="仿宋"/>
                      <w:color w:val="000000" w:themeColor="text1"/>
                      <w:kern w:val="0"/>
                      <w:szCs w:val="21"/>
                    </w:rPr>
                    <w:t>撒播狗牙根</w:t>
                  </w:r>
                </w:p>
              </w:tc>
              <w:tc>
                <w:tcPr>
                  <w:tcW w:w="2095" w:type="dxa"/>
                  <w:vAlign w:val="center"/>
                </w:tcPr>
                <w:p w14:paraId="52C4FB38">
                  <w:pPr>
                    <w:widowControl/>
                    <w:jc w:val="center"/>
                    <w:rPr>
                      <w:rFonts w:eastAsia="仿宋"/>
                      <w:color w:val="000000" w:themeColor="text1"/>
                      <w:kern w:val="0"/>
                      <w:szCs w:val="21"/>
                    </w:rPr>
                  </w:pPr>
                  <w:r>
                    <w:rPr>
                      <w:rFonts w:eastAsia="仿宋"/>
                      <w:color w:val="000000" w:themeColor="text1"/>
                      <w:kern w:val="0"/>
                      <w:szCs w:val="21"/>
                    </w:rPr>
                    <w:t>Kg</w:t>
                  </w:r>
                </w:p>
              </w:tc>
              <w:tc>
                <w:tcPr>
                  <w:tcW w:w="1311" w:type="dxa"/>
                  <w:vAlign w:val="center"/>
                </w:tcPr>
                <w:p w14:paraId="6FC9E567">
                  <w:pPr>
                    <w:widowControl/>
                    <w:jc w:val="center"/>
                    <w:rPr>
                      <w:rFonts w:eastAsia="仿宋"/>
                      <w:color w:val="000000" w:themeColor="text1"/>
                      <w:kern w:val="0"/>
                      <w:szCs w:val="21"/>
                    </w:rPr>
                  </w:pPr>
                  <w:r>
                    <w:rPr>
                      <w:rFonts w:eastAsia="仿宋"/>
                      <w:color w:val="000000" w:themeColor="text1"/>
                      <w:kern w:val="0"/>
                      <w:szCs w:val="21"/>
                    </w:rPr>
                    <w:t>10.96</w:t>
                  </w:r>
                </w:p>
              </w:tc>
            </w:tr>
            <w:tr w14:paraId="0E169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26FEF315">
                  <w:pPr>
                    <w:widowControl/>
                    <w:jc w:val="center"/>
                    <w:rPr>
                      <w:rFonts w:eastAsia="仿宋"/>
                      <w:color w:val="000000" w:themeColor="text1"/>
                      <w:kern w:val="0"/>
                      <w:szCs w:val="21"/>
                    </w:rPr>
                  </w:pPr>
                  <w:r>
                    <w:rPr>
                      <w:rFonts w:eastAsia="仿宋"/>
                      <w:color w:val="000000" w:themeColor="text1"/>
                      <w:kern w:val="0"/>
                      <w:szCs w:val="21"/>
                    </w:rPr>
                    <w:t>三</w:t>
                  </w:r>
                </w:p>
              </w:tc>
              <w:tc>
                <w:tcPr>
                  <w:tcW w:w="3067" w:type="dxa"/>
                  <w:vAlign w:val="center"/>
                </w:tcPr>
                <w:p w14:paraId="3C48985A">
                  <w:pPr>
                    <w:widowControl/>
                    <w:jc w:val="center"/>
                    <w:rPr>
                      <w:rFonts w:eastAsia="仿宋"/>
                      <w:color w:val="000000" w:themeColor="text1"/>
                      <w:kern w:val="0"/>
                      <w:szCs w:val="21"/>
                    </w:rPr>
                  </w:pPr>
                  <w:r>
                    <w:rPr>
                      <w:rFonts w:eastAsia="仿宋"/>
                      <w:color w:val="000000" w:themeColor="text1"/>
                      <w:kern w:val="0"/>
                      <w:szCs w:val="21"/>
                    </w:rPr>
                    <w:t>配套工程</w:t>
                  </w:r>
                </w:p>
              </w:tc>
              <w:tc>
                <w:tcPr>
                  <w:tcW w:w="2095" w:type="dxa"/>
                  <w:vAlign w:val="center"/>
                </w:tcPr>
                <w:p w14:paraId="5CC9A4AE">
                  <w:pPr>
                    <w:widowControl/>
                    <w:jc w:val="center"/>
                    <w:rPr>
                      <w:rFonts w:eastAsia="仿宋"/>
                      <w:color w:val="000000" w:themeColor="text1"/>
                      <w:kern w:val="0"/>
                      <w:szCs w:val="21"/>
                    </w:rPr>
                  </w:pPr>
                </w:p>
              </w:tc>
              <w:tc>
                <w:tcPr>
                  <w:tcW w:w="1311" w:type="dxa"/>
                  <w:vAlign w:val="center"/>
                </w:tcPr>
                <w:p w14:paraId="46FB525E">
                  <w:pPr>
                    <w:widowControl/>
                    <w:jc w:val="center"/>
                    <w:rPr>
                      <w:rFonts w:eastAsia="仿宋"/>
                      <w:color w:val="000000" w:themeColor="text1"/>
                      <w:kern w:val="0"/>
                      <w:szCs w:val="21"/>
                    </w:rPr>
                  </w:pPr>
                </w:p>
              </w:tc>
            </w:tr>
            <w:tr w14:paraId="5D1AC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66A5705D">
                  <w:pPr>
                    <w:widowControl/>
                    <w:jc w:val="center"/>
                    <w:rPr>
                      <w:rFonts w:eastAsia="仿宋"/>
                      <w:color w:val="000000" w:themeColor="text1"/>
                      <w:kern w:val="0"/>
                      <w:szCs w:val="21"/>
                    </w:rPr>
                  </w:pPr>
                  <w:r>
                    <w:rPr>
                      <w:rFonts w:eastAsia="仿宋"/>
                      <w:color w:val="000000" w:themeColor="text1"/>
                      <w:kern w:val="0"/>
                      <w:szCs w:val="21"/>
                    </w:rPr>
                    <w:t>1</w:t>
                  </w:r>
                </w:p>
              </w:tc>
              <w:tc>
                <w:tcPr>
                  <w:tcW w:w="3067" w:type="dxa"/>
                  <w:vAlign w:val="center"/>
                </w:tcPr>
                <w:p w14:paraId="09C9EC49">
                  <w:pPr>
                    <w:widowControl/>
                    <w:jc w:val="center"/>
                    <w:rPr>
                      <w:rFonts w:eastAsia="仿宋"/>
                      <w:color w:val="000000" w:themeColor="text1"/>
                      <w:kern w:val="0"/>
                      <w:szCs w:val="21"/>
                    </w:rPr>
                  </w:pPr>
                  <w:r>
                    <w:rPr>
                      <w:rFonts w:eastAsia="仿宋"/>
                      <w:color w:val="000000" w:themeColor="text1"/>
                      <w:kern w:val="0"/>
                      <w:szCs w:val="21"/>
                    </w:rPr>
                    <w:t>修筑田埂（挖掘机筑土埂）</w:t>
                  </w:r>
                </w:p>
              </w:tc>
              <w:tc>
                <w:tcPr>
                  <w:tcW w:w="2095" w:type="dxa"/>
                  <w:vAlign w:val="center"/>
                </w:tcPr>
                <w:p w14:paraId="54BD5C33">
                  <w:pPr>
                    <w:widowControl/>
                    <w:jc w:val="center"/>
                    <w:rPr>
                      <w:rFonts w:eastAsia="仿宋"/>
                      <w:color w:val="000000" w:themeColor="text1"/>
                      <w:kern w:val="0"/>
                      <w:szCs w:val="21"/>
                    </w:rPr>
                  </w:pPr>
                  <w:r>
                    <w:rPr>
                      <w:rFonts w:eastAsia="仿宋"/>
                      <w:color w:val="000000" w:themeColor="text1"/>
                      <w:kern w:val="0"/>
                      <w:szCs w:val="21"/>
                    </w:rPr>
                    <w:t>m</w:t>
                  </w:r>
                  <w:r>
                    <w:rPr>
                      <w:rFonts w:eastAsia="仿宋"/>
                      <w:color w:val="000000" w:themeColor="text1"/>
                      <w:kern w:val="0"/>
                      <w:szCs w:val="21"/>
                      <w:vertAlign w:val="superscript"/>
                    </w:rPr>
                    <w:t>3</w:t>
                  </w:r>
                </w:p>
              </w:tc>
              <w:tc>
                <w:tcPr>
                  <w:tcW w:w="1311" w:type="dxa"/>
                  <w:vAlign w:val="center"/>
                </w:tcPr>
                <w:p w14:paraId="4A6174C8">
                  <w:pPr>
                    <w:widowControl/>
                    <w:jc w:val="center"/>
                    <w:rPr>
                      <w:rFonts w:eastAsia="仿宋"/>
                      <w:color w:val="000000" w:themeColor="text1"/>
                      <w:kern w:val="0"/>
                      <w:szCs w:val="21"/>
                    </w:rPr>
                  </w:pPr>
                  <w:r>
                    <w:rPr>
                      <w:rFonts w:eastAsia="仿宋"/>
                      <w:color w:val="000000" w:themeColor="text1"/>
                      <w:kern w:val="0"/>
                      <w:szCs w:val="21"/>
                    </w:rPr>
                    <w:t>233.2</w:t>
                  </w:r>
                </w:p>
              </w:tc>
            </w:tr>
            <w:tr w14:paraId="1DD1C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379B5CBE">
                  <w:pPr>
                    <w:widowControl/>
                    <w:jc w:val="center"/>
                    <w:rPr>
                      <w:rFonts w:eastAsia="仿宋"/>
                      <w:color w:val="000000" w:themeColor="text1"/>
                      <w:kern w:val="0"/>
                      <w:szCs w:val="21"/>
                    </w:rPr>
                  </w:pPr>
                  <w:r>
                    <w:rPr>
                      <w:rFonts w:eastAsia="仿宋"/>
                      <w:color w:val="000000" w:themeColor="text1"/>
                      <w:kern w:val="0"/>
                      <w:szCs w:val="21"/>
                    </w:rPr>
                    <w:t>2</w:t>
                  </w:r>
                </w:p>
              </w:tc>
              <w:tc>
                <w:tcPr>
                  <w:tcW w:w="3067" w:type="dxa"/>
                  <w:vAlign w:val="center"/>
                </w:tcPr>
                <w:p w14:paraId="358F7C7B">
                  <w:pPr>
                    <w:widowControl/>
                    <w:jc w:val="center"/>
                    <w:rPr>
                      <w:rFonts w:eastAsia="仿宋"/>
                      <w:color w:val="000000" w:themeColor="text1"/>
                      <w:kern w:val="0"/>
                      <w:szCs w:val="21"/>
                    </w:rPr>
                  </w:pPr>
                  <w:r>
                    <w:rPr>
                      <w:rFonts w:eastAsia="仿宋"/>
                      <w:color w:val="000000" w:themeColor="text1"/>
                      <w:kern w:val="0"/>
                      <w:szCs w:val="21"/>
                    </w:rPr>
                    <w:t>排水沟</w:t>
                  </w:r>
                </w:p>
              </w:tc>
              <w:tc>
                <w:tcPr>
                  <w:tcW w:w="2095" w:type="dxa"/>
                  <w:vAlign w:val="center"/>
                </w:tcPr>
                <w:p w14:paraId="0FF01C17">
                  <w:pPr>
                    <w:widowControl/>
                    <w:jc w:val="center"/>
                    <w:rPr>
                      <w:rFonts w:eastAsia="仿宋"/>
                      <w:color w:val="000000" w:themeColor="text1"/>
                      <w:kern w:val="0"/>
                      <w:szCs w:val="21"/>
                    </w:rPr>
                  </w:pPr>
                  <w:r>
                    <w:rPr>
                      <w:rFonts w:eastAsia="仿宋"/>
                      <w:color w:val="000000" w:themeColor="text1"/>
                      <w:kern w:val="0"/>
                      <w:szCs w:val="21"/>
                    </w:rPr>
                    <w:t>m</w:t>
                  </w:r>
                </w:p>
              </w:tc>
              <w:tc>
                <w:tcPr>
                  <w:tcW w:w="1311" w:type="dxa"/>
                  <w:vAlign w:val="center"/>
                </w:tcPr>
                <w:p w14:paraId="6C78E788">
                  <w:pPr>
                    <w:widowControl/>
                    <w:jc w:val="center"/>
                    <w:rPr>
                      <w:rFonts w:eastAsia="仿宋"/>
                      <w:color w:val="000000" w:themeColor="text1"/>
                      <w:kern w:val="0"/>
                      <w:szCs w:val="21"/>
                    </w:rPr>
                  </w:pPr>
                  <w:r>
                    <w:rPr>
                      <w:rFonts w:eastAsia="仿宋"/>
                      <w:color w:val="000000" w:themeColor="text1"/>
                      <w:kern w:val="0"/>
                      <w:szCs w:val="21"/>
                    </w:rPr>
                    <w:t>543</w:t>
                  </w:r>
                </w:p>
              </w:tc>
            </w:tr>
            <w:tr w14:paraId="1124F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773" w:type="dxa"/>
                  <w:vAlign w:val="center"/>
                </w:tcPr>
                <w:p w14:paraId="5CC1FDEE">
                  <w:pPr>
                    <w:widowControl/>
                    <w:jc w:val="center"/>
                    <w:rPr>
                      <w:rFonts w:eastAsia="仿宋"/>
                      <w:color w:val="000000" w:themeColor="text1"/>
                      <w:kern w:val="0"/>
                      <w:szCs w:val="21"/>
                    </w:rPr>
                  </w:pPr>
                  <w:r>
                    <w:rPr>
                      <w:rFonts w:eastAsia="仿宋"/>
                      <w:color w:val="000000" w:themeColor="text1"/>
                      <w:kern w:val="0"/>
                      <w:szCs w:val="21"/>
                    </w:rPr>
                    <w:t>3</w:t>
                  </w:r>
                </w:p>
              </w:tc>
              <w:tc>
                <w:tcPr>
                  <w:tcW w:w="3067" w:type="dxa"/>
                  <w:vAlign w:val="center"/>
                </w:tcPr>
                <w:p w14:paraId="04B74064">
                  <w:pPr>
                    <w:widowControl/>
                    <w:jc w:val="center"/>
                    <w:rPr>
                      <w:rFonts w:eastAsia="仿宋"/>
                      <w:color w:val="000000" w:themeColor="text1"/>
                      <w:kern w:val="0"/>
                      <w:szCs w:val="21"/>
                    </w:rPr>
                  </w:pPr>
                  <w:r>
                    <w:rPr>
                      <w:rFonts w:eastAsia="仿宋"/>
                      <w:color w:val="000000" w:themeColor="text1"/>
                      <w:kern w:val="0"/>
                      <w:szCs w:val="21"/>
                    </w:rPr>
                    <w:t>新建沉沙凼</w:t>
                  </w:r>
                </w:p>
              </w:tc>
              <w:tc>
                <w:tcPr>
                  <w:tcW w:w="2095" w:type="dxa"/>
                  <w:vAlign w:val="center"/>
                </w:tcPr>
                <w:p w14:paraId="093A3282">
                  <w:pPr>
                    <w:widowControl/>
                    <w:jc w:val="center"/>
                    <w:rPr>
                      <w:rFonts w:eastAsia="仿宋"/>
                      <w:color w:val="000000" w:themeColor="text1"/>
                      <w:kern w:val="0"/>
                      <w:szCs w:val="21"/>
                    </w:rPr>
                  </w:pPr>
                  <w:r>
                    <w:rPr>
                      <w:rFonts w:eastAsia="仿宋"/>
                      <w:color w:val="000000" w:themeColor="text1"/>
                      <w:kern w:val="0"/>
                      <w:szCs w:val="21"/>
                    </w:rPr>
                    <w:t>个</w:t>
                  </w:r>
                </w:p>
              </w:tc>
              <w:tc>
                <w:tcPr>
                  <w:tcW w:w="1311" w:type="dxa"/>
                  <w:vAlign w:val="center"/>
                </w:tcPr>
                <w:p w14:paraId="38A39BD4">
                  <w:pPr>
                    <w:widowControl/>
                    <w:jc w:val="center"/>
                    <w:rPr>
                      <w:rFonts w:eastAsia="仿宋"/>
                      <w:color w:val="000000" w:themeColor="text1"/>
                      <w:kern w:val="0"/>
                      <w:szCs w:val="21"/>
                    </w:rPr>
                  </w:pPr>
                  <w:r>
                    <w:rPr>
                      <w:rFonts w:eastAsia="仿宋"/>
                      <w:color w:val="000000" w:themeColor="text1"/>
                      <w:kern w:val="0"/>
                      <w:szCs w:val="21"/>
                    </w:rPr>
                    <w:t>2</w:t>
                  </w:r>
                </w:p>
              </w:tc>
            </w:tr>
          </w:tbl>
          <w:p w14:paraId="08898C05">
            <w:pPr>
              <w:ind w:firstLine="420" w:firstLineChars="200"/>
              <w:jc w:val="left"/>
              <w:rPr>
                <w:rFonts w:eastAsia="仿宋"/>
                <w:color w:val="000000" w:themeColor="text1"/>
                <w:kern w:val="0"/>
                <w:szCs w:val="21"/>
              </w:rPr>
            </w:pPr>
          </w:p>
          <w:p w14:paraId="39313B70">
            <w:pPr>
              <w:ind w:firstLine="420" w:firstLineChars="200"/>
              <w:jc w:val="left"/>
              <w:rPr>
                <w:rFonts w:eastAsia="仿宋"/>
                <w:color w:val="000000" w:themeColor="text1"/>
                <w:kern w:val="0"/>
                <w:szCs w:val="21"/>
              </w:rPr>
            </w:pPr>
            <w:r>
              <w:rPr>
                <w:rFonts w:eastAsia="仿宋"/>
                <w:color w:val="000000" w:themeColor="text1"/>
                <w:kern w:val="0"/>
                <w:szCs w:val="21"/>
              </w:rPr>
              <w:t>3、投资安排</w:t>
            </w:r>
          </w:p>
          <w:p w14:paraId="7B7984DE">
            <w:pPr>
              <w:spacing w:before="120" w:after="120"/>
              <w:ind w:firstLine="420" w:firstLineChars="200"/>
              <w:rPr>
                <w:rFonts w:eastAsia="仿宋"/>
                <w:color w:val="000000" w:themeColor="text1"/>
                <w:kern w:val="0"/>
                <w:szCs w:val="21"/>
              </w:rPr>
            </w:pPr>
            <w:r>
              <w:rPr>
                <w:rFonts w:eastAsia="仿宋"/>
                <w:color w:val="000000" w:themeColor="text1"/>
                <w:szCs w:val="21"/>
              </w:rPr>
              <w:t>本项目矿山地质环境保护与土地复垦费用来源于企业自筹。项目总投资</w:t>
            </w:r>
            <w:r>
              <w:rPr>
                <w:rFonts w:hint="eastAsia" w:eastAsia="仿宋"/>
                <w:color w:val="000000" w:themeColor="text1"/>
                <w:szCs w:val="21"/>
              </w:rPr>
              <w:t>33.22</w:t>
            </w:r>
            <w:r>
              <w:rPr>
                <w:rFonts w:eastAsia="仿宋"/>
                <w:color w:val="000000" w:themeColor="text1"/>
                <w:szCs w:val="21"/>
              </w:rPr>
              <w:t>万元，生产能力为4万吨/年。矿山地质环境保护与土地复垦费用由业主负责，完善资金管理方法，确保资金足额到位，并设专门账户，专款专用。</w:t>
            </w:r>
          </w:p>
        </w:tc>
      </w:tr>
      <w:tr w14:paraId="318BE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Align w:val="center"/>
          </w:tcPr>
          <w:p w14:paraId="6EA987CB">
            <w:pPr>
              <w:widowControl/>
              <w:jc w:val="left"/>
              <w:rPr>
                <w:rFonts w:eastAsia="仿宋"/>
                <w:color w:val="000000" w:themeColor="text1"/>
                <w:kern w:val="0"/>
                <w:szCs w:val="21"/>
              </w:rPr>
            </w:pPr>
            <w:r>
              <w:rPr>
                <w:rFonts w:eastAsia="仿宋"/>
                <w:color w:val="000000" w:themeColor="text1"/>
                <w:kern w:val="0"/>
                <w:szCs w:val="21"/>
              </w:rPr>
              <w:t>投</w:t>
            </w:r>
          </w:p>
          <w:p w14:paraId="03FA0115">
            <w:pPr>
              <w:widowControl/>
              <w:jc w:val="left"/>
              <w:rPr>
                <w:rFonts w:eastAsia="仿宋"/>
                <w:color w:val="000000" w:themeColor="text1"/>
                <w:kern w:val="0"/>
                <w:szCs w:val="21"/>
              </w:rPr>
            </w:pPr>
            <w:r>
              <w:rPr>
                <w:rFonts w:eastAsia="仿宋"/>
                <w:color w:val="000000" w:themeColor="text1"/>
                <w:kern w:val="0"/>
                <w:szCs w:val="21"/>
              </w:rPr>
              <w:t>资</w:t>
            </w:r>
          </w:p>
          <w:p w14:paraId="4209BED2">
            <w:pPr>
              <w:widowControl/>
              <w:jc w:val="left"/>
              <w:rPr>
                <w:rFonts w:eastAsia="仿宋"/>
                <w:color w:val="000000" w:themeColor="text1"/>
                <w:kern w:val="0"/>
                <w:szCs w:val="21"/>
              </w:rPr>
            </w:pPr>
            <w:r>
              <w:rPr>
                <w:rFonts w:eastAsia="仿宋"/>
                <w:color w:val="000000" w:themeColor="text1"/>
                <w:kern w:val="0"/>
                <w:szCs w:val="21"/>
              </w:rPr>
              <w:t>估</w:t>
            </w:r>
          </w:p>
          <w:p w14:paraId="36CFE9CF">
            <w:pPr>
              <w:widowControl/>
              <w:jc w:val="left"/>
              <w:rPr>
                <w:rFonts w:eastAsia="仿宋"/>
                <w:color w:val="000000" w:themeColor="text1"/>
                <w:kern w:val="0"/>
                <w:szCs w:val="21"/>
              </w:rPr>
            </w:pPr>
            <w:r>
              <w:rPr>
                <w:rFonts w:eastAsia="仿宋"/>
                <w:color w:val="000000" w:themeColor="text1"/>
                <w:kern w:val="0"/>
                <w:szCs w:val="21"/>
              </w:rPr>
              <w:t>算</w:t>
            </w:r>
          </w:p>
        </w:tc>
        <w:tc>
          <w:tcPr>
            <w:tcW w:w="689" w:type="dxa"/>
            <w:vAlign w:val="center"/>
          </w:tcPr>
          <w:p w14:paraId="0880BC2D">
            <w:pPr>
              <w:widowControl/>
              <w:rPr>
                <w:rFonts w:eastAsia="仿宋"/>
                <w:color w:val="000000" w:themeColor="text1"/>
                <w:kern w:val="0"/>
                <w:szCs w:val="21"/>
              </w:rPr>
            </w:pPr>
            <w:r>
              <w:rPr>
                <w:rFonts w:eastAsia="仿宋"/>
                <w:color w:val="000000" w:themeColor="text1"/>
                <w:kern w:val="0"/>
                <w:szCs w:val="21"/>
              </w:rPr>
              <w:t>估</w:t>
            </w:r>
          </w:p>
          <w:p w14:paraId="7712C119">
            <w:pPr>
              <w:widowControl/>
              <w:rPr>
                <w:rFonts w:eastAsia="仿宋"/>
                <w:color w:val="000000" w:themeColor="text1"/>
                <w:kern w:val="0"/>
                <w:szCs w:val="21"/>
              </w:rPr>
            </w:pPr>
            <w:r>
              <w:rPr>
                <w:rFonts w:eastAsia="仿宋"/>
                <w:color w:val="000000" w:themeColor="text1"/>
                <w:kern w:val="0"/>
                <w:szCs w:val="21"/>
              </w:rPr>
              <w:t>算</w:t>
            </w:r>
          </w:p>
          <w:p w14:paraId="39A3215B">
            <w:pPr>
              <w:widowControl/>
              <w:rPr>
                <w:rFonts w:eastAsia="仿宋"/>
                <w:color w:val="000000" w:themeColor="text1"/>
                <w:kern w:val="0"/>
                <w:szCs w:val="21"/>
              </w:rPr>
            </w:pPr>
            <w:r>
              <w:rPr>
                <w:rFonts w:eastAsia="仿宋"/>
                <w:color w:val="000000" w:themeColor="text1"/>
                <w:kern w:val="0"/>
                <w:szCs w:val="21"/>
              </w:rPr>
              <w:t>依</w:t>
            </w:r>
          </w:p>
          <w:p w14:paraId="36CB7A89">
            <w:pPr>
              <w:rPr>
                <w:rFonts w:eastAsia="仿宋"/>
                <w:color w:val="000000" w:themeColor="text1"/>
                <w:szCs w:val="21"/>
              </w:rPr>
            </w:pPr>
            <w:r>
              <w:rPr>
                <w:rFonts w:eastAsia="仿宋"/>
                <w:color w:val="000000" w:themeColor="text1"/>
                <w:kern w:val="0"/>
                <w:szCs w:val="21"/>
              </w:rPr>
              <w:t>据</w:t>
            </w:r>
          </w:p>
        </w:tc>
        <w:tc>
          <w:tcPr>
            <w:tcW w:w="6724" w:type="dxa"/>
            <w:gridSpan w:val="23"/>
            <w:vAlign w:val="center"/>
          </w:tcPr>
          <w:p w14:paraId="6B4F271D">
            <w:pPr>
              <w:ind w:firstLine="420" w:firstLineChars="200"/>
              <w:rPr>
                <w:rFonts w:eastAsia="仿宋"/>
                <w:color w:val="000000" w:themeColor="text1"/>
                <w:szCs w:val="21"/>
              </w:rPr>
            </w:pPr>
            <w:r>
              <w:rPr>
                <w:rFonts w:eastAsia="仿宋"/>
                <w:color w:val="000000" w:themeColor="text1"/>
                <w:szCs w:val="21"/>
              </w:rPr>
              <w:t>一、编制依据</w:t>
            </w:r>
          </w:p>
          <w:p w14:paraId="7191548D">
            <w:pPr>
              <w:ind w:firstLine="420" w:firstLineChars="200"/>
              <w:rPr>
                <w:rFonts w:eastAsia="仿宋"/>
                <w:color w:val="000000" w:themeColor="text1"/>
                <w:szCs w:val="21"/>
              </w:rPr>
            </w:pPr>
            <w:r>
              <w:rPr>
                <w:rFonts w:eastAsia="仿宋"/>
                <w:color w:val="000000" w:themeColor="text1"/>
                <w:szCs w:val="21"/>
              </w:rPr>
              <w:t>（1）《土地开发整理项目资金管理暂行办法》；</w:t>
            </w:r>
          </w:p>
          <w:p w14:paraId="31420AC0">
            <w:pPr>
              <w:ind w:firstLine="420" w:firstLineChars="200"/>
              <w:rPr>
                <w:rFonts w:eastAsia="仿宋"/>
                <w:color w:val="000000" w:themeColor="text1"/>
                <w:szCs w:val="21"/>
              </w:rPr>
            </w:pPr>
            <w:r>
              <w:rPr>
                <w:rFonts w:eastAsia="仿宋"/>
                <w:color w:val="000000" w:themeColor="text1"/>
                <w:szCs w:val="21"/>
              </w:rPr>
              <w:t>（2）《土地开发整理项目规划设计规范》（TD/T1012.2000）；</w:t>
            </w:r>
          </w:p>
          <w:p w14:paraId="3E92C4A4">
            <w:pPr>
              <w:ind w:firstLine="420" w:firstLineChars="200"/>
              <w:rPr>
                <w:rFonts w:eastAsia="仿宋"/>
                <w:color w:val="000000" w:themeColor="text1"/>
                <w:szCs w:val="21"/>
              </w:rPr>
            </w:pPr>
            <w:r>
              <w:rPr>
                <w:rFonts w:eastAsia="仿宋"/>
                <w:color w:val="000000" w:themeColor="text1"/>
                <w:szCs w:val="21"/>
              </w:rPr>
              <w:t>（3）《土地开发整理项目预算编制暂行办法》；</w:t>
            </w:r>
          </w:p>
          <w:p w14:paraId="69AB1F1F">
            <w:pPr>
              <w:ind w:firstLine="420" w:firstLineChars="200"/>
              <w:rPr>
                <w:rFonts w:eastAsia="仿宋"/>
                <w:color w:val="000000" w:themeColor="text1"/>
                <w:szCs w:val="21"/>
              </w:rPr>
            </w:pPr>
            <w:r>
              <w:rPr>
                <w:rFonts w:eastAsia="仿宋"/>
                <w:color w:val="000000" w:themeColor="text1"/>
                <w:szCs w:val="21"/>
              </w:rPr>
              <w:t>（4）《四川省土地开发整理项目预算定额标准》（2012）；</w:t>
            </w:r>
          </w:p>
          <w:p w14:paraId="217D8C05">
            <w:pPr>
              <w:ind w:firstLine="420" w:firstLineChars="200"/>
              <w:rPr>
                <w:rFonts w:eastAsia="仿宋"/>
                <w:color w:val="000000" w:themeColor="text1"/>
                <w:szCs w:val="21"/>
              </w:rPr>
            </w:pPr>
            <w:r>
              <w:rPr>
                <w:rFonts w:eastAsia="仿宋"/>
                <w:color w:val="000000" w:themeColor="text1"/>
                <w:szCs w:val="21"/>
              </w:rPr>
              <w:t>（5）《水土保持工程概算定额》；</w:t>
            </w:r>
          </w:p>
          <w:p w14:paraId="101F1680">
            <w:pPr>
              <w:ind w:firstLine="420" w:firstLineChars="200"/>
              <w:rPr>
                <w:rFonts w:eastAsia="仿宋"/>
                <w:color w:val="000000" w:themeColor="text1"/>
                <w:szCs w:val="21"/>
              </w:rPr>
            </w:pPr>
            <w:r>
              <w:rPr>
                <w:rFonts w:eastAsia="仿宋"/>
                <w:color w:val="000000" w:themeColor="text1"/>
                <w:szCs w:val="21"/>
              </w:rPr>
              <w:t>（6）四川省财政厅、国土资源厅关于印发《四川省土地开发整理预算定额标准》的通知（川[2012]139号）；</w:t>
            </w:r>
          </w:p>
          <w:p w14:paraId="0F4F2CF0">
            <w:pPr>
              <w:ind w:firstLine="420" w:firstLineChars="200"/>
              <w:rPr>
                <w:rFonts w:eastAsia="仿宋"/>
                <w:color w:val="000000" w:themeColor="text1"/>
                <w:szCs w:val="21"/>
              </w:rPr>
            </w:pPr>
            <w:r>
              <w:rPr>
                <w:rFonts w:eastAsia="仿宋"/>
                <w:color w:val="000000" w:themeColor="text1"/>
                <w:szCs w:val="21"/>
              </w:rPr>
              <w:t>（7）土地复垦方案编制实务；</w:t>
            </w:r>
          </w:p>
          <w:p w14:paraId="29E3C11E">
            <w:pPr>
              <w:ind w:firstLine="420" w:firstLineChars="200"/>
              <w:rPr>
                <w:rFonts w:eastAsia="仿宋"/>
                <w:color w:val="000000" w:themeColor="text1"/>
                <w:szCs w:val="21"/>
              </w:rPr>
            </w:pPr>
            <w:r>
              <w:rPr>
                <w:rFonts w:eastAsia="仿宋"/>
                <w:color w:val="000000" w:themeColor="text1"/>
                <w:szCs w:val="21"/>
              </w:rPr>
              <w:t>（8）四川省国土资源厅、财政厅关于营业税改增值税四川省土地开发整理项目预算定额计价规则调整办法通知（川国土资发[2017]42号）；</w:t>
            </w:r>
          </w:p>
          <w:p w14:paraId="4CCDB6E8">
            <w:pPr>
              <w:ind w:firstLine="420" w:firstLineChars="200"/>
              <w:rPr>
                <w:rFonts w:eastAsia="仿宋"/>
                <w:color w:val="000000" w:themeColor="text1"/>
                <w:szCs w:val="21"/>
              </w:rPr>
            </w:pPr>
            <w:r>
              <w:rPr>
                <w:rFonts w:eastAsia="仿宋"/>
                <w:color w:val="000000" w:themeColor="text1"/>
                <w:szCs w:val="21"/>
              </w:rPr>
              <w:t>（9）四川省财政厅四川省国士资源厅关于印发《四川省地质灾害治理工程概（预）算标准（试行）》的通知（川财投〔2013〕145号）；</w:t>
            </w:r>
          </w:p>
          <w:p w14:paraId="3B82E84D">
            <w:pPr>
              <w:ind w:firstLine="420" w:firstLineChars="200"/>
              <w:rPr>
                <w:rFonts w:eastAsia="仿宋"/>
                <w:color w:val="000000" w:themeColor="text1"/>
                <w:szCs w:val="21"/>
              </w:rPr>
            </w:pPr>
            <w:r>
              <w:rPr>
                <w:rFonts w:eastAsia="仿宋"/>
                <w:color w:val="000000" w:themeColor="text1"/>
                <w:szCs w:val="21"/>
              </w:rPr>
              <w:t>（10）四川省国土资源厅四川省财政厅关于印发《营业税改增值税后〈四川省地质灾害治理王程概（预）算标准〉调整办法》的通知（川国土资发〔2017〕63号）；</w:t>
            </w:r>
          </w:p>
          <w:p w14:paraId="04ACB77F">
            <w:pPr>
              <w:ind w:firstLine="420" w:firstLineChars="200"/>
              <w:rPr>
                <w:rFonts w:eastAsia="仿宋"/>
                <w:color w:val="000000" w:themeColor="text1"/>
                <w:szCs w:val="21"/>
              </w:rPr>
            </w:pPr>
            <w:r>
              <w:rPr>
                <w:rFonts w:eastAsia="仿宋"/>
                <w:color w:val="000000" w:themeColor="text1"/>
                <w:szCs w:val="21"/>
              </w:rPr>
              <w:t>（11）《四川工程造价信息》（2020年4月广元市信息价）。</w:t>
            </w:r>
          </w:p>
        </w:tc>
      </w:tr>
      <w:tr w14:paraId="6D794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restart"/>
            <w:vAlign w:val="center"/>
          </w:tcPr>
          <w:p w14:paraId="7824EE79">
            <w:pPr>
              <w:jc w:val="left"/>
              <w:rPr>
                <w:rFonts w:eastAsia="仿宋"/>
                <w:color w:val="000000" w:themeColor="text1"/>
                <w:kern w:val="0"/>
                <w:szCs w:val="21"/>
              </w:rPr>
            </w:pPr>
            <w:r>
              <w:rPr>
                <w:rFonts w:eastAsia="仿宋"/>
                <w:color w:val="000000" w:themeColor="text1"/>
                <w:kern w:val="0"/>
                <w:szCs w:val="21"/>
              </w:rPr>
              <w:t>投</w:t>
            </w:r>
          </w:p>
          <w:p w14:paraId="1C3759D8">
            <w:pPr>
              <w:jc w:val="left"/>
              <w:rPr>
                <w:rFonts w:eastAsia="仿宋"/>
                <w:color w:val="000000" w:themeColor="text1"/>
                <w:kern w:val="0"/>
                <w:szCs w:val="21"/>
              </w:rPr>
            </w:pPr>
            <w:r>
              <w:rPr>
                <w:rFonts w:eastAsia="仿宋"/>
                <w:color w:val="000000" w:themeColor="text1"/>
                <w:kern w:val="0"/>
                <w:szCs w:val="21"/>
              </w:rPr>
              <w:t>资</w:t>
            </w:r>
          </w:p>
          <w:p w14:paraId="75AE1649">
            <w:pPr>
              <w:jc w:val="left"/>
              <w:rPr>
                <w:rFonts w:eastAsia="仿宋"/>
                <w:color w:val="000000" w:themeColor="text1"/>
                <w:kern w:val="0"/>
                <w:szCs w:val="21"/>
              </w:rPr>
            </w:pPr>
            <w:r>
              <w:rPr>
                <w:rFonts w:eastAsia="仿宋"/>
                <w:color w:val="000000" w:themeColor="text1"/>
                <w:kern w:val="0"/>
                <w:szCs w:val="21"/>
              </w:rPr>
              <w:t>估</w:t>
            </w:r>
          </w:p>
          <w:p w14:paraId="557F4699">
            <w:pPr>
              <w:jc w:val="left"/>
              <w:rPr>
                <w:rFonts w:eastAsia="仿宋"/>
                <w:color w:val="000000" w:themeColor="text1"/>
                <w:kern w:val="0"/>
                <w:szCs w:val="21"/>
              </w:rPr>
            </w:pPr>
            <w:r>
              <w:rPr>
                <w:rFonts w:eastAsia="仿宋"/>
                <w:color w:val="000000" w:themeColor="text1"/>
                <w:kern w:val="0"/>
                <w:szCs w:val="21"/>
              </w:rPr>
              <w:t>算</w:t>
            </w:r>
          </w:p>
        </w:tc>
        <w:tc>
          <w:tcPr>
            <w:tcW w:w="689" w:type="dxa"/>
            <w:vMerge w:val="restart"/>
            <w:vAlign w:val="center"/>
          </w:tcPr>
          <w:p w14:paraId="70E2B671">
            <w:pPr>
              <w:jc w:val="left"/>
              <w:rPr>
                <w:rFonts w:eastAsia="仿宋"/>
                <w:color w:val="000000" w:themeColor="text1"/>
                <w:kern w:val="0"/>
                <w:szCs w:val="21"/>
              </w:rPr>
            </w:pPr>
            <w:r>
              <w:rPr>
                <w:rFonts w:eastAsia="仿宋"/>
                <w:color w:val="000000" w:themeColor="text1"/>
                <w:kern w:val="0"/>
                <w:szCs w:val="21"/>
              </w:rPr>
              <w:t>费用</w:t>
            </w:r>
          </w:p>
          <w:p w14:paraId="64DEE471">
            <w:pPr>
              <w:jc w:val="left"/>
              <w:rPr>
                <w:rFonts w:eastAsia="仿宋"/>
                <w:color w:val="000000" w:themeColor="text1"/>
                <w:kern w:val="0"/>
                <w:szCs w:val="21"/>
              </w:rPr>
            </w:pPr>
            <w:r>
              <w:rPr>
                <w:rFonts w:eastAsia="仿宋"/>
                <w:color w:val="000000" w:themeColor="text1"/>
                <w:kern w:val="0"/>
                <w:szCs w:val="21"/>
              </w:rPr>
              <w:t>构成</w:t>
            </w:r>
          </w:p>
        </w:tc>
        <w:tc>
          <w:tcPr>
            <w:tcW w:w="1337" w:type="dxa"/>
            <w:gridSpan w:val="6"/>
            <w:vAlign w:val="center"/>
          </w:tcPr>
          <w:p w14:paraId="3F9273C8">
            <w:pPr>
              <w:spacing w:line="0" w:lineRule="atLeast"/>
              <w:jc w:val="center"/>
              <w:rPr>
                <w:rFonts w:eastAsia="仿宋"/>
                <w:color w:val="000000" w:themeColor="text1"/>
                <w:kern w:val="0"/>
                <w:szCs w:val="21"/>
              </w:rPr>
            </w:pPr>
            <w:r>
              <w:rPr>
                <w:rFonts w:eastAsia="仿宋"/>
                <w:color w:val="000000" w:themeColor="text1"/>
                <w:kern w:val="0"/>
                <w:szCs w:val="21"/>
              </w:rPr>
              <w:t>序号</w:t>
            </w:r>
          </w:p>
        </w:tc>
        <w:tc>
          <w:tcPr>
            <w:tcW w:w="3261" w:type="dxa"/>
            <w:gridSpan w:val="11"/>
            <w:vAlign w:val="center"/>
          </w:tcPr>
          <w:p w14:paraId="01182B08">
            <w:pPr>
              <w:spacing w:line="0" w:lineRule="atLeast"/>
              <w:jc w:val="center"/>
              <w:rPr>
                <w:rFonts w:eastAsia="仿宋"/>
                <w:color w:val="000000" w:themeColor="text1"/>
                <w:kern w:val="0"/>
                <w:szCs w:val="21"/>
              </w:rPr>
            </w:pPr>
            <w:r>
              <w:rPr>
                <w:rFonts w:eastAsia="仿宋"/>
                <w:color w:val="000000" w:themeColor="text1"/>
                <w:kern w:val="0"/>
                <w:szCs w:val="21"/>
              </w:rPr>
              <w:t>工程或费用名称</w:t>
            </w:r>
          </w:p>
        </w:tc>
        <w:tc>
          <w:tcPr>
            <w:tcW w:w="2126" w:type="dxa"/>
            <w:gridSpan w:val="6"/>
            <w:vAlign w:val="center"/>
          </w:tcPr>
          <w:p w14:paraId="0A3AC6C3">
            <w:pPr>
              <w:spacing w:line="0" w:lineRule="atLeast"/>
              <w:jc w:val="center"/>
              <w:rPr>
                <w:rFonts w:eastAsia="仿宋"/>
                <w:color w:val="000000" w:themeColor="text1"/>
                <w:kern w:val="0"/>
                <w:szCs w:val="21"/>
              </w:rPr>
            </w:pPr>
            <w:r>
              <w:rPr>
                <w:rFonts w:eastAsia="仿宋"/>
                <w:color w:val="000000" w:themeColor="text1"/>
                <w:kern w:val="0"/>
                <w:szCs w:val="21"/>
              </w:rPr>
              <w:t>费用/万元</w:t>
            </w:r>
          </w:p>
        </w:tc>
      </w:tr>
      <w:tr w14:paraId="300B1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47337430">
            <w:pPr>
              <w:jc w:val="left"/>
              <w:rPr>
                <w:rFonts w:eastAsia="仿宋"/>
                <w:color w:val="000000" w:themeColor="text1"/>
                <w:kern w:val="0"/>
                <w:szCs w:val="21"/>
              </w:rPr>
            </w:pPr>
          </w:p>
        </w:tc>
        <w:tc>
          <w:tcPr>
            <w:tcW w:w="689" w:type="dxa"/>
            <w:vMerge w:val="continue"/>
            <w:vAlign w:val="center"/>
          </w:tcPr>
          <w:p w14:paraId="494A1930">
            <w:pPr>
              <w:jc w:val="left"/>
              <w:rPr>
                <w:rFonts w:eastAsia="仿宋"/>
                <w:color w:val="000000" w:themeColor="text1"/>
                <w:kern w:val="0"/>
                <w:szCs w:val="21"/>
              </w:rPr>
            </w:pPr>
          </w:p>
        </w:tc>
        <w:tc>
          <w:tcPr>
            <w:tcW w:w="1337" w:type="dxa"/>
            <w:gridSpan w:val="6"/>
            <w:vAlign w:val="center"/>
          </w:tcPr>
          <w:p w14:paraId="47E9FA45">
            <w:pPr>
              <w:spacing w:line="0" w:lineRule="atLeast"/>
              <w:jc w:val="center"/>
              <w:rPr>
                <w:rFonts w:eastAsia="仿宋"/>
                <w:b/>
                <w:color w:val="000000" w:themeColor="text1"/>
                <w:kern w:val="0"/>
                <w:szCs w:val="21"/>
              </w:rPr>
            </w:pPr>
            <w:r>
              <w:rPr>
                <w:rFonts w:eastAsia="仿宋"/>
                <w:b/>
                <w:color w:val="000000" w:themeColor="text1"/>
                <w:kern w:val="0"/>
                <w:szCs w:val="21"/>
              </w:rPr>
              <w:t>一</w:t>
            </w:r>
          </w:p>
        </w:tc>
        <w:tc>
          <w:tcPr>
            <w:tcW w:w="3261" w:type="dxa"/>
            <w:gridSpan w:val="11"/>
            <w:vAlign w:val="center"/>
          </w:tcPr>
          <w:p w14:paraId="70338880">
            <w:pPr>
              <w:spacing w:line="0" w:lineRule="atLeast"/>
              <w:jc w:val="center"/>
              <w:rPr>
                <w:rFonts w:eastAsia="仿宋"/>
                <w:b/>
                <w:color w:val="000000" w:themeColor="text1"/>
                <w:kern w:val="0"/>
                <w:szCs w:val="21"/>
              </w:rPr>
            </w:pPr>
            <w:r>
              <w:rPr>
                <w:rFonts w:eastAsia="仿宋"/>
                <w:b/>
                <w:color w:val="000000" w:themeColor="text1"/>
                <w:kern w:val="0"/>
                <w:szCs w:val="21"/>
              </w:rPr>
              <w:t>矿山地质环境保护与恢复治理</w:t>
            </w:r>
          </w:p>
        </w:tc>
        <w:tc>
          <w:tcPr>
            <w:tcW w:w="2126" w:type="dxa"/>
            <w:gridSpan w:val="6"/>
            <w:vAlign w:val="center"/>
          </w:tcPr>
          <w:p w14:paraId="5A01A6AA">
            <w:pPr>
              <w:spacing w:line="0" w:lineRule="atLeast"/>
              <w:jc w:val="center"/>
              <w:rPr>
                <w:rFonts w:eastAsia="仿宋"/>
                <w:b/>
                <w:color w:val="000000" w:themeColor="text1"/>
                <w:kern w:val="0"/>
                <w:szCs w:val="21"/>
              </w:rPr>
            </w:pPr>
            <w:r>
              <w:rPr>
                <w:rFonts w:hint="eastAsia" w:eastAsia="仿宋"/>
                <w:b/>
                <w:color w:val="000000" w:themeColor="text1"/>
                <w:kern w:val="0"/>
                <w:szCs w:val="21"/>
              </w:rPr>
              <w:t>3.72</w:t>
            </w:r>
          </w:p>
        </w:tc>
      </w:tr>
      <w:tr w14:paraId="0B91E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0619A7D1">
            <w:pPr>
              <w:jc w:val="left"/>
              <w:rPr>
                <w:rFonts w:eastAsia="仿宋"/>
                <w:color w:val="000000" w:themeColor="text1"/>
                <w:kern w:val="0"/>
                <w:szCs w:val="21"/>
              </w:rPr>
            </w:pPr>
          </w:p>
        </w:tc>
        <w:tc>
          <w:tcPr>
            <w:tcW w:w="689" w:type="dxa"/>
            <w:vMerge w:val="continue"/>
            <w:vAlign w:val="center"/>
          </w:tcPr>
          <w:p w14:paraId="38DDFC56">
            <w:pPr>
              <w:jc w:val="left"/>
              <w:rPr>
                <w:rFonts w:eastAsia="仿宋"/>
                <w:color w:val="000000" w:themeColor="text1"/>
                <w:kern w:val="0"/>
                <w:szCs w:val="21"/>
              </w:rPr>
            </w:pPr>
          </w:p>
        </w:tc>
        <w:tc>
          <w:tcPr>
            <w:tcW w:w="1337" w:type="dxa"/>
            <w:gridSpan w:val="6"/>
            <w:vAlign w:val="center"/>
          </w:tcPr>
          <w:p w14:paraId="5755D5D5">
            <w:pPr>
              <w:spacing w:line="0" w:lineRule="atLeast"/>
              <w:jc w:val="center"/>
              <w:rPr>
                <w:rFonts w:eastAsia="仿宋"/>
                <w:color w:val="000000" w:themeColor="text1"/>
                <w:kern w:val="0"/>
                <w:szCs w:val="21"/>
              </w:rPr>
            </w:pPr>
            <w:r>
              <w:rPr>
                <w:rFonts w:eastAsia="仿宋"/>
                <w:color w:val="000000" w:themeColor="text1"/>
                <w:kern w:val="0"/>
                <w:szCs w:val="21"/>
              </w:rPr>
              <w:t>1</w:t>
            </w:r>
          </w:p>
        </w:tc>
        <w:tc>
          <w:tcPr>
            <w:tcW w:w="3261" w:type="dxa"/>
            <w:gridSpan w:val="11"/>
            <w:vAlign w:val="center"/>
          </w:tcPr>
          <w:p w14:paraId="3171FE0A">
            <w:pPr>
              <w:spacing w:line="0" w:lineRule="atLeast"/>
              <w:jc w:val="center"/>
              <w:rPr>
                <w:rFonts w:eastAsia="仿宋"/>
                <w:color w:val="000000" w:themeColor="text1"/>
                <w:kern w:val="0"/>
                <w:szCs w:val="21"/>
              </w:rPr>
            </w:pPr>
            <w:r>
              <w:rPr>
                <w:rFonts w:eastAsia="仿宋"/>
                <w:color w:val="000000" w:themeColor="text1"/>
                <w:kern w:val="0"/>
                <w:szCs w:val="21"/>
              </w:rPr>
              <w:t>主体建筑工程</w:t>
            </w:r>
          </w:p>
        </w:tc>
        <w:tc>
          <w:tcPr>
            <w:tcW w:w="2126" w:type="dxa"/>
            <w:gridSpan w:val="6"/>
            <w:vAlign w:val="center"/>
          </w:tcPr>
          <w:p w14:paraId="3B523EB1">
            <w:pPr>
              <w:spacing w:line="0" w:lineRule="atLeast"/>
              <w:jc w:val="center"/>
              <w:rPr>
                <w:rFonts w:eastAsia="仿宋"/>
                <w:color w:val="000000" w:themeColor="text1"/>
                <w:kern w:val="0"/>
                <w:szCs w:val="21"/>
              </w:rPr>
            </w:pPr>
            <w:r>
              <w:rPr>
                <w:rFonts w:eastAsia="仿宋"/>
                <w:color w:val="000000" w:themeColor="text1"/>
                <w:kern w:val="0"/>
                <w:szCs w:val="21"/>
              </w:rPr>
              <w:t>1.79</w:t>
            </w:r>
          </w:p>
        </w:tc>
      </w:tr>
      <w:tr w14:paraId="0303B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5167F64B">
            <w:pPr>
              <w:jc w:val="left"/>
              <w:rPr>
                <w:rFonts w:eastAsia="仿宋"/>
                <w:color w:val="000000" w:themeColor="text1"/>
                <w:kern w:val="0"/>
                <w:szCs w:val="21"/>
              </w:rPr>
            </w:pPr>
          </w:p>
        </w:tc>
        <w:tc>
          <w:tcPr>
            <w:tcW w:w="689" w:type="dxa"/>
            <w:vMerge w:val="continue"/>
            <w:vAlign w:val="center"/>
          </w:tcPr>
          <w:p w14:paraId="6395FA0D">
            <w:pPr>
              <w:jc w:val="left"/>
              <w:rPr>
                <w:rFonts w:eastAsia="仿宋"/>
                <w:color w:val="000000" w:themeColor="text1"/>
                <w:kern w:val="0"/>
                <w:szCs w:val="21"/>
              </w:rPr>
            </w:pPr>
          </w:p>
        </w:tc>
        <w:tc>
          <w:tcPr>
            <w:tcW w:w="1337" w:type="dxa"/>
            <w:gridSpan w:val="6"/>
            <w:vAlign w:val="center"/>
          </w:tcPr>
          <w:p w14:paraId="0D9372B5">
            <w:pPr>
              <w:spacing w:line="0" w:lineRule="atLeast"/>
              <w:jc w:val="center"/>
              <w:rPr>
                <w:rFonts w:eastAsia="仿宋"/>
                <w:color w:val="000000" w:themeColor="text1"/>
                <w:kern w:val="0"/>
                <w:szCs w:val="21"/>
              </w:rPr>
            </w:pPr>
            <w:r>
              <w:rPr>
                <w:rFonts w:eastAsia="仿宋"/>
                <w:color w:val="000000" w:themeColor="text1"/>
                <w:kern w:val="0"/>
                <w:szCs w:val="21"/>
              </w:rPr>
              <w:t>2</w:t>
            </w:r>
          </w:p>
        </w:tc>
        <w:tc>
          <w:tcPr>
            <w:tcW w:w="3261" w:type="dxa"/>
            <w:gridSpan w:val="11"/>
            <w:vAlign w:val="center"/>
          </w:tcPr>
          <w:p w14:paraId="6F7DA13A">
            <w:pPr>
              <w:spacing w:line="0" w:lineRule="atLeast"/>
              <w:jc w:val="center"/>
              <w:rPr>
                <w:rFonts w:eastAsia="仿宋"/>
                <w:color w:val="000000" w:themeColor="text1"/>
                <w:kern w:val="0"/>
                <w:szCs w:val="21"/>
              </w:rPr>
            </w:pPr>
            <w:r>
              <w:rPr>
                <w:rFonts w:eastAsia="仿宋"/>
                <w:color w:val="000000" w:themeColor="text1"/>
                <w:kern w:val="0"/>
                <w:szCs w:val="21"/>
              </w:rPr>
              <w:t>地质环境监测工程费</w:t>
            </w:r>
          </w:p>
        </w:tc>
        <w:tc>
          <w:tcPr>
            <w:tcW w:w="2126" w:type="dxa"/>
            <w:gridSpan w:val="6"/>
            <w:vAlign w:val="center"/>
          </w:tcPr>
          <w:p w14:paraId="72690AB6">
            <w:pPr>
              <w:spacing w:line="0" w:lineRule="atLeast"/>
              <w:jc w:val="center"/>
              <w:rPr>
                <w:rFonts w:eastAsia="仿宋"/>
                <w:color w:val="000000" w:themeColor="text1"/>
                <w:kern w:val="0"/>
                <w:szCs w:val="21"/>
              </w:rPr>
            </w:pPr>
            <w:r>
              <w:rPr>
                <w:rFonts w:eastAsia="仿宋"/>
                <w:color w:val="000000" w:themeColor="text1"/>
                <w:kern w:val="0"/>
                <w:szCs w:val="21"/>
              </w:rPr>
              <w:t>0.</w:t>
            </w:r>
            <w:r>
              <w:rPr>
                <w:rFonts w:hint="eastAsia" w:eastAsia="仿宋"/>
                <w:color w:val="000000" w:themeColor="text1"/>
                <w:kern w:val="0"/>
                <w:szCs w:val="21"/>
              </w:rPr>
              <w:t>52</w:t>
            </w:r>
          </w:p>
        </w:tc>
      </w:tr>
      <w:tr w14:paraId="0F3DE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1E3BCB46">
            <w:pPr>
              <w:jc w:val="left"/>
              <w:rPr>
                <w:rFonts w:eastAsia="仿宋"/>
                <w:color w:val="000000" w:themeColor="text1"/>
                <w:kern w:val="0"/>
                <w:szCs w:val="21"/>
              </w:rPr>
            </w:pPr>
          </w:p>
        </w:tc>
        <w:tc>
          <w:tcPr>
            <w:tcW w:w="689" w:type="dxa"/>
            <w:vMerge w:val="continue"/>
            <w:vAlign w:val="center"/>
          </w:tcPr>
          <w:p w14:paraId="66E47763">
            <w:pPr>
              <w:jc w:val="left"/>
              <w:rPr>
                <w:rFonts w:eastAsia="仿宋"/>
                <w:color w:val="000000" w:themeColor="text1"/>
                <w:kern w:val="0"/>
                <w:szCs w:val="21"/>
              </w:rPr>
            </w:pPr>
          </w:p>
        </w:tc>
        <w:tc>
          <w:tcPr>
            <w:tcW w:w="1337" w:type="dxa"/>
            <w:gridSpan w:val="6"/>
            <w:vAlign w:val="center"/>
          </w:tcPr>
          <w:p w14:paraId="5A9F581B">
            <w:pPr>
              <w:spacing w:line="0" w:lineRule="atLeast"/>
              <w:jc w:val="center"/>
              <w:rPr>
                <w:rFonts w:eastAsia="仿宋"/>
                <w:color w:val="000000" w:themeColor="text1"/>
                <w:kern w:val="0"/>
                <w:szCs w:val="21"/>
              </w:rPr>
            </w:pPr>
            <w:r>
              <w:rPr>
                <w:rFonts w:eastAsia="仿宋"/>
                <w:color w:val="000000" w:themeColor="text1"/>
                <w:kern w:val="0"/>
                <w:szCs w:val="21"/>
              </w:rPr>
              <w:t>3</w:t>
            </w:r>
          </w:p>
        </w:tc>
        <w:tc>
          <w:tcPr>
            <w:tcW w:w="3261" w:type="dxa"/>
            <w:gridSpan w:val="11"/>
            <w:vAlign w:val="center"/>
          </w:tcPr>
          <w:p w14:paraId="33109175">
            <w:pPr>
              <w:spacing w:line="0" w:lineRule="atLeast"/>
              <w:jc w:val="center"/>
              <w:rPr>
                <w:rFonts w:eastAsia="仿宋"/>
                <w:color w:val="000000" w:themeColor="text1"/>
                <w:kern w:val="0"/>
                <w:szCs w:val="21"/>
              </w:rPr>
            </w:pPr>
            <w:r>
              <w:rPr>
                <w:rFonts w:eastAsia="仿宋"/>
                <w:color w:val="000000" w:themeColor="text1"/>
                <w:kern w:val="0"/>
                <w:szCs w:val="21"/>
              </w:rPr>
              <w:t>独立费</w:t>
            </w:r>
          </w:p>
        </w:tc>
        <w:tc>
          <w:tcPr>
            <w:tcW w:w="2126" w:type="dxa"/>
            <w:gridSpan w:val="6"/>
            <w:vAlign w:val="center"/>
          </w:tcPr>
          <w:p w14:paraId="6598F1E1">
            <w:pPr>
              <w:spacing w:line="0" w:lineRule="atLeast"/>
              <w:jc w:val="center"/>
              <w:rPr>
                <w:rFonts w:eastAsia="仿宋"/>
                <w:color w:val="000000" w:themeColor="text1"/>
                <w:kern w:val="0"/>
                <w:szCs w:val="21"/>
              </w:rPr>
            </w:pPr>
            <w:r>
              <w:rPr>
                <w:rFonts w:eastAsia="仿宋"/>
                <w:color w:val="000000" w:themeColor="text1"/>
                <w:kern w:val="0"/>
                <w:szCs w:val="21"/>
              </w:rPr>
              <w:t>1.1</w:t>
            </w:r>
            <w:r>
              <w:rPr>
                <w:rFonts w:hint="eastAsia" w:eastAsia="仿宋"/>
                <w:color w:val="000000" w:themeColor="text1"/>
                <w:kern w:val="0"/>
                <w:szCs w:val="21"/>
              </w:rPr>
              <w:t>4</w:t>
            </w:r>
          </w:p>
        </w:tc>
      </w:tr>
      <w:tr w14:paraId="18BE0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45D51C68">
            <w:pPr>
              <w:jc w:val="left"/>
              <w:rPr>
                <w:rFonts w:eastAsia="仿宋"/>
                <w:color w:val="000000" w:themeColor="text1"/>
                <w:kern w:val="0"/>
                <w:szCs w:val="21"/>
              </w:rPr>
            </w:pPr>
          </w:p>
        </w:tc>
        <w:tc>
          <w:tcPr>
            <w:tcW w:w="689" w:type="dxa"/>
            <w:vMerge w:val="continue"/>
            <w:vAlign w:val="center"/>
          </w:tcPr>
          <w:p w14:paraId="4038C36C">
            <w:pPr>
              <w:jc w:val="left"/>
              <w:rPr>
                <w:rFonts w:eastAsia="仿宋"/>
                <w:color w:val="000000" w:themeColor="text1"/>
                <w:kern w:val="0"/>
                <w:szCs w:val="21"/>
              </w:rPr>
            </w:pPr>
          </w:p>
        </w:tc>
        <w:tc>
          <w:tcPr>
            <w:tcW w:w="1337" w:type="dxa"/>
            <w:gridSpan w:val="6"/>
            <w:vAlign w:val="center"/>
          </w:tcPr>
          <w:p w14:paraId="1ADCCE30">
            <w:pPr>
              <w:spacing w:line="0" w:lineRule="atLeast"/>
              <w:jc w:val="center"/>
              <w:rPr>
                <w:rFonts w:eastAsia="仿宋"/>
                <w:color w:val="000000" w:themeColor="text1"/>
                <w:kern w:val="0"/>
                <w:szCs w:val="21"/>
              </w:rPr>
            </w:pPr>
            <w:r>
              <w:rPr>
                <w:rFonts w:eastAsia="仿宋"/>
                <w:color w:val="000000" w:themeColor="text1"/>
                <w:kern w:val="0"/>
                <w:szCs w:val="21"/>
              </w:rPr>
              <w:t>4</w:t>
            </w:r>
          </w:p>
        </w:tc>
        <w:tc>
          <w:tcPr>
            <w:tcW w:w="3261" w:type="dxa"/>
            <w:gridSpan w:val="11"/>
            <w:vAlign w:val="center"/>
          </w:tcPr>
          <w:p w14:paraId="3FC31519">
            <w:pPr>
              <w:spacing w:line="0" w:lineRule="atLeast"/>
              <w:jc w:val="center"/>
              <w:rPr>
                <w:rFonts w:eastAsia="仿宋"/>
                <w:color w:val="000000" w:themeColor="text1"/>
                <w:kern w:val="0"/>
                <w:szCs w:val="21"/>
              </w:rPr>
            </w:pPr>
            <w:r>
              <w:rPr>
                <w:rFonts w:eastAsia="仿宋"/>
                <w:color w:val="000000" w:themeColor="text1"/>
                <w:kern w:val="0"/>
                <w:szCs w:val="21"/>
              </w:rPr>
              <w:t>基本预备费</w:t>
            </w:r>
          </w:p>
        </w:tc>
        <w:tc>
          <w:tcPr>
            <w:tcW w:w="2126" w:type="dxa"/>
            <w:gridSpan w:val="6"/>
            <w:vAlign w:val="center"/>
          </w:tcPr>
          <w:p w14:paraId="330A41AA">
            <w:pPr>
              <w:spacing w:line="0" w:lineRule="atLeast"/>
              <w:jc w:val="center"/>
              <w:rPr>
                <w:rFonts w:eastAsia="仿宋"/>
                <w:color w:val="000000" w:themeColor="text1"/>
                <w:kern w:val="0"/>
                <w:szCs w:val="21"/>
              </w:rPr>
            </w:pPr>
            <w:r>
              <w:rPr>
                <w:rFonts w:eastAsia="仿宋"/>
                <w:color w:val="000000" w:themeColor="text1"/>
                <w:kern w:val="0"/>
                <w:szCs w:val="21"/>
              </w:rPr>
              <w:t>0.2</w:t>
            </w:r>
            <w:r>
              <w:rPr>
                <w:rFonts w:hint="eastAsia" w:eastAsia="仿宋"/>
                <w:color w:val="000000" w:themeColor="text1"/>
                <w:kern w:val="0"/>
                <w:szCs w:val="21"/>
              </w:rPr>
              <w:t>8</w:t>
            </w:r>
          </w:p>
        </w:tc>
      </w:tr>
      <w:tr w14:paraId="24D76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1CE667DD">
            <w:pPr>
              <w:jc w:val="left"/>
              <w:rPr>
                <w:rFonts w:eastAsia="仿宋"/>
                <w:color w:val="000000" w:themeColor="text1"/>
                <w:kern w:val="0"/>
                <w:szCs w:val="21"/>
              </w:rPr>
            </w:pPr>
          </w:p>
        </w:tc>
        <w:tc>
          <w:tcPr>
            <w:tcW w:w="689" w:type="dxa"/>
            <w:vMerge w:val="continue"/>
            <w:vAlign w:val="center"/>
          </w:tcPr>
          <w:p w14:paraId="5D303346">
            <w:pPr>
              <w:jc w:val="left"/>
              <w:rPr>
                <w:rFonts w:eastAsia="仿宋"/>
                <w:color w:val="000000" w:themeColor="text1"/>
                <w:kern w:val="0"/>
                <w:szCs w:val="21"/>
              </w:rPr>
            </w:pPr>
          </w:p>
        </w:tc>
        <w:tc>
          <w:tcPr>
            <w:tcW w:w="1337" w:type="dxa"/>
            <w:gridSpan w:val="6"/>
            <w:vAlign w:val="center"/>
          </w:tcPr>
          <w:p w14:paraId="2F887B7B">
            <w:pPr>
              <w:spacing w:line="0" w:lineRule="atLeast"/>
              <w:jc w:val="center"/>
              <w:rPr>
                <w:rFonts w:eastAsia="仿宋"/>
                <w:b/>
                <w:color w:val="000000" w:themeColor="text1"/>
                <w:kern w:val="0"/>
                <w:szCs w:val="21"/>
              </w:rPr>
            </w:pPr>
            <w:r>
              <w:rPr>
                <w:rFonts w:eastAsia="仿宋"/>
                <w:b/>
                <w:color w:val="000000" w:themeColor="text1"/>
                <w:kern w:val="0"/>
                <w:szCs w:val="21"/>
              </w:rPr>
              <w:t>二</w:t>
            </w:r>
          </w:p>
        </w:tc>
        <w:tc>
          <w:tcPr>
            <w:tcW w:w="3261" w:type="dxa"/>
            <w:gridSpan w:val="11"/>
            <w:vAlign w:val="center"/>
          </w:tcPr>
          <w:p w14:paraId="63E42F00">
            <w:pPr>
              <w:spacing w:line="0" w:lineRule="atLeast"/>
              <w:jc w:val="center"/>
              <w:rPr>
                <w:rFonts w:eastAsia="仿宋"/>
                <w:b/>
                <w:color w:val="000000" w:themeColor="text1"/>
                <w:kern w:val="0"/>
                <w:szCs w:val="21"/>
              </w:rPr>
            </w:pPr>
            <w:r>
              <w:rPr>
                <w:rFonts w:eastAsia="仿宋"/>
                <w:b/>
                <w:color w:val="000000" w:themeColor="text1"/>
                <w:kern w:val="0"/>
                <w:szCs w:val="21"/>
              </w:rPr>
              <w:t>土地复垦</w:t>
            </w:r>
          </w:p>
        </w:tc>
        <w:tc>
          <w:tcPr>
            <w:tcW w:w="2126" w:type="dxa"/>
            <w:gridSpan w:val="6"/>
            <w:vAlign w:val="center"/>
          </w:tcPr>
          <w:p w14:paraId="794A3CC2">
            <w:pPr>
              <w:spacing w:line="0" w:lineRule="atLeast"/>
              <w:jc w:val="center"/>
              <w:rPr>
                <w:rFonts w:eastAsia="仿宋"/>
                <w:b/>
                <w:color w:val="000000" w:themeColor="text1"/>
                <w:kern w:val="0"/>
                <w:szCs w:val="21"/>
              </w:rPr>
            </w:pPr>
            <w:r>
              <w:rPr>
                <w:rFonts w:eastAsia="仿宋"/>
                <w:b/>
                <w:color w:val="000000" w:themeColor="text1"/>
                <w:kern w:val="0"/>
                <w:szCs w:val="21"/>
              </w:rPr>
              <w:t>29.</w:t>
            </w:r>
            <w:r>
              <w:rPr>
                <w:rFonts w:hint="eastAsia" w:eastAsia="仿宋"/>
                <w:b/>
                <w:color w:val="000000" w:themeColor="text1"/>
                <w:kern w:val="0"/>
                <w:szCs w:val="21"/>
              </w:rPr>
              <w:t>50</w:t>
            </w:r>
          </w:p>
        </w:tc>
      </w:tr>
      <w:tr w14:paraId="1B448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247E4279">
            <w:pPr>
              <w:jc w:val="left"/>
              <w:rPr>
                <w:rFonts w:eastAsia="仿宋"/>
                <w:color w:val="000000" w:themeColor="text1"/>
                <w:kern w:val="0"/>
                <w:szCs w:val="21"/>
              </w:rPr>
            </w:pPr>
          </w:p>
        </w:tc>
        <w:tc>
          <w:tcPr>
            <w:tcW w:w="689" w:type="dxa"/>
            <w:vMerge w:val="continue"/>
            <w:vAlign w:val="center"/>
          </w:tcPr>
          <w:p w14:paraId="0E9E2A24">
            <w:pPr>
              <w:jc w:val="left"/>
              <w:rPr>
                <w:rFonts w:eastAsia="仿宋"/>
                <w:color w:val="000000" w:themeColor="text1"/>
                <w:kern w:val="0"/>
                <w:szCs w:val="21"/>
              </w:rPr>
            </w:pPr>
          </w:p>
        </w:tc>
        <w:tc>
          <w:tcPr>
            <w:tcW w:w="1337" w:type="dxa"/>
            <w:gridSpan w:val="6"/>
            <w:vAlign w:val="center"/>
          </w:tcPr>
          <w:p w14:paraId="5633D038">
            <w:pPr>
              <w:spacing w:line="0" w:lineRule="atLeast"/>
              <w:jc w:val="center"/>
              <w:rPr>
                <w:rFonts w:eastAsia="仿宋"/>
                <w:color w:val="000000" w:themeColor="text1"/>
                <w:kern w:val="0"/>
                <w:szCs w:val="21"/>
              </w:rPr>
            </w:pPr>
            <w:r>
              <w:rPr>
                <w:rFonts w:eastAsia="仿宋"/>
                <w:color w:val="000000" w:themeColor="text1"/>
                <w:kern w:val="0"/>
                <w:szCs w:val="21"/>
              </w:rPr>
              <w:t>1</w:t>
            </w:r>
          </w:p>
        </w:tc>
        <w:tc>
          <w:tcPr>
            <w:tcW w:w="3261" w:type="dxa"/>
            <w:gridSpan w:val="11"/>
            <w:vAlign w:val="center"/>
          </w:tcPr>
          <w:p w14:paraId="6050A9E9">
            <w:pPr>
              <w:spacing w:line="0" w:lineRule="atLeast"/>
              <w:jc w:val="center"/>
              <w:rPr>
                <w:rFonts w:eastAsia="仿宋"/>
                <w:color w:val="000000" w:themeColor="text1"/>
                <w:kern w:val="0"/>
                <w:szCs w:val="21"/>
              </w:rPr>
            </w:pPr>
            <w:r>
              <w:rPr>
                <w:rFonts w:eastAsia="仿宋"/>
                <w:color w:val="000000" w:themeColor="text1"/>
                <w:kern w:val="0"/>
                <w:szCs w:val="21"/>
              </w:rPr>
              <w:t>工程施工费</w:t>
            </w:r>
          </w:p>
        </w:tc>
        <w:tc>
          <w:tcPr>
            <w:tcW w:w="2126" w:type="dxa"/>
            <w:gridSpan w:val="6"/>
            <w:vAlign w:val="center"/>
          </w:tcPr>
          <w:p w14:paraId="5BAC8B31">
            <w:pPr>
              <w:jc w:val="center"/>
              <w:rPr>
                <w:color w:val="000000" w:themeColor="text1"/>
                <w:szCs w:val="21"/>
              </w:rPr>
            </w:pPr>
            <w:r>
              <w:rPr>
                <w:color w:val="000000" w:themeColor="text1"/>
                <w:szCs w:val="21"/>
              </w:rPr>
              <w:t>24.</w:t>
            </w:r>
            <w:r>
              <w:rPr>
                <w:rFonts w:hint="eastAsia"/>
                <w:color w:val="000000" w:themeColor="text1"/>
                <w:szCs w:val="21"/>
              </w:rPr>
              <w:t>99</w:t>
            </w:r>
          </w:p>
        </w:tc>
      </w:tr>
      <w:tr w14:paraId="30C7D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44B99BEE">
            <w:pPr>
              <w:widowControl/>
              <w:jc w:val="left"/>
              <w:rPr>
                <w:rFonts w:eastAsia="仿宋"/>
                <w:color w:val="000000" w:themeColor="text1"/>
                <w:kern w:val="0"/>
                <w:szCs w:val="21"/>
              </w:rPr>
            </w:pPr>
          </w:p>
        </w:tc>
        <w:tc>
          <w:tcPr>
            <w:tcW w:w="689" w:type="dxa"/>
            <w:vMerge w:val="continue"/>
            <w:vAlign w:val="center"/>
          </w:tcPr>
          <w:p w14:paraId="4B8E71BA">
            <w:pPr>
              <w:widowControl/>
              <w:jc w:val="left"/>
              <w:rPr>
                <w:rFonts w:eastAsia="仿宋"/>
                <w:color w:val="000000" w:themeColor="text1"/>
                <w:kern w:val="0"/>
                <w:szCs w:val="21"/>
              </w:rPr>
            </w:pPr>
          </w:p>
        </w:tc>
        <w:tc>
          <w:tcPr>
            <w:tcW w:w="1337" w:type="dxa"/>
            <w:gridSpan w:val="6"/>
            <w:vAlign w:val="center"/>
          </w:tcPr>
          <w:p w14:paraId="58BFEC83">
            <w:pPr>
              <w:spacing w:line="0" w:lineRule="atLeast"/>
              <w:jc w:val="center"/>
              <w:rPr>
                <w:rFonts w:eastAsia="仿宋"/>
                <w:color w:val="000000" w:themeColor="text1"/>
                <w:kern w:val="0"/>
                <w:szCs w:val="21"/>
              </w:rPr>
            </w:pPr>
            <w:r>
              <w:rPr>
                <w:rFonts w:eastAsia="仿宋"/>
                <w:color w:val="000000" w:themeColor="text1"/>
                <w:kern w:val="0"/>
                <w:szCs w:val="21"/>
              </w:rPr>
              <w:t>2</w:t>
            </w:r>
          </w:p>
        </w:tc>
        <w:tc>
          <w:tcPr>
            <w:tcW w:w="3261" w:type="dxa"/>
            <w:gridSpan w:val="11"/>
            <w:vAlign w:val="center"/>
          </w:tcPr>
          <w:p w14:paraId="24983450">
            <w:pPr>
              <w:spacing w:line="0" w:lineRule="atLeast"/>
              <w:jc w:val="center"/>
              <w:rPr>
                <w:rFonts w:eastAsia="仿宋"/>
                <w:color w:val="000000" w:themeColor="text1"/>
                <w:kern w:val="0"/>
                <w:szCs w:val="21"/>
              </w:rPr>
            </w:pPr>
            <w:r>
              <w:rPr>
                <w:rFonts w:eastAsia="仿宋"/>
                <w:color w:val="000000" w:themeColor="text1"/>
                <w:kern w:val="0"/>
                <w:szCs w:val="21"/>
              </w:rPr>
              <w:t>设备费</w:t>
            </w:r>
          </w:p>
        </w:tc>
        <w:tc>
          <w:tcPr>
            <w:tcW w:w="2126" w:type="dxa"/>
            <w:gridSpan w:val="6"/>
            <w:vAlign w:val="center"/>
          </w:tcPr>
          <w:p w14:paraId="24E3DF30">
            <w:pPr>
              <w:jc w:val="center"/>
              <w:rPr>
                <w:color w:val="000000" w:themeColor="text1"/>
                <w:szCs w:val="21"/>
              </w:rPr>
            </w:pPr>
            <w:r>
              <w:rPr>
                <w:color w:val="000000" w:themeColor="text1"/>
                <w:szCs w:val="21"/>
              </w:rPr>
              <w:t>0</w:t>
            </w:r>
          </w:p>
        </w:tc>
      </w:tr>
      <w:tr w14:paraId="25A9D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3EB69DC6">
            <w:pPr>
              <w:widowControl/>
              <w:jc w:val="left"/>
              <w:rPr>
                <w:rFonts w:eastAsia="仿宋"/>
                <w:color w:val="000000" w:themeColor="text1"/>
                <w:kern w:val="0"/>
                <w:szCs w:val="21"/>
              </w:rPr>
            </w:pPr>
          </w:p>
        </w:tc>
        <w:tc>
          <w:tcPr>
            <w:tcW w:w="689" w:type="dxa"/>
            <w:vMerge w:val="continue"/>
            <w:vAlign w:val="center"/>
          </w:tcPr>
          <w:p w14:paraId="1DB93D94">
            <w:pPr>
              <w:widowControl/>
              <w:jc w:val="left"/>
              <w:rPr>
                <w:rFonts w:eastAsia="仿宋"/>
                <w:color w:val="000000" w:themeColor="text1"/>
                <w:kern w:val="0"/>
                <w:szCs w:val="21"/>
              </w:rPr>
            </w:pPr>
          </w:p>
        </w:tc>
        <w:tc>
          <w:tcPr>
            <w:tcW w:w="1337" w:type="dxa"/>
            <w:gridSpan w:val="6"/>
            <w:vAlign w:val="center"/>
          </w:tcPr>
          <w:p w14:paraId="6905DCB0">
            <w:pPr>
              <w:spacing w:line="0" w:lineRule="atLeast"/>
              <w:jc w:val="center"/>
              <w:rPr>
                <w:rFonts w:eastAsia="仿宋"/>
                <w:color w:val="000000" w:themeColor="text1"/>
                <w:kern w:val="0"/>
                <w:szCs w:val="21"/>
              </w:rPr>
            </w:pPr>
            <w:r>
              <w:rPr>
                <w:rFonts w:eastAsia="仿宋"/>
                <w:color w:val="000000" w:themeColor="text1"/>
                <w:kern w:val="0"/>
                <w:szCs w:val="21"/>
              </w:rPr>
              <w:t>3</w:t>
            </w:r>
          </w:p>
        </w:tc>
        <w:tc>
          <w:tcPr>
            <w:tcW w:w="3261" w:type="dxa"/>
            <w:gridSpan w:val="11"/>
            <w:vAlign w:val="center"/>
          </w:tcPr>
          <w:p w14:paraId="0C326393">
            <w:pPr>
              <w:spacing w:line="0" w:lineRule="atLeast"/>
              <w:jc w:val="center"/>
              <w:rPr>
                <w:rFonts w:eastAsia="仿宋"/>
                <w:color w:val="000000" w:themeColor="text1"/>
                <w:kern w:val="0"/>
                <w:szCs w:val="21"/>
              </w:rPr>
            </w:pPr>
            <w:r>
              <w:rPr>
                <w:rFonts w:eastAsia="仿宋"/>
                <w:color w:val="000000" w:themeColor="text1"/>
                <w:kern w:val="0"/>
                <w:szCs w:val="21"/>
              </w:rPr>
              <w:t>其他费用</w:t>
            </w:r>
          </w:p>
        </w:tc>
        <w:tc>
          <w:tcPr>
            <w:tcW w:w="2126" w:type="dxa"/>
            <w:gridSpan w:val="6"/>
            <w:vAlign w:val="center"/>
          </w:tcPr>
          <w:p w14:paraId="140589A2">
            <w:pPr>
              <w:jc w:val="center"/>
              <w:rPr>
                <w:color w:val="000000" w:themeColor="text1"/>
                <w:szCs w:val="21"/>
              </w:rPr>
            </w:pPr>
            <w:r>
              <w:rPr>
                <w:color w:val="000000" w:themeColor="text1"/>
                <w:szCs w:val="21"/>
              </w:rPr>
              <w:t>3.2</w:t>
            </w:r>
            <w:r>
              <w:rPr>
                <w:rFonts w:hint="eastAsia"/>
                <w:color w:val="000000" w:themeColor="text1"/>
                <w:szCs w:val="21"/>
              </w:rPr>
              <w:t>7</w:t>
            </w:r>
          </w:p>
        </w:tc>
      </w:tr>
      <w:tr w14:paraId="6A3E5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0B12E753">
            <w:pPr>
              <w:widowControl/>
              <w:jc w:val="left"/>
              <w:rPr>
                <w:rFonts w:eastAsia="仿宋"/>
                <w:color w:val="000000" w:themeColor="text1"/>
                <w:kern w:val="0"/>
                <w:szCs w:val="21"/>
              </w:rPr>
            </w:pPr>
          </w:p>
        </w:tc>
        <w:tc>
          <w:tcPr>
            <w:tcW w:w="689" w:type="dxa"/>
            <w:vMerge w:val="continue"/>
            <w:vAlign w:val="center"/>
          </w:tcPr>
          <w:p w14:paraId="7619F3EB">
            <w:pPr>
              <w:widowControl/>
              <w:jc w:val="left"/>
              <w:rPr>
                <w:rFonts w:eastAsia="仿宋"/>
                <w:color w:val="000000" w:themeColor="text1"/>
                <w:kern w:val="0"/>
                <w:szCs w:val="21"/>
              </w:rPr>
            </w:pPr>
          </w:p>
        </w:tc>
        <w:tc>
          <w:tcPr>
            <w:tcW w:w="1337" w:type="dxa"/>
            <w:gridSpan w:val="6"/>
            <w:vAlign w:val="center"/>
          </w:tcPr>
          <w:p w14:paraId="0C839215">
            <w:pPr>
              <w:spacing w:line="0" w:lineRule="atLeast"/>
              <w:jc w:val="center"/>
              <w:rPr>
                <w:rFonts w:eastAsia="仿宋"/>
                <w:color w:val="000000" w:themeColor="text1"/>
                <w:kern w:val="0"/>
                <w:szCs w:val="21"/>
              </w:rPr>
            </w:pPr>
            <w:r>
              <w:rPr>
                <w:rFonts w:eastAsia="仿宋"/>
                <w:color w:val="000000" w:themeColor="text1"/>
                <w:kern w:val="0"/>
                <w:szCs w:val="21"/>
              </w:rPr>
              <w:t>4</w:t>
            </w:r>
          </w:p>
        </w:tc>
        <w:tc>
          <w:tcPr>
            <w:tcW w:w="3261" w:type="dxa"/>
            <w:gridSpan w:val="11"/>
            <w:vAlign w:val="center"/>
          </w:tcPr>
          <w:p w14:paraId="0D46C7E0">
            <w:pPr>
              <w:spacing w:line="0" w:lineRule="atLeast"/>
              <w:jc w:val="center"/>
              <w:rPr>
                <w:rFonts w:eastAsia="仿宋"/>
                <w:color w:val="000000" w:themeColor="text1"/>
                <w:kern w:val="0"/>
                <w:szCs w:val="21"/>
              </w:rPr>
            </w:pPr>
            <w:r>
              <w:rPr>
                <w:rFonts w:eastAsia="仿宋"/>
                <w:color w:val="000000" w:themeColor="text1"/>
                <w:kern w:val="0"/>
                <w:szCs w:val="21"/>
              </w:rPr>
              <w:t>监测与管护费</w:t>
            </w:r>
          </w:p>
        </w:tc>
        <w:tc>
          <w:tcPr>
            <w:tcW w:w="2126" w:type="dxa"/>
            <w:gridSpan w:val="6"/>
            <w:vAlign w:val="center"/>
          </w:tcPr>
          <w:p w14:paraId="75344ACC">
            <w:pPr>
              <w:jc w:val="center"/>
              <w:rPr>
                <w:color w:val="000000" w:themeColor="text1"/>
                <w:szCs w:val="21"/>
              </w:rPr>
            </w:pPr>
            <w:r>
              <w:rPr>
                <w:color w:val="000000" w:themeColor="text1"/>
                <w:szCs w:val="21"/>
              </w:rPr>
              <w:t>0.39</w:t>
            </w:r>
          </w:p>
        </w:tc>
      </w:tr>
      <w:tr w14:paraId="13A71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0097A27C">
            <w:pPr>
              <w:widowControl/>
              <w:jc w:val="left"/>
              <w:rPr>
                <w:rFonts w:eastAsia="仿宋"/>
                <w:color w:val="000000" w:themeColor="text1"/>
                <w:kern w:val="0"/>
                <w:szCs w:val="21"/>
              </w:rPr>
            </w:pPr>
          </w:p>
        </w:tc>
        <w:tc>
          <w:tcPr>
            <w:tcW w:w="689" w:type="dxa"/>
            <w:vMerge w:val="continue"/>
            <w:vAlign w:val="center"/>
          </w:tcPr>
          <w:p w14:paraId="15AA1950">
            <w:pPr>
              <w:widowControl/>
              <w:jc w:val="left"/>
              <w:rPr>
                <w:rFonts w:eastAsia="仿宋"/>
                <w:color w:val="000000" w:themeColor="text1"/>
                <w:kern w:val="0"/>
                <w:szCs w:val="21"/>
              </w:rPr>
            </w:pPr>
          </w:p>
        </w:tc>
        <w:tc>
          <w:tcPr>
            <w:tcW w:w="1337" w:type="dxa"/>
            <w:gridSpan w:val="6"/>
            <w:vAlign w:val="center"/>
          </w:tcPr>
          <w:p w14:paraId="6D938358">
            <w:pPr>
              <w:spacing w:line="0" w:lineRule="atLeast"/>
              <w:jc w:val="center"/>
              <w:rPr>
                <w:rFonts w:eastAsia="仿宋"/>
                <w:color w:val="000000" w:themeColor="text1"/>
                <w:kern w:val="0"/>
                <w:szCs w:val="21"/>
              </w:rPr>
            </w:pPr>
            <w:r>
              <w:rPr>
                <w:rFonts w:eastAsia="仿宋"/>
                <w:color w:val="000000" w:themeColor="text1"/>
                <w:kern w:val="0"/>
                <w:szCs w:val="21"/>
              </w:rPr>
              <w:t>5</w:t>
            </w:r>
          </w:p>
        </w:tc>
        <w:tc>
          <w:tcPr>
            <w:tcW w:w="3261" w:type="dxa"/>
            <w:gridSpan w:val="11"/>
            <w:vAlign w:val="center"/>
          </w:tcPr>
          <w:p w14:paraId="4B66EE38">
            <w:pPr>
              <w:spacing w:line="0" w:lineRule="atLeast"/>
              <w:jc w:val="center"/>
              <w:rPr>
                <w:rFonts w:eastAsia="仿宋"/>
                <w:color w:val="000000" w:themeColor="text1"/>
                <w:kern w:val="0"/>
                <w:szCs w:val="21"/>
              </w:rPr>
            </w:pPr>
            <w:r>
              <w:rPr>
                <w:rFonts w:eastAsia="仿宋"/>
                <w:color w:val="000000" w:themeColor="text1"/>
                <w:kern w:val="0"/>
                <w:szCs w:val="21"/>
              </w:rPr>
              <w:t>预备费</w:t>
            </w:r>
          </w:p>
        </w:tc>
        <w:tc>
          <w:tcPr>
            <w:tcW w:w="2126" w:type="dxa"/>
            <w:gridSpan w:val="6"/>
            <w:vAlign w:val="center"/>
          </w:tcPr>
          <w:p w14:paraId="1A95A0A7">
            <w:pPr>
              <w:jc w:val="center"/>
              <w:rPr>
                <w:color w:val="000000" w:themeColor="text1"/>
                <w:szCs w:val="21"/>
              </w:rPr>
            </w:pPr>
            <w:r>
              <w:rPr>
                <w:color w:val="000000" w:themeColor="text1"/>
                <w:szCs w:val="21"/>
              </w:rPr>
              <w:t>0.8</w:t>
            </w:r>
            <w:r>
              <w:rPr>
                <w:rFonts w:hint="eastAsia"/>
                <w:color w:val="000000" w:themeColor="text1"/>
                <w:szCs w:val="21"/>
              </w:rPr>
              <w:t>5</w:t>
            </w:r>
          </w:p>
        </w:tc>
      </w:tr>
      <w:tr w14:paraId="7B4DC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917" w:type="dxa"/>
            <w:gridSpan w:val="2"/>
            <w:vMerge w:val="continue"/>
            <w:vAlign w:val="center"/>
          </w:tcPr>
          <w:p w14:paraId="27D2D3DD">
            <w:pPr>
              <w:widowControl/>
              <w:jc w:val="left"/>
              <w:rPr>
                <w:rFonts w:eastAsia="仿宋"/>
                <w:color w:val="000000" w:themeColor="text1"/>
                <w:kern w:val="0"/>
                <w:szCs w:val="21"/>
              </w:rPr>
            </w:pPr>
          </w:p>
        </w:tc>
        <w:tc>
          <w:tcPr>
            <w:tcW w:w="689" w:type="dxa"/>
            <w:vMerge w:val="continue"/>
            <w:vAlign w:val="center"/>
          </w:tcPr>
          <w:p w14:paraId="6CB70909">
            <w:pPr>
              <w:widowControl/>
              <w:jc w:val="left"/>
              <w:rPr>
                <w:rFonts w:eastAsia="仿宋"/>
                <w:color w:val="000000" w:themeColor="text1"/>
                <w:kern w:val="0"/>
                <w:szCs w:val="21"/>
              </w:rPr>
            </w:pPr>
          </w:p>
        </w:tc>
        <w:tc>
          <w:tcPr>
            <w:tcW w:w="4598" w:type="dxa"/>
            <w:gridSpan w:val="17"/>
            <w:vAlign w:val="center"/>
          </w:tcPr>
          <w:p w14:paraId="02D09DD2">
            <w:pPr>
              <w:spacing w:line="0" w:lineRule="atLeast"/>
              <w:jc w:val="center"/>
              <w:rPr>
                <w:rFonts w:eastAsia="仿宋"/>
                <w:b/>
                <w:color w:val="000000" w:themeColor="text1"/>
                <w:kern w:val="0"/>
                <w:szCs w:val="21"/>
              </w:rPr>
            </w:pPr>
            <w:r>
              <w:rPr>
                <w:rFonts w:eastAsia="仿宋"/>
                <w:b/>
                <w:color w:val="000000" w:themeColor="text1"/>
                <w:kern w:val="0"/>
                <w:szCs w:val="21"/>
              </w:rPr>
              <w:t>静态总投资</w:t>
            </w:r>
          </w:p>
        </w:tc>
        <w:tc>
          <w:tcPr>
            <w:tcW w:w="2126" w:type="dxa"/>
            <w:gridSpan w:val="6"/>
            <w:vAlign w:val="center"/>
          </w:tcPr>
          <w:p w14:paraId="374B7B11">
            <w:pPr>
              <w:widowControl/>
              <w:jc w:val="center"/>
              <w:rPr>
                <w:b/>
                <w:color w:val="000000" w:themeColor="text1"/>
                <w:kern w:val="0"/>
                <w:szCs w:val="21"/>
              </w:rPr>
            </w:pPr>
            <w:r>
              <w:rPr>
                <w:b/>
                <w:color w:val="000000" w:themeColor="text1"/>
                <w:kern w:val="0"/>
                <w:szCs w:val="21"/>
              </w:rPr>
              <w:t>3</w:t>
            </w:r>
            <w:r>
              <w:rPr>
                <w:rFonts w:hint="eastAsia"/>
                <w:b/>
                <w:color w:val="000000" w:themeColor="text1"/>
                <w:kern w:val="0"/>
                <w:szCs w:val="21"/>
              </w:rPr>
              <w:t>3.22</w:t>
            </w:r>
          </w:p>
        </w:tc>
      </w:tr>
      <w:tr w14:paraId="12A71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330" w:type="dxa"/>
            <w:gridSpan w:val="26"/>
            <w:vAlign w:val="center"/>
          </w:tcPr>
          <w:p w14:paraId="620B721B">
            <w:pPr>
              <w:jc w:val="center"/>
              <w:rPr>
                <w:rFonts w:eastAsia="仿宋"/>
                <w:color w:val="000000" w:themeColor="text1"/>
                <w:szCs w:val="21"/>
              </w:rPr>
            </w:pPr>
            <w:r>
              <w:rPr>
                <w:rFonts w:eastAsia="仿宋"/>
                <w:color w:val="000000" w:themeColor="text1"/>
                <w:kern w:val="0"/>
                <w:szCs w:val="21"/>
              </w:rPr>
              <w:t>填表人：</w:t>
            </w:r>
            <w:r>
              <w:rPr>
                <w:rFonts w:eastAsia="仿宋"/>
                <w:szCs w:val="21"/>
              </w:rPr>
              <w:t>杨小燕</w:t>
            </w:r>
            <w:r>
              <w:rPr>
                <w:rFonts w:eastAsia="仿宋"/>
                <w:color w:val="000000" w:themeColor="text1"/>
                <w:kern w:val="0"/>
                <w:szCs w:val="21"/>
              </w:rPr>
              <w:t>填表日期：2020年6月24日</w:t>
            </w:r>
          </w:p>
        </w:tc>
      </w:tr>
    </w:tbl>
    <w:p w14:paraId="2CC715A7">
      <w:pPr>
        <w:ind w:firstLine="643"/>
        <w:jc w:val="center"/>
        <w:rPr>
          <w:b/>
          <w:bCs/>
          <w:sz w:val="32"/>
          <w:szCs w:val="32"/>
        </w:rPr>
      </w:pPr>
    </w:p>
    <w:p w14:paraId="196E65F8">
      <w:pPr>
        <w:widowControl/>
        <w:jc w:val="left"/>
        <w:rPr>
          <w:b/>
          <w:bCs/>
          <w:sz w:val="32"/>
          <w:szCs w:val="32"/>
        </w:rPr>
      </w:pPr>
      <w:r>
        <w:rPr>
          <w:b/>
          <w:bCs/>
          <w:sz w:val="32"/>
          <w:szCs w:val="32"/>
        </w:rPr>
        <w:br w:type="page"/>
      </w:r>
    </w:p>
    <w:sdt>
      <w:sdtPr>
        <w:rPr>
          <w:rFonts w:ascii="Times New Roman" w:hAnsi="Times New Roman" w:eastAsia="宋体" w:cs="Times New Roman"/>
          <w:b w:val="0"/>
          <w:bCs w:val="0"/>
          <w:color w:val="auto"/>
          <w:kern w:val="2"/>
          <w:sz w:val="21"/>
          <w:szCs w:val="24"/>
          <w:lang w:val="zh-CN"/>
        </w:rPr>
        <w:id w:val="-1087149656"/>
      </w:sdtPr>
      <w:sdtEndPr>
        <w:rPr>
          <w:rFonts w:ascii="Times New Roman" w:hAnsi="Times New Roman" w:eastAsia="宋体" w:cs="Times New Roman"/>
          <w:b w:val="0"/>
          <w:bCs w:val="0"/>
          <w:color w:val="auto"/>
          <w:kern w:val="2"/>
          <w:sz w:val="21"/>
          <w:szCs w:val="24"/>
          <w:lang w:val="zh-CN"/>
        </w:rPr>
      </w:sdtEndPr>
      <w:sdtContent>
        <w:p w14:paraId="39E26BC6">
          <w:pPr>
            <w:pStyle w:val="52"/>
            <w:tabs>
              <w:tab w:val="left" w:pos="3450"/>
              <w:tab w:val="center" w:pos="4153"/>
            </w:tabs>
            <w:rPr>
              <w:rFonts w:ascii="Times New Roman" w:hAnsi="Times New Roman" w:cs="Times New Roman"/>
              <w:sz w:val="24"/>
              <w:szCs w:val="24"/>
            </w:rPr>
          </w:pPr>
          <w:r>
            <w:rPr>
              <w:rFonts w:ascii="Times New Roman" w:hAnsi="Times New Roman" w:eastAsia="宋体" w:cs="Times New Roman"/>
              <w:b w:val="0"/>
              <w:bCs w:val="0"/>
              <w:color w:val="auto"/>
              <w:kern w:val="2"/>
              <w:lang w:val="zh-CN"/>
            </w:rPr>
            <w:tab/>
          </w:r>
          <w:r>
            <w:rPr>
              <w:rFonts w:ascii="Times New Roman" w:hAnsi="Times New Roman" w:eastAsia="宋体" w:cs="Times New Roman"/>
              <w:b w:val="0"/>
              <w:bCs w:val="0"/>
              <w:color w:val="000000" w:themeColor="text1"/>
              <w:kern w:val="2"/>
              <w:sz w:val="24"/>
              <w:szCs w:val="24"/>
              <w:lang w:val="zh-CN"/>
            </w:rPr>
            <w:tab/>
          </w:r>
          <w:r>
            <w:rPr>
              <w:rFonts w:ascii="Times New Roman" w:hAnsi="Times New Roman" w:cs="Times New Roman"/>
              <w:color w:val="000000" w:themeColor="text1"/>
              <w:sz w:val="32"/>
              <w:szCs w:val="32"/>
              <w:lang w:val="zh-CN"/>
            </w:rPr>
            <w:t>目录</w:t>
          </w:r>
        </w:p>
        <w:p w14:paraId="03D22813">
          <w:pPr>
            <w:pStyle w:val="22"/>
            <w:tabs>
              <w:tab w:val="right" w:leader="dot" w:pos="8296"/>
            </w:tabs>
            <w:rPr>
              <w:rFonts w:eastAsiaTheme="minorEastAsia"/>
              <w:sz w:val="24"/>
            </w:rPr>
          </w:pPr>
          <w:r>
            <w:rPr>
              <w:rFonts w:eastAsiaTheme="minorEastAsia"/>
              <w:sz w:val="24"/>
            </w:rPr>
            <w:fldChar w:fldCharType="begin"/>
          </w:r>
          <w:r>
            <w:rPr>
              <w:rFonts w:eastAsiaTheme="minorEastAsia"/>
              <w:sz w:val="24"/>
            </w:rPr>
            <w:instrText xml:space="preserve"> TOC \o "1-3" \h \z \u </w:instrText>
          </w:r>
          <w:r>
            <w:rPr>
              <w:rFonts w:eastAsiaTheme="minorEastAsia"/>
              <w:sz w:val="24"/>
            </w:rPr>
            <w:fldChar w:fldCharType="separate"/>
          </w:r>
          <w:r>
            <w:fldChar w:fldCharType="begin"/>
          </w:r>
          <w:r>
            <w:instrText xml:space="preserve"> HYPERLINK \l "_Toc43851600" </w:instrText>
          </w:r>
          <w:r>
            <w:fldChar w:fldCharType="separate"/>
          </w:r>
          <w:r>
            <w:rPr>
              <w:rStyle w:val="32"/>
              <w:sz w:val="24"/>
            </w:rPr>
            <w:t>前言</w:t>
          </w:r>
          <w:r>
            <w:rPr>
              <w:sz w:val="24"/>
            </w:rPr>
            <w:tab/>
          </w:r>
          <w:r>
            <w:rPr>
              <w:sz w:val="24"/>
            </w:rPr>
            <w:fldChar w:fldCharType="begin"/>
          </w:r>
          <w:r>
            <w:rPr>
              <w:sz w:val="24"/>
            </w:rPr>
            <w:instrText xml:space="preserve"> PAGEREF _Toc43851600 \h </w:instrText>
          </w:r>
          <w:r>
            <w:rPr>
              <w:sz w:val="24"/>
            </w:rPr>
            <w:fldChar w:fldCharType="separate"/>
          </w:r>
          <w:r>
            <w:rPr>
              <w:sz w:val="24"/>
            </w:rPr>
            <w:t>1</w:t>
          </w:r>
          <w:r>
            <w:rPr>
              <w:sz w:val="24"/>
            </w:rPr>
            <w:fldChar w:fldCharType="end"/>
          </w:r>
          <w:r>
            <w:rPr>
              <w:sz w:val="24"/>
            </w:rPr>
            <w:fldChar w:fldCharType="end"/>
          </w:r>
        </w:p>
        <w:p w14:paraId="45E2C915">
          <w:pPr>
            <w:pStyle w:val="22"/>
            <w:tabs>
              <w:tab w:val="right" w:leader="dot" w:pos="8296"/>
            </w:tabs>
            <w:rPr>
              <w:rFonts w:eastAsiaTheme="minorEastAsia"/>
              <w:sz w:val="24"/>
            </w:rPr>
          </w:pPr>
          <w:r>
            <w:fldChar w:fldCharType="begin"/>
          </w:r>
          <w:r>
            <w:instrText xml:space="preserve"> HYPERLINK \l "_Toc43851601" </w:instrText>
          </w:r>
          <w:r>
            <w:fldChar w:fldCharType="separate"/>
          </w:r>
          <w:r>
            <w:rPr>
              <w:rStyle w:val="32"/>
              <w:kern w:val="0"/>
              <w:sz w:val="24"/>
            </w:rPr>
            <w:t>一、任务的由来</w:t>
          </w:r>
          <w:r>
            <w:rPr>
              <w:sz w:val="24"/>
            </w:rPr>
            <w:tab/>
          </w:r>
          <w:r>
            <w:rPr>
              <w:sz w:val="24"/>
            </w:rPr>
            <w:fldChar w:fldCharType="begin"/>
          </w:r>
          <w:r>
            <w:rPr>
              <w:sz w:val="24"/>
            </w:rPr>
            <w:instrText xml:space="preserve"> PAGEREF _Toc43851601 \h </w:instrText>
          </w:r>
          <w:r>
            <w:rPr>
              <w:sz w:val="24"/>
            </w:rPr>
            <w:fldChar w:fldCharType="separate"/>
          </w:r>
          <w:r>
            <w:rPr>
              <w:sz w:val="24"/>
            </w:rPr>
            <w:t>1</w:t>
          </w:r>
          <w:r>
            <w:rPr>
              <w:sz w:val="24"/>
            </w:rPr>
            <w:fldChar w:fldCharType="end"/>
          </w:r>
          <w:r>
            <w:rPr>
              <w:sz w:val="24"/>
            </w:rPr>
            <w:fldChar w:fldCharType="end"/>
          </w:r>
        </w:p>
        <w:p w14:paraId="058B2540">
          <w:pPr>
            <w:pStyle w:val="22"/>
            <w:tabs>
              <w:tab w:val="right" w:leader="dot" w:pos="8296"/>
            </w:tabs>
            <w:rPr>
              <w:rFonts w:eastAsiaTheme="minorEastAsia"/>
              <w:sz w:val="24"/>
            </w:rPr>
          </w:pPr>
          <w:r>
            <w:fldChar w:fldCharType="begin"/>
          </w:r>
          <w:r>
            <w:instrText xml:space="preserve"> HYPERLINK \l "_Toc43851602" </w:instrText>
          </w:r>
          <w:r>
            <w:fldChar w:fldCharType="separate"/>
          </w:r>
          <w:r>
            <w:rPr>
              <w:rStyle w:val="32"/>
              <w:kern w:val="0"/>
              <w:sz w:val="24"/>
            </w:rPr>
            <w:t>二、编制目的</w:t>
          </w:r>
          <w:r>
            <w:rPr>
              <w:sz w:val="24"/>
            </w:rPr>
            <w:tab/>
          </w:r>
          <w:r>
            <w:rPr>
              <w:sz w:val="24"/>
            </w:rPr>
            <w:fldChar w:fldCharType="begin"/>
          </w:r>
          <w:r>
            <w:rPr>
              <w:sz w:val="24"/>
            </w:rPr>
            <w:instrText xml:space="preserve"> PAGEREF _Toc43851602 \h </w:instrText>
          </w:r>
          <w:r>
            <w:rPr>
              <w:sz w:val="24"/>
            </w:rPr>
            <w:fldChar w:fldCharType="separate"/>
          </w:r>
          <w:r>
            <w:rPr>
              <w:sz w:val="24"/>
            </w:rPr>
            <w:t>1</w:t>
          </w:r>
          <w:r>
            <w:rPr>
              <w:sz w:val="24"/>
            </w:rPr>
            <w:fldChar w:fldCharType="end"/>
          </w:r>
          <w:r>
            <w:rPr>
              <w:sz w:val="24"/>
            </w:rPr>
            <w:fldChar w:fldCharType="end"/>
          </w:r>
        </w:p>
        <w:p w14:paraId="69721C9D">
          <w:pPr>
            <w:pStyle w:val="22"/>
            <w:tabs>
              <w:tab w:val="right" w:leader="dot" w:pos="8296"/>
            </w:tabs>
            <w:rPr>
              <w:rFonts w:eastAsiaTheme="minorEastAsia"/>
              <w:sz w:val="24"/>
            </w:rPr>
          </w:pPr>
          <w:r>
            <w:fldChar w:fldCharType="begin"/>
          </w:r>
          <w:r>
            <w:instrText xml:space="preserve"> HYPERLINK \l "_Toc43851603" </w:instrText>
          </w:r>
          <w:r>
            <w:fldChar w:fldCharType="separate"/>
          </w:r>
          <w:r>
            <w:rPr>
              <w:rStyle w:val="32"/>
              <w:kern w:val="0"/>
              <w:sz w:val="24"/>
            </w:rPr>
            <w:t>三、编制依据</w:t>
          </w:r>
          <w:r>
            <w:rPr>
              <w:sz w:val="24"/>
            </w:rPr>
            <w:tab/>
          </w:r>
          <w:r>
            <w:rPr>
              <w:sz w:val="24"/>
            </w:rPr>
            <w:fldChar w:fldCharType="begin"/>
          </w:r>
          <w:r>
            <w:rPr>
              <w:sz w:val="24"/>
            </w:rPr>
            <w:instrText xml:space="preserve"> PAGEREF _Toc43851603 \h </w:instrText>
          </w:r>
          <w:r>
            <w:rPr>
              <w:sz w:val="24"/>
            </w:rPr>
            <w:fldChar w:fldCharType="separate"/>
          </w:r>
          <w:r>
            <w:rPr>
              <w:sz w:val="24"/>
            </w:rPr>
            <w:t>3</w:t>
          </w:r>
          <w:r>
            <w:rPr>
              <w:sz w:val="24"/>
            </w:rPr>
            <w:fldChar w:fldCharType="end"/>
          </w:r>
          <w:r>
            <w:rPr>
              <w:sz w:val="24"/>
            </w:rPr>
            <w:fldChar w:fldCharType="end"/>
          </w:r>
        </w:p>
        <w:p w14:paraId="20798972">
          <w:pPr>
            <w:pStyle w:val="15"/>
            <w:tabs>
              <w:tab w:val="right" w:leader="dot" w:pos="8296"/>
            </w:tabs>
            <w:rPr>
              <w:rFonts w:eastAsiaTheme="minorEastAsia"/>
              <w:sz w:val="24"/>
            </w:rPr>
          </w:pPr>
          <w:r>
            <w:fldChar w:fldCharType="begin"/>
          </w:r>
          <w:r>
            <w:instrText xml:space="preserve"> HYPERLINK \l "_Toc43851604" </w:instrText>
          </w:r>
          <w:r>
            <w:fldChar w:fldCharType="separate"/>
          </w:r>
          <w:r>
            <w:rPr>
              <w:rStyle w:val="32"/>
              <w:sz w:val="24"/>
            </w:rPr>
            <w:t>（一）法律法规</w:t>
          </w:r>
          <w:r>
            <w:rPr>
              <w:sz w:val="24"/>
            </w:rPr>
            <w:tab/>
          </w:r>
          <w:r>
            <w:rPr>
              <w:sz w:val="24"/>
            </w:rPr>
            <w:fldChar w:fldCharType="begin"/>
          </w:r>
          <w:r>
            <w:rPr>
              <w:sz w:val="24"/>
            </w:rPr>
            <w:instrText xml:space="preserve"> PAGEREF _Toc43851604 \h </w:instrText>
          </w:r>
          <w:r>
            <w:rPr>
              <w:sz w:val="24"/>
            </w:rPr>
            <w:fldChar w:fldCharType="separate"/>
          </w:r>
          <w:r>
            <w:rPr>
              <w:sz w:val="24"/>
            </w:rPr>
            <w:t>3</w:t>
          </w:r>
          <w:r>
            <w:rPr>
              <w:sz w:val="24"/>
            </w:rPr>
            <w:fldChar w:fldCharType="end"/>
          </w:r>
          <w:r>
            <w:rPr>
              <w:sz w:val="24"/>
            </w:rPr>
            <w:fldChar w:fldCharType="end"/>
          </w:r>
        </w:p>
        <w:p w14:paraId="59F1C72F">
          <w:pPr>
            <w:pStyle w:val="15"/>
            <w:tabs>
              <w:tab w:val="right" w:leader="dot" w:pos="8296"/>
            </w:tabs>
            <w:rPr>
              <w:rFonts w:eastAsiaTheme="minorEastAsia"/>
              <w:sz w:val="24"/>
            </w:rPr>
          </w:pPr>
          <w:r>
            <w:fldChar w:fldCharType="begin"/>
          </w:r>
          <w:r>
            <w:instrText xml:space="preserve"> HYPERLINK \l "_Toc43851605" </w:instrText>
          </w:r>
          <w:r>
            <w:fldChar w:fldCharType="separate"/>
          </w:r>
          <w:r>
            <w:rPr>
              <w:rStyle w:val="32"/>
              <w:sz w:val="24"/>
            </w:rPr>
            <w:t>（二）规章文件</w:t>
          </w:r>
          <w:r>
            <w:rPr>
              <w:sz w:val="24"/>
            </w:rPr>
            <w:tab/>
          </w:r>
          <w:r>
            <w:rPr>
              <w:sz w:val="24"/>
            </w:rPr>
            <w:fldChar w:fldCharType="begin"/>
          </w:r>
          <w:r>
            <w:rPr>
              <w:sz w:val="24"/>
            </w:rPr>
            <w:instrText xml:space="preserve"> PAGEREF _Toc43851605 \h </w:instrText>
          </w:r>
          <w:r>
            <w:rPr>
              <w:sz w:val="24"/>
            </w:rPr>
            <w:fldChar w:fldCharType="separate"/>
          </w:r>
          <w:r>
            <w:rPr>
              <w:sz w:val="24"/>
            </w:rPr>
            <w:t>4</w:t>
          </w:r>
          <w:r>
            <w:rPr>
              <w:sz w:val="24"/>
            </w:rPr>
            <w:fldChar w:fldCharType="end"/>
          </w:r>
          <w:r>
            <w:rPr>
              <w:sz w:val="24"/>
            </w:rPr>
            <w:fldChar w:fldCharType="end"/>
          </w:r>
        </w:p>
        <w:p w14:paraId="04D404B8">
          <w:pPr>
            <w:pStyle w:val="15"/>
            <w:tabs>
              <w:tab w:val="right" w:leader="dot" w:pos="8296"/>
            </w:tabs>
            <w:rPr>
              <w:rFonts w:eastAsiaTheme="minorEastAsia"/>
              <w:sz w:val="24"/>
            </w:rPr>
          </w:pPr>
          <w:r>
            <w:fldChar w:fldCharType="begin"/>
          </w:r>
          <w:r>
            <w:instrText xml:space="preserve"> HYPERLINK \l "_Toc43851606" </w:instrText>
          </w:r>
          <w:r>
            <w:fldChar w:fldCharType="separate"/>
          </w:r>
          <w:r>
            <w:rPr>
              <w:rStyle w:val="32"/>
              <w:sz w:val="24"/>
            </w:rPr>
            <w:t>（三）标准规范</w:t>
          </w:r>
          <w:r>
            <w:rPr>
              <w:sz w:val="24"/>
            </w:rPr>
            <w:tab/>
          </w:r>
          <w:r>
            <w:rPr>
              <w:sz w:val="24"/>
            </w:rPr>
            <w:fldChar w:fldCharType="begin"/>
          </w:r>
          <w:r>
            <w:rPr>
              <w:sz w:val="24"/>
            </w:rPr>
            <w:instrText xml:space="preserve"> PAGEREF _Toc43851606 \h </w:instrText>
          </w:r>
          <w:r>
            <w:rPr>
              <w:sz w:val="24"/>
            </w:rPr>
            <w:fldChar w:fldCharType="separate"/>
          </w:r>
          <w:r>
            <w:rPr>
              <w:sz w:val="24"/>
            </w:rPr>
            <w:t>5</w:t>
          </w:r>
          <w:r>
            <w:rPr>
              <w:sz w:val="24"/>
            </w:rPr>
            <w:fldChar w:fldCharType="end"/>
          </w:r>
          <w:r>
            <w:rPr>
              <w:sz w:val="24"/>
            </w:rPr>
            <w:fldChar w:fldCharType="end"/>
          </w:r>
        </w:p>
        <w:p w14:paraId="107DD2EE">
          <w:pPr>
            <w:pStyle w:val="15"/>
            <w:tabs>
              <w:tab w:val="right" w:leader="dot" w:pos="8296"/>
            </w:tabs>
            <w:rPr>
              <w:rFonts w:eastAsiaTheme="minorEastAsia"/>
              <w:sz w:val="24"/>
            </w:rPr>
          </w:pPr>
          <w:r>
            <w:fldChar w:fldCharType="begin"/>
          </w:r>
          <w:r>
            <w:instrText xml:space="preserve"> HYPERLINK \l "_Toc43851607" </w:instrText>
          </w:r>
          <w:r>
            <w:fldChar w:fldCharType="separate"/>
          </w:r>
          <w:r>
            <w:rPr>
              <w:rStyle w:val="32"/>
              <w:sz w:val="24"/>
            </w:rPr>
            <w:t>（四）技术文件与资料</w:t>
          </w:r>
          <w:r>
            <w:rPr>
              <w:sz w:val="24"/>
            </w:rPr>
            <w:tab/>
          </w:r>
          <w:r>
            <w:rPr>
              <w:sz w:val="24"/>
            </w:rPr>
            <w:fldChar w:fldCharType="begin"/>
          </w:r>
          <w:r>
            <w:rPr>
              <w:sz w:val="24"/>
            </w:rPr>
            <w:instrText xml:space="preserve"> PAGEREF _Toc43851607 \h </w:instrText>
          </w:r>
          <w:r>
            <w:rPr>
              <w:sz w:val="24"/>
            </w:rPr>
            <w:fldChar w:fldCharType="separate"/>
          </w:r>
          <w:r>
            <w:rPr>
              <w:sz w:val="24"/>
            </w:rPr>
            <w:t>6</w:t>
          </w:r>
          <w:r>
            <w:rPr>
              <w:sz w:val="24"/>
            </w:rPr>
            <w:fldChar w:fldCharType="end"/>
          </w:r>
          <w:r>
            <w:rPr>
              <w:sz w:val="24"/>
            </w:rPr>
            <w:fldChar w:fldCharType="end"/>
          </w:r>
        </w:p>
        <w:p w14:paraId="0FA94CD6">
          <w:pPr>
            <w:pStyle w:val="22"/>
            <w:tabs>
              <w:tab w:val="right" w:leader="dot" w:pos="8296"/>
            </w:tabs>
            <w:rPr>
              <w:rFonts w:eastAsiaTheme="minorEastAsia"/>
              <w:sz w:val="24"/>
            </w:rPr>
          </w:pPr>
          <w:r>
            <w:fldChar w:fldCharType="begin"/>
          </w:r>
          <w:r>
            <w:instrText xml:space="preserve"> HYPERLINK \l "_Toc43851608" </w:instrText>
          </w:r>
          <w:r>
            <w:fldChar w:fldCharType="separate"/>
          </w:r>
          <w:r>
            <w:rPr>
              <w:rStyle w:val="32"/>
              <w:kern w:val="0"/>
              <w:sz w:val="24"/>
            </w:rPr>
            <w:t>四、方案适用年限</w:t>
          </w:r>
          <w:r>
            <w:rPr>
              <w:sz w:val="24"/>
            </w:rPr>
            <w:tab/>
          </w:r>
          <w:r>
            <w:rPr>
              <w:sz w:val="24"/>
            </w:rPr>
            <w:fldChar w:fldCharType="begin"/>
          </w:r>
          <w:r>
            <w:rPr>
              <w:sz w:val="24"/>
            </w:rPr>
            <w:instrText xml:space="preserve"> PAGEREF _Toc43851608 \h </w:instrText>
          </w:r>
          <w:r>
            <w:rPr>
              <w:sz w:val="24"/>
            </w:rPr>
            <w:fldChar w:fldCharType="separate"/>
          </w:r>
          <w:r>
            <w:rPr>
              <w:sz w:val="24"/>
            </w:rPr>
            <w:t>6</w:t>
          </w:r>
          <w:r>
            <w:rPr>
              <w:sz w:val="24"/>
            </w:rPr>
            <w:fldChar w:fldCharType="end"/>
          </w:r>
          <w:r>
            <w:rPr>
              <w:sz w:val="24"/>
            </w:rPr>
            <w:fldChar w:fldCharType="end"/>
          </w:r>
        </w:p>
        <w:p w14:paraId="6BB0F738">
          <w:pPr>
            <w:pStyle w:val="22"/>
            <w:tabs>
              <w:tab w:val="right" w:leader="dot" w:pos="8296"/>
            </w:tabs>
            <w:rPr>
              <w:rFonts w:eastAsiaTheme="minorEastAsia"/>
              <w:sz w:val="24"/>
            </w:rPr>
          </w:pPr>
          <w:r>
            <w:fldChar w:fldCharType="begin"/>
          </w:r>
          <w:r>
            <w:instrText xml:space="preserve"> HYPERLINK \l "_Toc43851609" </w:instrText>
          </w:r>
          <w:r>
            <w:fldChar w:fldCharType="separate"/>
          </w:r>
          <w:r>
            <w:rPr>
              <w:rStyle w:val="32"/>
              <w:kern w:val="0"/>
              <w:sz w:val="24"/>
            </w:rPr>
            <w:t>五、编制工作概况</w:t>
          </w:r>
          <w:r>
            <w:rPr>
              <w:sz w:val="24"/>
            </w:rPr>
            <w:tab/>
          </w:r>
          <w:r>
            <w:rPr>
              <w:sz w:val="24"/>
            </w:rPr>
            <w:fldChar w:fldCharType="begin"/>
          </w:r>
          <w:r>
            <w:rPr>
              <w:sz w:val="24"/>
            </w:rPr>
            <w:instrText xml:space="preserve"> PAGEREF _Toc43851609 \h </w:instrText>
          </w:r>
          <w:r>
            <w:rPr>
              <w:sz w:val="24"/>
            </w:rPr>
            <w:fldChar w:fldCharType="separate"/>
          </w:r>
          <w:r>
            <w:rPr>
              <w:sz w:val="24"/>
            </w:rPr>
            <w:t>7</w:t>
          </w:r>
          <w:r>
            <w:rPr>
              <w:sz w:val="24"/>
            </w:rPr>
            <w:fldChar w:fldCharType="end"/>
          </w:r>
          <w:r>
            <w:rPr>
              <w:sz w:val="24"/>
            </w:rPr>
            <w:fldChar w:fldCharType="end"/>
          </w:r>
        </w:p>
        <w:p w14:paraId="6E4CE560">
          <w:pPr>
            <w:pStyle w:val="15"/>
            <w:tabs>
              <w:tab w:val="right" w:leader="dot" w:pos="8296"/>
            </w:tabs>
            <w:rPr>
              <w:rFonts w:eastAsiaTheme="minorEastAsia"/>
              <w:sz w:val="24"/>
            </w:rPr>
          </w:pPr>
          <w:r>
            <w:fldChar w:fldCharType="begin"/>
          </w:r>
          <w:r>
            <w:instrText xml:space="preserve"> HYPERLINK \l "_Toc43851610" </w:instrText>
          </w:r>
          <w:r>
            <w:fldChar w:fldCharType="separate"/>
          </w:r>
          <w:r>
            <w:rPr>
              <w:rStyle w:val="32"/>
              <w:sz w:val="24"/>
            </w:rPr>
            <w:t>（一）工作程序</w:t>
          </w:r>
          <w:r>
            <w:rPr>
              <w:sz w:val="24"/>
            </w:rPr>
            <w:tab/>
          </w:r>
          <w:r>
            <w:rPr>
              <w:sz w:val="24"/>
            </w:rPr>
            <w:fldChar w:fldCharType="begin"/>
          </w:r>
          <w:r>
            <w:rPr>
              <w:sz w:val="24"/>
            </w:rPr>
            <w:instrText xml:space="preserve"> PAGEREF _Toc43851610 \h </w:instrText>
          </w:r>
          <w:r>
            <w:rPr>
              <w:sz w:val="24"/>
            </w:rPr>
            <w:fldChar w:fldCharType="separate"/>
          </w:r>
          <w:r>
            <w:rPr>
              <w:sz w:val="24"/>
            </w:rPr>
            <w:t>7</w:t>
          </w:r>
          <w:r>
            <w:rPr>
              <w:sz w:val="24"/>
            </w:rPr>
            <w:fldChar w:fldCharType="end"/>
          </w:r>
          <w:r>
            <w:rPr>
              <w:sz w:val="24"/>
            </w:rPr>
            <w:fldChar w:fldCharType="end"/>
          </w:r>
        </w:p>
        <w:p w14:paraId="3EA15B59">
          <w:pPr>
            <w:pStyle w:val="15"/>
            <w:tabs>
              <w:tab w:val="right" w:leader="dot" w:pos="8296"/>
            </w:tabs>
            <w:rPr>
              <w:rFonts w:eastAsiaTheme="minorEastAsia"/>
              <w:sz w:val="24"/>
            </w:rPr>
          </w:pPr>
          <w:r>
            <w:fldChar w:fldCharType="begin"/>
          </w:r>
          <w:r>
            <w:instrText xml:space="preserve"> HYPERLINK \l "_Toc43851611" </w:instrText>
          </w:r>
          <w:r>
            <w:fldChar w:fldCharType="separate"/>
          </w:r>
          <w:r>
            <w:rPr>
              <w:rStyle w:val="32"/>
              <w:sz w:val="24"/>
            </w:rPr>
            <w:t>（二）工作方法</w:t>
          </w:r>
          <w:r>
            <w:rPr>
              <w:sz w:val="24"/>
            </w:rPr>
            <w:tab/>
          </w:r>
          <w:r>
            <w:rPr>
              <w:sz w:val="24"/>
            </w:rPr>
            <w:fldChar w:fldCharType="begin"/>
          </w:r>
          <w:r>
            <w:rPr>
              <w:sz w:val="24"/>
            </w:rPr>
            <w:instrText xml:space="preserve"> PAGEREF _Toc43851611 \h </w:instrText>
          </w:r>
          <w:r>
            <w:rPr>
              <w:sz w:val="24"/>
            </w:rPr>
            <w:fldChar w:fldCharType="separate"/>
          </w:r>
          <w:r>
            <w:rPr>
              <w:sz w:val="24"/>
            </w:rPr>
            <w:t>8</w:t>
          </w:r>
          <w:r>
            <w:rPr>
              <w:sz w:val="24"/>
            </w:rPr>
            <w:fldChar w:fldCharType="end"/>
          </w:r>
          <w:r>
            <w:rPr>
              <w:sz w:val="24"/>
            </w:rPr>
            <w:fldChar w:fldCharType="end"/>
          </w:r>
        </w:p>
        <w:p w14:paraId="533798BC">
          <w:pPr>
            <w:pStyle w:val="15"/>
            <w:tabs>
              <w:tab w:val="right" w:leader="dot" w:pos="8296"/>
            </w:tabs>
            <w:rPr>
              <w:rFonts w:eastAsiaTheme="minorEastAsia"/>
              <w:sz w:val="24"/>
            </w:rPr>
          </w:pPr>
          <w:r>
            <w:fldChar w:fldCharType="begin"/>
          </w:r>
          <w:r>
            <w:instrText xml:space="preserve"> HYPERLINK \l "_Toc43851612" </w:instrText>
          </w:r>
          <w:r>
            <w:fldChar w:fldCharType="separate"/>
          </w:r>
          <w:r>
            <w:rPr>
              <w:rStyle w:val="32"/>
              <w:sz w:val="24"/>
            </w:rPr>
            <w:t>（三）完成工作量</w:t>
          </w:r>
          <w:r>
            <w:rPr>
              <w:sz w:val="24"/>
            </w:rPr>
            <w:tab/>
          </w:r>
          <w:r>
            <w:rPr>
              <w:sz w:val="24"/>
            </w:rPr>
            <w:fldChar w:fldCharType="begin"/>
          </w:r>
          <w:r>
            <w:rPr>
              <w:sz w:val="24"/>
            </w:rPr>
            <w:instrText xml:space="preserve"> PAGEREF _Toc43851612 \h </w:instrText>
          </w:r>
          <w:r>
            <w:rPr>
              <w:sz w:val="24"/>
            </w:rPr>
            <w:fldChar w:fldCharType="separate"/>
          </w:r>
          <w:r>
            <w:rPr>
              <w:sz w:val="24"/>
            </w:rPr>
            <w:t>9</w:t>
          </w:r>
          <w:r>
            <w:rPr>
              <w:sz w:val="24"/>
            </w:rPr>
            <w:fldChar w:fldCharType="end"/>
          </w:r>
          <w:r>
            <w:rPr>
              <w:sz w:val="24"/>
            </w:rPr>
            <w:fldChar w:fldCharType="end"/>
          </w:r>
        </w:p>
        <w:p w14:paraId="5962AA56">
          <w:pPr>
            <w:pStyle w:val="22"/>
            <w:tabs>
              <w:tab w:val="right" w:leader="dot" w:pos="8296"/>
            </w:tabs>
            <w:rPr>
              <w:rFonts w:eastAsiaTheme="minorEastAsia"/>
              <w:sz w:val="24"/>
            </w:rPr>
          </w:pPr>
          <w:r>
            <w:fldChar w:fldCharType="begin"/>
          </w:r>
          <w:r>
            <w:instrText xml:space="preserve"> HYPERLINK \l "_Toc43851613" </w:instrText>
          </w:r>
          <w:r>
            <w:fldChar w:fldCharType="separate"/>
          </w:r>
          <w:r>
            <w:rPr>
              <w:rStyle w:val="32"/>
              <w:b/>
              <w:bCs/>
              <w:kern w:val="44"/>
              <w:sz w:val="24"/>
            </w:rPr>
            <w:t>第一章矿山基本情况</w:t>
          </w:r>
          <w:r>
            <w:rPr>
              <w:sz w:val="24"/>
            </w:rPr>
            <w:tab/>
          </w:r>
          <w:r>
            <w:rPr>
              <w:sz w:val="24"/>
            </w:rPr>
            <w:fldChar w:fldCharType="begin"/>
          </w:r>
          <w:r>
            <w:rPr>
              <w:sz w:val="24"/>
            </w:rPr>
            <w:instrText xml:space="preserve"> PAGEREF _Toc43851613 \h </w:instrText>
          </w:r>
          <w:r>
            <w:rPr>
              <w:sz w:val="24"/>
            </w:rPr>
            <w:fldChar w:fldCharType="separate"/>
          </w:r>
          <w:r>
            <w:rPr>
              <w:sz w:val="24"/>
            </w:rPr>
            <w:t>11</w:t>
          </w:r>
          <w:r>
            <w:rPr>
              <w:sz w:val="24"/>
            </w:rPr>
            <w:fldChar w:fldCharType="end"/>
          </w:r>
          <w:r>
            <w:rPr>
              <w:sz w:val="24"/>
            </w:rPr>
            <w:fldChar w:fldCharType="end"/>
          </w:r>
        </w:p>
        <w:p w14:paraId="6D92DABA">
          <w:pPr>
            <w:pStyle w:val="22"/>
            <w:tabs>
              <w:tab w:val="right" w:leader="dot" w:pos="8296"/>
            </w:tabs>
            <w:rPr>
              <w:rFonts w:eastAsiaTheme="minorEastAsia"/>
              <w:sz w:val="24"/>
            </w:rPr>
          </w:pPr>
          <w:r>
            <w:fldChar w:fldCharType="begin"/>
          </w:r>
          <w:r>
            <w:instrText xml:space="preserve"> HYPERLINK \l "_Toc43851614" </w:instrText>
          </w:r>
          <w:r>
            <w:fldChar w:fldCharType="separate"/>
          </w:r>
          <w:r>
            <w:rPr>
              <w:rStyle w:val="32"/>
              <w:kern w:val="0"/>
              <w:sz w:val="24"/>
            </w:rPr>
            <w:t>一、矿山简介</w:t>
          </w:r>
          <w:r>
            <w:rPr>
              <w:sz w:val="24"/>
            </w:rPr>
            <w:tab/>
          </w:r>
          <w:r>
            <w:rPr>
              <w:sz w:val="24"/>
            </w:rPr>
            <w:fldChar w:fldCharType="begin"/>
          </w:r>
          <w:r>
            <w:rPr>
              <w:sz w:val="24"/>
            </w:rPr>
            <w:instrText xml:space="preserve"> PAGEREF _Toc43851614 \h </w:instrText>
          </w:r>
          <w:r>
            <w:rPr>
              <w:sz w:val="24"/>
            </w:rPr>
            <w:fldChar w:fldCharType="separate"/>
          </w:r>
          <w:r>
            <w:rPr>
              <w:sz w:val="24"/>
            </w:rPr>
            <w:t>11</w:t>
          </w:r>
          <w:r>
            <w:rPr>
              <w:sz w:val="24"/>
            </w:rPr>
            <w:fldChar w:fldCharType="end"/>
          </w:r>
          <w:r>
            <w:rPr>
              <w:sz w:val="24"/>
            </w:rPr>
            <w:fldChar w:fldCharType="end"/>
          </w:r>
        </w:p>
        <w:p w14:paraId="67AC7565">
          <w:pPr>
            <w:pStyle w:val="15"/>
            <w:tabs>
              <w:tab w:val="right" w:leader="dot" w:pos="8296"/>
            </w:tabs>
            <w:rPr>
              <w:rFonts w:eastAsiaTheme="minorEastAsia"/>
              <w:sz w:val="24"/>
            </w:rPr>
          </w:pPr>
          <w:r>
            <w:fldChar w:fldCharType="begin"/>
          </w:r>
          <w:r>
            <w:instrText xml:space="preserve"> HYPERLINK \l "_Toc43851615" </w:instrText>
          </w:r>
          <w:r>
            <w:fldChar w:fldCharType="separate"/>
          </w:r>
          <w:r>
            <w:rPr>
              <w:rStyle w:val="32"/>
              <w:sz w:val="24"/>
            </w:rPr>
            <w:t>（一）地理位置</w:t>
          </w:r>
          <w:r>
            <w:rPr>
              <w:sz w:val="24"/>
            </w:rPr>
            <w:tab/>
          </w:r>
          <w:r>
            <w:rPr>
              <w:sz w:val="24"/>
            </w:rPr>
            <w:fldChar w:fldCharType="begin"/>
          </w:r>
          <w:r>
            <w:rPr>
              <w:sz w:val="24"/>
            </w:rPr>
            <w:instrText xml:space="preserve"> PAGEREF _Toc43851615 \h </w:instrText>
          </w:r>
          <w:r>
            <w:rPr>
              <w:sz w:val="24"/>
            </w:rPr>
            <w:fldChar w:fldCharType="separate"/>
          </w:r>
          <w:r>
            <w:rPr>
              <w:sz w:val="24"/>
            </w:rPr>
            <w:t>11</w:t>
          </w:r>
          <w:r>
            <w:rPr>
              <w:sz w:val="24"/>
            </w:rPr>
            <w:fldChar w:fldCharType="end"/>
          </w:r>
          <w:r>
            <w:rPr>
              <w:sz w:val="24"/>
            </w:rPr>
            <w:fldChar w:fldCharType="end"/>
          </w:r>
        </w:p>
        <w:p w14:paraId="31AD2601">
          <w:pPr>
            <w:pStyle w:val="15"/>
            <w:tabs>
              <w:tab w:val="right" w:leader="dot" w:pos="8296"/>
            </w:tabs>
            <w:rPr>
              <w:rFonts w:eastAsiaTheme="minorEastAsia"/>
              <w:sz w:val="24"/>
            </w:rPr>
          </w:pPr>
          <w:r>
            <w:fldChar w:fldCharType="begin"/>
          </w:r>
          <w:r>
            <w:instrText xml:space="preserve"> HYPERLINK \l "_Toc43851616" </w:instrText>
          </w:r>
          <w:r>
            <w:fldChar w:fldCharType="separate"/>
          </w:r>
          <w:r>
            <w:rPr>
              <w:rStyle w:val="32"/>
              <w:sz w:val="24"/>
            </w:rPr>
            <w:t>（二）矿山概况</w:t>
          </w:r>
          <w:r>
            <w:rPr>
              <w:sz w:val="24"/>
            </w:rPr>
            <w:tab/>
          </w:r>
          <w:r>
            <w:rPr>
              <w:sz w:val="24"/>
            </w:rPr>
            <w:fldChar w:fldCharType="begin"/>
          </w:r>
          <w:r>
            <w:rPr>
              <w:sz w:val="24"/>
            </w:rPr>
            <w:instrText xml:space="preserve"> PAGEREF _Toc43851616 \h </w:instrText>
          </w:r>
          <w:r>
            <w:rPr>
              <w:sz w:val="24"/>
            </w:rPr>
            <w:fldChar w:fldCharType="separate"/>
          </w:r>
          <w:r>
            <w:rPr>
              <w:sz w:val="24"/>
            </w:rPr>
            <w:t>11</w:t>
          </w:r>
          <w:r>
            <w:rPr>
              <w:sz w:val="24"/>
            </w:rPr>
            <w:fldChar w:fldCharType="end"/>
          </w:r>
          <w:r>
            <w:rPr>
              <w:sz w:val="24"/>
            </w:rPr>
            <w:fldChar w:fldCharType="end"/>
          </w:r>
        </w:p>
        <w:p w14:paraId="02BAF845">
          <w:pPr>
            <w:pStyle w:val="22"/>
            <w:tabs>
              <w:tab w:val="right" w:leader="dot" w:pos="8296"/>
            </w:tabs>
            <w:rPr>
              <w:rFonts w:eastAsiaTheme="minorEastAsia"/>
              <w:sz w:val="24"/>
            </w:rPr>
          </w:pPr>
          <w:r>
            <w:fldChar w:fldCharType="begin"/>
          </w:r>
          <w:r>
            <w:instrText xml:space="preserve"> HYPERLINK \l "_Toc43851617" </w:instrText>
          </w:r>
          <w:r>
            <w:fldChar w:fldCharType="separate"/>
          </w:r>
          <w:r>
            <w:rPr>
              <w:rStyle w:val="32"/>
              <w:kern w:val="0"/>
              <w:sz w:val="24"/>
            </w:rPr>
            <w:t>二、矿区范围及拐点坐标</w:t>
          </w:r>
          <w:r>
            <w:rPr>
              <w:sz w:val="24"/>
            </w:rPr>
            <w:tab/>
          </w:r>
          <w:r>
            <w:rPr>
              <w:sz w:val="24"/>
            </w:rPr>
            <w:fldChar w:fldCharType="begin"/>
          </w:r>
          <w:r>
            <w:rPr>
              <w:sz w:val="24"/>
            </w:rPr>
            <w:instrText xml:space="preserve"> PAGEREF _Toc43851617 \h </w:instrText>
          </w:r>
          <w:r>
            <w:rPr>
              <w:sz w:val="24"/>
            </w:rPr>
            <w:fldChar w:fldCharType="separate"/>
          </w:r>
          <w:r>
            <w:rPr>
              <w:sz w:val="24"/>
            </w:rPr>
            <w:t>12</w:t>
          </w:r>
          <w:r>
            <w:rPr>
              <w:sz w:val="24"/>
            </w:rPr>
            <w:fldChar w:fldCharType="end"/>
          </w:r>
          <w:r>
            <w:rPr>
              <w:sz w:val="24"/>
            </w:rPr>
            <w:fldChar w:fldCharType="end"/>
          </w:r>
        </w:p>
        <w:p w14:paraId="034949C8">
          <w:pPr>
            <w:pStyle w:val="22"/>
            <w:tabs>
              <w:tab w:val="right" w:leader="dot" w:pos="8296"/>
            </w:tabs>
            <w:rPr>
              <w:rFonts w:eastAsiaTheme="minorEastAsia"/>
              <w:sz w:val="24"/>
            </w:rPr>
          </w:pPr>
          <w:r>
            <w:fldChar w:fldCharType="begin"/>
          </w:r>
          <w:r>
            <w:instrText xml:space="preserve"> HYPERLINK \l "_Toc43851618" </w:instrText>
          </w:r>
          <w:r>
            <w:fldChar w:fldCharType="separate"/>
          </w:r>
          <w:r>
            <w:rPr>
              <w:rStyle w:val="32"/>
              <w:kern w:val="0"/>
              <w:sz w:val="24"/>
            </w:rPr>
            <w:t>三、矿山开发利用方案概述</w:t>
          </w:r>
          <w:r>
            <w:rPr>
              <w:sz w:val="24"/>
            </w:rPr>
            <w:tab/>
          </w:r>
          <w:r>
            <w:rPr>
              <w:sz w:val="24"/>
            </w:rPr>
            <w:fldChar w:fldCharType="begin"/>
          </w:r>
          <w:r>
            <w:rPr>
              <w:sz w:val="24"/>
            </w:rPr>
            <w:instrText xml:space="preserve"> PAGEREF _Toc43851618 \h </w:instrText>
          </w:r>
          <w:r>
            <w:rPr>
              <w:sz w:val="24"/>
            </w:rPr>
            <w:fldChar w:fldCharType="separate"/>
          </w:r>
          <w:r>
            <w:rPr>
              <w:sz w:val="24"/>
            </w:rPr>
            <w:t>13</w:t>
          </w:r>
          <w:r>
            <w:rPr>
              <w:sz w:val="24"/>
            </w:rPr>
            <w:fldChar w:fldCharType="end"/>
          </w:r>
          <w:r>
            <w:rPr>
              <w:sz w:val="24"/>
            </w:rPr>
            <w:fldChar w:fldCharType="end"/>
          </w:r>
        </w:p>
        <w:p w14:paraId="24EF174B">
          <w:pPr>
            <w:pStyle w:val="15"/>
            <w:tabs>
              <w:tab w:val="right" w:leader="dot" w:pos="8296"/>
            </w:tabs>
            <w:rPr>
              <w:rFonts w:eastAsiaTheme="minorEastAsia"/>
              <w:sz w:val="24"/>
            </w:rPr>
          </w:pPr>
          <w:r>
            <w:fldChar w:fldCharType="begin"/>
          </w:r>
          <w:r>
            <w:instrText xml:space="preserve"> HYPERLINK \l "_Toc43851619" </w:instrText>
          </w:r>
          <w:r>
            <w:fldChar w:fldCharType="separate"/>
          </w:r>
          <w:r>
            <w:rPr>
              <w:rStyle w:val="32"/>
              <w:sz w:val="24"/>
            </w:rPr>
            <w:t>（一）矿山矿权范围及开采方式</w:t>
          </w:r>
          <w:r>
            <w:rPr>
              <w:sz w:val="24"/>
            </w:rPr>
            <w:tab/>
          </w:r>
          <w:r>
            <w:rPr>
              <w:sz w:val="24"/>
            </w:rPr>
            <w:fldChar w:fldCharType="begin"/>
          </w:r>
          <w:r>
            <w:rPr>
              <w:sz w:val="24"/>
            </w:rPr>
            <w:instrText xml:space="preserve"> PAGEREF _Toc43851619 \h </w:instrText>
          </w:r>
          <w:r>
            <w:rPr>
              <w:sz w:val="24"/>
            </w:rPr>
            <w:fldChar w:fldCharType="separate"/>
          </w:r>
          <w:r>
            <w:rPr>
              <w:sz w:val="24"/>
            </w:rPr>
            <w:t>13</w:t>
          </w:r>
          <w:r>
            <w:rPr>
              <w:sz w:val="24"/>
            </w:rPr>
            <w:fldChar w:fldCharType="end"/>
          </w:r>
          <w:r>
            <w:rPr>
              <w:sz w:val="24"/>
            </w:rPr>
            <w:fldChar w:fldCharType="end"/>
          </w:r>
        </w:p>
        <w:p w14:paraId="0D3B4717">
          <w:pPr>
            <w:pStyle w:val="15"/>
            <w:tabs>
              <w:tab w:val="right" w:leader="dot" w:pos="8296"/>
            </w:tabs>
            <w:rPr>
              <w:rFonts w:eastAsiaTheme="minorEastAsia"/>
              <w:sz w:val="24"/>
            </w:rPr>
          </w:pPr>
          <w:r>
            <w:fldChar w:fldCharType="begin"/>
          </w:r>
          <w:r>
            <w:instrText xml:space="preserve"> HYPERLINK \l "_Toc43851620" </w:instrText>
          </w:r>
          <w:r>
            <w:fldChar w:fldCharType="separate"/>
          </w:r>
          <w:r>
            <w:rPr>
              <w:rStyle w:val="32"/>
              <w:sz w:val="24"/>
            </w:rPr>
            <w:t>（二）矿山储量、年产量及服务年限</w:t>
          </w:r>
          <w:r>
            <w:rPr>
              <w:sz w:val="24"/>
            </w:rPr>
            <w:tab/>
          </w:r>
          <w:r>
            <w:rPr>
              <w:sz w:val="24"/>
            </w:rPr>
            <w:fldChar w:fldCharType="begin"/>
          </w:r>
          <w:r>
            <w:rPr>
              <w:sz w:val="24"/>
            </w:rPr>
            <w:instrText xml:space="preserve"> PAGEREF _Toc43851620 \h </w:instrText>
          </w:r>
          <w:r>
            <w:rPr>
              <w:sz w:val="24"/>
            </w:rPr>
            <w:fldChar w:fldCharType="separate"/>
          </w:r>
          <w:r>
            <w:rPr>
              <w:sz w:val="24"/>
            </w:rPr>
            <w:t>13</w:t>
          </w:r>
          <w:r>
            <w:rPr>
              <w:sz w:val="24"/>
            </w:rPr>
            <w:fldChar w:fldCharType="end"/>
          </w:r>
          <w:r>
            <w:rPr>
              <w:sz w:val="24"/>
            </w:rPr>
            <w:fldChar w:fldCharType="end"/>
          </w:r>
        </w:p>
        <w:p w14:paraId="5F8B4619">
          <w:pPr>
            <w:pStyle w:val="15"/>
            <w:tabs>
              <w:tab w:val="right" w:leader="dot" w:pos="8296"/>
            </w:tabs>
            <w:rPr>
              <w:rFonts w:eastAsiaTheme="minorEastAsia"/>
              <w:sz w:val="24"/>
            </w:rPr>
          </w:pPr>
          <w:r>
            <w:fldChar w:fldCharType="begin"/>
          </w:r>
          <w:r>
            <w:instrText xml:space="preserve"> HYPERLINK \l "_Toc43851621" </w:instrText>
          </w:r>
          <w:r>
            <w:fldChar w:fldCharType="separate"/>
          </w:r>
          <w:r>
            <w:rPr>
              <w:rStyle w:val="32"/>
              <w:sz w:val="24"/>
            </w:rPr>
            <w:t>（三）矿山工程布局</w:t>
          </w:r>
          <w:r>
            <w:rPr>
              <w:sz w:val="24"/>
            </w:rPr>
            <w:tab/>
          </w:r>
          <w:r>
            <w:rPr>
              <w:sz w:val="24"/>
            </w:rPr>
            <w:fldChar w:fldCharType="begin"/>
          </w:r>
          <w:r>
            <w:rPr>
              <w:sz w:val="24"/>
            </w:rPr>
            <w:instrText xml:space="preserve"> PAGEREF _Toc43851621 \h </w:instrText>
          </w:r>
          <w:r>
            <w:rPr>
              <w:sz w:val="24"/>
            </w:rPr>
            <w:fldChar w:fldCharType="separate"/>
          </w:r>
          <w:r>
            <w:rPr>
              <w:sz w:val="24"/>
            </w:rPr>
            <w:t>13</w:t>
          </w:r>
          <w:r>
            <w:rPr>
              <w:sz w:val="24"/>
            </w:rPr>
            <w:fldChar w:fldCharType="end"/>
          </w:r>
          <w:r>
            <w:rPr>
              <w:sz w:val="24"/>
            </w:rPr>
            <w:fldChar w:fldCharType="end"/>
          </w:r>
        </w:p>
        <w:p w14:paraId="5699C6F6">
          <w:pPr>
            <w:pStyle w:val="15"/>
            <w:tabs>
              <w:tab w:val="right" w:leader="dot" w:pos="8296"/>
            </w:tabs>
            <w:rPr>
              <w:rFonts w:eastAsiaTheme="minorEastAsia"/>
              <w:sz w:val="24"/>
            </w:rPr>
          </w:pPr>
          <w:r>
            <w:fldChar w:fldCharType="begin"/>
          </w:r>
          <w:r>
            <w:instrText xml:space="preserve"> HYPERLINK \l "_Toc43851622" </w:instrText>
          </w:r>
          <w:r>
            <w:fldChar w:fldCharType="separate"/>
          </w:r>
          <w:r>
            <w:rPr>
              <w:rStyle w:val="32"/>
              <w:sz w:val="24"/>
            </w:rPr>
            <w:t>（四）矿山开拓运输方案</w:t>
          </w:r>
          <w:r>
            <w:rPr>
              <w:sz w:val="24"/>
            </w:rPr>
            <w:tab/>
          </w:r>
          <w:r>
            <w:rPr>
              <w:sz w:val="24"/>
            </w:rPr>
            <w:fldChar w:fldCharType="begin"/>
          </w:r>
          <w:r>
            <w:rPr>
              <w:sz w:val="24"/>
            </w:rPr>
            <w:instrText xml:space="preserve"> PAGEREF _Toc43851622 \h </w:instrText>
          </w:r>
          <w:r>
            <w:rPr>
              <w:sz w:val="24"/>
            </w:rPr>
            <w:fldChar w:fldCharType="separate"/>
          </w:r>
          <w:r>
            <w:rPr>
              <w:sz w:val="24"/>
            </w:rPr>
            <w:t>14</w:t>
          </w:r>
          <w:r>
            <w:rPr>
              <w:sz w:val="24"/>
            </w:rPr>
            <w:fldChar w:fldCharType="end"/>
          </w:r>
          <w:r>
            <w:rPr>
              <w:sz w:val="24"/>
            </w:rPr>
            <w:fldChar w:fldCharType="end"/>
          </w:r>
        </w:p>
        <w:p w14:paraId="3FB638E4">
          <w:pPr>
            <w:pStyle w:val="15"/>
            <w:tabs>
              <w:tab w:val="right" w:leader="dot" w:pos="8296"/>
            </w:tabs>
            <w:rPr>
              <w:rFonts w:eastAsiaTheme="minorEastAsia"/>
              <w:sz w:val="24"/>
            </w:rPr>
          </w:pPr>
          <w:r>
            <w:fldChar w:fldCharType="begin"/>
          </w:r>
          <w:r>
            <w:instrText xml:space="preserve"> HYPERLINK \l "_Toc43851623" </w:instrText>
          </w:r>
          <w:r>
            <w:fldChar w:fldCharType="separate"/>
          </w:r>
          <w:r>
            <w:rPr>
              <w:rStyle w:val="32"/>
              <w:sz w:val="24"/>
            </w:rPr>
            <w:t>（五）矿山产品方案</w:t>
          </w:r>
          <w:r>
            <w:rPr>
              <w:sz w:val="24"/>
            </w:rPr>
            <w:tab/>
          </w:r>
          <w:r>
            <w:rPr>
              <w:sz w:val="24"/>
            </w:rPr>
            <w:fldChar w:fldCharType="begin"/>
          </w:r>
          <w:r>
            <w:rPr>
              <w:sz w:val="24"/>
            </w:rPr>
            <w:instrText xml:space="preserve"> PAGEREF _Toc43851623 \h </w:instrText>
          </w:r>
          <w:r>
            <w:rPr>
              <w:sz w:val="24"/>
            </w:rPr>
            <w:fldChar w:fldCharType="separate"/>
          </w:r>
          <w:r>
            <w:rPr>
              <w:sz w:val="24"/>
            </w:rPr>
            <w:t>14</w:t>
          </w:r>
          <w:r>
            <w:rPr>
              <w:sz w:val="24"/>
            </w:rPr>
            <w:fldChar w:fldCharType="end"/>
          </w:r>
          <w:r>
            <w:rPr>
              <w:sz w:val="24"/>
            </w:rPr>
            <w:fldChar w:fldCharType="end"/>
          </w:r>
        </w:p>
        <w:p w14:paraId="533506E5">
          <w:pPr>
            <w:pStyle w:val="15"/>
            <w:tabs>
              <w:tab w:val="right" w:leader="dot" w:pos="8296"/>
            </w:tabs>
            <w:rPr>
              <w:rFonts w:eastAsiaTheme="minorEastAsia"/>
              <w:sz w:val="24"/>
            </w:rPr>
          </w:pPr>
          <w:r>
            <w:fldChar w:fldCharType="begin"/>
          </w:r>
          <w:r>
            <w:instrText xml:space="preserve"> HYPERLINK \l "_Toc43851624" </w:instrText>
          </w:r>
          <w:r>
            <w:fldChar w:fldCharType="separate"/>
          </w:r>
          <w:r>
            <w:rPr>
              <w:rStyle w:val="32"/>
              <w:sz w:val="24"/>
            </w:rPr>
            <w:t>（六）矿山边坡管理</w:t>
          </w:r>
          <w:r>
            <w:rPr>
              <w:sz w:val="24"/>
            </w:rPr>
            <w:tab/>
          </w:r>
          <w:r>
            <w:rPr>
              <w:sz w:val="24"/>
            </w:rPr>
            <w:fldChar w:fldCharType="begin"/>
          </w:r>
          <w:r>
            <w:rPr>
              <w:sz w:val="24"/>
            </w:rPr>
            <w:instrText xml:space="preserve"> PAGEREF _Toc43851624 \h </w:instrText>
          </w:r>
          <w:r>
            <w:rPr>
              <w:sz w:val="24"/>
            </w:rPr>
            <w:fldChar w:fldCharType="separate"/>
          </w:r>
          <w:r>
            <w:rPr>
              <w:sz w:val="24"/>
            </w:rPr>
            <w:t>14</w:t>
          </w:r>
          <w:r>
            <w:rPr>
              <w:sz w:val="24"/>
            </w:rPr>
            <w:fldChar w:fldCharType="end"/>
          </w:r>
          <w:r>
            <w:rPr>
              <w:sz w:val="24"/>
            </w:rPr>
            <w:fldChar w:fldCharType="end"/>
          </w:r>
        </w:p>
        <w:p w14:paraId="3809CC6E">
          <w:pPr>
            <w:pStyle w:val="15"/>
            <w:tabs>
              <w:tab w:val="right" w:leader="dot" w:pos="8296"/>
            </w:tabs>
            <w:rPr>
              <w:rFonts w:eastAsiaTheme="minorEastAsia"/>
              <w:sz w:val="24"/>
            </w:rPr>
          </w:pPr>
          <w:r>
            <w:fldChar w:fldCharType="begin"/>
          </w:r>
          <w:r>
            <w:instrText xml:space="preserve"> HYPERLINK \l "_Toc43851625" </w:instrText>
          </w:r>
          <w:r>
            <w:fldChar w:fldCharType="separate"/>
          </w:r>
          <w:r>
            <w:rPr>
              <w:rStyle w:val="32"/>
              <w:sz w:val="24"/>
            </w:rPr>
            <w:t>（七）矿山排水</w:t>
          </w:r>
          <w:r>
            <w:rPr>
              <w:sz w:val="24"/>
            </w:rPr>
            <w:tab/>
          </w:r>
          <w:r>
            <w:rPr>
              <w:sz w:val="24"/>
            </w:rPr>
            <w:fldChar w:fldCharType="begin"/>
          </w:r>
          <w:r>
            <w:rPr>
              <w:sz w:val="24"/>
            </w:rPr>
            <w:instrText xml:space="preserve"> PAGEREF _Toc43851625 \h </w:instrText>
          </w:r>
          <w:r>
            <w:rPr>
              <w:sz w:val="24"/>
            </w:rPr>
            <w:fldChar w:fldCharType="separate"/>
          </w:r>
          <w:r>
            <w:rPr>
              <w:sz w:val="24"/>
            </w:rPr>
            <w:t>15</w:t>
          </w:r>
          <w:r>
            <w:rPr>
              <w:sz w:val="24"/>
            </w:rPr>
            <w:fldChar w:fldCharType="end"/>
          </w:r>
          <w:r>
            <w:rPr>
              <w:sz w:val="24"/>
            </w:rPr>
            <w:fldChar w:fldCharType="end"/>
          </w:r>
        </w:p>
        <w:p w14:paraId="6DE81C85">
          <w:pPr>
            <w:pStyle w:val="15"/>
            <w:tabs>
              <w:tab w:val="right" w:leader="dot" w:pos="8296"/>
            </w:tabs>
            <w:rPr>
              <w:rFonts w:eastAsiaTheme="minorEastAsia"/>
              <w:sz w:val="24"/>
            </w:rPr>
          </w:pPr>
          <w:r>
            <w:fldChar w:fldCharType="begin"/>
          </w:r>
          <w:r>
            <w:instrText xml:space="preserve"> HYPERLINK \l "_Toc43851626" </w:instrText>
          </w:r>
          <w:r>
            <w:fldChar w:fldCharType="separate"/>
          </w:r>
          <w:r>
            <w:rPr>
              <w:rStyle w:val="32"/>
              <w:sz w:val="24"/>
            </w:rPr>
            <w:t>（八）露天开采境界</w:t>
          </w:r>
          <w:r>
            <w:rPr>
              <w:sz w:val="24"/>
            </w:rPr>
            <w:tab/>
          </w:r>
          <w:r>
            <w:rPr>
              <w:sz w:val="24"/>
            </w:rPr>
            <w:fldChar w:fldCharType="begin"/>
          </w:r>
          <w:r>
            <w:rPr>
              <w:sz w:val="24"/>
            </w:rPr>
            <w:instrText xml:space="preserve"> PAGEREF _Toc43851626 \h </w:instrText>
          </w:r>
          <w:r>
            <w:rPr>
              <w:sz w:val="24"/>
            </w:rPr>
            <w:fldChar w:fldCharType="separate"/>
          </w:r>
          <w:r>
            <w:rPr>
              <w:sz w:val="24"/>
            </w:rPr>
            <w:t>15</w:t>
          </w:r>
          <w:r>
            <w:rPr>
              <w:sz w:val="24"/>
            </w:rPr>
            <w:fldChar w:fldCharType="end"/>
          </w:r>
          <w:r>
            <w:rPr>
              <w:sz w:val="24"/>
            </w:rPr>
            <w:fldChar w:fldCharType="end"/>
          </w:r>
        </w:p>
        <w:p w14:paraId="558CAB69">
          <w:pPr>
            <w:pStyle w:val="22"/>
            <w:tabs>
              <w:tab w:val="right" w:leader="dot" w:pos="8296"/>
            </w:tabs>
            <w:rPr>
              <w:rFonts w:eastAsiaTheme="minorEastAsia"/>
              <w:sz w:val="24"/>
            </w:rPr>
          </w:pPr>
          <w:r>
            <w:fldChar w:fldCharType="begin"/>
          </w:r>
          <w:r>
            <w:instrText xml:space="preserve"> HYPERLINK \l "_Toc43851627" </w:instrText>
          </w:r>
          <w:r>
            <w:fldChar w:fldCharType="separate"/>
          </w:r>
          <w:r>
            <w:rPr>
              <w:rStyle w:val="32"/>
              <w:kern w:val="0"/>
              <w:sz w:val="24"/>
            </w:rPr>
            <w:t>四、矿山开采历史、现状</w:t>
          </w:r>
          <w:r>
            <w:rPr>
              <w:sz w:val="24"/>
            </w:rPr>
            <w:tab/>
          </w:r>
          <w:r>
            <w:rPr>
              <w:sz w:val="24"/>
            </w:rPr>
            <w:fldChar w:fldCharType="begin"/>
          </w:r>
          <w:r>
            <w:rPr>
              <w:sz w:val="24"/>
            </w:rPr>
            <w:instrText xml:space="preserve"> PAGEREF _Toc43851627 \h </w:instrText>
          </w:r>
          <w:r>
            <w:rPr>
              <w:sz w:val="24"/>
            </w:rPr>
            <w:fldChar w:fldCharType="separate"/>
          </w:r>
          <w:r>
            <w:rPr>
              <w:sz w:val="24"/>
            </w:rPr>
            <w:t>16</w:t>
          </w:r>
          <w:r>
            <w:rPr>
              <w:sz w:val="24"/>
            </w:rPr>
            <w:fldChar w:fldCharType="end"/>
          </w:r>
          <w:r>
            <w:rPr>
              <w:sz w:val="24"/>
            </w:rPr>
            <w:fldChar w:fldCharType="end"/>
          </w:r>
        </w:p>
        <w:p w14:paraId="19D4A5FC">
          <w:pPr>
            <w:pStyle w:val="22"/>
            <w:tabs>
              <w:tab w:val="right" w:leader="dot" w:pos="8296"/>
            </w:tabs>
            <w:rPr>
              <w:rFonts w:eastAsiaTheme="minorEastAsia"/>
              <w:sz w:val="24"/>
            </w:rPr>
          </w:pPr>
          <w:r>
            <w:fldChar w:fldCharType="begin"/>
          </w:r>
          <w:r>
            <w:instrText xml:space="preserve"> HYPERLINK \l "_Toc43851628" </w:instrText>
          </w:r>
          <w:r>
            <w:fldChar w:fldCharType="separate"/>
          </w:r>
          <w:r>
            <w:rPr>
              <w:rStyle w:val="32"/>
              <w:b/>
              <w:bCs/>
              <w:kern w:val="44"/>
              <w:sz w:val="24"/>
            </w:rPr>
            <w:t>第二章矿山基本信息</w:t>
          </w:r>
          <w:r>
            <w:rPr>
              <w:sz w:val="24"/>
            </w:rPr>
            <w:tab/>
          </w:r>
          <w:r>
            <w:rPr>
              <w:sz w:val="24"/>
            </w:rPr>
            <w:fldChar w:fldCharType="begin"/>
          </w:r>
          <w:r>
            <w:rPr>
              <w:sz w:val="24"/>
            </w:rPr>
            <w:instrText xml:space="preserve"> PAGEREF _Toc43851628 \h </w:instrText>
          </w:r>
          <w:r>
            <w:rPr>
              <w:sz w:val="24"/>
            </w:rPr>
            <w:fldChar w:fldCharType="separate"/>
          </w:r>
          <w:r>
            <w:rPr>
              <w:sz w:val="24"/>
            </w:rPr>
            <w:t>17</w:t>
          </w:r>
          <w:r>
            <w:rPr>
              <w:sz w:val="24"/>
            </w:rPr>
            <w:fldChar w:fldCharType="end"/>
          </w:r>
          <w:r>
            <w:rPr>
              <w:sz w:val="24"/>
            </w:rPr>
            <w:fldChar w:fldCharType="end"/>
          </w:r>
        </w:p>
        <w:p w14:paraId="0799507F">
          <w:pPr>
            <w:pStyle w:val="22"/>
            <w:tabs>
              <w:tab w:val="right" w:leader="dot" w:pos="8296"/>
            </w:tabs>
            <w:rPr>
              <w:rFonts w:eastAsiaTheme="minorEastAsia"/>
              <w:sz w:val="24"/>
            </w:rPr>
          </w:pPr>
          <w:r>
            <w:fldChar w:fldCharType="begin"/>
          </w:r>
          <w:r>
            <w:instrText xml:space="preserve"> HYPERLINK \l "_Toc43851629" </w:instrText>
          </w:r>
          <w:r>
            <w:fldChar w:fldCharType="separate"/>
          </w:r>
          <w:r>
            <w:rPr>
              <w:rStyle w:val="32"/>
              <w:kern w:val="0"/>
              <w:sz w:val="24"/>
            </w:rPr>
            <w:t>一、矿区自然地理</w:t>
          </w:r>
          <w:r>
            <w:rPr>
              <w:sz w:val="24"/>
            </w:rPr>
            <w:tab/>
          </w:r>
          <w:r>
            <w:rPr>
              <w:sz w:val="24"/>
            </w:rPr>
            <w:fldChar w:fldCharType="begin"/>
          </w:r>
          <w:r>
            <w:rPr>
              <w:sz w:val="24"/>
            </w:rPr>
            <w:instrText xml:space="preserve"> PAGEREF _Toc43851629 \h </w:instrText>
          </w:r>
          <w:r>
            <w:rPr>
              <w:sz w:val="24"/>
            </w:rPr>
            <w:fldChar w:fldCharType="separate"/>
          </w:r>
          <w:r>
            <w:rPr>
              <w:sz w:val="24"/>
            </w:rPr>
            <w:t>17</w:t>
          </w:r>
          <w:r>
            <w:rPr>
              <w:sz w:val="24"/>
            </w:rPr>
            <w:fldChar w:fldCharType="end"/>
          </w:r>
          <w:r>
            <w:rPr>
              <w:sz w:val="24"/>
            </w:rPr>
            <w:fldChar w:fldCharType="end"/>
          </w:r>
        </w:p>
        <w:p w14:paraId="77646732">
          <w:pPr>
            <w:pStyle w:val="15"/>
            <w:tabs>
              <w:tab w:val="right" w:leader="dot" w:pos="8296"/>
            </w:tabs>
            <w:rPr>
              <w:rFonts w:eastAsiaTheme="minorEastAsia"/>
              <w:sz w:val="24"/>
            </w:rPr>
          </w:pPr>
          <w:r>
            <w:fldChar w:fldCharType="begin"/>
          </w:r>
          <w:r>
            <w:instrText xml:space="preserve"> HYPERLINK \l "_Toc43851630" </w:instrText>
          </w:r>
          <w:r>
            <w:fldChar w:fldCharType="separate"/>
          </w:r>
          <w:r>
            <w:rPr>
              <w:rStyle w:val="32"/>
              <w:sz w:val="24"/>
            </w:rPr>
            <w:t>（一）气象</w:t>
          </w:r>
          <w:r>
            <w:rPr>
              <w:sz w:val="24"/>
            </w:rPr>
            <w:tab/>
          </w:r>
          <w:r>
            <w:rPr>
              <w:sz w:val="24"/>
            </w:rPr>
            <w:fldChar w:fldCharType="begin"/>
          </w:r>
          <w:r>
            <w:rPr>
              <w:sz w:val="24"/>
            </w:rPr>
            <w:instrText xml:space="preserve"> PAGEREF _Toc43851630 \h </w:instrText>
          </w:r>
          <w:r>
            <w:rPr>
              <w:sz w:val="24"/>
            </w:rPr>
            <w:fldChar w:fldCharType="separate"/>
          </w:r>
          <w:r>
            <w:rPr>
              <w:sz w:val="24"/>
            </w:rPr>
            <w:t>17</w:t>
          </w:r>
          <w:r>
            <w:rPr>
              <w:sz w:val="24"/>
            </w:rPr>
            <w:fldChar w:fldCharType="end"/>
          </w:r>
          <w:r>
            <w:rPr>
              <w:sz w:val="24"/>
            </w:rPr>
            <w:fldChar w:fldCharType="end"/>
          </w:r>
        </w:p>
        <w:p w14:paraId="2C509DB1">
          <w:pPr>
            <w:pStyle w:val="15"/>
            <w:tabs>
              <w:tab w:val="right" w:leader="dot" w:pos="8296"/>
            </w:tabs>
            <w:rPr>
              <w:rFonts w:eastAsiaTheme="minorEastAsia"/>
              <w:sz w:val="24"/>
            </w:rPr>
          </w:pPr>
          <w:r>
            <w:fldChar w:fldCharType="begin"/>
          </w:r>
          <w:r>
            <w:instrText xml:space="preserve"> HYPERLINK \l "_Toc43851631" </w:instrText>
          </w:r>
          <w:r>
            <w:fldChar w:fldCharType="separate"/>
          </w:r>
          <w:r>
            <w:rPr>
              <w:rStyle w:val="32"/>
              <w:sz w:val="24"/>
            </w:rPr>
            <w:t>（二）水文</w:t>
          </w:r>
          <w:r>
            <w:rPr>
              <w:sz w:val="24"/>
            </w:rPr>
            <w:tab/>
          </w:r>
          <w:r>
            <w:rPr>
              <w:sz w:val="24"/>
            </w:rPr>
            <w:fldChar w:fldCharType="begin"/>
          </w:r>
          <w:r>
            <w:rPr>
              <w:sz w:val="24"/>
            </w:rPr>
            <w:instrText xml:space="preserve"> PAGEREF _Toc43851631 \h </w:instrText>
          </w:r>
          <w:r>
            <w:rPr>
              <w:sz w:val="24"/>
            </w:rPr>
            <w:fldChar w:fldCharType="separate"/>
          </w:r>
          <w:r>
            <w:rPr>
              <w:sz w:val="24"/>
            </w:rPr>
            <w:t>17</w:t>
          </w:r>
          <w:r>
            <w:rPr>
              <w:sz w:val="24"/>
            </w:rPr>
            <w:fldChar w:fldCharType="end"/>
          </w:r>
          <w:r>
            <w:rPr>
              <w:sz w:val="24"/>
            </w:rPr>
            <w:fldChar w:fldCharType="end"/>
          </w:r>
        </w:p>
        <w:p w14:paraId="1A1F3436">
          <w:pPr>
            <w:pStyle w:val="15"/>
            <w:tabs>
              <w:tab w:val="right" w:leader="dot" w:pos="8296"/>
            </w:tabs>
            <w:rPr>
              <w:rFonts w:eastAsiaTheme="minorEastAsia"/>
              <w:sz w:val="24"/>
            </w:rPr>
          </w:pPr>
          <w:r>
            <w:fldChar w:fldCharType="begin"/>
          </w:r>
          <w:r>
            <w:instrText xml:space="preserve"> HYPERLINK \l "_Toc43851632" </w:instrText>
          </w:r>
          <w:r>
            <w:fldChar w:fldCharType="separate"/>
          </w:r>
          <w:r>
            <w:rPr>
              <w:rStyle w:val="32"/>
              <w:sz w:val="24"/>
            </w:rPr>
            <w:t>（三）地形地貌</w:t>
          </w:r>
          <w:r>
            <w:rPr>
              <w:sz w:val="24"/>
            </w:rPr>
            <w:tab/>
          </w:r>
          <w:r>
            <w:rPr>
              <w:sz w:val="24"/>
            </w:rPr>
            <w:fldChar w:fldCharType="begin"/>
          </w:r>
          <w:r>
            <w:rPr>
              <w:sz w:val="24"/>
            </w:rPr>
            <w:instrText xml:space="preserve"> PAGEREF _Toc43851632 \h </w:instrText>
          </w:r>
          <w:r>
            <w:rPr>
              <w:sz w:val="24"/>
            </w:rPr>
            <w:fldChar w:fldCharType="separate"/>
          </w:r>
          <w:r>
            <w:rPr>
              <w:sz w:val="24"/>
            </w:rPr>
            <w:t>17</w:t>
          </w:r>
          <w:r>
            <w:rPr>
              <w:sz w:val="24"/>
            </w:rPr>
            <w:fldChar w:fldCharType="end"/>
          </w:r>
          <w:r>
            <w:rPr>
              <w:sz w:val="24"/>
            </w:rPr>
            <w:fldChar w:fldCharType="end"/>
          </w:r>
        </w:p>
        <w:p w14:paraId="130756F8">
          <w:pPr>
            <w:pStyle w:val="15"/>
            <w:tabs>
              <w:tab w:val="right" w:leader="dot" w:pos="8296"/>
            </w:tabs>
            <w:rPr>
              <w:rFonts w:eastAsiaTheme="minorEastAsia"/>
              <w:sz w:val="24"/>
            </w:rPr>
          </w:pPr>
          <w:r>
            <w:fldChar w:fldCharType="begin"/>
          </w:r>
          <w:r>
            <w:instrText xml:space="preserve"> HYPERLINK \l "_Toc43851633" </w:instrText>
          </w:r>
          <w:r>
            <w:fldChar w:fldCharType="separate"/>
          </w:r>
          <w:r>
            <w:rPr>
              <w:rStyle w:val="32"/>
              <w:sz w:val="24"/>
            </w:rPr>
            <w:t>（四）植被</w:t>
          </w:r>
          <w:r>
            <w:rPr>
              <w:sz w:val="24"/>
            </w:rPr>
            <w:tab/>
          </w:r>
          <w:r>
            <w:rPr>
              <w:sz w:val="24"/>
            </w:rPr>
            <w:fldChar w:fldCharType="begin"/>
          </w:r>
          <w:r>
            <w:rPr>
              <w:sz w:val="24"/>
            </w:rPr>
            <w:instrText xml:space="preserve"> PAGEREF _Toc43851633 \h </w:instrText>
          </w:r>
          <w:r>
            <w:rPr>
              <w:sz w:val="24"/>
            </w:rPr>
            <w:fldChar w:fldCharType="separate"/>
          </w:r>
          <w:r>
            <w:rPr>
              <w:sz w:val="24"/>
            </w:rPr>
            <w:t>18</w:t>
          </w:r>
          <w:r>
            <w:rPr>
              <w:sz w:val="24"/>
            </w:rPr>
            <w:fldChar w:fldCharType="end"/>
          </w:r>
          <w:r>
            <w:rPr>
              <w:sz w:val="24"/>
            </w:rPr>
            <w:fldChar w:fldCharType="end"/>
          </w:r>
        </w:p>
        <w:p w14:paraId="0738B374">
          <w:pPr>
            <w:pStyle w:val="15"/>
            <w:tabs>
              <w:tab w:val="right" w:leader="dot" w:pos="8296"/>
            </w:tabs>
            <w:rPr>
              <w:rFonts w:eastAsiaTheme="minorEastAsia"/>
              <w:sz w:val="24"/>
            </w:rPr>
          </w:pPr>
          <w:r>
            <w:fldChar w:fldCharType="begin"/>
          </w:r>
          <w:r>
            <w:instrText xml:space="preserve"> HYPERLINK \l "_Toc43851634" </w:instrText>
          </w:r>
          <w:r>
            <w:fldChar w:fldCharType="separate"/>
          </w:r>
          <w:r>
            <w:rPr>
              <w:rStyle w:val="32"/>
              <w:sz w:val="24"/>
            </w:rPr>
            <w:t>（五）土壤</w:t>
          </w:r>
          <w:r>
            <w:rPr>
              <w:sz w:val="24"/>
            </w:rPr>
            <w:tab/>
          </w:r>
          <w:r>
            <w:rPr>
              <w:sz w:val="24"/>
            </w:rPr>
            <w:fldChar w:fldCharType="begin"/>
          </w:r>
          <w:r>
            <w:rPr>
              <w:sz w:val="24"/>
            </w:rPr>
            <w:instrText xml:space="preserve"> PAGEREF _Toc43851634 \h </w:instrText>
          </w:r>
          <w:r>
            <w:rPr>
              <w:sz w:val="24"/>
            </w:rPr>
            <w:fldChar w:fldCharType="separate"/>
          </w:r>
          <w:r>
            <w:rPr>
              <w:sz w:val="24"/>
            </w:rPr>
            <w:t>19</w:t>
          </w:r>
          <w:r>
            <w:rPr>
              <w:sz w:val="24"/>
            </w:rPr>
            <w:fldChar w:fldCharType="end"/>
          </w:r>
          <w:r>
            <w:rPr>
              <w:sz w:val="24"/>
            </w:rPr>
            <w:fldChar w:fldCharType="end"/>
          </w:r>
        </w:p>
        <w:p w14:paraId="224754C0">
          <w:pPr>
            <w:pStyle w:val="22"/>
            <w:tabs>
              <w:tab w:val="right" w:leader="dot" w:pos="8296"/>
            </w:tabs>
            <w:rPr>
              <w:rFonts w:eastAsiaTheme="minorEastAsia"/>
              <w:sz w:val="24"/>
            </w:rPr>
          </w:pPr>
          <w:r>
            <w:fldChar w:fldCharType="begin"/>
          </w:r>
          <w:r>
            <w:instrText xml:space="preserve"> HYPERLINK \l "_Toc43851635" </w:instrText>
          </w:r>
          <w:r>
            <w:fldChar w:fldCharType="separate"/>
          </w:r>
          <w:r>
            <w:rPr>
              <w:rStyle w:val="32"/>
              <w:kern w:val="0"/>
              <w:sz w:val="24"/>
            </w:rPr>
            <w:t>二、矿区地质环境背景</w:t>
          </w:r>
          <w:r>
            <w:rPr>
              <w:sz w:val="24"/>
            </w:rPr>
            <w:tab/>
          </w:r>
          <w:r>
            <w:rPr>
              <w:sz w:val="24"/>
            </w:rPr>
            <w:fldChar w:fldCharType="begin"/>
          </w:r>
          <w:r>
            <w:rPr>
              <w:sz w:val="24"/>
            </w:rPr>
            <w:instrText xml:space="preserve"> PAGEREF _Toc43851635 \h </w:instrText>
          </w:r>
          <w:r>
            <w:rPr>
              <w:sz w:val="24"/>
            </w:rPr>
            <w:fldChar w:fldCharType="separate"/>
          </w:r>
          <w:r>
            <w:rPr>
              <w:sz w:val="24"/>
            </w:rPr>
            <w:t>19</w:t>
          </w:r>
          <w:r>
            <w:rPr>
              <w:sz w:val="24"/>
            </w:rPr>
            <w:fldChar w:fldCharType="end"/>
          </w:r>
          <w:r>
            <w:rPr>
              <w:sz w:val="24"/>
            </w:rPr>
            <w:fldChar w:fldCharType="end"/>
          </w:r>
        </w:p>
        <w:p w14:paraId="1448F187">
          <w:pPr>
            <w:pStyle w:val="15"/>
            <w:tabs>
              <w:tab w:val="right" w:leader="dot" w:pos="8296"/>
            </w:tabs>
            <w:rPr>
              <w:rFonts w:eastAsiaTheme="minorEastAsia"/>
              <w:sz w:val="24"/>
            </w:rPr>
          </w:pPr>
          <w:r>
            <w:fldChar w:fldCharType="begin"/>
          </w:r>
          <w:r>
            <w:instrText xml:space="preserve"> HYPERLINK \l "_Toc43851636" </w:instrText>
          </w:r>
          <w:r>
            <w:fldChar w:fldCharType="separate"/>
          </w:r>
          <w:r>
            <w:rPr>
              <w:rStyle w:val="32"/>
              <w:sz w:val="24"/>
            </w:rPr>
            <w:t>（一）地层岩性</w:t>
          </w:r>
          <w:r>
            <w:rPr>
              <w:sz w:val="24"/>
            </w:rPr>
            <w:tab/>
          </w:r>
          <w:r>
            <w:rPr>
              <w:sz w:val="24"/>
            </w:rPr>
            <w:fldChar w:fldCharType="begin"/>
          </w:r>
          <w:r>
            <w:rPr>
              <w:sz w:val="24"/>
            </w:rPr>
            <w:instrText xml:space="preserve"> PAGEREF _Toc43851636 \h </w:instrText>
          </w:r>
          <w:r>
            <w:rPr>
              <w:sz w:val="24"/>
            </w:rPr>
            <w:fldChar w:fldCharType="separate"/>
          </w:r>
          <w:r>
            <w:rPr>
              <w:sz w:val="24"/>
            </w:rPr>
            <w:t>19</w:t>
          </w:r>
          <w:r>
            <w:rPr>
              <w:sz w:val="24"/>
            </w:rPr>
            <w:fldChar w:fldCharType="end"/>
          </w:r>
          <w:r>
            <w:rPr>
              <w:sz w:val="24"/>
            </w:rPr>
            <w:fldChar w:fldCharType="end"/>
          </w:r>
        </w:p>
        <w:p w14:paraId="18519396">
          <w:pPr>
            <w:pStyle w:val="15"/>
            <w:tabs>
              <w:tab w:val="right" w:leader="dot" w:pos="8296"/>
            </w:tabs>
            <w:rPr>
              <w:rFonts w:eastAsiaTheme="minorEastAsia"/>
              <w:sz w:val="24"/>
            </w:rPr>
          </w:pPr>
          <w:r>
            <w:fldChar w:fldCharType="begin"/>
          </w:r>
          <w:r>
            <w:instrText xml:space="preserve"> HYPERLINK \l "_Toc43851637" </w:instrText>
          </w:r>
          <w:r>
            <w:fldChar w:fldCharType="separate"/>
          </w:r>
          <w:r>
            <w:rPr>
              <w:rStyle w:val="32"/>
              <w:sz w:val="24"/>
            </w:rPr>
            <w:t>（二）地质构造</w:t>
          </w:r>
          <w:r>
            <w:rPr>
              <w:sz w:val="24"/>
            </w:rPr>
            <w:tab/>
          </w:r>
          <w:r>
            <w:rPr>
              <w:sz w:val="24"/>
            </w:rPr>
            <w:fldChar w:fldCharType="begin"/>
          </w:r>
          <w:r>
            <w:rPr>
              <w:sz w:val="24"/>
            </w:rPr>
            <w:instrText xml:space="preserve"> PAGEREF _Toc43851637 \h </w:instrText>
          </w:r>
          <w:r>
            <w:rPr>
              <w:sz w:val="24"/>
            </w:rPr>
            <w:fldChar w:fldCharType="separate"/>
          </w:r>
          <w:r>
            <w:rPr>
              <w:sz w:val="24"/>
            </w:rPr>
            <w:t>20</w:t>
          </w:r>
          <w:r>
            <w:rPr>
              <w:sz w:val="24"/>
            </w:rPr>
            <w:fldChar w:fldCharType="end"/>
          </w:r>
          <w:r>
            <w:rPr>
              <w:sz w:val="24"/>
            </w:rPr>
            <w:fldChar w:fldCharType="end"/>
          </w:r>
        </w:p>
        <w:p w14:paraId="40ACB3F0">
          <w:pPr>
            <w:pStyle w:val="15"/>
            <w:tabs>
              <w:tab w:val="right" w:leader="dot" w:pos="8296"/>
            </w:tabs>
            <w:rPr>
              <w:rFonts w:eastAsiaTheme="minorEastAsia"/>
              <w:sz w:val="24"/>
            </w:rPr>
          </w:pPr>
          <w:r>
            <w:fldChar w:fldCharType="begin"/>
          </w:r>
          <w:r>
            <w:instrText xml:space="preserve"> HYPERLINK \l "_Toc43851638" </w:instrText>
          </w:r>
          <w:r>
            <w:fldChar w:fldCharType="separate"/>
          </w:r>
          <w:r>
            <w:rPr>
              <w:rStyle w:val="32"/>
              <w:sz w:val="24"/>
            </w:rPr>
            <w:t>（三）水文地质</w:t>
          </w:r>
          <w:r>
            <w:rPr>
              <w:sz w:val="24"/>
            </w:rPr>
            <w:tab/>
          </w:r>
          <w:r>
            <w:rPr>
              <w:sz w:val="24"/>
            </w:rPr>
            <w:fldChar w:fldCharType="begin"/>
          </w:r>
          <w:r>
            <w:rPr>
              <w:sz w:val="24"/>
            </w:rPr>
            <w:instrText xml:space="preserve"> PAGEREF _Toc43851638 \h </w:instrText>
          </w:r>
          <w:r>
            <w:rPr>
              <w:sz w:val="24"/>
            </w:rPr>
            <w:fldChar w:fldCharType="separate"/>
          </w:r>
          <w:r>
            <w:rPr>
              <w:sz w:val="24"/>
            </w:rPr>
            <w:t>20</w:t>
          </w:r>
          <w:r>
            <w:rPr>
              <w:sz w:val="24"/>
            </w:rPr>
            <w:fldChar w:fldCharType="end"/>
          </w:r>
          <w:r>
            <w:rPr>
              <w:sz w:val="24"/>
            </w:rPr>
            <w:fldChar w:fldCharType="end"/>
          </w:r>
        </w:p>
        <w:p w14:paraId="72F54C5D">
          <w:pPr>
            <w:pStyle w:val="15"/>
            <w:tabs>
              <w:tab w:val="right" w:leader="dot" w:pos="8296"/>
            </w:tabs>
            <w:rPr>
              <w:rFonts w:eastAsiaTheme="minorEastAsia"/>
              <w:sz w:val="24"/>
            </w:rPr>
          </w:pPr>
          <w:r>
            <w:fldChar w:fldCharType="begin"/>
          </w:r>
          <w:r>
            <w:instrText xml:space="preserve"> HYPERLINK \l "_Toc43851639" </w:instrText>
          </w:r>
          <w:r>
            <w:fldChar w:fldCharType="separate"/>
          </w:r>
          <w:r>
            <w:rPr>
              <w:rStyle w:val="32"/>
              <w:sz w:val="24"/>
            </w:rPr>
            <w:t>（四）工程地质</w:t>
          </w:r>
          <w:r>
            <w:rPr>
              <w:sz w:val="24"/>
            </w:rPr>
            <w:tab/>
          </w:r>
          <w:r>
            <w:rPr>
              <w:sz w:val="24"/>
            </w:rPr>
            <w:fldChar w:fldCharType="begin"/>
          </w:r>
          <w:r>
            <w:rPr>
              <w:sz w:val="24"/>
            </w:rPr>
            <w:instrText xml:space="preserve"> PAGEREF _Toc43851639 \h </w:instrText>
          </w:r>
          <w:r>
            <w:rPr>
              <w:sz w:val="24"/>
            </w:rPr>
            <w:fldChar w:fldCharType="separate"/>
          </w:r>
          <w:r>
            <w:rPr>
              <w:sz w:val="24"/>
            </w:rPr>
            <w:t>20</w:t>
          </w:r>
          <w:r>
            <w:rPr>
              <w:sz w:val="24"/>
            </w:rPr>
            <w:fldChar w:fldCharType="end"/>
          </w:r>
          <w:r>
            <w:rPr>
              <w:sz w:val="24"/>
            </w:rPr>
            <w:fldChar w:fldCharType="end"/>
          </w:r>
        </w:p>
        <w:p w14:paraId="6CC12351">
          <w:pPr>
            <w:pStyle w:val="15"/>
            <w:tabs>
              <w:tab w:val="right" w:leader="dot" w:pos="8296"/>
            </w:tabs>
            <w:rPr>
              <w:rFonts w:eastAsiaTheme="minorEastAsia"/>
              <w:sz w:val="24"/>
            </w:rPr>
          </w:pPr>
          <w:r>
            <w:fldChar w:fldCharType="begin"/>
          </w:r>
          <w:r>
            <w:instrText xml:space="preserve"> HYPERLINK \l "_Toc43851640" </w:instrText>
          </w:r>
          <w:r>
            <w:fldChar w:fldCharType="separate"/>
          </w:r>
          <w:r>
            <w:rPr>
              <w:rStyle w:val="32"/>
              <w:sz w:val="24"/>
            </w:rPr>
            <w:t>（五）环境地质</w:t>
          </w:r>
          <w:r>
            <w:rPr>
              <w:sz w:val="24"/>
            </w:rPr>
            <w:tab/>
          </w:r>
          <w:r>
            <w:rPr>
              <w:sz w:val="24"/>
            </w:rPr>
            <w:fldChar w:fldCharType="begin"/>
          </w:r>
          <w:r>
            <w:rPr>
              <w:sz w:val="24"/>
            </w:rPr>
            <w:instrText xml:space="preserve"> PAGEREF _Toc43851640 \h </w:instrText>
          </w:r>
          <w:r>
            <w:rPr>
              <w:sz w:val="24"/>
            </w:rPr>
            <w:fldChar w:fldCharType="separate"/>
          </w:r>
          <w:r>
            <w:rPr>
              <w:sz w:val="24"/>
            </w:rPr>
            <w:t>21</w:t>
          </w:r>
          <w:r>
            <w:rPr>
              <w:sz w:val="24"/>
            </w:rPr>
            <w:fldChar w:fldCharType="end"/>
          </w:r>
          <w:r>
            <w:rPr>
              <w:sz w:val="24"/>
            </w:rPr>
            <w:fldChar w:fldCharType="end"/>
          </w:r>
        </w:p>
        <w:p w14:paraId="5060504A">
          <w:pPr>
            <w:pStyle w:val="15"/>
            <w:tabs>
              <w:tab w:val="right" w:leader="dot" w:pos="8296"/>
            </w:tabs>
            <w:rPr>
              <w:rFonts w:eastAsiaTheme="minorEastAsia"/>
              <w:sz w:val="24"/>
            </w:rPr>
          </w:pPr>
          <w:r>
            <w:fldChar w:fldCharType="begin"/>
          </w:r>
          <w:r>
            <w:instrText xml:space="preserve"> HYPERLINK \l "_Toc43851641" </w:instrText>
          </w:r>
          <w:r>
            <w:fldChar w:fldCharType="separate"/>
          </w:r>
          <w:r>
            <w:rPr>
              <w:rStyle w:val="32"/>
              <w:sz w:val="24"/>
            </w:rPr>
            <w:t>（六）矿体地质特征</w:t>
          </w:r>
          <w:r>
            <w:rPr>
              <w:sz w:val="24"/>
            </w:rPr>
            <w:tab/>
          </w:r>
          <w:r>
            <w:rPr>
              <w:sz w:val="24"/>
            </w:rPr>
            <w:fldChar w:fldCharType="begin"/>
          </w:r>
          <w:r>
            <w:rPr>
              <w:sz w:val="24"/>
            </w:rPr>
            <w:instrText xml:space="preserve"> PAGEREF _Toc43851641 \h </w:instrText>
          </w:r>
          <w:r>
            <w:rPr>
              <w:sz w:val="24"/>
            </w:rPr>
            <w:fldChar w:fldCharType="separate"/>
          </w:r>
          <w:r>
            <w:rPr>
              <w:sz w:val="24"/>
            </w:rPr>
            <w:t>21</w:t>
          </w:r>
          <w:r>
            <w:rPr>
              <w:sz w:val="24"/>
            </w:rPr>
            <w:fldChar w:fldCharType="end"/>
          </w:r>
          <w:r>
            <w:rPr>
              <w:sz w:val="24"/>
            </w:rPr>
            <w:fldChar w:fldCharType="end"/>
          </w:r>
        </w:p>
        <w:p w14:paraId="3EC37EFE">
          <w:pPr>
            <w:pStyle w:val="22"/>
            <w:tabs>
              <w:tab w:val="right" w:leader="dot" w:pos="8296"/>
            </w:tabs>
            <w:rPr>
              <w:rFonts w:eastAsiaTheme="minorEastAsia"/>
              <w:sz w:val="24"/>
            </w:rPr>
          </w:pPr>
          <w:r>
            <w:fldChar w:fldCharType="begin"/>
          </w:r>
          <w:r>
            <w:instrText xml:space="preserve"> HYPERLINK \l "_Toc43851642" </w:instrText>
          </w:r>
          <w:r>
            <w:fldChar w:fldCharType="separate"/>
          </w:r>
          <w:r>
            <w:rPr>
              <w:rStyle w:val="32"/>
              <w:kern w:val="0"/>
              <w:sz w:val="24"/>
            </w:rPr>
            <w:t>三、矿区社会经济概况</w:t>
          </w:r>
          <w:r>
            <w:rPr>
              <w:sz w:val="24"/>
            </w:rPr>
            <w:tab/>
          </w:r>
          <w:r>
            <w:rPr>
              <w:sz w:val="24"/>
            </w:rPr>
            <w:fldChar w:fldCharType="begin"/>
          </w:r>
          <w:r>
            <w:rPr>
              <w:sz w:val="24"/>
            </w:rPr>
            <w:instrText xml:space="preserve"> PAGEREF _Toc43851642 \h </w:instrText>
          </w:r>
          <w:r>
            <w:rPr>
              <w:sz w:val="24"/>
            </w:rPr>
            <w:fldChar w:fldCharType="separate"/>
          </w:r>
          <w:r>
            <w:rPr>
              <w:sz w:val="24"/>
            </w:rPr>
            <w:t>22</w:t>
          </w:r>
          <w:r>
            <w:rPr>
              <w:sz w:val="24"/>
            </w:rPr>
            <w:fldChar w:fldCharType="end"/>
          </w:r>
          <w:r>
            <w:rPr>
              <w:sz w:val="24"/>
            </w:rPr>
            <w:fldChar w:fldCharType="end"/>
          </w:r>
        </w:p>
        <w:p w14:paraId="06648ED2">
          <w:pPr>
            <w:pStyle w:val="22"/>
            <w:tabs>
              <w:tab w:val="right" w:leader="dot" w:pos="8296"/>
            </w:tabs>
            <w:rPr>
              <w:rFonts w:eastAsiaTheme="minorEastAsia"/>
              <w:sz w:val="24"/>
            </w:rPr>
          </w:pPr>
          <w:r>
            <w:fldChar w:fldCharType="begin"/>
          </w:r>
          <w:r>
            <w:instrText xml:space="preserve"> HYPERLINK \l "_Toc43851643" </w:instrText>
          </w:r>
          <w:r>
            <w:fldChar w:fldCharType="separate"/>
          </w:r>
          <w:r>
            <w:rPr>
              <w:rStyle w:val="32"/>
              <w:kern w:val="0"/>
              <w:sz w:val="24"/>
            </w:rPr>
            <w:t>四、矿区土地利用现状</w:t>
          </w:r>
          <w:r>
            <w:rPr>
              <w:sz w:val="24"/>
            </w:rPr>
            <w:tab/>
          </w:r>
          <w:r>
            <w:rPr>
              <w:sz w:val="24"/>
            </w:rPr>
            <w:fldChar w:fldCharType="begin"/>
          </w:r>
          <w:r>
            <w:rPr>
              <w:sz w:val="24"/>
            </w:rPr>
            <w:instrText xml:space="preserve"> PAGEREF _Toc43851643 \h </w:instrText>
          </w:r>
          <w:r>
            <w:rPr>
              <w:sz w:val="24"/>
            </w:rPr>
            <w:fldChar w:fldCharType="separate"/>
          </w:r>
          <w:r>
            <w:rPr>
              <w:sz w:val="24"/>
            </w:rPr>
            <w:t>22</w:t>
          </w:r>
          <w:r>
            <w:rPr>
              <w:sz w:val="24"/>
            </w:rPr>
            <w:fldChar w:fldCharType="end"/>
          </w:r>
          <w:r>
            <w:rPr>
              <w:sz w:val="24"/>
            </w:rPr>
            <w:fldChar w:fldCharType="end"/>
          </w:r>
        </w:p>
        <w:p w14:paraId="4E3A740E">
          <w:pPr>
            <w:pStyle w:val="22"/>
            <w:tabs>
              <w:tab w:val="right" w:leader="dot" w:pos="8296"/>
            </w:tabs>
            <w:rPr>
              <w:rFonts w:eastAsiaTheme="minorEastAsia"/>
              <w:sz w:val="24"/>
            </w:rPr>
          </w:pPr>
          <w:r>
            <w:fldChar w:fldCharType="begin"/>
          </w:r>
          <w:r>
            <w:instrText xml:space="preserve"> HYPERLINK \l "_Toc43851644" </w:instrText>
          </w:r>
          <w:r>
            <w:fldChar w:fldCharType="separate"/>
          </w:r>
          <w:r>
            <w:rPr>
              <w:rStyle w:val="32"/>
              <w:kern w:val="0"/>
              <w:sz w:val="24"/>
            </w:rPr>
            <w:t>五、矿山及周边其他人类重大工程活动</w:t>
          </w:r>
          <w:r>
            <w:rPr>
              <w:sz w:val="24"/>
            </w:rPr>
            <w:tab/>
          </w:r>
          <w:r>
            <w:rPr>
              <w:sz w:val="24"/>
            </w:rPr>
            <w:fldChar w:fldCharType="begin"/>
          </w:r>
          <w:r>
            <w:rPr>
              <w:sz w:val="24"/>
            </w:rPr>
            <w:instrText xml:space="preserve"> PAGEREF _Toc43851644 \h </w:instrText>
          </w:r>
          <w:r>
            <w:rPr>
              <w:sz w:val="24"/>
            </w:rPr>
            <w:fldChar w:fldCharType="separate"/>
          </w:r>
          <w:r>
            <w:rPr>
              <w:sz w:val="24"/>
            </w:rPr>
            <w:t>23</w:t>
          </w:r>
          <w:r>
            <w:rPr>
              <w:sz w:val="24"/>
            </w:rPr>
            <w:fldChar w:fldCharType="end"/>
          </w:r>
          <w:r>
            <w:rPr>
              <w:sz w:val="24"/>
            </w:rPr>
            <w:fldChar w:fldCharType="end"/>
          </w:r>
        </w:p>
        <w:p w14:paraId="06115B92">
          <w:pPr>
            <w:pStyle w:val="22"/>
            <w:tabs>
              <w:tab w:val="right" w:leader="dot" w:pos="8296"/>
            </w:tabs>
            <w:rPr>
              <w:rFonts w:eastAsiaTheme="minorEastAsia"/>
              <w:sz w:val="24"/>
            </w:rPr>
          </w:pPr>
          <w:r>
            <w:fldChar w:fldCharType="begin"/>
          </w:r>
          <w:r>
            <w:instrText xml:space="preserve"> HYPERLINK \l "_Toc43851645" </w:instrText>
          </w:r>
          <w:r>
            <w:fldChar w:fldCharType="separate"/>
          </w:r>
          <w:r>
            <w:rPr>
              <w:rStyle w:val="32"/>
              <w:kern w:val="0"/>
              <w:sz w:val="24"/>
            </w:rPr>
            <w:t>六、矿山及周边矿山地质环境治理与土地复垦方案案例分析</w:t>
          </w:r>
          <w:r>
            <w:rPr>
              <w:sz w:val="24"/>
            </w:rPr>
            <w:tab/>
          </w:r>
          <w:r>
            <w:rPr>
              <w:sz w:val="24"/>
            </w:rPr>
            <w:fldChar w:fldCharType="begin"/>
          </w:r>
          <w:r>
            <w:rPr>
              <w:sz w:val="24"/>
            </w:rPr>
            <w:instrText xml:space="preserve"> PAGEREF _Toc43851645 \h </w:instrText>
          </w:r>
          <w:r>
            <w:rPr>
              <w:sz w:val="24"/>
            </w:rPr>
            <w:fldChar w:fldCharType="separate"/>
          </w:r>
          <w:r>
            <w:rPr>
              <w:sz w:val="24"/>
            </w:rPr>
            <w:t>23</w:t>
          </w:r>
          <w:r>
            <w:rPr>
              <w:sz w:val="24"/>
            </w:rPr>
            <w:fldChar w:fldCharType="end"/>
          </w:r>
          <w:r>
            <w:rPr>
              <w:sz w:val="24"/>
            </w:rPr>
            <w:fldChar w:fldCharType="end"/>
          </w:r>
        </w:p>
        <w:p w14:paraId="3C9C3B49">
          <w:pPr>
            <w:pStyle w:val="22"/>
            <w:tabs>
              <w:tab w:val="right" w:leader="dot" w:pos="8296"/>
            </w:tabs>
            <w:rPr>
              <w:rFonts w:eastAsiaTheme="minorEastAsia"/>
              <w:sz w:val="24"/>
            </w:rPr>
          </w:pPr>
          <w:r>
            <w:fldChar w:fldCharType="begin"/>
          </w:r>
          <w:r>
            <w:instrText xml:space="preserve"> HYPERLINK \l "_Toc43851646" </w:instrText>
          </w:r>
          <w:r>
            <w:fldChar w:fldCharType="separate"/>
          </w:r>
          <w:r>
            <w:rPr>
              <w:rStyle w:val="32"/>
              <w:b/>
              <w:bCs/>
              <w:kern w:val="44"/>
              <w:sz w:val="24"/>
            </w:rPr>
            <w:t>第三章矿山地质环境影响和土地损毁评估</w:t>
          </w:r>
          <w:r>
            <w:rPr>
              <w:sz w:val="24"/>
            </w:rPr>
            <w:tab/>
          </w:r>
          <w:r>
            <w:rPr>
              <w:sz w:val="24"/>
            </w:rPr>
            <w:fldChar w:fldCharType="begin"/>
          </w:r>
          <w:r>
            <w:rPr>
              <w:sz w:val="24"/>
            </w:rPr>
            <w:instrText xml:space="preserve"> PAGEREF _Toc43851646 \h </w:instrText>
          </w:r>
          <w:r>
            <w:rPr>
              <w:sz w:val="24"/>
            </w:rPr>
            <w:fldChar w:fldCharType="separate"/>
          </w:r>
          <w:r>
            <w:rPr>
              <w:sz w:val="24"/>
            </w:rPr>
            <w:t>24</w:t>
          </w:r>
          <w:r>
            <w:rPr>
              <w:sz w:val="24"/>
            </w:rPr>
            <w:fldChar w:fldCharType="end"/>
          </w:r>
          <w:r>
            <w:rPr>
              <w:sz w:val="24"/>
            </w:rPr>
            <w:fldChar w:fldCharType="end"/>
          </w:r>
        </w:p>
        <w:p w14:paraId="4972480B">
          <w:pPr>
            <w:pStyle w:val="22"/>
            <w:tabs>
              <w:tab w:val="right" w:leader="dot" w:pos="8296"/>
            </w:tabs>
            <w:rPr>
              <w:rFonts w:eastAsiaTheme="minorEastAsia"/>
              <w:sz w:val="24"/>
            </w:rPr>
          </w:pPr>
          <w:r>
            <w:fldChar w:fldCharType="begin"/>
          </w:r>
          <w:r>
            <w:instrText xml:space="preserve"> HYPERLINK \l "_Toc43851647" </w:instrText>
          </w:r>
          <w:r>
            <w:fldChar w:fldCharType="separate"/>
          </w:r>
          <w:r>
            <w:rPr>
              <w:rStyle w:val="32"/>
              <w:kern w:val="0"/>
              <w:sz w:val="24"/>
            </w:rPr>
            <w:t>一、矿山地质环境与土地资源调查概述</w:t>
          </w:r>
          <w:r>
            <w:rPr>
              <w:sz w:val="24"/>
            </w:rPr>
            <w:tab/>
          </w:r>
          <w:r>
            <w:rPr>
              <w:sz w:val="24"/>
            </w:rPr>
            <w:fldChar w:fldCharType="begin"/>
          </w:r>
          <w:r>
            <w:rPr>
              <w:sz w:val="24"/>
            </w:rPr>
            <w:instrText xml:space="preserve"> PAGEREF _Toc43851647 \h </w:instrText>
          </w:r>
          <w:r>
            <w:rPr>
              <w:sz w:val="24"/>
            </w:rPr>
            <w:fldChar w:fldCharType="separate"/>
          </w:r>
          <w:r>
            <w:rPr>
              <w:sz w:val="24"/>
            </w:rPr>
            <w:t>24</w:t>
          </w:r>
          <w:r>
            <w:rPr>
              <w:sz w:val="24"/>
            </w:rPr>
            <w:fldChar w:fldCharType="end"/>
          </w:r>
          <w:r>
            <w:rPr>
              <w:sz w:val="24"/>
            </w:rPr>
            <w:fldChar w:fldCharType="end"/>
          </w:r>
        </w:p>
        <w:p w14:paraId="52171D76">
          <w:pPr>
            <w:pStyle w:val="22"/>
            <w:tabs>
              <w:tab w:val="right" w:leader="dot" w:pos="8296"/>
            </w:tabs>
            <w:rPr>
              <w:rFonts w:eastAsiaTheme="minorEastAsia"/>
              <w:sz w:val="24"/>
            </w:rPr>
          </w:pPr>
          <w:r>
            <w:fldChar w:fldCharType="begin"/>
          </w:r>
          <w:r>
            <w:instrText xml:space="preserve"> HYPERLINK \l "_Toc43851648" </w:instrText>
          </w:r>
          <w:r>
            <w:fldChar w:fldCharType="separate"/>
          </w:r>
          <w:r>
            <w:rPr>
              <w:rStyle w:val="32"/>
              <w:kern w:val="0"/>
              <w:sz w:val="24"/>
            </w:rPr>
            <w:t>二、矿山地质环境影响评估</w:t>
          </w:r>
          <w:r>
            <w:rPr>
              <w:sz w:val="24"/>
            </w:rPr>
            <w:tab/>
          </w:r>
          <w:r>
            <w:rPr>
              <w:sz w:val="24"/>
            </w:rPr>
            <w:fldChar w:fldCharType="begin"/>
          </w:r>
          <w:r>
            <w:rPr>
              <w:sz w:val="24"/>
            </w:rPr>
            <w:instrText xml:space="preserve"> PAGEREF _Toc43851648 \h </w:instrText>
          </w:r>
          <w:r>
            <w:rPr>
              <w:sz w:val="24"/>
            </w:rPr>
            <w:fldChar w:fldCharType="separate"/>
          </w:r>
          <w:r>
            <w:rPr>
              <w:sz w:val="24"/>
            </w:rPr>
            <w:t>24</w:t>
          </w:r>
          <w:r>
            <w:rPr>
              <w:sz w:val="24"/>
            </w:rPr>
            <w:fldChar w:fldCharType="end"/>
          </w:r>
          <w:r>
            <w:rPr>
              <w:sz w:val="24"/>
            </w:rPr>
            <w:fldChar w:fldCharType="end"/>
          </w:r>
        </w:p>
        <w:p w14:paraId="4F93ED5A">
          <w:pPr>
            <w:pStyle w:val="15"/>
            <w:tabs>
              <w:tab w:val="right" w:leader="dot" w:pos="8296"/>
            </w:tabs>
            <w:rPr>
              <w:rFonts w:eastAsiaTheme="minorEastAsia"/>
              <w:sz w:val="24"/>
            </w:rPr>
          </w:pPr>
          <w:r>
            <w:fldChar w:fldCharType="begin"/>
          </w:r>
          <w:r>
            <w:instrText xml:space="preserve"> HYPERLINK \l "_Toc43851649" </w:instrText>
          </w:r>
          <w:r>
            <w:fldChar w:fldCharType="separate"/>
          </w:r>
          <w:r>
            <w:rPr>
              <w:rStyle w:val="32"/>
              <w:sz w:val="24"/>
            </w:rPr>
            <w:t>（一）评估范围和评估级别</w:t>
          </w:r>
          <w:r>
            <w:rPr>
              <w:sz w:val="24"/>
            </w:rPr>
            <w:tab/>
          </w:r>
          <w:r>
            <w:rPr>
              <w:sz w:val="24"/>
            </w:rPr>
            <w:fldChar w:fldCharType="begin"/>
          </w:r>
          <w:r>
            <w:rPr>
              <w:sz w:val="24"/>
            </w:rPr>
            <w:instrText xml:space="preserve"> PAGEREF _Toc43851649 \h </w:instrText>
          </w:r>
          <w:r>
            <w:rPr>
              <w:sz w:val="24"/>
            </w:rPr>
            <w:fldChar w:fldCharType="separate"/>
          </w:r>
          <w:r>
            <w:rPr>
              <w:sz w:val="24"/>
            </w:rPr>
            <w:t>24</w:t>
          </w:r>
          <w:r>
            <w:rPr>
              <w:sz w:val="24"/>
            </w:rPr>
            <w:fldChar w:fldCharType="end"/>
          </w:r>
          <w:r>
            <w:rPr>
              <w:sz w:val="24"/>
            </w:rPr>
            <w:fldChar w:fldCharType="end"/>
          </w:r>
        </w:p>
        <w:p w14:paraId="3E8B2D1C">
          <w:pPr>
            <w:pStyle w:val="15"/>
            <w:tabs>
              <w:tab w:val="right" w:leader="dot" w:pos="8296"/>
            </w:tabs>
            <w:rPr>
              <w:rFonts w:eastAsiaTheme="minorEastAsia"/>
              <w:sz w:val="24"/>
            </w:rPr>
          </w:pPr>
          <w:r>
            <w:fldChar w:fldCharType="begin"/>
          </w:r>
          <w:r>
            <w:instrText xml:space="preserve"> HYPERLINK \l "_Toc43851650" </w:instrText>
          </w:r>
          <w:r>
            <w:fldChar w:fldCharType="separate"/>
          </w:r>
          <w:r>
            <w:rPr>
              <w:rStyle w:val="32"/>
              <w:sz w:val="24"/>
            </w:rPr>
            <w:t>（二）矿山地质灾害现状分析与预测</w:t>
          </w:r>
          <w:r>
            <w:rPr>
              <w:sz w:val="24"/>
            </w:rPr>
            <w:tab/>
          </w:r>
          <w:r>
            <w:rPr>
              <w:sz w:val="24"/>
            </w:rPr>
            <w:fldChar w:fldCharType="begin"/>
          </w:r>
          <w:r>
            <w:rPr>
              <w:sz w:val="24"/>
            </w:rPr>
            <w:instrText xml:space="preserve"> PAGEREF _Toc43851650 \h </w:instrText>
          </w:r>
          <w:r>
            <w:rPr>
              <w:sz w:val="24"/>
            </w:rPr>
            <w:fldChar w:fldCharType="separate"/>
          </w:r>
          <w:r>
            <w:rPr>
              <w:sz w:val="24"/>
            </w:rPr>
            <w:t>27</w:t>
          </w:r>
          <w:r>
            <w:rPr>
              <w:sz w:val="24"/>
            </w:rPr>
            <w:fldChar w:fldCharType="end"/>
          </w:r>
          <w:r>
            <w:rPr>
              <w:sz w:val="24"/>
            </w:rPr>
            <w:fldChar w:fldCharType="end"/>
          </w:r>
        </w:p>
        <w:p w14:paraId="317E2C30">
          <w:pPr>
            <w:pStyle w:val="15"/>
            <w:tabs>
              <w:tab w:val="right" w:leader="dot" w:pos="8296"/>
            </w:tabs>
            <w:rPr>
              <w:rFonts w:eastAsiaTheme="minorEastAsia"/>
              <w:sz w:val="24"/>
            </w:rPr>
          </w:pPr>
          <w:r>
            <w:fldChar w:fldCharType="begin"/>
          </w:r>
          <w:r>
            <w:instrText xml:space="preserve"> HYPERLINK \l "_Toc43851651" </w:instrText>
          </w:r>
          <w:r>
            <w:fldChar w:fldCharType="separate"/>
          </w:r>
          <w:r>
            <w:rPr>
              <w:rStyle w:val="32"/>
              <w:sz w:val="24"/>
            </w:rPr>
            <w:t>（三）矿区含水层破坏现状分析与预测</w:t>
          </w:r>
          <w:r>
            <w:rPr>
              <w:sz w:val="24"/>
            </w:rPr>
            <w:tab/>
          </w:r>
          <w:r>
            <w:rPr>
              <w:sz w:val="24"/>
            </w:rPr>
            <w:fldChar w:fldCharType="begin"/>
          </w:r>
          <w:r>
            <w:rPr>
              <w:sz w:val="24"/>
            </w:rPr>
            <w:instrText xml:space="preserve"> PAGEREF _Toc43851651 \h </w:instrText>
          </w:r>
          <w:r>
            <w:rPr>
              <w:sz w:val="24"/>
            </w:rPr>
            <w:fldChar w:fldCharType="separate"/>
          </w:r>
          <w:r>
            <w:rPr>
              <w:sz w:val="24"/>
            </w:rPr>
            <w:t>29</w:t>
          </w:r>
          <w:r>
            <w:rPr>
              <w:sz w:val="24"/>
            </w:rPr>
            <w:fldChar w:fldCharType="end"/>
          </w:r>
          <w:r>
            <w:rPr>
              <w:sz w:val="24"/>
            </w:rPr>
            <w:fldChar w:fldCharType="end"/>
          </w:r>
        </w:p>
        <w:p w14:paraId="5EA2C35E">
          <w:pPr>
            <w:pStyle w:val="15"/>
            <w:tabs>
              <w:tab w:val="right" w:leader="dot" w:pos="8296"/>
            </w:tabs>
            <w:rPr>
              <w:rFonts w:eastAsiaTheme="minorEastAsia"/>
              <w:sz w:val="24"/>
            </w:rPr>
          </w:pPr>
          <w:r>
            <w:fldChar w:fldCharType="begin"/>
          </w:r>
          <w:r>
            <w:instrText xml:space="preserve"> HYPERLINK \l "_Toc43851652" </w:instrText>
          </w:r>
          <w:r>
            <w:fldChar w:fldCharType="separate"/>
          </w:r>
          <w:r>
            <w:rPr>
              <w:rStyle w:val="32"/>
              <w:sz w:val="24"/>
            </w:rPr>
            <w:t>（四）矿区地形地貌景观（地质遗迹、人文景观）破坏现状分析与预测</w:t>
          </w:r>
          <w:r>
            <w:rPr>
              <w:sz w:val="24"/>
            </w:rPr>
            <w:tab/>
          </w:r>
          <w:r>
            <w:rPr>
              <w:sz w:val="24"/>
            </w:rPr>
            <w:fldChar w:fldCharType="begin"/>
          </w:r>
          <w:r>
            <w:rPr>
              <w:sz w:val="24"/>
            </w:rPr>
            <w:instrText xml:space="preserve"> PAGEREF _Toc43851652 \h </w:instrText>
          </w:r>
          <w:r>
            <w:rPr>
              <w:sz w:val="24"/>
            </w:rPr>
            <w:fldChar w:fldCharType="separate"/>
          </w:r>
          <w:r>
            <w:rPr>
              <w:sz w:val="24"/>
            </w:rPr>
            <w:t>29</w:t>
          </w:r>
          <w:r>
            <w:rPr>
              <w:sz w:val="24"/>
            </w:rPr>
            <w:fldChar w:fldCharType="end"/>
          </w:r>
          <w:r>
            <w:rPr>
              <w:sz w:val="24"/>
            </w:rPr>
            <w:fldChar w:fldCharType="end"/>
          </w:r>
        </w:p>
        <w:p w14:paraId="0A630101">
          <w:pPr>
            <w:pStyle w:val="15"/>
            <w:tabs>
              <w:tab w:val="right" w:leader="dot" w:pos="8296"/>
            </w:tabs>
            <w:rPr>
              <w:rFonts w:eastAsiaTheme="minorEastAsia"/>
              <w:sz w:val="24"/>
            </w:rPr>
          </w:pPr>
          <w:r>
            <w:fldChar w:fldCharType="begin"/>
          </w:r>
          <w:r>
            <w:instrText xml:space="preserve"> HYPERLINK \l "_Toc43851653" </w:instrText>
          </w:r>
          <w:r>
            <w:fldChar w:fldCharType="separate"/>
          </w:r>
          <w:r>
            <w:rPr>
              <w:rStyle w:val="32"/>
              <w:sz w:val="24"/>
            </w:rPr>
            <w:t>（五）矿区水土环境污染现状分析及预测</w:t>
          </w:r>
          <w:r>
            <w:rPr>
              <w:sz w:val="24"/>
            </w:rPr>
            <w:tab/>
          </w:r>
          <w:r>
            <w:rPr>
              <w:sz w:val="24"/>
            </w:rPr>
            <w:fldChar w:fldCharType="begin"/>
          </w:r>
          <w:r>
            <w:rPr>
              <w:sz w:val="24"/>
            </w:rPr>
            <w:instrText xml:space="preserve"> PAGEREF _Toc43851653 \h </w:instrText>
          </w:r>
          <w:r>
            <w:rPr>
              <w:sz w:val="24"/>
            </w:rPr>
            <w:fldChar w:fldCharType="separate"/>
          </w:r>
          <w:r>
            <w:rPr>
              <w:sz w:val="24"/>
            </w:rPr>
            <w:t>29</w:t>
          </w:r>
          <w:r>
            <w:rPr>
              <w:sz w:val="24"/>
            </w:rPr>
            <w:fldChar w:fldCharType="end"/>
          </w:r>
          <w:r>
            <w:rPr>
              <w:sz w:val="24"/>
            </w:rPr>
            <w:fldChar w:fldCharType="end"/>
          </w:r>
        </w:p>
        <w:p w14:paraId="1F39BD49">
          <w:pPr>
            <w:pStyle w:val="15"/>
            <w:tabs>
              <w:tab w:val="right" w:leader="dot" w:pos="8296"/>
            </w:tabs>
            <w:rPr>
              <w:rFonts w:eastAsiaTheme="minorEastAsia"/>
              <w:sz w:val="24"/>
            </w:rPr>
          </w:pPr>
          <w:r>
            <w:fldChar w:fldCharType="begin"/>
          </w:r>
          <w:r>
            <w:instrText xml:space="preserve"> HYPERLINK \l "_Toc43851654" </w:instrText>
          </w:r>
          <w:r>
            <w:fldChar w:fldCharType="separate"/>
          </w:r>
          <w:r>
            <w:rPr>
              <w:rStyle w:val="32"/>
              <w:sz w:val="24"/>
            </w:rPr>
            <w:t>（六）矿山地质环境影响评估总述</w:t>
          </w:r>
          <w:r>
            <w:rPr>
              <w:sz w:val="24"/>
            </w:rPr>
            <w:tab/>
          </w:r>
          <w:r>
            <w:rPr>
              <w:sz w:val="24"/>
            </w:rPr>
            <w:fldChar w:fldCharType="begin"/>
          </w:r>
          <w:r>
            <w:rPr>
              <w:sz w:val="24"/>
            </w:rPr>
            <w:instrText xml:space="preserve"> PAGEREF _Toc43851654 \h </w:instrText>
          </w:r>
          <w:r>
            <w:rPr>
              <w:sz w:val="24"/>
            </w:rPr>
            <w:fldChar w:fldCharType="separate"/>
          </w:r>
          <w:r>
            <w:rPr>
              <w:sz w:val="24"/>
            </w:rPr>
            <w:t>30</w:t>
          </w:r>
          <w:r>
            <w:rPr>
              <w:sz w:val="24"/>
            </w:rPr>
            <w:fldChar w:fldCharType="end"/>
          </w:r>
          <w:r>
            <w:rPr>
              <w:sz w:val="24"/>
            </w:rPr>
            <w:fldChar w:fldCharType="end"/>
          </w:r>
        </w:p>
        <w:p w14:paraId="2C598EF6">
          <w:pPr>
            <w:pStyle w:val="25"/>
            <w:tabs>
              <w:tab w:val="right" w:leader="dot" w:pos="8296"/>
            </w:tabs>
            <w:rPr>
              <w:rFonts w:eastAsiaTheme="minorEastAsia"/>
              <w:sz w:val="24"/>
            </w:rPr>
          </w:pPr>
          <w:r>
            <w:fldChar w:fldCharType="begin"/>
          </w:r>
          <w:r>
            <w:instrText xml:space="preserve"> HYPERLINK \l "_Toc43851655" </w:instrText>
          </w:r>
          <w:r>
            <w:fldChar w:fldCharType="separate"/>
          </w:r>
          <w:r>
            <w:rPr>
              <w:rStyle w:val="32"/>
              <w:kern w:val="0"/>
              <w:sz w:val="24"/>
            </w:rPr>
            <w:t>三、矿山土地损毁预测与评估</w:t>
          </w:r>
          <w:r>
            <w:rPr>
              <w:sz w:val="24"/>
            </w:rPr>
            <w:tab/>
          </w:r>
          <w:r>
            <w:rPr>
              <w:sz w:val="24"/>
            </w:rPr>
            <w:fldChar w:fldCharType="begin"/>
          </w:r>
          <w:r>
            <w:rPr>
              <w:sz w:val="24"/>
            </w:rPr>
            <w:instrText xml:space="preserve"> PAGEREF _Toc43851655 \h </w:instrText>
          </w:r>
          <w:r>
            <w:rPr>
              <w:sz w:val="24"/>
            </w:rPr>
            <w:fldChar w:fldCharType="separate"/>
          </w:r>
          <w:r>
            <w:rPr>
              <w:sz w:val="24"/>
            </w:rPr>
            <w:t>30</w:t>
          </w:r>
          <w:r>
            <w:rPr>
              <w:sz w:val="24"/>
            </w:rPr>
            <w:fldChar w:fldCharType="end"/>
          </w:r>
          <w:r>
            <w:rPr>
              <w:sz w:val="24"/>
            </w:rPr>
            <w:fldChar w:fldCharType="end"/>
          </w:r>
        </w:p>
        <w:p w14:paraId="11FD0C65">
          <w:pPr>
            <w:pStyle w:val="15"/>
            <w:tabs>
              <w:tab w:val="right" w:leader="dot" w:pos="8296"/>
            </w:tabs>
            <w:rPr>
              <w:rFonts w:eastAsiaTheme="minorEastAsia"/>
              <w:sz w:val="24"/>
            </w:rPr>
          </w:pPr>
          <w:r>
            <w:fldChar w:fldCharType="begin"/>
          </w:r>
          <w:r>
            <w:instrText xml:space="preserve"> HYPERLINK \l "_Toc43851656" </w:instrText>
          </w:r>
          <w:r>
            <w:fldChar w:fldCharType="separate"/>
          </w:r>
          <w:r>
            <w:rPr>
              <w:rStyle w:val="32"/>
              <w:sz w:val="24"/>
            </w:rPr>
            <w:t>（一）土地损毁环节与时序</w:t>
          </w:r>
          <w:r>
            <w:rPr>
              <w:sz w:val="24"/>
            </w:rPr>
            <w:tab/>
          </w:r>
          <w:r>
            <w:rPr>
              <w:sz w:val="24"/>
            </w:rPr>
            <w:fldChar w:fldCharType="begin"/>
          </w:r>
          <w:r>
            <w:rPr>
              <w:sz w:val="24"/>
            </w:rPr>
            <w:instrText xml:space="preserve"> PAGEREF _Toc43851656 \h </w:instrText>
          </w:r>
          <w:r>
            <w:rPr>
              <w:sz w:val="24"/>
            </w:rPr>
            <w:fldChar w:fldCharType="separate"/>
          </w:r>
          <w:r>
            <w:rPr>
              <w:sz w:val="24"/>
            </w:rPr>
            <w:t>30</w:t>
          </w:r>
          <w:r>
            <w:rPr>
              <w:sz w:val="24"/>
            </w:rPr>
            <w:fldChar w:fldCharType="end"/>
          </w:r>
          <w:r>
            <w:rPr>
              <w:sz w:val="24"/>
            </w:rPr>
            <w:fldChar w:fldCharType="end"/>
          </w:r>
        </w:p>
        <w:p w14:paraId="5A34AB03">
          <w:pPr>
            <w:pStyle w:val="15"/>
            <w:tabs>
              <w:tab w:val="right" w:leader="dot" w:pos="8296"/>
            </w:tabs>
            <w:rPr>
              <w:rFonts w:eastAsiaTheme="minorEastAsia"/>
              <w:sz w:val="24"/>
            </w:rPr>
          </w:pPr>
          <w:r>
            <w:fldChar w:fldCharType="begin"/>
          </w:r>
          <w:r>
            <w:instrText xml:space="preserve"> HYPERLINK \l "_Toc43851657" </w:instrText>
          </w:r>
          <w:r>
            <w:fldChar w:fldCharType="separate"/>
          </w:r>
          <w:r>
            <w:rPr>
              <w:rStyle w:val="32"/>
              <w:sz w:val="24"/>
            </w:rPr>
            <w:t>（二）已损毁各类土地现状</w:t>
          </w:r>
          <w:r>
            <w:rPr>
              <w:sz w:val="24"/>
            </w:rPr>
            <w:tab/>
          </w:r>
          <w:r>
            <w:rPr>
              <w:sz w:val="24"/>
            </w:rPr>
            <w:fldChar w:fldCharType="begin"/>
          </w:r>
          <w:r>
            <w:rPr>
              <w:sz w:val="24"/>
            </w:rPr>
            <w:instrText xml:space="preserve"> PAGEREF _Toc43851657 \h </w:instrText>
          </w:r>
          <w:r>
            <w:rPr>
              <w:sz w:val="24"/>
            </w:rPr>
            <w:fldChar w:fldCharType="separate"/>
          </w:r>
          <w:r>
            <w:rPr>
              <w:sz w:val="24"/>
            </w:rPr>
            <w:t>31</w:t>
          </w:r>
          <w:r>
            <w:rPr>
              <w:sz w:val="24"/>
            </w:rPr>
            <w:fldChar w:fldCharType="end"/>
          </w:r>
          <w:r>
            <w:rPr>
              <w:sz w:val="24"/>
            </w:rPr>
            <w:fldChar w:fldCharType="end"/>
          </w:r>
        </w:p>
        <w:p w14:paraId="30271739">
          <w:pPr>
            <w:pStyle w:val="15"/>
            <w:tabs>
              <w:tab w:val="right" w:leader="dot" w:pos="8296"/>
            </w:tabs>
            <w:rPr>
              <w:rFonts w:eastAsiaTheme="minorEastAsia"/>
              <w:sz w:val="24"/>
            </w:rPr>
          </w:pPr>
          <w:r>
            <w:fldChar w:fldCharType="begin"/>
          </w:r>
          <w:r>
            <w:instrText xml:space="preserve"> HYPERLINK \l "_Toc43851658" </w:instrText>
          </w:r>
          <w:r>
            <w:fldChar w:fldCharType="separate"/>
          </w:r>
          <w:r>
            <w:rPr>
              <w:rStyle w:val="32"/>
              <w:sz w:val="24"/>
            </w:rPr>
            <w:t>（三）拟损毁土地预测与评估</w:t>
          </w:r>
          <w:r>
            <w:rPr>
              <w:sz w:val="24"/>
            </w:rPr>
            <w:tab/>
          </w:r>
          <w:r>
            <w:rPr>
              <w:sz w:val="24"/>
            </w:rPr>
            <w:fldChar w:fldCharType="begin"/>
          </w:r>
          <w:r>
            <w:rPr>
              <w:sz w:val="24"/>
            </w:rPr>
            <w:instrText xml:space="preserve"> PAGEREF _Toc43851658 \h </w:instrText>
          </w:r>
          <w:r>
            <w:rPr>
              <w:sz w:val="24"/>
            </w:rPr>
            <w:fldChar w:fldCharType="separate"/>
          </w:r>
          <w:r>
            <w:rPr>
              <w:sz w:val="24"/>
            </w:rPr>
            <w:t>31</w:t>
          </w:r>
          <w:r>
            <w:rPr>
              <w:sz w:val="24"/>
            </w:rPr>
            <w:fldChar w:fldCharType="end"/>
          </w:r>
          <w:r>
            <w:rPr>
              <w:sz w:val="24"/>
            </w:rPr>
            <w:fldChar w:fldCharType="end"/>
          </w:r>
        </w:p>
        <w:p w14:paraId="6D393010">
          <w:pPr>
            <w:pStyle w:val="25"/>
            <w:tabs>
              <w:tab w:val="right" w:leader="dot" w:pos="8296"/>
            </w:tabs>
            <w:rPr>
              <w:rFonts w:eastAsiaTheme="minorEastAsia"/>
              <w:sz w:val="24"/>
            </w:rPr>
          </w:pPr>
          <w:r>
            <w:fldChar w:fldCharType="begin"/>
          </w:r>
          <w:r>
            <w:instrText xml:space="preserve"> HYPERLINK \l "_Toc43851659" </w:instrText>
          </w:r>
          <w:r>
            <w:fldChar w:fldCharType="separate"/>
          </w:r>
          <w:r>
            <w:rPr>
              <w:rStyle w:val="32"/>
              <w:kern w:val="0"/>
              <w:sz w:val="24"/>
            </w:rPr>
            <w:t>四、矿山地质环境治理分区与土地复垦范围</w:t>
          </w:r>
          <w:r>
            <w:rPr>
              <w:sz w:val="24"/>
            </w:rPr>
            <w:tab/>
          </w:r>
          <w:r>
            <w:rPr>
              <w:sz w:val="24"/>
            </w:rPr>
            <w:fldChar w:fldCharType="begin"/>
          </w:r>
          <w:r>
            <w:rPr>
              <w:sz w:val="24"/>
            </w:rPr>
            <w:instrText xml:space="preserve"> PAGEREF _Toc43851659 \h </w:instrText>
          </w:r>
          <w:r>
            <w:rPr>
              <w:sz w:val="24"/>
            </w:rPr>
            <w:fldChar w:fldCharType="separate"/>
          </w:r>
          <w:r>
            <w:rPr>
              <w:sz w:val="24"/>
            </w:rPr>
            <w:t>31</w:t>
          </w:r>
          <w:r>
            <w:rPr>
              <w:sz w:val="24"/>
            </w:rPr>
            <w:fldChar w:fldCharType="end"/>
          </w:r>
          <w:r>
            <w:rPr>
              <w:sz w:val="24"/>
            </w:rPr>
            <w:fldChar w:fldCharType="end"/>
          </w:r>
        </w:p>
        <w:p w14:paraId="6FEFAFCD">
          <w:pPr>
            <w:pStyle w:val="15"/>
            <w:tabs>
              <w:tab w:val="right" w:leader="dot" w:pos="8296"/>
            </w:tabs>
            <w:rPr>
              <w:rFonts w:eastAsiaTheme="minorEastAsia"/>
              <w:sz w:val="24"/>
            </w:rPr>
          </w:pPr>
          <w:r>
            <w:fldChar w:fldCharType="begin"/>
          </w:r>
          <w:r>
            <w:instrText xml:space="preserve"> HYPERLINK \l "_Toc43851660" </w:instrText>
          </w:r>
          <w:r>
            <w:fldChar w:fldCharType="separate"/>
          </w:r>
          <w:r>
            <w:rPr>
              <w:rStyle w:val="32"/>
              <w:sz w:val="24"/>
            </w:rPr>
            <w:t>（一）矿山地质环境保护与恢复治理分区</w:t>
          </w:r>
          <w:r>
            <w:rPr>
              <w:sz w:val="24"/>
            </w:rPr>
            <w:tab/>
          </w:r>
          <w:r>
            <w:rPr>
              <w:sz w:val="24"/>
            </w:rPr>
            <w:fldChar w:fldCharType="begin"/>
          </w:r>
          <w:r>
            <w:rPr>
              <w:sz w:val="24"/>
            </w:rPr>
            <w:instrText xml:space="preserve"> PAGEREF _Toc43851660 \h </w:instrText>
          </w:r>
          <w:r>
            <w:rPr>
              <w:sz w:val="24"/>
            </w:rPr>
            <w:fldChar w:fldCharType="separate"/>
          </w:r>
          <w:r>
            <w:rPr>
              <w:sz w:val="24"/>
            </w:rPr>
            <w:t>31</w:t>
          </w:r>
          <w:r>
            <w:rPr>
              <w:sz w:val="24"/>
            </w:rPr>
            <w:fldChar w:fldCharType="end"/>
          </w:r>
          <w:r>
            <w:rPr>
              <w:sz w:val="24"/>
            </w:rPr>
            <w:fldChar w:fldCharType="end"/>
          </w:r>
        </w:p>
        <w:p w14:paraId="336CFE7E">
          <w:pPr>
            <w:pStyle w:val="15"/>
            <w:tabs>
              <w:tab w:val="right" w:leader="dot" w:pos="8296"/>
            </w:tabs>
            <w:rPr>
              <w:rFonts w:eastAsiaTheme="minorEastAsia"/>
              <w:sz w:val="24"/>
            </w:rPr>
          </w:pPr>
          <w:r>
            <w:fldChar w:fldCharType="begin"/>
          </w:r>
          <w:r>
            <w:instrText xml:space="preserve"> HYPERLINK \l "_Toc43851661" </w:instrText>
          </w:r>
          <w:r>
            <w:fldChar w:fldCharType="separate"/>
          </w:r>
          <w:r>
            <w:rPr>
              <w:rStyle w:val="32"/>
              <w:sz w:val="24"/>
            </w:rPr>
            <w:t>（二）土地复垦区与复垦责任范围</w:t>
          </w:r>
          <w:r>
            <w:rPr>
              <w:sz w:val="24"/>
            </w:rPr>
            <w:tab/>
          </w:r>
          <w:r>
            <w:rPr>
              <w:sz w:val="24"/>
            </w:rPr>
            <w:fldChar w:fldCharType="begin"/>
          </w:r>
          <w:r>
            <w:rPr>
              <w:sz w:val="24"/>
            </w:rPr>
            <w:instrText xml:space="preserve"> PAGEREF _Toc43851661 \h </w:instrText>
          </w:r>
          <w:r>
            <w:rPr>
              <w:sz w:val="24"/>
            </w:rPr>
            <w:fldChar w:fldCharType="separate"/>
          </w:r>
          <w:r>
            <w:rPr>
              <w:sz w:val="24"/>
            </w:rPr>
            <w:t>33</w:t>
          </w:r>
          <w:r>
            <w:rPr>
              <w:sz w:val="24"/>
            </w:rPr>
            <w:fldChar w:fldCharType="end"/>
          </w:r>
          <w:r>
            <w:rPr>
              <w:sz w:val="24"/>
            </w:rPr>
            <w:fldChar w:fldCharType="end"/>
          </w:r>
        </w:p>
        <w:p w14:paraId="619E70A6">
          <w:pPr>
            <w:pStyle w:val="15"/>
            <w:tabs>
              <w:tab w:val="right" w:leader="dot" w:pos="8296"/>
            </w:tabs>
            <w:rPr>
              <w:rFonts w:eastAsiaTheme="minorEastAsia"/>
              <w:sz w:val="24"/>
            </w:rPr>
          </w:pPr>
          <w:r>
            <w:fldChar w:fldCharType="begin"/>
          </w:r>
          <w:r>
            <w:instrText xml:space="preserve"> HYPERLINK \l "_Toc43851662" </w:instrText>
          </w:r>
          <w:r>
            <w:fldChar w:fldCharType="separate"/>
          </w:r>
          <w:r>
            <w:rPr>
              <w:rStyle w:val="32"/>
              <w:sz w:val="24"/>
            </w:rPr>
            <w:t>（三）土地类型与权属</w:t>
          </w:r>
          <w:r>
            <w:rPr>
              <w:sz w:val="24"/>
            </w:rPr>
            <w:tab/>
          </w:r>
          <w:r>
            <w:rPr>
              <w:sz w:val="24"/>
            </w:rPr>
            <w:fldChar w:fldCharType="begin"/>
          </w:r>
          <w:r>
            <w:rPr>
              <w:sz w:val="24"/>
            </w:rPr>
            <w:instrText xml:space="preserve"> PAGEREF _Toc43851662 \h </w:instrText>
          </w:r>
          <w:r>
            <w:rPr>
              <w:sz w:val="24"/>
            </w:rPr>
            <w:fldChar w:fldCharType="separate"/>
          </w:r>
          <w:r>
            <w:rPr>
              <w:sz w:val="24"/>
            </w:rPr>
            <w:t>33</w:t>
          </w:r>
          <w:r>
            <w:rPr>
              <w:sz w:val="24"/>
            </w:rPr>
            <w:fldChar w:fldCharType="end"/>
          </w:r>
          <w:r>
            <w:rPr>
              <w:sz w:val="24"/>
            </w:rPr>
            <w:fldChar w:fldCharType="end"/>
          </w:r>
        </w:p>
        <w:p w14:paraId="2E1BA1FF">
          <w:pPr>
            <w:pStyle w:val="22"/>
            <w:tabs>
              <w:tab w:val="right" w:leader="dot" w:pos="8296"/>
            </w:tabs>
            <w:rPr>
              <w:rFonts w:eastAsiaTheme="minorEastAsia"/>
              <w:sz w:val="24"/>
            </w:rPr>
          </w:pPr>
          <w:r>
            <w:fldChar w:fldCharType="begin"/>
          </w:r>
          <w:r>
            <w:instrText xml:space="preserve"> HYPERLINK \l "_Toc43851663" </w:instrText>
          </w:r>
          <w:r>
            <w:fldChar w:fldCharType="separate"/>
          </w:r>
          <w:r>
            <w:rPr>
              <w:rStyle w:val="32"/>
              <w:b/>
              <w:bCs/>
              <w:kern w:val="44"/>
              <w:sz w:val="24"/>
            </w:rPr>
            <w:t>第四章矿山地质环境治理与土地复垦可行性分析</w:t>
          </w:r>
          <w:r>
            <w:rPr>
              <w:sz w:val="24"/>
            </w:rPr>
            <w:tab/>
          </w:r>
          <w:r>
            <w:rPr>
              <w:sz w:val="24"/>
            </w:rPr>
            <w:fldChar w:fldCharType="begin"/>
          </w:r>
          <w:r>
            <w:rPr>
              <w:sz w:val="24"/>
            </w:rPr>
            <w:instrText xml:space="preserve"> PAGEREF _Toc43851663 \h </w:instrText>
          </w:r>
          <w:r>
            <w:rPr>
              <w:sz w:val="24"/>
            </w:rPr>
            <w:fldChar w:fldCharType="separate"/>
          </w:r>
          <w:r>
            <w:rPr>
              <w:sz w:val="24"/>
            </w:rPr>
            <w:t>35</w:t>
          </w:r>
          <w:r>
            <w:rPr>
              <w:sz w:val="24"/>
            </w:rPr>
            <w:fldChar w:fldCharType="end"/>
          </w:r>
          <w:r>
            <w:rPr>
              <w:sz w:val="24"/>
            </w:rPr>
            <w:fldChar w:fldCharType="end"/>
          </w:r>
        </w:p>
        <w:p w14:paraId="5DF16331">
          <w:pPr>
            <w:pStyle w:val="22"/>
            <w:tabs>
              <w:tab w:val="right" w:leader="dot" w:pos="8296"/>
            </w:tabs>
            <w:rPr>
              <w:rFonts w:eastAsiaTheme="minorEastAsia"/>
              <w:sz w:val="24"/>
            </w:rPr>
          </w:pPr>
          <w:r>
            <w:fldChar w:fldCharType="begin"/>
          </w:r>
          <w:r>
            <w:instrText xml:space="preserve"> HYPERLINK \l "_Toc43851664" </w:instrText>
          </w:r>
          <w:r>
            <w:fldChar w:fldCharType="separate"/>
          </w:r>
          <w:r>
            <w:rPr>
              <w:rStyle w:val="32"/>
              <w:kern w:val="0"/>
              <w:sz w:val="24"/>
            </w:rPr>
            <w:t>一、矿山地质环境治理可行性分析</w:t>
          </w:r>
          <w:r>
            <w:rPr>
              <w:sz w:val="24"/>
            </w:rPr>
            <w:tab/>
          </w:r>
          <w:r>
            <w:rPr>
              <w:sz w:val="24"/>
            </w:rPr>
            <w:fldChar w:fldCharType="begin"/>
          </w:r>
          <w:r>
            <w:rPr>
              <w:sz w:val="24"/>
            </w:rPr>
            <w:instrText xml:space="preserve"> PAGEREF _Toc43851664 \h </w:instrText>
          </w:r>
          <w:r>
            <w:rPr>
              <w:sz w:val="24"/>
            </w:rPr>
            <w:fldChar w:fldCharType="separate"/>
          </w:r>
          <w:r>
            <w:rPr>
              <w:sz w:val="24"/>
            </w:rPr>
            <w:t>35</w:t>
          </w:r>
          <w:r>
            <w:rPr>
              <w:sz w:val="24"/>
            </w:rPr>
            <w:fldChar w:fldCharType="end"/>
          </w:r>
          <w:r>
            <w:rPr>
              <w:sz w:val="24"/>
            </w:rPr>
            <w:fldChar w:fldCharType="end"/>
          </w:r>
        </w:p>
        <w:p w14:paraId="19C154A2">
          <w:pPr>
            <w:pStyle w:val="15"/>
            <w:tabs>
              <w:tab w:val="right" w:leader="dot" w:pos="8296"/>
            </w:tabs>
            <w:rPr>
              <w:rFonts w:eastAsiaTheme="minorEastAsia"/>
              <w:sz w:val="24"/>
            </w:rPr>
          </w:pPr>
          <w:r>
            <w:fldChar w:fldCharType="begin"/>
          </w:r>
          <w:r>
            <w:instrText xml:space="preserve"> HYPERLINK \l "_Toc43851665" </w:instrText>
          </w:r>
          <w:r>
            <w:fldChar w:fldCharType="separate"/>
          </w:r>
          <w:r>
            <w:rPr>
              <w:rStyle w:val="32"/>
              <w:sz w:val="24"/>
            </w:rPr>
            <w:t>（一）技术可行性分析</w:t>
          </w:r>
          <w:r>
            <w:rPr>
              <w:sz w:val="24"/>
            </w:rPr>
            <w:tab/>
          </w:r>
          <w:r>
            <w:rPr>
              <w:sz w:val="24"/>
            </w:rPr>
            <w:fldChar w:fldCharType="begin"/>
          </w:r>
          <w:r>
            <w:rPr>
              <w:sz w:val="24"/>
            </w:rPr>
            <w:instrText xml:space="preserve"> PAGEREF _Toc43851665 \h </w:instrText>
          </w:r>
          <w:r>
            <w:rPr>
              <w:sz w:val="24"/>
            </w:rPr>
            <w:fldChar w:fldCharType="separate"/>
          </w:r>
          <w:r>
            <w:rPr>
              <w:sz w:val="24"/>
            </w:rPr>
            <w:t>35</w:t>
          </w:r>
          <w:r>
            <w:rPr>
              <w:sz w:val="24"/>
            </w:rPr>
            <w:fldChar w:fldCharType="end"/>
          </w:r>
          <w:r>
            <w:rPr>
              <w:sz w:val="24"/>
            </w:rPr>
            <w:fldChar w:fldCharType="end"/>
          </w:r>
        </w:p>
        <w:p w14:paraId="4E507FC0">
          <w:pPr>
            <w:pStyle w:val="15"/>
            <w:tabs>
              <w:tab w:val="right" w:leader="dot" w:pos="8296"/>
            </w:tabs>
            <w:rPr>
              <w:rFonts w:eastAsiaTheme="minorEastAsia"/>
              <w:sz w:val="24"/>
            </w:rPr>
          </w:pPr>
          <w:r>
            <w:fldChar w:fldCharType="begin"/>
          </w:r>
          <w:r>
            <w:instrText xml:space="preserve"> HYPERLINK \l "_Toc43851666" </w:instrText>
          </w:r>
          <w:r>
            <w:fldChar w:fldCharType="separate"/>
          </w:r>
          <w:r>
            <w:rPr>
              <w:rStyle w:val="32"/>
              <w:sz w:val="24"/>
            </w:rPr>
            <w:t>（二）经济可行性分析</w:t>
          </w:r>
          <w:r>
            <w:rPr>
              <w:sz w:val="24"/>
            </w:rPr>
            <w:tab/>
          </w:r>
          <w:r>
            <w:rPr>
              <w:sz w:val="24"/>
            </w:rPr>
            <w:fldChar w:fldCharType="begin"/>
          </w:r>
          <w:r>
            <w:rPr>
              <w:sz w:val="24"/>
            </w:rPr>
            <w:instrText xml:space="preserve"> PAGEREF _Toc43851666 \h </w:instrText>
          </w:r>
          <w:r>
            <w:rPr>
              <w:sz w:val="24"/>
            </w:rPr>
            <w:fldChar w:fldCharType="separate"/>
          </w:r>
          <w:r>
            <w:rPr>
              <w:sz w:val="24"/>
            </w:rPr>
            <w:t>35</w:t>
          </w:r>
          <w:r>
            <w:rPr>
              <w:sz w:val="24"/>
            </w:rPr>
            <w:fldChar w:fldCharType="end"/>
          </w:r>
          <w:r>
            <w:rPr>
              <w:sz w:val="24"/>
            </w:rPr>
            <w:fldChar w:fldCharType="end"/>
          </w:r>
        </w:p>
        <w:p w14:paraId="085D1E47">
          <w:pPr>
            <w:pStyle w:val="15"/>
            <w:tabs>
              <w:tab w:val="right" w:leader="dot" w:pos="8296"/>
            </w:tabs>
            <w:rPr>
              <w:rFonts w:eastAsiaTheme="minorEastAsia"/>
              <w:sz w:val="24"/>
            </w:rPr>
          </w:pPr>
          <w:r>
            <w:fldChar w:fldCharType="begin"/>
          </w:r>
          <w:r>
            <w:instrText xml:space="preserve"> HYPERLINK \l "_Toc43851667" </w:instrText>
          </w:r>
          <w:r>
            <w:fldChar w:fldCharType="separate"/>
          </w:r>
          <w:r>
            <w:rPr>
              <w:rStyle w:val="32"/>
              <w:sz w:val="24"/>
            </w:rPr>
            <w:t>（三）生态环境协调性分析</w:t>
          </w:r>
          <w:r>
            <w:rPr>
              <w:sz w:val="24"/>
            </w:rPr>
            <w:tab/>
          </w:r>
          <w:r>
            <w:rPr>
              <w:sz w:val="24"/>
            </w:rPr>
            <w:fldChar w:fldCharType="begin"/>
          </w:r>
          <w:r>
            <w:rPr>
              <w:sz w:val="24"/>
            </w:rPr>
            <w:instrText xml:space="preserve"> PAGEREF _Toc43851667 \h </w:instrText>
          </w:r>
          <w:r>
            <w:rPr>
              <w:sz w:val="24"/>
            </w:rPr>
            <w:fldChar w:fldCharType="separate"/>
          </w:r>
          <w:r>
            <w:rPr>
              <w:sz w:val="24"/>
            </w:rPr>
            <w:t>35</w:t>
          </w:r>
          <w:r>
            <w:rPr>
              <w:sz w:val="24"/>
            </w:rPr>
            <w:fldChar w:fldCharType="end"/>
          </w:r>
          <w:r>
            <w:rPr>
              <w:sz w:val="24"/>
            </w:rPr>
            <w:fldChar w:fldCharType="end"/>
          </w:r>
        </w:p>
        <w:p w14:paraId="76D1DECB">
          <w:pPr>
            <w:pStyle w:val="22"/>
            <w:tabs>
              <w:tab w:val="right" w:leader="dot" w:pos="8296"/>
            </w:tabs>
            <w:rPr>
              <w:rFonts w:eastAsiaTheme="minorEastAsia"/>
              <w:sz w:val="24"/>
            </w:rPr>
          </w:pPr>
          <w:r>
            <w:fldChar w:fldCharType="begin"/>
          </w:r>
          <w:r>
            <w:instrText xml:space="preserve"> HYPERLINK \l "_Toc43851668" </w:instrText>
          </w:r>
          <w:r>
            <w:fldChar w:fldCharType="separate"/>
          </w:r>
          <w:r>
            <w:rPr>
              <w:rStyle w:val="32"/>
              <w:kern w:val="0"/>
              <w:sz w:val="24"/>
            </w:rPr>
            <w:t>二、矿区土地复垦可行性分析</w:t>
          </w:r>
          <w:r>
            <w:rPr>
              <w:sz w:val="24"/>
            </w:rPr>
            <w:tab/>
          </w:r>
          <w:r>
            <w:rPr>
              <w:sz w:val="24"/>
            </w:rPr>
            <w:fldChar w:fldCharType="begin"/>
          </w:r>
          <w:r>
            <w:rPr>
              <w:sz w:val="24"/>
            </w:rPr>
            <w:instrText xml:space="preserve"> PAGEREF _Toc43851668 \h </w:instrText>
          </w:r>
          <w:r>
            <w:rPr>
              <w:sz w:val="24"/>
            </w:rPr>
            <w:fldChar w:fldCharType="separate"/>
          </w:r>
          <w:r>
            <w:rPr>
              <w:sz w:val="24"/>
            </w:rPr>
            <w:t>36</w:t>
          </w:r>
          <w:r>
            <w:rPr>
              <w:sz w:val="24"/>
            </w:rPr>
            <w:fldChar w:fldCharType="end"/>
          </w:r>
          <w:r>
            <w:rPr>
              <w:sz w:val="24"/>
            </w:rPr>
            <w:fldChar w:fldCharType="end"/>
          </w:r>
        </w:p>
        <w:p w14:paraId="611016D6">
          <w:pPr>
            <w:pStyle w:val="15"/>
            <w:tabs>
              <w:tab w:val="right" w:leader="dot" w:pos="8296"/>
            </w:tabs>
            <w:rPr>
              <w:rFonts w:eastAsiaTheme="minorEastAsia"/>
              <w:sz w:val="24"/>
            </w:rPr>
          </w:pPr>
          <w:r>
            <w:fldChar w:fldCharType="begin"/>
          </w:r>
          <w:r>
            <w:instrText xml:space="preserve"> HYPERLINK \l "_Toc43851669" </w:instrText>
          </w:r>
          <w:r>
            <w:fldChar w:fldCharType="separate"/>
          </w:r>
          <w:r>
            <w:rPr>
              <w:rStyle w:val="32"/>
              <w:sz w:val="24"/>
            </w:rPr>
            <w:t>（一）复垦区土地利用现状</w:t>
          </w:r>
          <w:r>
            <w:rPr>
              <w:sz w:val="24"/>
            </w:rPr>
            <w:tab/>
          </w:r>
          <w:r>
            <w:rPr>
              <w:sz w:val="24"/>
            </w:rPr>
            <w:fldChar w:fldCharType="begin"/>
          </w:r>
          <w:r>
            <w:rPr>
              <w:sz w:val="24"/>
            </w:rPr>
            <w:instrText xml:space="preserve"> PAGEREF _Toc43851669 \h </w:instrText>
          </w:r>
          <w:r>
            <w:rPr>
              <w:sz w:val="24"/>
            </w:rPr>
            <w:fldChar w:fldCharType="separate"/>
          </w:r>
          <w:r>
            <w:rPr>
              <w:sz w:val="24"/>
            </w:rPr>
            <w:t>36</w:t>
          </w:r>
          <w:r>
            <w:rPr>
              <w:sz w:val="24"/>
            </w:rPr>
            <w:fldChar w:fldCharType="end"/>
          </w:r>
          <w:r>
            <w:rPr>
              <w:sz w:val="24"/>
            </w:rPr>
            <w:fldChar w:fldCharType="end"/>
          </w:r>
        </w:p>
        <w:p w14:paraId="19CDB38C">
          <w:pPr>
            <w:pStyle w:val="15"/>
            <w:tabs>
              <w:tab w:val="right" w:leader="dot" w:pos="8296"/>
            </w:tabs>
            <w:rPr>
              <w:rFonts w:eastAsiaTheme="minorEastAsia"/>
              <w:sz w:val="24"/>
            </w:rPr>
          </w:pPr>
          <w:r>
            <w:fldChar w:fldCharType="begin"/>
          </w:r>
          <w:r>
            <w:instrText xml:space="preserve"> HYPERLINK \l "_Toc43851670" </w:instrText>
          </w:r>
          <w:r>
            <w:fldChar w:fldCharType="separate"/>
          </w:r>
          <w:r>
            <w:rPr>
              <w:rStyle w:val="32"/>
              <w:sz w:val="24"/>
            </w:rPr>
            <w:t>（二）土地复垦适宜性评价</w:t>
          </w:r>
          <w:r>
            <w:rPr>
              <w:sz w:val="24"/>
            </w:rPr>
            <w:tab/>
          </w:r>
          <w:r>
            <w:rPr>
              <w:sz w:val="24"/>
            </w:rPr>
            <w:fldChar w:fldCharType="begin"/>
          </w:r>
          <w:r>
            <w:rPr>
              <w:sz w:val="24"/>
            </w:rPr>
            <w:instrText xml:space="preserve"> PAGEREF _Toc43851670 \h </w:instrText>
          </w:r>
          <w:r>
            <w:rPr>
              <w:sz w:val="24"/>
            </w:rPr>
            <w:fldChar w:fldCharType="separate"/>
          </w:r>
          <w:r>
            <w:rPr>
              <w:sz w:val="24"/>
            </w:rPr>
            <w:t>36</w:t>
          </w:r>
          <w:r>
            <w:rPr>
              <w:sz w:val="24"/>
            </w:rPr>
            <w:fldChar w:fldCharType="end"/>
          </w:r>
          <w:r>
            <w:rPr>
              <w:sz w:val="24"/>
            </w:rPr>
            <w:fldChar w:fldCharType="end"/>
          </w:r>
        </w:p>
        <w:p w14:paraId="09CBAD88">
          <w:pPr>
            <w:pStyle w:val="15"/>
            <w:tabs>
              <w:tab w:val="right" w:leader="dot" w:pos="8296"/>
            </w:tabs>
            <w:rPr>
              <w:rFonts w:eastAsiaTheme="minorEastAsia"/>
              <w:sz w:val="24"/>
            </w:rPr>
          </w:pPr>
          <w:r>
            <w:fldChar w:fldCharType="begin"/>
          </w:r>
          <w:r>
            <w:instrText xml:space="preserve"> HYPERLINK \l "_Toc43851671" </w:instrText>
          </w:r>
          <w:r>
            <w:fldChar w:fldCharType="separate"/>
          </w:r>
          <w:r>
            <w:rPr>
              <w:rStyle w:val="32"/>
              <w:sz w:val="24"/>
            </w:rPr>
            <w:t>（三）水土资源平衡分析</w:t>
          </w:r>
          <w:r>
            <w:rPr>
              <w:sz w:val="24"/>
            </w:rPr>
            <w:tab/>
          </w:r>
          <w:r>
            <w:rPr>
              <w:sz w:val="24"/>
            </w:rPr>
            <w:fldChar w:fldCharType="begin"/>
          </w:r>
          <w:r>
            <w:rPr>
              <w:sz w:val="24"/>
            </w:rPr>
            <w:instrText xml:space="preserve"> PAGEREF _Toc43851671 \h </w:instrText>
          </w:r>
          <w:r>
            <w:rPr>
              <w:sz w:val="24"/>
            </w:rPr>
            <w:fldChar w:fldCharType="separate"/>
          </w:r>
          <w:r>
            <w:rPr>
              <w:sz w:val="24"/>
            </w:rPr>
            <w:t>43</w:t>
          </w:r>
          <w:r>
            <w:rPr>
              <w:sz w:val="24"/>
            </w:rPr>
            <w:fldChar w:fldCharType="end"/>
          </w:r>
          <w:r>
            <w:rPr>
              <w:sz w:val="24"/>
            </w:rPr>
            <w:fldChar w:fldCharType="end"/>
          </w:r>
        </w:p>
        <w:p w14:paraId="29177649">
          <w:pPr>
            <w:pStyle w:val="15"/>
            <w:tabs>
              <w:tab w:val="right" w:leader="dot" w:pos="8296"/>
            </w:tabs>
            <w:rPr>
              <w:rFonts w:eastAsiaTheme="minorEastAsia"/>
              <w:sz w:val="24"/>
            </w:rPr>
          </w:pPr>
          <w:r>
            <w:fldChar w:fldCharType="begin"/>
          </w:r>
          <w:r>
            <w:instrText xml:space="preserve"> HYPERLINK \l "_Toc43851672" </w:instrText>
          </w:r>
          <w:r>
            <w:fldChar w:fldCharType="separate"/>
          </w:r>
          <w:r>
            <w:rPr>
              <w:rStyle w:val="32"/>
              <w:sz w:val="24"/>
            </w:rPr>
            <w:t>（四）土地复垦质量要求</w:t>
          </w:r>
          <w:r>
            <w:rPr>
              <w:sz w:val="24"/>
            </w:rPr>
            <w:tab/>
          </w:r>
          <w:r>
            <w:rPr>
              <w:sz w:val="24"/>
            </w:rPr>
            <w:fldChar w:fldCharType="begin"/>
          </w:r>
          <w:r>
            <w:rPr>
              <w:sz w:val="24"/>
            </w:rPr>
            <w:instrText xml:space="preserve"> PAGEREF _Toc43851672 \h </w:instrText>
          </w:r>
          <w:r>
            <w:rPr>
              <w:sz w:val="24"/>
            </w:rPr>
            <w:fldChar w:fldCharType="separate"/>
          </w:r>
          <w:r>
            <w:rPr>
              <w:sz w:val="24"/>
            </w:rPr>
            <w:t>47</w:t>
          </w:r>
          <w:r>
            <w:rPr>
              <w:sz w:val="24"/>
            </w:rPr>
            <w:fldChar w:fldCharType="end"/>
          </w:r>
          <w:r>
            <w:rPr>
              <w:sz w:val="24"/>
            </w:rPr>
            <w:fldChar w:fldCharType="end"/>
          </w:r>
        </w:p>
        <w:p w14:paraId="158DFA7D">
          <w:pPr>
            <w:pStyle w:val="22"/>
            <w:tabs>
              <w:tab w:val="right" w:leader="dot" w:pos="8296"/>
            </w:tabs>
            <w:rPr>
              <w:rFonts w:eastAsiaTheme="minorEastAsia"/>
              <w:sz w:val="24"/>
            </w:rPr>
          </w:pPr>
          <w:r>
            <w:fldChar w:fldCharType="begin"/>
          </w:r>
          <w:r>
            <w:instrText xml:space="preserve"> HYPERLINK \l "_Toc43851673" </w:instrText>
          </w:r>
          <w:r>
            <w:fldChar w:fldCharType="separate"/>
          </w:r>
          <w:r>
            <w:rPr>
              <w:rStyle w:val="32"/>
              <w:b/>
              <w:bCs/>
              <w:kern w:val="44"/>
              <w:sz w:val="24"/>
            </w:rPr>
            <w:t>第五章矿山地质环境治理与土地复垦工程</w:t>
          </w:r>
          <w:r>
            <w:rPr>
              <w:sz w:val="24"/>
            </w:rPr>
            <w:tab/>
          </w:r>
          <w:r>
            <w:rPr>
              <w:sz w:val="24"/>
            </w:rPr>
            <w:fldChar w:fldCharType="begin"/>
          </w:r>
          <w:r>
            <w:rPr>
              <w:sz w:val="24"/>
            </w:rPr>
            <w:instrText xml:space="preserve"> PAGEREF _Toc43851673 \h </w:instrText>
          </w:r>
          <w:r>
            <w:rPr>
              <w:sz w:val="24"/>
            </w:rPr>
            <w:fldChar w:fldCharType="separate"/>
          </w:r>
          <w:r>
            <w:rPr>
              <w:sz w:val="24"/>
            </w:rPr>
            <w:t>49</w:t>
          </w:r>
          <w:r>
            <w:rPr>
              <w:sz w:val="24"/>
            </w:rPr>
            <w:fldChar w:fldCharType="end"/>
          </w:r>
          <w:r>
            <w:rPr>
              <w:sz w:val="24"/>
            </w:rPr>
            <w:fldChar w:fldCharType="end"/>
          </w:r>
        </w:p>
        <w:p w14:paraId="65DFCB1E">
          <w:pPr>
            <w:pStyle w:val="22"/>
            <w:tabs>
              <w:tab w:val="right" w:leader="dot" w:pos="8296"/>
            </w:tabs>
            <w:rPr>
              <w:rFonts w:eastAsiaTheme="minorEastAsia"/>
              <w:sz w:val="24"/>
            </w:rPr>
          </w:pPr>
          <w:r>
            <w:fldChar w:fldCharType="begin"/>
          </w:r>
          <w:r>
            <w:instrText xml:space="preserve"> HYPERLINK \l "_Toc43851674" </w:instrText>
          </w:r>
          <w:r>
            <w:fldChar w:fldCharType="separate"/>
          </w:r>
          <w:r>
            <w:rPr>
              <w:rStyle w:val="32"/>
              <w:kern w:val="0"/>
              <w:sz w:val="24"/>
            </w:rPr>
            <w:t>一、矿山地质环境保护与土地复垦预防</w:t>
          </w:r>
          <w:r>
            <w:rPr>
              <w:sz w:val="24"/>
            </w:rPr>
            <w:tab/>
          </w:r>
          <w:r>
            <w:rPr>
              <w:sz w:val="24"/>
            </w:rPr>
            <w:fldChar w:fldCharType="begin"/>
          </w:r>
          <w:r>
            <w:rPr>
              <w:sz w:val="24"/>
            </w:rPr>
            <w:instrText xml:space="preserve"> PAGEREF _Toc43851674 \h </w:instrText>
          </w:r>
          <w:r>
            <w:rPr>
              <w:sz w:val="24"/>
            </w:rPr>
            <w:fldChar w:fldCharType="separate"/>
          </w:r>
          <w:r>
            <w:rPr>
              <w:sz w:val="24"/>
            </w:rPr>
            <w:t>49</w:t>
          </w:r>
          <w:r>
            <w:rPr>
              <w:sz w:val="24"/>
            </w:rPr>
            <w:fldChar w:fldCharType="end"/>
          </w:r>
          <w:r>
            <w:rPr>
              <w:sz w:val="24"/>
            </w:rPr>
            <w:fldChar w:fldCharType="end"/>
          </w:r>
        </w:p>
        <w:p w14:paraId="74F26078">
          <w:pPr>
            <w:pStyle w:val="15"/>
            <w:tabs>
              <w:tab w:val="right" w:leader="dot" w:pos="8296"/>
            </w:tabs>
            <w:rPr>
              <w:rFonts w:eastAsiaTheme="minorEastAsia"/>
              <w:sz w:val="24"/>
            </w:rPr>
          </w:pPr>
          <w:r>
            <w:fldChar w:fldCharType="begin"/>
          </w:r>
          <w:r>
            <w:instrText xml:space="preserve"> HYPERLINK \l "_Toc43851675" </w:instrText>
          </w:r>
          <w:r>
            <w:fldChar w:fldCharType="separate"/>
          </w:r>
          <w:r>
            <w:rPr>
              <w:rStyle w:val="32"/>
              <w:sz w:val="24"/>
            </w:rPr>
            <w:t>（一）目标任务</w:t>
          </w:r>
          <w:r>
            <w:rPr>
              <w:sz w:val="24"/>
            </w:rPr>
            <w:tab/>
          </w:r>
          <w:r>
            <w:rPr>
              <w:sz w:val="24"/>
            </w:rPr>
            <w:fldChar w:fldCharType="begin"/>
          </w:r>
          <w:r>
            <w:rPr>
              <w:sz w:val="24"/>
            </w:rPr>
            <w:instrText xml:space="preserve"> PAGEREF _Toc43851675 \h </w:instrText>
          </w:r>
          <w:r>
            <w:rPr>
              <w:sz w:val="24"/>
            </w:rPr>
            <w:fldChar w:fldCharType="separate"/>
          </w:r>
          <w:r>
            <w:rPr>
              <w:sz w:val="24"/>
            </w:rPr>
            <w:t>49</w:t>
          </w:r>
          <w:r>
            <w:rPr>
              <w:sz w:val="24"/>
            </w:rPr>
            <w:fldChar w:fldCharType="end"/>
          </w:r>
          <w:r>
            <w:rPr>
              <w:sz w:val="24"/>
            </w:rPr>
            <w:fldChar w:fldCharType="end"/>
          </w:r>
        </w:p>
        <w:p w14:paraId="3CBEBEE9">
          <w:pPr>
            <w:pStyle w:val="15"/>
            <w:tabs>
              <w:tab w:val="right" w:leader="dot" w:pos="8296"/>
            </w:tabs>
            <w:rPr>
              <w:rFonts w:eastAsiaTheme="minorEastAsia"/>
              <w:sz w:val="24"/>
            </w:rPr>
          </w:pPr>
          <w:r>
            <w:fldChar w:fldCharType="begin"/>
          </w:r>
          <w:r>
            <w:instrText xml:space="preserve"> HYPERLINK \l "_Toc43851676" </w:instrText>
          </w:r>
          <w:r>
            <w:fldChar w:fldCharType="separate"/>
          </w:r>
          <w:r>
            <w:rPr>
              <w:rStyle w:val="32"/>
              <w:sz w:val="24"/>
            </w:rPr>
            <w:t>（二）主要技术措施</w:t>
          </w:r>
          <w:r>
            <w:rPr>
              <w:sz w:val="24"/>
            </w:rPr>
            <w:tab/>
          </w:r>
          <w:r>
            <w:rPr>
              <w:sz w:val="24"/>
            </w:rPr>
            <w:fldChar w:fldCharType="begin"/>
          </w:r>
          <w:r>
            <w:rPr>
              <w:sz w:val="24"/>
            </w:rPr>
            <w:instrText xml:space="preserve"> PAGEREF _Toc43851676 \h </w:instrText>
          </w:r>
          <w:r>
            <w:rPr>
              <w:sz w:val="24"/>
            </w:rPr>
            <w:fldChar w:fldCharType="separate"/>
          </w:r>
          <w:r>
            <w:rPr>
              <w:sz w:val="24"/>
            </w:rPr>
            <w:t>49</w:t>
          </w:r>
          <w:r>
            <w:rPr>
              <w:sz w:val="24"/>
            </w:rPr>
            <w:fldChar w:fldCharType="end"/>
          </w:r>
          <w:r>
            <w:rPr>
              <w:sz w:val="24"/>
            </w:rPr>
            <w:fldChar w:fldCharType="end"/>
          </w:r>
        </w:p>
        <w:p w14:paraId="69E06A93">
          <w:pPr>
            <w:pStyle w:val="15"/>
            <w:tabs>
              <w:tab w:val="right" w:leader="dot" w:pos="8296"/>
            </w:tabs>
            <w:rPr>
              <w:rFonts w:eastAsiaTheme="minorEastAsia"/>
              <w:sz w:val="24"/>
            </w:rPr>
          </w:pPr>
          <w:r>
            <w:fldChar w:fldCharType="begin"/>
          </w:r>
          <w:r>
            <w:instrText xml:space="preserve"> HYPERLINK \l "_Toc43851677" </w:instrText>
          </w:r>
          <w:r>
            <w:fldChar w:fldCharType="separate"/>
          </w:r>
          <w:r>
            <w:rPr>
              <w:rStyle w:val="32"/>
              <w:sz w:val="24"/>
            </w:rPr>
            <w:t>（三）主要工程量</w:t>
          </w:r>
          <w:r>
            <w:rPr>
              <w:sz w:val="24"/>
            </w:rPr>
            <w:tab/>
          </w:r>
          <w:r>
            <w:rPr>
              <w:sz w:val="24"/>
            </w:rPr>
            <w:fldChar w:fldCharType="begin"/>
          </w:r>
          <w:r>
            <w:rPr>
              <w:sz w:val="24"/>
            </w:rPr>
            <w:instrText xml:space="preserve"> PAGEREF _Toc43851677 \h </w:instrText>
          </w:r>
          <w:r>
            <w:rPr>
              <w:sz w:val="24"/>
            </w:rPr>
            <w:fldChar w:fldCharType="separate"/>
          </w:r>
          <w:r>
            <w:rPr>
              <w:sz w:val="24"/>
            </w:rPr>
            <w:t>51</w:t>
          </w:r>
          <w:r>
            <w:rPr>
              <w:sz w:val="24"/>
            </w:rPr>
            <w:fldChar w:fldCharType="end"/>
          </w:r>
          <w:r>
            <w:rPr>
              <w:sz w:val="24"/>
            </w:rPr>
            <w:fldChar w:fldCharType="end"/>
          </w:r>
        </w:p>
        <w:p w14:paraId="605F47DA">
          <w:pPr>
            <w:pStyle w:val="22"/>
            <w:tabs>
              <w:tab w:val="right" w:leader="dot" w:pos="8296"/>
            </w:tabs>
            <w:rPr>
              <w:rFonts w:eastAsiaTheme="minorEastAsia"/>
              <w:sz w:val="24"/>
            </w:rPr>
          </w:pPr>
          <w:r>
            <w:fldChar w:fldCharType="begin"/>
          </w:r>
          <w:r>
            <w:instrText xml:space="preserve"> HYPERLINK \l "_Toc43851678" </w:instrText>
          </w:r>
          <w:r>
            <w:fldChar w:fldCharType="separate"/>
          </w:r>
          <w:r>
            <w:rPr>
              <w:rStyle w:val="32"/>
              <w:kern w:val="0"/>
              <w:sz w:val="24"/>
            </w:rPr>
            <w:t>二、矿山地质灾害治理</w:t>
          </w:r>
          <w:r>
            <w:rPr>
              <w:sz w:val="24"/>
            </w:rPr>
            <w:tab/>
          </w:r>
          <w:r>
            <w:rPr>
              <w:sz w:val="24"/>
            </w:rPr>
            <w:fldChar w:fldCharType="begin"/>
          </w:r>
          <w:r>
            <w:rPr>
              <w:sz w:val="24"/>
            </w:rPr>
            <w:instrText xml:space="preserve"> PAGEREF _Toc43851678 \h </w:instrText>
          </w:r>
          <w:r>
            <w:rPr>
              <w:sz w:val="24"/>
            </w:rPr>
            <w:fldChar w:fldCharType="separate"/>
          </w:r>
          <w:r>
            <w:rPr>
              <w:sz w:val="24"/>
            </w:rPr>
            <w:t>51</w:t>
          </w:r>
          <w:r>
            <w:rPr>
              <w:sz w:val="24"/>
            </w:rPr>
            <w:fldChar w:fldCharType="end"/>
          </w:r>
          <w:r>
            <w:rPr>
              <w:sz w:val="24"/>
            </w:rPr>
            <w:fldChar w:fldCharType="end"/>
          </w:r>
        </w:p>
        <w:p w14:paraId="66A6D2B0">
          <w:pPr>
            <w:pStyle w:val="15"/>
            <w:tabs>
              <w:tab w:val="right" w:leader="dot" w:pos="8296"/>
            </w:tabs>
            <w:rPr>
              <w:rFonts w:eastAsiaTheme="minorEastAsia"/>
              <w:sz w:val="24"/>
            </w:rPr>
          </w:pPr>
          <w:r>
            <w:fldChar w:fldCharType="begin"/>
          </w:r>
          <w:r>
            <w:instrText xml:space="preserve"> HYPERLINK \l "_Toc43851679" </w:instrText>
          </w:r>
          <w:r>
            <w:fldChar w:fldCharType="separate"/>
          </w:r>
          <w:r>
            <w:rPr>
              <w:rStyle w:val="32"/>
              <w:sz w:val="24"/>
            </w:rPr>
            <w:t>（一）目标任务</w:t>
          </w:r>
          <w:r>
            <w:rPr>
              <w:sz w:val="24"/>
            </w:rPr>
            <w:tab/>
          </w:r>
          <w:r>
            <w:rPr>
              <w:sz w:val="24"/>
            </w:rPr>
            <w:fldChar w:fldCharType="begin"/>
          </w:r>
          <w:r>
            <w:rPr>
              <w:sz w:val="24"/>
            </w:rPr>
            <w:instrText xml:space="preserve"> PAGEREF _Toc43851679 \h </w:instrText>
          </w:r>
          <w:r>
            <w:rPr>
              <w:sz w:val="24"/>
            </w:rPr>
            <w:fldChar w:fldCharType="separate"/>
          </w:r>
          <w:r>
            <w:rPr>
              <w:sz w:val="24"/>
            </w:rPr>
            <w:t>51</w:t>
          </w:r>
          <w:r>
            <w:rPr>
              <w:sz w:val="24"/>
            </w:rPr>
            <w:fldChar w:fldCharType="end"/>
          </w:r>
          <w:r>
            <w:rPr>
              <w:sz w:val="24"/>
            </w:rPr>
            <w:fldChar w:fldCharType="end"/>
          </w:r>
        </w:p>
        <w:p w14:paraId="4094E5E6">
          <w:pPr>
            <w:pStyle w:val="15"/>
            <w:tabs>
              <w:tab w:val="right" w:leader="dot" w:pos="8296"/>
            </w:tabs>
            <w:rPr>
              <w:rFonts w:eastAsiaTheme="minorEastAsia"/>
              <w:sz w:val="24"/>
            </w:rPr>
          </w:pPr>
          <w:r>
            <w:fldChar w:fldCharType="begin"/>
          </w:r>
          <w:r>
            <w:instrText xml:space="preserve"> HYPERLINK \l "_Toc43851680" </w:instrText>
          </w:r>
          <w:r>
            <w:fldChar w:fldCharType="separate"/>
          </w:r>
          <w:r>
            <w:rPr>
              <w:rStyle w:val="32"/>
              <w:sz w:val="24"/>
            </w:rPr>
            <w:t>（二）工程设计及技术措施</w:t>
          </w:r>
          <w:r>
            <w:rPr>
              <w:sz w:val="24"/>
            </w:rPr>
            <w:tab/>
          </w:r>
          <w:r>
            <w:rPr>
              <w:sz w:val="24"/>
            </w:rPr>
            <w:fldChar w:fldCharType="begin"/>
          </w:r>
          <w:r>
            <w:rPr>
              <w:sz w:val="24"/>
            </w:rPr>
            <w:instrText xml:space="preserve"> PAGEREF _Toc43851680 \h </w:instrText>
          </w:r>
          <w:r>
            <w:rPr>
              <w:sz w:val="24"/>
            </w:rPr>
            <w:fldChar w:fldCharType="separate"/>
          </w:r>
          <w:r>
            <w:rPr>
              <w:sz w:val="24"/>
            </w:rPr>
            <w:t>51</w:t>
          </w:r>
          <w:r>
            <w:rPr>
              <w:sz w:val="24"/>
            </w:rPr>
            <w:fldChar w:fldCharType="end"/>
          </w:r>
          <w:r>
            <w:rPr>
              <w:sz w:val="24"/>
            </w:rPr>
            <w:fldChar w:fldCharType="end"/>
          </w:r>
        </w:p>
        <w:p w14:paraId="104C51E2">
          <w:pPr>
            <w:pStyle w:val="15"/>
            <w:tabs>
              <w:tab w:val="right" w:leader="dot" w:pos="8296"/>
            </w:tabs>
            <w:rPr>
              <w:rFonts w:eastAsiaTheme="minorEastAsia"/>
              <w:sz w:val="24"/>
            </w:rPr>
          </w:pPr>
          <w:r>
            <w:fldChar w:fldCharType="begin"/>
          </w:r>
          <w:r>
            <w:instrText xml:space="preserve"> HYPERLINK \l "_Toc43851681" </w:instrText>
          </w:r>
          <w:r>
            <w:fldChar w:fldCharType="separate"/>
          </w:r>
          <w:r>
            <w:rPr>
              <w:rStyle w:val="32"/>
              <w:sz w:val="24"/>
            </w:rPr>
            <w:t>（三）主要工程量</w:t>
          </w:r>
          <w:r>
            <w:rPr>
              <w:sz w:val="24"/>
            </w:rPr>
            <w:tab/>
          </w:r>
          <w:r>
            <w:rPr>
              <w:sz w:val="24"/>
            </w:rPr>
            <w:fldChar w:fldCharType="begin"/>
          </w:r>
          <w:r>
            <w:rPr>
              <w:sz w:val="24"/>
            </w:rPr>
            <w:instrText xml:space="preserve"> PAGEREF _Toc43851681 \h </w:instrText>
          </w:r>
          <w:r>
            <w:rPr>
              <w:sz w:val="24"/>
            </w:rPr>
            <w:fldChar w:fldCharType="separate"/>
          </w:r>
          <w:r>
            <w:rPr>
              <w:sz w:val="24"/>
            </w:rPr>
            <w:t>52</w:t>
          </w:r>
          <w:r>
            <w:rPr>
              <w:sz w:val="24"/>
            </w:rPr>
            <w:fldChar w:fldCharType="end"/>
          </w:r>
          <w:r>
            <w:rPr>
              <w:sz w:val="24"/>
            </w:rPr>
            <w:fldChar w:fldCharType="end"/>
          </w:r>
        </w:p>
        <w:p w14:paraId="6CF0062D">
          <w:pPr>
            <w:pStyle w:val="22"/>
            <w:tabs>
              <w:tab w:val="right" w:leader="dot" w:pos="8296"/>
            </w:tabs>
            <w:rPr>
              <w:rFonts w:eastAsiaTheme="minorEastAsia"/>
              <w:sz w:val="24"/>
            </w:rPr>
          </w:pPr>
          <w:r>
            <w:fldChar w:fldCharType="begin"/>
          </w:r>
          <w:r>
            <w:instrText xml:space="preserve"> HYPERLINK \l "_Toc43851682" </w:instrText>
          </w:r>
          <w:r>
            <w:fldChar w:fldCharType="separate"/>
          </w:r>
          <w:r>
            <w:rPr>
              <w:rStyle w:val="32"/>
              <w:kern w:val="0"/>
              <w:sz w:val="24"/>
            </w:rPr>
            <w:t>三、矿区土地复垦</w:t>
          </w:r>
          <w:r>
            <w:rPr>
              <w:sz w:val="24"/>
            </w:rPr>
            <w:tab/>
          </w:r>
          <w:r>
            <w:rPr>
              <w:sz w:val="24"/>
            </w:rPr>
            <w:fldChar w:fldCharType="begin"/>
          </w:r>
          <w:r>
            <w:rPr>
              <w:sz w:val="24"/>
            </w:rPr>
            <w:instrText xml:space="preserve"> PAGEREF _Toc43851682 \h </w:instrText>
          </w:r>
          <w:r>
            <w:rPr>
              <w:sz w:val="24"/>
            </w:rPr>
            <w:fldChar w:fldCharType="separate"/>
          </w:r>
          <w:r>
            <w:rPr>
              <w:sz w:val="24"/>
            </w:rPr>
            <w:t>53</w:t>
          </w:r>
          <w:r>
            <w:rPr>
              <w:sz w:val="24"/>
            </w:rPr>
            <w:fldChar w:fldCharType="end"/>
          </w:r>
          <w:r>
            <w:rPr>
              <w:sz w:val="24"/>
            </w:rPr>
            <w:fldChar w:fldCharType="end"/>
          </w:r>
        </w:p>
        <w:p w14:paraId="4B9A14EE">
          <w:pPr>
            <w:pStyle w:val="15"/>
            <w:tabs>
              <w:tab w:val="right" w:leader="dot" w:pos="8296"/>
            </w:tabs>
            <w:rPr>
              <w:rFonts w:eastAsiaTheme="minorEastAsia"/>
              <w:sz w:val="24"/>
            </w:rPr>
          </w:pPr>
          <w:r>
            <w:fldChar w:fldCharType="begin"/>
          </w:r>
          <w:r>
            <w:instrText xml:space="preserve"> HYPERLINK \l "_Toc43851683" </w:instrText>
          </w:r>
          <w:r>
            <w:fldChar w:fldCharType="separate"/>
          </w:r>
          <w:r>
            <w:rPr>
              <w:rStyle w:val="32"/>
              <w:sz w:val="24"/>
            </w:rPr>
            <w:t>（一）目标任务</w:t>
          </w:r>
          <w:r>
            <w:rPr>
              <w:sz w:val="24"/>
            </w:rPr>
            <w:tab/>
          </w:r>
          <w:r>
            <w:rPr>
              <w:sz w:val="24"/>
            </w:rPr>
            <w:fldChar w:fldCharType="begin"/>
          </w:r>
          <w:r>
            <w:rPr>
              <w:sz w:val="24"/>
            </w:rPr>
            <w:instrText xml:space="preserve"> PAGEREF _Toc43851683 \h </w:instrText>
          </w:r>
          <w:r>
            <w:rPr>
              <w:sz w:val="24"/>
            </w:rPr>
            <w:fldChar w:fldCharType="separate"/>
          </w:r>
          <w:r>
            <w:rPr>
              <w:sz w:val="24"/>
            </w:rPr>
            <w:t>53</w:t>
          </w:r>
          <w:r>
            <w:rPr>
              <w:sz w:val="24"/>
            </w:rPr>
            <w:fldChar w:fldCharType="end"/>
          </w:r>
          <w:r>
            <w:rPr>
              <w:sz w:val="24"/>
            </w:rPr>
            <w:fldChar w:fldCharType="end"/>
          </w:r>
        </w:p>
        <w:p w14:paraId="70DC84D0">
          <w:pPr>
            <w:pStyle w:val="15"/>
            <w:tabs>
              <w:tab w:val="right" w:leader="dot" w:pos="8296"/>
            </w:tabs>
            <w:rPr>
              <w:rFonts w:eastAsiaTheme="minorEastAsia"/>
              <w:sz w:val="24"/>
            </w:rPr>
          </w:pPr>
          <w:r>
            <w:fldChar w:fldCharType="begin"/>
          </w:r>
          <w:r>
            <w:instrText xml:space="preserve"> HYPERLINK \l "_Toc43851684" </w:instrText>
          </w:r>
          <w:r>
            <w:fldChar w:fldCharType="separate"/>
          </w:r>
          <w:r>
            <w:rPr>
              <w:rStyle w:val="32"/>
              <w:sz w:val="24"/>
            </w:rPr>
            <w:t>（二）工程设计及技术措施</w:t>
          </w:r>
          <w:r>
            <w:rPr>
              <w:sz w:val="24"/>
            </w:rPr>
            <w:tab/>
          </w:r>
          <w:r>
            <w:rPr>
              <w:sz w:val="24"/>
            </w:rPr>
            <w:fldChar w:fldCharType="begin"/>
          </w:r>
          <w:r>
            <w:rPr>
              <w:sz w:val="24"/>
            </w:rPr>
            <w:instrText xml:space="preserve"> PAGEREF _Toc43851684 \h </w:instrText>
          </w:r>
          <w:r>
            <w:rPr>
              <w:sz w:val="24"/>
            </w:rPr>
            <w:fldChar w:fldCharType="separate"/>
          </w:r>
          <w:r>
            <w:rPr>
              <w:sz w:val="24"/>
            </w:rPr>
            <w:t>54</w:t>
          </w:r>
          <w:r>
            <w:rPr>
              <w:sz w:val="24"/>
            </w:rPr>
            <w:fldChar w:fldCharType="end"/>
          </w:r>
          <w:r>
            <w:rPr>
              <w:sz w:val="24"/>
            </w:rPr>
            <w:fldChar w:fldCharType="end"/>
          </w:r>
        </w:p>
        <w:p w14:paraId="34F3F440">
          <w:pPr>
            <w:pStyle w:val="15"/>
            <w:tabs>
              <w:tab w:val="right" w:leader="dot" w:pos="8296"/>
            </w:tabs>
            <w:rPr>
              <w:rFonts w:eastAsiaTheme="minorEastAsia"/>
              <w:sz w:val="24"/>
            </w:rPr>
          </w:pPr>
          <w:r>
            <w:fldChar w:fldCharType="begin"/>
          </w:r>
          <w:r>
            <w:instrText xml:space="preserve"> HYPERLINK \l "_Toc43851685" </w:instrText>
          </w:r>
          <w:r>
            <w:fldChar w:fldCharType="separate"/>
          </w:r>
          <w:r>
            <w:rPr>
              <w:rStyle w:val="32"/>
              <w:sz w:val="24"/>
            </w:rPr>
            <w:t>（三）主要工程量</w:t>
          </w:r>
          <w:r>
            <w:rPr>
              <w:sz w:val="24"/>
            </w:rPr>
            <w:tab/>
          </w:r>
          <w:r>
            <w:rPr>
              <w:sz w:val="24"/>
            </w:rPr>
            <w:fldChar w:fldCharType="begin"/>
          </w:r>
          <w:r>
            <w:rPr>
              <w:sz w:val="24"/>
            </w:rPr>
            <w:instrText xml:space="preserve"> PAGEREF _Toc43851685 \h </w:instrText>
          </w:r>
          <w:r>
            <w:rPr>
              <w:sz w:val="24"/>
            </w:rPr>
            <w:fldChar w:fldCharType="separate"/>
          </w:r>
          <w:r>
            <w:rPr>
              <w:sz w:val="24"/>
            </w:rPr>
            <w:t>59</w:t>
          </w:r>
          <w:r>
            <w:rPr>
              <w:sz w:val="24"/>
            </w:rPr>
            <w:fldChar w:fldCharType="end"/>
          </w:r>
          <w:r>
            <w:rPr>
              <w:sz w:val="24"/>
            </w:rPr>
            <w:fldChar w:fldCharType="end"/>
          </w:r>
        </w:p>
        <w:p w14:paraId="46E253E8">
          <w:pPr>
            <w:pStyle w:val="22"/>
            <w:tabs>
              <w:tab w:val="right" w:leader="dot" w:pos="8296"/>
            </w:tabs>
            <w:rPr>
              <w:rFonts w:eastAsiaTheme="minorEastAsia"/>
              <w:sz w:val="24"/>
            </w:rPr>
          </w:pPr>
          <w:r>
            <w:fldChar w:fldCharType="begin"/>
          </w:r>
          <w:r>
            <w:instrText xml:space="preserve"> HYPERLINK \l "_Toc43851686" </w:instrText>
          </w:r>
          <w:r>
            <w:fldChar w:fldCharType="separate"/>
          </w:r>
          <w:r>
            <w:rPr>
              <w:rStyle w:val="32"/>
              <w:kern w:val="0"/>
              <w:sz w:val="24"/>
            </w:rPr>
            <w:t>四、含水层破坏修复</w:t>
          </w:r>
          <w:r>
            <w:rPr>
              <w:sz w:val="24"/>
            </w:rPr>
            <w:tab/>
          </w:r>
          <w:r>
            <w:rPr>
              <w:sz w:val="24"/>
            </w:rPr>
            <w:fldChar w:fldCharType="begin"/>
          </w:r>
          <w:r>
            <w:rPr>
              <w:sz w:val="24"/>
            </w:rPr>
            <w:instrText xml:space="preserve"> PAGEREF _Toc43851686 \h </w:instrText>
          </w:r>
          <w:r>
            <w:rPr>
              <w:sz w:val="24"/>
            </w:rPr>
            <w:fldChar w:fldCharType="separate"/>
          </w:r>
          <w:r>
            <w:rPr>
              <w:sz w:val="24"/>
            </w:rPr>
            <w:t>60</w:t>
          </w:r>
          <w:r>
            <w:rPr>
              <w:sz w:val="24"/>
            </w:rPr>
            <w:fldChar w:fldCharType="end"/>
          </w:r>
          <w:r>
            <w:rPr>
              <w:sz w:val="24"/>
            </w:rPr>
            <w:fldChar w:fldCharType="end"/>
          </w:r>
        </w:p>
        <w:p w14:paraId="3C2EAACA">
          <w:pPr>
            <w:pStyle w:val="22"/>
            <w:tabs>
              <w:tab w:val="right" w:leader="dot" w:pos="8296"/>
            </w:tabs>
            <w:rPr>
              <w:rFonts w:eastAsiaTheme="minorEastAsia"/>
              <w:sz w:val="24"/>
            </w:rPr>
          </w:pPr>
          <w:r>
            <w:fldChar w:fldCharType="begin"/>
          </w:r>
          <w:r>
            <w:instrText xml:space="preserve"> HYPERLINK \l "_Toc43851687" </w:instrText>
          </w:r>
          <w:r>
            <w:fldChar w:fldCharType="separate"/>
          </w:r>
          <w:r>
            <w:rPr>
              <w:rStyle w:val="32"/>
              <w:kern w:val="0"/>
              <w:sz w:val="24"/>
            </w:rPr>
            <w:t>五、水土环境污染修复</w:t>
          </w:r>
          <w:r>
            <w:rPr>
              <w:sz w:val="24"/>
            </w:rPr>
            <w:tab/>
          </w:r>
          <w:r>
            <w:rPr>
              <w:sz w:val="24"/>
            </w:rPr>
            <w:fldChar w:fldCharType="begin"/>
          </w:r>
          <w:r>
            <w:rPr>
              <w:sz w:val="24"/>
            </w:rPr>
            <w:instrText xml:space="preserve"> PAGEREF _Toc43851687 \h </w:instrText>
          </w:r>
          <w:r>
            <w:rPr>
              <w:sz w:val="24"/>
            </w:rPr>
            <w:fldChar w:fldCharType="separate"/>
          </w:r>
          <w:r>
            <w:rPr>
              <w:sz w:val="24"/>
            </w:rPr>
            <w:t>60</w:t>
          </w:r>
          <w:r>
            <w:rPr>
              <w:sz w:val="24"/>
            </w:rPr>
            <w:fldChar w:fldCharType="end"/>
          </w:r>
          <w:r>
            <w:rPr>
              <w:sz w:val="24"/>
            </w:rPr>
            <w:fldChar w:fldCharType="end"/>
          </w:r>
        </w:p>
        <w:p w14:paraId="408B6AB9">
          <w:pPr>
            <w:pStyle w:val="15"/>
            <w:tabs>
              <w:tab w:val="right" w:leader="dot" w:pos="8296"/>
            </w:tabs>
            <w:rPr>
              <w:rFonts w:eastAsiaTheme="minorEastAsia"/>
              <w:sz w:val="24"/>
            </w:rPr>
          </w:pPr>
          <w:r>
            <w:fldChar w:fldCharType="begin"/>
          </w:r>
          <w:r>
            <w:instrText xml:space="preserve"> HYPERLINK \l "_Toc43851688" </w:instrText>
          </w:r>
          <w:r>
            <w:fldChar w:fldCharType="separate"/>
          </w:r>
          <w:r>
            <w:rPr>
              <w:rStyle w:val="32"/>
              <w:sz w:val="24"/>
            </w:rPr>
            <w:t>（一）目标任务</w:t>
          </w:r>
          <w:r>
            <w:rPr>
              <w:sz w:val="24"/>
            </w:rPr>
            <w:tab/>
          </w:r>
          <w:r>
            <w:rPr>
              <w:sz w:val="24"/>
            </w:rPr>
            <w:fldChar w:fldCharType="begin"/>
          </w:r>
          <w:r>
            <w:rPr>
              <w:sz w:val="24"/>
            </w:rPr>
            <w:instrText xml:space="preserve"> PAGEREF _Toc43851688 \h </w:instrText>
          </w:r>
          <w:r>
            <w:rPr>
              <w:sz w:val="24"/>
            </w:rPr>
            <w:fldChar w:fldCharType="separate"/>
          </w:r>
          <w:r>
            <w:rPr>
              <w:sz w:val="24"/>
            </w:rPr>
            <w:t>60</w:t>
          </w:r>
          <w:r>
            <w:rPr>
              <w:sz w:val="24"/>
            </w:rPr>
            <w:fldChar w:fldCharType="end"/>
          </w:r>
          <w:r>
            <w:rPr>
              <w:sz w:val="24"/>
            </w:rPr>
            <w:fldChar w:fldCharType="end"/>
          </w:r>
        </w:p>
        <w:p w14:paraId="7C1E4013">
          <w:pPr>
            <w:pStyle w:val="15"/>
            <w:tabs>
              <w:tab w:val="right" w:leader="dot" w:pos="8296"/>
            </w:tabs>
            <w:rPr>
              <w:rFonts w:eastAsiaTheme="minorEastAsia"/>
              <w:sz w:val="24"/>
            </w:rPr>
          </w:pPr>
          <w:r>
            <w:fldChar w:fldCharType="begin"/>
          </w:r>
          <w:r>
            <w:instrText xml:space="preserve"> HYPERLINK \l "_Toc43851689" </w:instrText>
          </w:r>
          <w:r>
            <w:fldChar w:fldCharType="separate"/>
          </w:r>
          <w:r>
            <w:rPr>
              <w:rStyle w:val="32"/>
              <w:sz w:val="24"/>
            </w:rPr>
            <w:t>（二）工程设计及技术措施</w:t>
          </w:r>
          <w:r>
            <w:rPr>
              <w:sz w:val="24"/>
            </w:rPr>
            <w:tab/>
          </w:r>
          <w:r>
            <w:rPr>
              <w:sz w:val="24"/>
            </w:rPr>
            <w:fldChar w:fldCharType="begin"/>
          </w:r>
          <w:r>
            <w:rPr>
              <w:sz w:val="24"/>
            </w:rPr>
            <w:instrText xml:space="preserve"> PAGEREF _Toc43851689 \h </w:instrText>
          </w:r>
          <w:r>
            <w:rPr>
              <w:sz w:val="24"/>
            </w:rPr>
            <w:fldChar w:fldCharType="separate"/>
          </w:r>
          <w:r>
            <w:rPr>
              <w:sz w:val="24"/>
            </w:rPr>
            <w:t>60</w:t>
          </w:r>
          <w:r>
            <w:rPr>
              <w:sz w:val="24"/>
            </w:rPr>
            <w:fldChar w:fldCharType="end"/>
          </w:r>
          <w:r>
            <w:rPr>
              <w:sz w:val="24"/>
            </w:rPr>
            <w:fldChar w:fldCharType="end"/>
          </w:r>
        </w:p>
        <w:p w14:paraId="52BCCE80">
          <w:pPr>
            <w:pStyle w:val="22"/>
            <w:tabs>
              <w:tab w:val="right" w:leader="dot" w:pos="8296"/>
            </w:tabs>
            <w:rPr>
              <w:rFonts w:eastAsiaTheme="minorEastAsia"/>
              <w:sz w:val="24"/>
            </w:rPr>
          </w:pPr>
          <w:r>
            <w:fldChar w:fldCharType="begin"/>
          </w:r>
          <w:r>
            <w:instrText xml:space="preserve"> HYPERLINK \l "_Toc43851690" </w:instrText>
          </w:r>
          <w:r>
            <w:fldChar w:fldCharType="separate"/>
          </w:r>
          <w:r>
            <w:rPr>
              <w:rStyle w:val="32"/>
              <w:kern w:val="0"/>
              <w:sz w:val="24"/>
            </w:rPr>
            <w:t>六、矿山地质环境监测</w:t>
          </w:r>
          <w:r>
            <w:rPr>
              <w:sz w:val="24"/>
            </w:rPr>
            <w:tab/>
          </w:r>
          <w:r>
            <w:rPr>
              <w:sz w:val="24"/>
            </w:rPr>
            <w:fldChar w:fldCharType="begin"/>
          </w:r>
          <w:r>
            <w:rPr>
              <w:sz w:val="24"/>
            </w:rPr>
            <w:instrText xml:space="preserve"> PAGEREF _Toc43851690 \h </w:instrText>
          </w:r>
          <w:r>
            <w:rPr>
              <w:sz w:val="24"/>
            </w:rPr>
            <w:fldChar w:fldCharType="separate"/>
          </w:r>
          <w:r>
            <w:rPr>
              <w:sz w:val="24"/>
            </w:rPr>
            <w:t>61</w:t>
          </w:r>
          <w:r>
            <w:rPr>
              <w:sz w:val="24"/>
            </w:rPr>
            <w:fldChar w:fldCharType="end"/>
          </w:r>
          <w:r>
            <w:rPr>
              <w:sz w:val="24"/>
            </w:rPr>
            <w:fldChar w:fldCharType="end"/>
          </w:r>
        </w:p>
        <w:p w14:paraId="7699EDC8">
          <w:pPr>
            <w:pStyle w:val="15"/>
            <w:tabs>
              <w:tab w:val="right" w:leader="dot" w:pos="8296"/>
            </w:tabs>
            <w:rPr>
              <w:rFonts w:eastAsiaTheme="minorEastAsia"/>
              <w:sz w:val="24"/>
            </w:rPr>
          </w:pPr>
          <w:r>
            <w:fldChar w:fldCharType="begin"/>
          </w:r>
          <w:r>
            <w:instrText xml:space="preserve"> HYPERLINK \l "_Toc43851691" </w:instrText>
          </w:r>
          <w:r>
            <w:fldChar w:fldCharType="separate"/>
          </w:r>
          <w:r>
            <w:rPr>
              <w:rStyle w:val="32"/>
              <w:sz w:val="24"/>
            </w:rPr>
            <w:t>（一）目标任务</w:t>
          </w:r>
          <w:r>
            <w:rPr>
              <w:sz w:val="24"/>
            </w:rPr>
            <w:tab/>
          </w:r>
          <w:r>
            <w:rPr>
              <w:sz w:val="24"/>
            </w:rPr>
            <w:fldChar w:fldCharType="begin"/>
          </w:r>
          <w:r>
            <w:rPr>
              <w:sz w:val="24"/>
            </w:rPr>
            <w:instrText xml:space="preserve"> PAGEREF _Toc43851691 \h </w:instrText>
          </w:r>
          <w:r>
            <w:rPr>
              <w:sz w:val="24"/>
            </w:rPr>
            <w:fldChar w:fldCharType="separate"/>
          </w:r>
          <w:r>
            <w:rPr>
              <w:sz w:val="24"/>
            </w:rPr>
            <w:t>61</w:t>
          </w:r>
          <w:r>
            <w:rPr>
              <w:sz w:val="24"/>
            </w:rPr>
            <w:fldChar w:fldCharType="end"/>
          </w:r>
          <w:r>
            <w:rPr>
              <w:sz w:val="24"/>
            </w:rPr>
            <w:fldChar w:fldCharType="end"/>
          </w:r>
        </w:p>
        <w:p w14:paraId="4A1EA46A">
          <w:pPr>
            <w:pStyle w:val="15"/>
            <w:tabs>
              <w:tab w:val="right" w:leader="dot" w:pos="8296"/>
            </w:tabs>
            <w:rPr>
              <w:rFonts w:eastAsiaTheme="minorEastAsia"/>
              <w:sz w:val="24"/>
            </w:rPr>
          </w:pPr>
          <w:r>
            <w:fldChar w:fldCharType="begin"/>
          </w:r>
          <w:r>
            <w:instrText xml:space="preserve"> HYPERLINK \l "_Toc43851692" </w:instrText>
          </w:r>
          <w:r>
            <w:fldChar w:fldCharType="separate"/>
          </w:r>
          <w:r>
            <w:rPr>
              <w:rStyle w:val="32"/>
              <w:sz w:val="24"/>
            </w:rPr>
            <w:t>（二）工程设计及技术措施</w:t>
          </w:r>
          <w:r>
            <w:rPr>
              <w:sz w:val="24"/>
            </w:rPr>
            <w:tab/>
          </w:r>
          <w:r>
            <w:rPr>
              <w:sz w:val="24"/>
            </w:rPr>
            <w:fldChar w:fldCharType="begin"/>
          </w:r>
          <w:r>
            <w:rPr>
              <w:sz w:val="24"/>
            </w:rPr>
            <w:instrText xml:space="preserve"> PAGEREF _Toc43851692 \h </w:instrText>
          </w:r>
          <w:r>
            <w:rPr>
              <w:sz w:val="24"/>
            </w:rPr>
            <w:fldChar w:fldCharType="separate"/>
          </w:r>
          <w:r>
            <w:rPr>
              <w:sz w:val="24"/>
            </w:rPr>
            <w:t>61</w:t>
          </w:r>
          <w:r>
            <w:rPr>
              <w:sz w:val="24"/>
            </w:rPr>
            <w:fldChar w:fldCharType="end"/>
          </w:r>
          <w:r>
            <w:rPr>
              <w:sz w:val="24"/>
            </w:rPr>
            <w:fldChar w:fldCharType="end"/>
          </w:r>
        </w:p>
        <w:p w14:paraId="0BA9B16C">
          <w:pPr>
            <w:pStyle w:val="15"/>
            <w:tabs>
              <w:tab w:val="right" w:leader="dot" w:pos="8296"/>
            </w:tabs>
            <w:rPr>
              <w:rFonts w:eastAsiaTheme="minorEastAsia"/>
              <w:sz w:val="24"/>
            </w:rPr>
          </w:pPr>
          <w:r>
            <w:fldChar w:fldCharType="begin"/>
          </w:r>
          <w:r>
            <w:instrText xml:space="preserve"> HYPERLINK \l "_Toc43851693" </w:instrText>
          </w:r>
          <w:r>
            <w:fldChar w:fldCharType="separate"/>
          </w:r>
          <w:r>
            <w:rPr>
              <w:rStyle w:val="32"/>
              <w:sz w:val="24"/>
            </w:rPr>
            <w:t>（三）主要工程量</w:t>
          </w:r>
          <w:r>
            <w:rPr>
              <w:sz w:val="24"/>
            </w:rPr>
            <w:tab/>
          </w:r>
          <w:r>
            <w:rPr>
              <w:sz w:val="24"/>
            </w:rPr>
            <w:fldChar w:fldCharType="begin"/>
          </w:r>
          <w:r>
            <w:rPr>
              <w:sz w:val="24"/>
            </w:rPr>
            <w:instrText xml:space="preserve"> PAGEREF _Toc43851693 \h </w:instrText>
          </w:r>
          <w:r>
            <w:rPr>
              <w:sz w:val="24"/>
            </w:rPr>
            <w:fldChar w:fldCharType="separate"/>
          </w:r>
          <w:r>
            <w:rPr>
              <w:sz w:val="24"/>
            </w:rPr>
            <w:t>62</w:t>
          </w:r>
          <w:r>
            <w:rPr>
              <w:sz w:val="24"/>
            </w:rPr>
            <w:fldChar w:fldCharType="end"/>
          </w:r>
          <w:r>
            <w:rPr>
              <w:sz w:val="24"/>
            </w:rPr>
            <w:fldChar w:fldCharType="end"/>
          </w:r>
        </w:p>
        <w:p w14:paraId="5A532A78">
          <w:pPr>
            <w:pStyle w:val="22"/>
            <w:tabs>
              <w:tab w:val="right" w:leader="dot" w:pos="8296"/>
            </w:tabs>
            <w:rPr>
              <w:rFonts w:eastAsiaTheme="minorEastAsia"/>
              <w:sz w:val="24"/>
            </w:rPr>
          </w:pPr>
          <w:r>
            <w:fldChar w:fldCharType="begin"/>
          </w:r>
          <w:r>
            <w:instrText xml:space="preserve"> HYPERLINK \l "_Toc43851694" </w:instrText>
          </w:r>
          <w:r>
            <w:fldChar w:fldCharType="separate"/>
          </w:r>
          <w:r>
            <w:rPr>
              <w:rStyle w:val="32"/>
              <w:kern w:val="0"/>
              <w:sz w:val="24"/>
            </w:rPr>
            <w:t>七、矿区土地复垦监测和管护</w:t>
          </w:r>
          <w:r>
            <w:rPr>
              <w:sz w:val="24"/>
            </w:rPr>
            <w:tab/>
          </w:r>
          <w:r>
            <w:rPr>
              <w:sz w:val="24"/>
            </w:rPr>
            <w:fldChar w:fldCharType="begin"/>
          </w:r>
          <w:r>
            <w:rPr>
              <w:sz w:val="24"/>
            </w:rPr>
            <w:instrText xml:space="preserve"> PAGEREF _Toc43851694 \h </w:instrText>
          </w:r>
          <w:r>
            <w:rPr>
              <w:sz w:val="24"/>
            </w:rPr>
            <w:fldChar w:fldCharType="separate"/>
          </w:r>
          <w:r>
            <w:rPr>
              <w:sz w:val="24"/>
            </w:rPr>
            <w:t>62</w:t>
          </w:r>
          <w:r>
            <w:rPr>
              <w:sz w:val="24"/>
            </w:rPr>
            <w:fldChar w:fldCharType="end"/>
          </w:r>
          <w:r>
            <w:rPr>
              <w:sz w:val="24"/>
            </w:rPr>
            <w:fldChar w:fldCharType="end"/>
          </w:r>
        </w:p>
        <w:p w14:paraId="6A432483">
          <w:pPr>
            <w:pStyle w:val="15"/>
            <w:tabs>
              <w:tab w:val="right" w:leader="dot" w:pos="8296"/>
            </w:tabs>
            <w:rPr>
              <w:rFonts w:eastAsiaTheme="minorEastAsia"/>
              <w:sz w:val="24"/>
            </w:rPr>
          </w:pPr>
          <w:r>
            <w:fldChar w:fldCharType="begin"/>
          </w:r>
          <w:r>
            <w:instrText xml:space="preserve"> HYPERLINK \l "_Toc43851695" </w:instrText>
          </w:r>
          <w:r>
            <w:fldChar w:fldCharType="separate"/>
          </w:r>
          <w:r>
            <w:rPr>
              <w:rStyle w:val="32"/>
              <w:sz w:val="24"/>
            </w:rPr>
            <w:t>（一）目标任务</w:t>
          </w:r>
          <w:r>
            <w:rPr>
              <w:sz w:val="24"/>
            </w:rPr>
            <w:tab/>
          </w:r>
          <w:r>
            <w:rPr>
              <w:sz w:val="24"/>
            </w:rPr>
            <w:fldChar w:fldCharType="begin"/>
          </w:r>
          <w:r>
            <w:rPr>
              <w:sz w:val="24"/>
            </w:rPr>
            <w:instrText xml:space="preserve"> PAGEREF _Toc43851695 \h </w:instrText>
          </w:r>
          <w:r>
            <w:rPr>
              <w:sz w:val="24"/>
            </w:rPr>
            <w:fldChar w:fldCharType="separate"/>
          </w:r>
          <w:r>
            <w:rPr>
              <w:sz w:val="24"/>
            </w:rPr>
            <w:t>62</w:t>
          </w:r>
          <w:r>
            <w:rPr>
              <w:sz w:val="24"/>
            </w:rPr>
            <w:fldChar w:fldCharType="end"/>
          </w:r>
          <w:r>
            <w:rPr>
              <w:sz w:val="24"/>
            </w:rPr>
            <w:fldChar w:fldCharType="end"/>
          </w:r>
        </w:p>
        <w:p w14:paraId="6549F321">
          <w:pPr>
            <w:pStyle w:val="15"/>
            <w:tabs>
              <w:tab w:val="right" w:leader="dot" w:pos="8296"/>
            </w:tabs>
            <w:rPr>
              <w:rFonts w:eastAsiaTheme="minorEastAsia"/>
              <w:sz w:val="24"/>
            </w:rPr>
          </w:pPr>
          <w:r>
            <w:fldChar w:fldCharType="begin"/>
          </w:r>
          <w:r>
            <w:instrText xml:space="preserve"> HYPERLINK \l "_Toc43851696" </w:instrText>
          </w:r>
          <w:r>
            <w:fldChar w:fldCharType="separate"/>
          </w:r>
          <w:r>
            <w:rPr>
              <w:rStyle w:val="32"/>
              <w:sz w:val="24"/>
            </w:rPr>
            <w:t>（二）措施和内容</w:t>
          </w:r>
          <w:r>
            <w:rPr>
              <w:sz w:val="24"/>
            </w:rPr>
            <w:tab/>
          </w:r>
          <w:r>
            <w:rPr>
              <w:sz w:val="24"/>
            </w:rPr>
            <w:fldChar w:fldCharType="begin"/>
          </w:r>
          <w:r>
            <w:rPr>
              <w:sz w:val="24"/>
            </w:rPr>
            <w:instrText xml:space="preserve"> PAGEREF _Toc43851696 \h </w:instrText>
          </w:r>
          <w:r>
            <w:rPr>
              <w:sz w:val="24"/>
            </w:rPr>
            <w:fldChar w:fldCharType="separate"/>
          </w:r>
          <w:r>
            <w:rPr>
              <w:sz w:val="24"/>
            </w:rPr>
            <w:t>63</w:t>
          </w:r>
          <w:r>
            <w:rPr>
              <w:sz w:val="24"/>
            </w:rPr>
            <w:fldChar w:fldCharType="end"/>
          </w:r>
          <w:r>
            <w:rPr>
              <w:sz w:val="24"/>
            </w:rPr>
            <w:fldChar w:fldCharType="end"/>
          </w:r>
        </w:p>
        <w:p w14:paraId="3C36E1C5">
          <w:pPr>
            <w:pStyle w:val="15"/>
            <w:tabs>
              <w:tab w:val="right" w:leader="dot" w:pos="8296"/>
            </w:tabs>
            <w:rPr>
              <w:rFonts w:eastAsiaTheme="minorEastAsia"/>
              <w:sz w:val="24"/>
            </w:rPr>
          </w:pPr>
          <w:r>
            <w:fldChar w:fldCharType="begin"/>
          </w:r>
          <w:r>
            <w:instrText xml:space="preserve"> HYPERLINK \l "_Toc43851697" </w:instrText>
          </w:r>
          <w:r>
            <w:fldChar w:fldCharType="separate"/>
          </w:r>
          <w:r>
            <w:rPr>
              <w:rStyle w:val="32"/>
              <w:sz w:val="24"/>
            </w:rPr>
            <w:t>（三）主要工程量</w:t>
          </w:r>
          <w:r>
            <w:rPr>
              <w:sz w:val="24"/>
            </w:rPr>
            <w:tab/>
          </w:r>
          <w:r>
            <w:rPr>
              <w:sz w:val="24"/>
            </w:rPr>
            <w:fldChar w:fldCharType="begin"/>
          </w:r>
          <w:r>
            <w:rPr>
              <w:sz w:val="24"/>
            </w:rPr>
            <w:instrText xml:space="preserve"> PAGEREF _Toc43851697 \h </w:instrText>
          </w:r>
          <w:r>
            <w:rPr>
              <w:sz w:val="24"/>
            </w:rPr>
            <w:fldChar w:fldCharType="separate"/>
          </w:r>
          <w:r>
            <w:rPr>
              <w:sz w:val="24"/>
            </w:rPr>
            <w:t>65</w:t>
          </w:r>
          <w:r>
            <w:rPr>
              <w:sz w:val="24"/>
            </w:rPr>
            <w:fldChar w:fldCharType="end"/>
          </w:r>
          <w:r>
            <w:rPr>
              <w:sz w:val="24"/>
            </w:rPr>
            <w:fldChar w:fldCharType="end"/>
          </w:r>
        </w:p>
        <w:p w14:paraId="2D9021A4">
          <w:pPr>
            <w:pStyle w:val="22"/>
            <w:tabs>
              <w:tab w:val="right" w:leader="dot" w:pos="8296"/>
            </w:tabs>
            <w:rPr>
              <w:rFonts w:eastAsiaTheme="minorEastAsia"/>
              <w:sz w:val="24"/>
            </w:rPr>
          </w:pPr>
          <w:r>
            <w:fldChar w:fldCharType="begin"/>
          </w:r>
          <w:r>
            <w:instrText xml:space="preserve"> HYPERLINK \l "_Toc43851698" </w:instrText>
          </w:r>
          <w:r>
            <w:fldChar w:fldCharType="separate"/>
          </w:r>
          <w:r>
            <w:rPr>
              <w:rStyle w:val="32"/>
              <w:b/>
              <w:bCs/>
              <w:kern w:val="44"/>
              <w:sz w:val="24"/>
            </w:rPr>
            <w:t>第六章矿山地质环境治理与土地复垦工作部署</w:t>
          </w:r>
          <w:r>
            <w:rPr>
              <w:sz w:val="24"/>
            </w:rPr>
            <w:tab/>
          </w:r>
          <w:r>
            <w:rPr>
              <w:sz w:val="24"/>
            </w:rPr>
            <w:fldChar w:fldCharType="begin"/>
          </w:r>
          <w:r>
            <w:rPr>
              <w:sz w:val="24"/>
            </w:rPr>
            <w:instrText xml:space="preserve"> PAGEREF _Toc43851698 \h </w:instrText>
          </w:r>
          <w:r>
            <w:rPr>
              <w:sz w:val="24"/>
            </w:rPr>
            <w:fldChar w:fldCharType="separate"/>
          </w:r>
          <w:r>
            <w:rPr>
              <w:sz w:val="24"/>
            </w:rPr>
            <w:t>66</w:t>
          </w:r>
          <w:r>
            <w:rPr>
              <w:sz w:val="24"/>
            </w:rPr>
            <w:fldChar w:fldCharType="end"/>
          </w:r>
          <w:r>
            <w:rPr>
              <w:sz w:val="24"/>
            </w:rPr>
            <w:fldChar w:fldCharType="end"/>
          </w:r>
        </w:p>
        <w:p w14:paraId="1E6A8BC9">
          <w:pPr>
            <w:pStyle w:val="22"/>
            <w:tabs>
              <w:tab w:val="right" w:leader="dot" w:pos="8296"/>
            </w:tabs>
            <w:rPr>
              <w:rFonts w:eastAsiaTheme="minorEastAsia"/>
              <w:sz w:val="24"/>
            </w:rPr>
          </w:pPr>
          <w:r>
            <w:fldChar w:fldCharType="begin"/>
          </w:r>
          <w:r>
            <w:instrText xml:space="preserve"> HYPERLINK \l "_Toc43851699" </w:instrText>
          </w:r>
          <w:r>
            <w:fldChar w:fldCharType="separate"/>
          </w:r>
          <w:r>
            <w:rPr>
              <w:rStyle w:val="32"/>
              <w:kern w:val="0"/>
              <w:sz w:val="24"/>
            </w:rPr>
            <w:t>一、总体工作部署</w:t>
          </w:r>
          <w:r>
            <w:rPr>
              <w:sz w:val="24"/>
            </w:rPr>
            <w:tab/>
          </w:r>
          <w:r>
            <w:rPr>
              <w:sz w:val="24"/>
            </w:rPr>
            <w:fldChar w:fldCharType="begin"/>
          </w:r>
          <w:r>
            <w:rPr>
              <w:sz w:val="24"/>
            </w:rPr>
            <w:instrText xml:space="preserve"> PAGEREF _Toc43851699 \h </w:instrText>
          </w:r>
          <w:r>
            <w:rPr>
              <w:sz w:val="24"/>
            </w:rPr>
            <w:fldChar w:fldCharType="separate"/>
          </w:r>
          <w:r>
            <w:rPr>
              <w:sz w:val="24"/>
            </w:rPr>
            <w:t>66</w:t>
          </w:r>
          <w:r>
            <w:rPr>
              <w:sz w:val="24"/>
            </w:rPr>
            <w:fldChar w:fldCharType="end"/>
          </w:r>
          <w:r>
            <w:rPr>
              <w:sz w:val="24"/>
            </w:rPr>
            <w:fldChar w:fldCharType="end"/>
          </w:r>
        </w:p>
        <w:p w14:paraId="5E77ACAF">
          <w:pPr>
            <w:pStyle w:val="22"/>
            <w:tabs>
              <w:tab w:val="right" w:leader="dot" w:pos="8296"/>
            </w:tabs>
            <w:rPr>
              <w:rFonts w:eastAsiaTheme="minorEastAsia"/>
              <w:sz w:val="24"/>
            </w:rPr>
          </w:pPr>
          <w:r>
            <w:fldChar w:fldCharType="begin"/>
          </w:r>
          <w:r>
            <w:instrText xml:space="preserve"> HYPERLINK \l "_Toc43851700" </w:instrText>
          </w:r>
          <w:r>
            <w:fldChar w:fldCharType="separate"/>
          </w:r>
          <w:r>
            <w:rPr>
              <w:rStyle w:val="32"/>
              <w:kern w:val="0"/>
              <w:sz w:val="24"/>
            </w:rPr>
            <w:t>二、阶段实施计划</w:t>
          </w:r>
          <w:r>
            <w:rPr>
              <w:sz w:val="24"/>
            </w:rPr>
            <w:tab/>
          </w:r>
          <w:r>
            <w:rPr>
              <w:sz w:val="24"/>
            </w:rPr>
            <w:fldChar w:fldCharType="begin"/>
          </w:r>
          <w:r>
            <w:rPr>
              <w:sz w:val="24"/>
            </w:rPr>
            <w:instrText xml:space="preserve"> PAGEREF _Toc43851700 \h </w:instrText>
          </w:r>
          <w:r>
            <w:rPr>
              <w:sz w:val="24"/>
            </w:rPr>
            <w:fldChar w:fldCharType="separate"/>
          </w:r>
          <w:r>
            <w:rPr>
              <w:sz w:val="24"/>
            </w:rPr>
            <w:t>66</w:t>
          </w:r>
          <w:r>
            <w:rPr>
              <w:sz w:val="24"/>
            </w:rPr>
            <w:fldChar w:fldCharType="end"/>
          </w:r>
          <w:r>
            <w:rPr>
              <w:sz w:val="24"/>
            </w:rPr>
            <w:fldChar w:fldCharType="end"/>
          </w:r>
        </w:p>
        <w:p w14:paraId="33EB4888">
          <w:pPr>
            <w:pStyle w:val="22"/>
            <w:tabs>
              <w:tab w:val="right" w:leader="dot" w:pos="8296"/>
            </w:tabs>
            <w:rPr>
              <w:rFonts w:eastAsiaTheme="minorEastAsia"/>
              <w:sz w:val="24"/>
            </w:rPr>
          </w:pPr>
          <w:r>
            <w:fldChar w:fldCharType="begin"/>
          </w:r>
          <w:r>
            <w:instrText xml:space="preserve"> HYPERLINK \l "_Toc43851701" </w:instrText>
          </w:r>
          <w:r>
            <w:fldChar w:fldCharType="separate"/>
          </w:r>
          <w:r>
            <w:rPr>
              <w:rStyle w:val="32"/>
              <w:kern w:val="0"/>
              <w:sz w:val="24"/>
            </w:rPr>
            <w:t>三、近期年度工作安排</w:t>
          </w:r>
          <w:r>
            <w:rPr>
              <w:sz w:val="24"/>
            </w:rPr>
            <w:tab/>
          </w:r>
          <w:r>
            <w:rPr>
              <w:sz w:val="24"/>
            </w:rPr>
            <w:fldChar w:fldCharType="begin"/>
          </w:r>
          <w:r>
            <w:rPr>
              <w:sz w:val="24"/>
            </w:rPr>
            <w:instrText xml:space="preserve"> PAGEREF _Toc43851701 \h </w:instrText>
          </w:r>
          <w:r>
            <w:rPr>
              <w:sz w:val="24"/>
            </w:rPr>
            <w:fldChar w:fldCharType="separate"/>
          </w:r>
          <w:r>
            <w:rPr>
              <w:sz w:val="24"/>
            </w:rPr>
            <w:t>67</w:t>
          </w:r>
          <w:r>
            <w:rPr>
              <w:sz w:val="24"/>
            </w:rPr>
            <w:fldChar w:fldCharType="end"/>
          </w:r>
          <w:r>
            <w:rPr>
              <w:sz w:val="24"/>
            </w:rPr>
            <w:fldChar w:fldCharType="end"/>
          </w:r>
        </w:p>
        <w:p w14:paraId="3AAC67A4">
          <w:pPr>
            <w:pStyle w:val="22"/>
            <w:tabs>
              <w:tab w:val="right" w:leader="dot" w:pos="8296"/>
            </w:tabs>
            <w:rPr>
              <w:rFonts w:eastAsiaTheme="minorEastAsia"/>
              <w:sz w:val="24"/>
            </w:rPr>
          </w:pPr>
          <w:r>
            <w:fldChar w:fldCharType="begin"/>
          </w:r>
          <w:r>
            <w:instrText xml:space="preserve"> HYPERLINK \l "_Toc43851702" </w:instrText>
          </w:r>
          <w:r>
            <w:fldChar w:fldCharType="separate"/>
          </w:r>
          <w:r>
            <w:rPr>
              <w:rStyle w:val="32"/>
              <w:b/>
              <w:bCs/>
              <w:kern w:val="44"/>
              <w:sz w:val="24"/>
            </w:rPr>
            <w:t>第七章经费估算与进度安排</w:t>
          </w:r>
          <w:r>
            <w:rPr>
              <w:sz w:val="24"/>
            </w:rPr>
            <w:tab/>
          </w:r>
          <w:r>
            <w:rPr>
              <w:sz w:val="24"/>
            </w:rPr>
            <w:fldChar w:fldCharType="begin"/>
          </w:r>
          <w:r>
            <w:rPr>
              <w:sz w:val="24"/>
            </w:rPr>
            <w:instrText xml:space="preserve"> PAGEREF _Toc43851702 \h </w:instrText>
          </w:r>
          <w:r>
            <w:rPr>
              <w:sz w:val="24"/>
            </w:rPr>
            <w:fldChar w:fldCharType="separate"/>
          </w:r>
          <w:r>
            <w:rPr>
              <w:sz w:val="24"/>
            </w:rPr>
            <w:t>68</w:t>
          </w:r>
          <w:r>
            <w:rPr>
              <w:sz w:val="24"/>
            </w:rPr>
            <w:fldChar w:fldCharType="end"/>
          </w:r>
          <w:r>
            <w:rPr>
              <w:sz w:val="24"/>
            </w:rPr>
            <w:fldChar w:fldCharType="end"/>
          </w:r>
        </w:p>
        <w:p w14:paraId="37978AA0">
          <w:pPr>
            <w:pStyle w:val="22"/>
            <w:tabs>
              <w:tab w:val="right" w:leader="dot" w:pos="8296"/>
            </w:tabs>
            <w:rPr>
              <w:rFonts w:eastAsiaTheme="minorEastAsia"/>
              <w:sz w:val="24"/>
            </w:rPr>
          </w:pPr>
          <w:r>
            <w:fldChar w:fldCharType="begin"/>
          </w:r>
          <w:r>
            <w:instrText xml:space="preserve"> HYPERLINK \l "_Toc43851703" </w:instrText>
          </w:r>
          <w:r>
            <w:fldChar w:fldCharType="separate"/>
          </w:r>
          <w:r>
            <w:rPr>
              <w:rStyle w:val="32"/>
              <w:kern w:val="0"/>
              <w:sz w:val="24"/>
            </w:rPr>
            <w:t>一、经费估算依据</w:t>
          </w:r>
          <w:r>
            <w:rPr>
              <w:sz w:val="24"/>
            </w:rPr>
            <w:tab/>
          </w:r>
          <w:r>
            <w:rPr>
              <w:sz w:val="24"/>
            </w:rPr>
            <w:fldChar w:fldCharType="begin"/>
          </w:r>
          <w:r>
            <w:rPr>
              <w:sz w:val="24"/>
            </w:rPr>
            <w:instrText xml:space="preserve"> PAGEREF _Toc43851703 \h </w:instrText>
          </w:r>
          <w:r>
            <w:rPr>
              <w:sz w:val="24"/>
            </w:rPr>
            <w:fldChar w:fldCharType="separate"/>
          </w:r>
          <w:r>
            <w:rPr>
              <w:sz w:val="24"/>
            </w:rPr>
            <w:t>68</w:t>
          </w:r>
          <w:r>
            <w:rPr>
              <w:sz w:val="24"/>
            </w:rPr>
            <w:fldChar w:fldCharType="end"/>
          </w:r>
          <w:r>
            <w:rPr>
              <w:sz w:val="24"/>
            </w:rPr>
            <w:fldChar w:fldCharType="end"/>
          </w:r>
        </w:p>
        <w:p w14:paraId="7DDE66AC">
          <w:pPr>
            <w:pStyle w:val="15"/>
            <w:tabs>
              <w:tab w:val="right" w:leader="dot" w:pos="8296"/>
            </w:tabs>
            <w:rPr>
              <w:rFonts w:eastAsiaTheme="minorEastAsia"/>
              <w:sz w:val="24"/>
            </w:rPr>
          </w:pPr>
          <w:r>
            <w:fldChar w:fldCharType="begin"/>
          </w:r>
          <w:r>
            <w:instrText xml:space="preserve"> HYPERLINK \l "_Toc43851704" </w:instrText>
          </w:r>
          <w:r>
            <w:fldChar w:fldCharType="separate"/>
          </w:r>
          <w:r>
            <w:rPr>
              <w:rStyle w:val="32"/>
              <w:sz w:val="24"/>
            </w:rPr>
            <w:t>（一）矿山地质环境保护与治理估算</w:t>
          </w:r>
          <w:r>
            <w:rPr>
              <w:sz w:val="24"/>
            </w:rPr>
            <w:tab/>
          </w:r>
          <w:r>
            <w:rPr>
              <w:sz w:val="24"/>
            </w:rPr>
            <w:fldChar w:fldCharType="begin"/>
          </w:r>
          <w:r>
            <w:rPr>
              <w:sz w:val="24"/>
            </w:rPr>
            <w:instrText xml:space="preserve"> PAGEREF _Toc43851704 \h </w:instrText>
          </w:r>
          <w:r>
            <w:rPr>
              <w:sz w:val="24"/>
            </w:rPr>
            <w:fldChar w:fldCharType="separate"/>
          </w:r>
          <w:r>
            <w:rPr>
              <w:sz w:val="24"/>
            </w:rPr>
            <w:t>68</w:t>
          </w:r>
          <w:r>
            <w:rPr>
              <w:sz w:val="24"/>
            </w:rPr>
            <w:fldChar w:fldCharType="end"/>
          </w:r>
          <w:r>
            <w:rPr>
              <w:sz w:val="24"/>
            </w:rPr>
            <w:fldChar w:fldCharType="end"/>
          </w:r>
        </w:p>
        <w:p w14:paraId="4D211EE1">
          <w:pPr>
            <w:pStyle w:val="15"/>
            <w:tabs>
              <w:tab w:val="right" w:leader="dot" w:pos="8296"/>
            </w:tabs>
            <w:rPr>
              <w:rFonts w:eastAsiaTheme="minorEastAsia"/>
              <w:sz w:val="24"/>
            </w:rPr>
          </w:pPr>
          <w:r>
            <w:fldChar w:fldCharType="begin"/>
          </w:r>
          <w:r>
            <w:instrText xml:space="preserve"> HYPERLINK \l "_Toc43851705" </w:instrText>
          </w:r>
          <w:r>
            <w:fldChar w:fldCharType="separate"/>
          </w:r>
          <w:r>
            <w:rPr>
              <w:rStyle w:val="32"/>
              <w:sz w:val="24"/>
            </w:rPr>
            <w:t>（二）土地复垦估算</w:t>
          </w:r>
          <w:r>
            <w:rPr>
              <w:sz w:val="24"/>
            </w:rPr>
            <w:tab/>
          </w:r>
          <w:r>
            <w:rPr>
              <w:sz w:val="24"/>
            </w:rPr>
            <w:fldChar w:fldCharType="begin"/>
          </w:r>
          <w:r>
            <w:rPr>
              <w:sz w:val="24"/>
            </w:rPr>
            <w:instrText xml:space="preserve"> PAGEREF _Toc43851705 \h </w:instrText>
          </w:r>
          <w:r>
            <w:rPr>
              <w:sz w:val="24"/>
            </w:rPr>
            <w:fldChar w:fldCharType="separate"/>
          </w:r>
          <w:r>
            <w:rPr>
              <w:sz w:val="24"/>
            </w:rPr>
            <w:t>70</w:t>
          </w:r>
          <w:r>
            <w:rPr>
              <w:sz w:val="24"/>
            </w:rPr>
            <w:fldChar w:fldCharType="end"/>
          </w:r>
          <w:r>
            <w:rPr>
              <w:sz w:val="24"/>
            </w:rPr>
            <w:fldChar w:fldCharType="end"/>
          </w:r>
        </w:p>
        <w:p w14:paraId="3D2C7B56">
          <w:pPr>
            <w:pStyle w:val="22"/>
            <w:tabs>
              <w:tab w:val="right" w:leader="dot" w:pos="8296"/>
            </w:tabs>
            <w:rPr>
              <w:rFonts w:eastAsiaTheme="minorEastAsia"/>
              <w:sz w:val="24"/>
            </w:rPr>
          </w:pPr>
          <w:r>
            <w:fldChar w:fldCharType="begin"/>
          </w:r>
          <w:r>
            <w:instrText xml:space="preserve"> HYPERLINK \l "_Toc43851706" </w:instrText>
          </w:r>
          <w:r>
            <w:fldChar w:fldCharType="separate"/>
          </w:r>
          <w:r>
            <w:rPr>
              <w:rStyle w:val="32"/>
              <w:kern w:val="0"/>
              <w:sz w:val="24"/>
            </w:rPr>
            <w:t>二、矿山地质环境与土地复垦总费用构成与汇总</w:t>
          </w:r>
          <w:r>
            <w:rPr>
              <w:sz w:val="24"/>
            </w:rPr>
            <w:tab/>
          </w:r>
          <w:r>
            <w:rPr>
              <w:sz w:val="24"/>
            </w:rPr>
            <w:fldChar w:fldCharType="begin"/>
          </w:r>
          <w:r>
            <w:rPr>
              <w:sz w:val="24"/>
            </w:rPr>
            <w:instrText xml:space="preserve"> PAGEREF _Toc43851706 \h </w:instrText>
          </w:r>
          <w:r>
            <w:rPr>
              <w:sz w:val="24"/>
            </w:rPr>
            <w:fldChar w:fldCharType="separate"/>
          </w:r>
          <w:r>
            <w:rPr>
              <w:sz w:val="24"/>
            </w:rPr>
            <w:t>75</w:t>
          </w:r>
          <w:r>
            <w:rPr>
              <w:sz w:val="24"/>
            </w:rPr>
            <w:fldChar w:fldCharType="end"/>
          </w:r>
          <w:r>
            <w:rPr>
              <w:sz w:val="24"/>
            </w:rPr>
            <w:fldChar w:fldCharType="end"/>
          </w:r>
        </w:p>
        <w:p w14:paraId="33E5248C">
          <w:pPr>
            <w:pStyle w:val="22"/>
            <w:tabs>
              <w:tab w:val="right" w:leader="dot" w:pos="8296"/>
            </w:tabs>
            <w:rPr>
              <w:rFonts w:eastAsiaTheme="minorEastAsia"/>
              <w:sz w:val="24"/>
            </w:rPr>
          </w:pPr>
          <w:r>
            <w:fldChar w:fldCharType="begin"/>
          </w:r>
          <w:r>
            <w:instrText xml:space="preserve"> HYPERLINK \l "_Toc43851707" </w:instrText>
          </w:r>
          <w:r>
            <w:fldChar w:fldCharType="separate"/>
          </w:r>
          <w:r>
            <w:rPr>
              <w:rStyle w:val="32"/>
              <w:kern w:val="0"/>
              <w:sz w:val="24"/>
            </w:rPr>
            <w:t>三、年度经费安排</w:t>
          </w:r>
          <w:r>
            <w:rPr>
              <w:sz w:val="24"/>
            </w:rPr>
            <w:tab/>
          </w:r>
          <w:r>
            <w:rPr>
              <w:sz w:val="24"/>
            </w:rPr>
            <w:fldChar w:fldCharType="begin"/>
          </w:r>
          <w:r>
            <w:rPr>
              <w:sz w:val="24"/>
            </w:rPr>
            <w:instrText xml:space="preserve"> PAGEREF _Toc43851707 \h </w:instrText>
          </w:r>
          <w:r>
            <w:rPr>
              <w:sz w:val="24"/>
            </w:rPr>
            <w:fldChar w:fldCharType="separate"/>
          </w:r>
          <w:r>
            <w:rPr>
              <w:sz w:val="24"/>
            </w:rPr>
            <w:t>75</w:t>
          </w:r>
          <w:r>
            <w:rPr>
              <w:sz w:val="24"/>
            </w:rPr>
            <w:fldChar w:fldCharType="end"/>
          </w:r>
          <w:r>
            <w:rPr>
              <w:sz w:val="24"/>
            </w:rPr>
            <w:fldChar w:fldCharType="end"/>
          </w:r>
        </w:p>
        <w:p w14:paraId="7DB09D7A">
          <w:pPr>
            <w:pStyle w:val="22"/>
            <w:tabs>
              <w:tab w:val="right" w:leader="dot" w:pos="8296"/>
            </w:tabs>
            <w:rPr>
              <w:rFonts w:eastAsiaTheme="minorEastAsia"/>
              <w:sz w:val="24"/>
            </w:rPr>
          </w:pPr>
          <w:r>
            <w:fldChar w:fldCharType="begin"/>
          </w:r>
          <w:r>
            <w:instrText xml:space="preserve"> HYPERLINK \l "_Toc43851708" </w:instrText>
          </w:r>
          <w:r>
            <w:fldChar w:fldCharType="separate"/>
          </w:r>
          <w:r>
            <w:rPr>
              <w:rStyle w:val="32"/>
              <w:b/>
              <w:bCs/>
              <w:kern w:val="44"/>
              <w:sz w:val="24"/>
            </w:rPr>
            <w:t>第八章保障措施与效益分析</w:t>
          </w:r>
          <w:r>
            <w:rPr>
              <w:sz w:val="24"/>
            </w:rPr>
            <w:tab/>
          </w:r>
          <w:r>
            <w:rPr>
              <w:sz w:val="24"/>
            </w:rPr>
            <w:fldChar w:fldCharType="begin"/>
          </w:r>
          <w:r>
            <w:rPr>
              <w:sz w:val="24"/>
            </w:rPr>
            <w:instrText xml:space="preserve"> PAGEREF _Toc43851708 \h </w:instrText>
          </w:r>
          <w:r>
            <w:rPr>
              <w:sz w:val="24"/>
            </w:rPr>
            <w:fldChar w:fldCharType="separate"/>
          </w:r>
          <w:r>
            <w:rPr>
              <w:sz w:val="24"/>
            </w:rPr>
            <w:t>77</w:t>
          </w:r>
          <w:r>
            <w:rPr>
              <w:sz w:val="24"/>
            </w:rPr>
            <w:fldChar w:fldCharType="end"/>
          </w:r>
          <w:r>
            <w:rPr>
              <w:sz w:val="24"/>
            </w:rPr>
            <w:fldChar w:fldCharType="end"/>
          </w:r>
        </w:p>
        <w:p w14:paraId="3270B74C">
          <w:pPr>
            <w:pStyle w:val="22"/>
            <w:tabs>
              <w:tab w:val="right" w:leader="dot" w:pos="8296"/>
            </w:tabs>
            <w:rPr>
              <w:rFonts w:eastAsiaTheme="minorEastAsia"/>
              <w:sz w:val="24"/>
            </w:rPr>
          </w:pPr>
          <w:r>
            <w:fldChar w:fldCharType="begin"/>
          </w:r>
          <w:r>
            <w:instrText xml:space="preserve"> HYPERLINK \l "_Toc43851709" </w:instrText>
          </w:r>
          <w:r>
            <w:fldChar w:fldCharType="separate"/>
          </w:r>
          <w:r>
            <w:rPr>
              <w:rStyle w:val="32"/>
              <w:kern w:val="0"/>
              <w:sz w:val="24"/>
            </w:rPr>
            <w:t>一、组织保障</w:t>
          </w:r>
          <w:r>
            <w:rPr>
              <w:sz w:val="24"/>
            </w:rPr>
            <w:tab/>
          </w:r>
          <w:r>
            <w:rPr>
              <w:sz w:val="24"/>
            </w:rPr>
            <w:fldChar w:fldCharType="begin"/>
          </w:r>
          <w:r>
            <w:rPr>
              <w:sz w:val="24"/>
            </w:rPr>
            <w:instrText xml:space="preserve"> PAGEREF _Toc43851709 \h </w:instrText>
          </w:r>
          <w:r>
            <w:rPr>
              <w:sz w:val="24"/>
            </w:rPr>
            <w:fldChar w:fldCharType="separate"/>
          </w:r>
          <w:r>
            <w:rPr>
              <w:sz w:val="24"/>
            </w:rPr>
            <w:t>77</w:t>
          </w:r>
          <w:r>
            <w:rPr>
              <w:sz w:val="24"/>
            </w:rPr>
            <w:fldChar w:fldCharType="end"/>
          </w:r>
          <w:r>
            <w:rPr>
              <w:sz w:val="24"/>
            </w:rPr>
            <w:fldChar w:fldCharType="end"/>
          </w:r>
        </w:p>
        <w:p w14:paraId="12173973">
          <w:pPr>
            <w:pStyle w:val="22"/>
            <w:tabs>
              <w:tab w:val="right" w:leader="dot" w:pos="8296"/>
            </w:tabs>
            <w:rPr>
              <w:rFonts w:eastAsiaTheme="minorEastAsia"/>
              <w:sz w:val="24"/>
            </w:rPr>
          </w:pPr>
          <w:r>
            <w:fldChar w:fldCharType="begin"/>
          </w:r>
          <w:r>
            <w:instrText xml:space="preserve"> HYPERLINK \l "_Toc43851710" </w:instrText>
          </w:r>
          <w:r>
            <w:fldChar w:fldCharType="separate"/>
          </w:r>
          <w:r>
            <w:rPr>
              <w:rStyle w:val="32"/>
              <w:kern w:val="0"/>
              <w:sz w:val="24"/>
            </w:rPr>
            <w:t>二、技术保障</w:t>
          </w:r>
          <w:r>
            <w:rPr>
              <w:sz w:val="24"/>
            </w:rPr>
            <w:tab/>
          </w:r>
          <w:r>
            <w:rPr>
              <w:sz w:val="24"/>
            </w:rPr>
            <w:fldChar w:fldCharType="begin"/>
          </w:r>
          <w:r>
            <w:rPr>
              <w:sz w:val="24"/>
            </w:rPr>
            <w:instrText xml:space="preserve"> PAGEREF _Toc43851710 \h </w:instrText>
          </w:r>
          <w:r>
            <w:rPr>
              <w:sz w:val="24"/>
            </w:rPr>
            <w:fldChar w:fldCharType="separate"/>
          </w:r>
          <w:r>
            <w:rPr>
              <w:sz w:val="24"/>
            </w:rPr>
            <w:t>77</w:t>
          </w:r>
          <w:r>
            <w:rPr>
              <w:sz w:val="24"/>
            </w:rPr>
            <w:fldChar w:fldCharType="end"/>
          </w:r>
          <w:r>
            <w:rPr>
              <w:sz w:val="24"/>
            </w:rPr>
            <w:fldChar w:fldCharType="end"/>
          </w:r>
        </w:p>
        <w:p w14:paraId="7DE64F34">
          <w:pPr>
            <w:pStyle w:val="22"/>
            <w:tabs>
              <w:tab w:val="right" w:leader="dot" w:pos="8296"/>
            </w:tabs>
            <w:rPr>
              <w:rFonts w:eastAsiaTheme="minorEastAsia"/>
              <w:sz w:val="24"/>
            </w:rPr>
          </w:pPr>
          <w:r>
            <w:fldChar w:fldCharType="begin"/>
          </w:r>
          <w:r>
            <w:instrText xml:space="preserve"> HYPERLINK \l "_Toc43851711" </w:instrText>
          </w:r>
          <w:r>
            <w:fldChar w:fldCharType="separate"/>
          </w:r>
          <w:r>
            <w:rPr>
              <w:rStyle w:val="32"/>
              <w:kern w:val="0"/>
              <w:sz w:val="24"/>
            </w:rPr>
            <w:t>三、资金保障</w:t>
          </w:r>
          <w:r>
            <w:rPr>
              <w:sz w:val="24"/>
            </w:rPr>
            <w:tab/>
          </w:r>
          <w:r>
            <w:rPr>
              <w:sz w:val="24"/>
            </w:rPr>
            <w:fldChar w:fldCharType="begin"/>
          </w:r>
          <w:r>
            <w:rPr>
              <w:sz w:val="24"/>
            </w:rPr>
            <w:instrText xml:space="preserve"> PAGEREF _Toc43851711 \h </w:instrText>
          </w:r>
          <w:r>
            <w:rPr>
              <w:sz w:val="24"/>
            </w:rPr>
            <w:fldChar w:fldCharType="separate"/>
          </w:r>
          <w:r>
            <w:rPr>
              <w:sz w:val="24"/>
            </w:rPr>
            <w:t>78</w:t>
          </w:r>
          <w:r>
            <w:rPr>
              <w:sz w:val="24"/>
            </w:rPr>
            <w:fldChar w:fldCharType="end"/>
          </w:r>
          <w:r>
            <w:rPr>
              <w:sz w:val="24"/>
            </w:rPr>
            <w:fldChar w:fldCharType="end"/>
          </w:r>
        </w:p>
        <w:p w14:paraId="2F5B14D5">
          <w:pPr>
            <w:pStyle w:val="22"/>
            <w:tabs>
              <w:tab w:val="right" w:leader="dot" w:pos="8296"/>
            </w:tabs>
            <w:rPr>
              <w:rFonts w:eastAsiaTheme="minorEastAsia"/>
              <w:sz w:val="24"/>
            </w:rPr>
          </w:pPr>
          <w:r>
            <w:fldChar w:fldCharType="begin"/>
          </w:r>
          <w:r>
            <w:instrText xml:space="preserve"> HYPERLINK \l "_Toc43851712" </w:instrText>
          </w:r>
          <w:r>
            <w:fldChar w:fldCharType="separate"/>
          </w:r>
          <w:r>
            <w:rPr>
              <w:rStyle w:val="32"/>
              <w:kern w:val="0"/>
              <w:sz w:val="24"/>
            </w:rPr>
            <w:t>四、监管保障</w:t>
          </w:r>
          <w:r>
            <w:rPr>
              <w:sz w:val="24"/>
            </w:rPr>
            <w:tab/>
          </w:r>
          <w:r>
            <w:rPr>
              <w:sz w:val="24"/>
            </w:rPr>
            <w:fldChar w:fldCharType="begin"/>
          </w:r>
          <w:r>
            <w:rPr>
              <w:sz w:val="24"/>
            </w:rPr>
            <w:instrText xml:space="preserve"> PAGEREF _Toc43851712 \h </w:instrText>
          </w:r>
          <w:r>
            <w:rPr>
              <w:sz w:val="24"/>
            </w:rPr>
            <w:fldChar w:fldCharType="separate"/>
          </w:r>
          <w:r>
            <w:rPr>
              <w:sz w:val="24"/>
            </w:rPr>
            <w:t>80</w:t>
          </w:r>
          <w:r>
            <w:rPr>
              <w:sz w:val="24"/>
            </w:rPr>
            <w:fldChar w:fldCharType="end"/>
          </w:r>
          <w:r>
            <w:rPr>
              <w:sz w:val="24"/>
            </w:rPr>
            <w:fldChar w:fldCharType="end"/>
          </w:r>
        </w:p>
        <w:p w14:paraId="18AD3547">
          <w:pPr>
            <w:pStyle w:val="22"/>
            <w:tabs>
              <w:tab w:val="right" w:leader="dot" w:pos="8296"/>
            </w:tabs>
            <w:rPr>
              <w:rFonts w:eastAsiaTheme="minorEastAsia"/>
              <w:sz w:val="24"/>
            </w:rPr>
          </w:pPr>
          <w:r>
            <w:fldChar w:fldCharType="begin"/>
          </w:r>
          <w:r>
            <w:instrText xml:space="preserve"> HYPERLINK \l "_Toc43851713" </w:instrText>
          </w:r>
          <w:r>
            <w:fldChar w:fldCharType="separate"/>
          </w:r>
          <w:r>
            <w:rPr>
              <w:rStyle w:val="32"/>
              <w:kern w:val="0"/>
              <w:sz w:val="24"/>
            </w:rPr>
            <w:t>五、效益分析</w:t>
          </w:r>
          <w:r>
            <w:rPr>
              <w:sz w:val="24"/>
            </w:rPr>
            <w:tab/>
          </w:r>
          <w:r>
            <w:rPr>
              <w:sz w:val="24"/>
            </w:rPr>
            <w:fldChar w:fldCharType="begin"/>
          </w:r>
          <w:r>
            <w:rPr>
              <w:sz w:val="24"/>
            </w:rPr>
            <w:instrText xml:space="preserve"> PAGEREF _Toc43851713 \h </w:instrText>
          </w:r>
          <w:r>
            <w:rPr>
              <w:sz w:val="24"/>
            </w:rPr>
            <w:fldChar w:fldCharType="separate"/>
          </w:r>
          <w:r>
            <w:rPr>
              <w:sz w:val="24"/>
            </w:rPr>
            <w:t>81</w:t>
          </w:r>
          <w:r>
            <w:rPr>
              <w:sz w:val="24"/>
            </w:rPr>
            <w:fldChar w:fldCharType="end"/>
          </w:r>
          <w:r>
            <w:rPr>
              <w:sz w:val="24"/>
            </w:rPr>
            <w:fldChar w:fldCharType="end"/>
          </w:r>
        </w:p>
        <w:p w14:paraId="16A454D6">
          <w:pPr>
            <w:pStyle w:val="15"/>
            <w:tabs>
              <w:tab w:val="right" w:leader="dot" w:pos="8296"/>
            </w:tabs>
            <w:rPr>
              <w:rFonts w:eastAsiaTheme="minorEastAsia"/>
              <w:sz w:val="24"/>
            </w:rPr>
          </w:pPr>
          <w:r>
            <w:fldChar w:fldCharType="begin"/>
          </w:r>
          <w:r>
            <w:instrText xml:space="preserve"> HYPERLINK \l "_Toc43851714" </w:instrText>
          </w:r>
          <w:r>
            <w:fldChar w:fldCharType="separate"/>
          </w:r>
          <w:r>
            <w:rPr>
              <w:rStyle w:val="32"/>
              <w:sz w:val="24"/>
            </w:rPr>
            <w:t>（一）经济效益分析</w:t>
          </w:r>
          <w:r>
            <w:rPr>
              <w:sz w:val="24"/>
            </w:rPr>
            <w:tab/>
          </w:r>
          <w:r>
            <w:rPr>
              <w:sz w:val="24"/>
            </w:rPr>
            <w:fldChar w:fldCharType="begin"/>
          </w:r>
          <w:r>
            <w:rPr>
              <w:sz w:val="24"/>
            </w:rPr>
            <w:instrText xml:space="preserve"> PAGEREF _Toc43851714 \h </w:instrText>
          </w:r>
          <w:r>
            <w:rPr>
              <w:sz w:val="24"/>
            </w:rPr>
            <w:fldChar w:fldCharType="separate"/>
          </w:r>
          <w:r>
            <w:rPr>
              <w:sz w:val="24"/>
            </w:rPr>
            <w:t>81</w:t>
          </w:r>
          <w:r>
            <w:rPr>
              <w:sz w:val="24"/>
            </w:rPr>
            <w:fldChar w:fldCharType="end"/>
          </w:r>
          <w:r>
            <w:rPr>
              <w:sz w:val="24"/>
            </w:rPr>
            <w:fldChar w:fldCharType="end"/>
          </w:r>
        </w:p>
        <w:p w14:paraId="291F8A68">
          <w:pPr>
            <w:pStyle w:val="15"/>
            <w:tabs>
              <w:tab w:val="right" w:leader="dot" w:pos="8296"/>
            </w:tabs>
            <w:rPr>
              <w:rFonts w:eastAsiaTheme="minorEastAsia"/>
              <w:sz w:val="24"/>
            </w:rPr>
          </w:pPr>
          <w:r>
            <w:fldChar w:fldCharType="begin"/>
          </w:r>
          <w:r>
            <w:instrText xml:space="preserve"> HYPERLINK \l "_Toc43851715" </w:instrText>
          </w:r>
          <w:r>
            <w:fldChar w:fldCharType="separate"/>
          </w:r>
          <w:r>
            <w:rPr>
              <w:rStyle w:val="32"/>
              <w:sz w:val="24"/>
            </w:rPr>
            <w:t>（二）生态效益分析</w:t>
          </w:r>
          <w:r>
            <w:rPr>
              <w:sz w:val="24"/>
            </w:rPr>
            <w:tab/>
          </w:r>
          <w:r>
            <w:rPr>
              <w:sz w:val="24"/>
            </w:rPr>
            <w:fldChar w:fldCharType="begin"/>
          </w:r>
          <w:r>
            <w:rPr>
              <w:sz w:val="24"/>
            </w:rPr>
            <w:instrText xml:space="preserve"> PAGEREF _Toc43851715 \h </w:instrText>
          </w:r>
          <w:r>
            <w:rPr>
              <w:sz w:val="24"/>
            </w:rPr>
            <w:fldChar w:fldCharType="separate"/>
          </w:r>
          <w:r>
            <w:rPr>
              <w:sz w:val="24"/>
            </w:rPr>
            <w:t>82</w:t>
          </w:r>
          <w:r>
            <w:rPr>
              <w:sz w:val="24"/>
            </w:rPr>
            <w:fldChar w:fldCharType="end"/>
          </w:r>
          <w:r>
            <w:rPr>
              <w:sz w:val="24"/>
            </w:rPr>
            <w:fldChar w:fldCharType="end"/>
          </w:r>
        </w:p>
        <w:p w14:paraId="514D4BB8">
          <w:pPr>
            <w:pStyle w:val="15"/>
            <w:tabs>
              <w:tab w:val="right" w:leader="dot" w:pos="8296"/>
            </w:tabs>
            <w:rPr>
              <w:rFonts w:eastAsiaTheme="minorEastAsia"/>
              <w:sz w:val="24"/>
            </w:rPr>
          </w:pPr>
          <w:r>
            <w:fldChar w:fldCharType="begin"/>
          </w:r>
          <w:r>
            <w:instrText xml:space="preserve"> HYPERLINK \l "_Toc43851716" </w:instrText>
          </w:r>
          <w:r>
            <w:fldChar w:fldCharType="separate"/>
          </w:r>
          <w:r>
            <w:rPr>
              <w:rStyle w:val="32"/>
              <w:sz w:val="24"/>
            </w:rPr>
            <w:t>（三）社会效益分析</w:t>
          </w:r>
          <w:r>
            <w:rPr>
              <w:sz w:val="24"/>
            </w:rPr>
            <w:tab/>
          </w:r>
          <w:r>
            <w:rPr>
              <w:sz w:val="24"/>
            </w:rPr>
            <w:fldChar w:fldCharType="begin"/>
          </w:r>
          <w:r>
            <w:rPr>
              <w:sz w:val="24"/>
            </w:rPr>
            <w:instrText xml:space="preserve"> PAGEREF _Toc43851716 \h </w:instrText>
          </w:r>
          <w:r>
            <w:rPr>
              <w:sz w:val="24"/>
            </w:rPr>
            <w:fldChar w:fldCharType="separate"/>
          </w:r>
          <w:r>
            <w:rPr>
              <w:sz w:val="24"/>
            </w:rPr>
            <w:t>82</w:t>
          </w:r>
          <w:r>
            <w:rPr>
              <w:sz w:val="24"/>
            </w:rPr>
            <w:fldChar w:fldCharType="end"/>
          </w:r>
          <w:r>
            <w:rPr>
              <w:sz w:val="24"/>
            </w:rPr>
            <w:fldChar w:fldCharType="end"/>
          </w:r>
        </w:p>
        <w:p w14:paraId="7C3FA53E">
          <w:pPr>
            <w:pStyle w:val="22"/>
            <w:tabs>
              <w:tab w:val="right" w:leader="dot" w:pos="8296"/>
            </w:tabs>
            <w:rPr>
              <w:rFonts w:eastAsiaTheme="minorEastAsia"/>
              <w:sz w:val="24"/>
            </w:rPr>
          </w:pPr>
          <w:r>
            <w:fldChar w:fldCharType="begin"/>
          </w:r>
          <w:r>
            <w:instrText xml:space="preserve"> HYPERLINK \l "_Toc43851717" </w:instrText>
          </w:r>
          <w:r>
            <w:fldChar w:fldCharType="separate"/>
          </w:r>
          <w:r>
            <w:rPr>
              <w:rStyle w:val="32"/>
              <w:kern w:val="0"/>
              <w:sz w:val="24"/>
            </w:rPr>
            <w:t>六、公众参与</w:t>
          </w:r>
          <w:r>
            <w:rPr>
              <w:sz w:val="24"/>
            </w:rPr>
            <w:tab/>
          </w:r>
          <w:r>
            <w:rPr>
              <w:sz w:val="24"/>
            </w:rPr>
            <w:fldChar w:fldCharType="begin"/>
          </w:r>
          <w:r>
            <w:rPr>
              <w:sz w:val="24"/>
            </w:rPr>
            <w:instrText xml:space="preserve"> PAGEREF _Toc43851717 \h </w:instrText>
          </w:r>
          <w:r>
            <w:rPr>
              <w:sz w:val="24"/>
            </w:rPr>
            <w:fldChar w:fldCharType="separate"/>
          </w:r>
          <w:r>
            <w:rPr>
              <w:sz w:val="24"/>
            </w:rPr>
            <w:t>83</w:t>
          </w:r>
          <w:r>
            <w:rPr>
              <w:sz w:val="24"/>
            </w:rPr>
            <w:fldChar w:fldCharType="end"/>
          </w:r>
          <w:r>
            <w:rPr>
              <w:sz w:val="24"/>
            </w:rPr>
            <w:fldChar w:fldCharType="end"/>
          </w:r>
        </w:p>
        <w:p w14:paraId="78E00E41">
          <w:pPr>
            <w:pStyle w:val="22"/>
            <w:tabs>
              <w:tab w:val="right" w:leader="dot" w:pos="8296"/>
            </w:tabs>
            <w:rPr>
              <w:rFonts w:eastAsiaTheme="minorEastAsia"/>
              <w:sz w:val="24"/>
            </w:rPr>
          </w:pPr>
          <w:r>
            <w:fldChar w:fldCharType="begin"/>
          </w:r>
          <w:r>
            <w:instrText xml:space="preserve"> HYPERLINK \l "_Toc43851718" </w:instrText>
          </w:r>
          <w:r>
            <w:fldChar w:fldCharType="separate"/>
          </w:r>
          <w:r>
            <w:rPr>
              <w:rStyle w:val="32"/>
              <w:b/>
              <w:bCs/>
              <w:kern w:val="44"/>
              <w:sz w:val="24"/>
            </w:rPr>
            <w:t>第九章结论与建议</w:t>
          </w:r>
          <w:r>
            <w:rPr>
              <w:sz w:val="24"/>
            </w:rPr>
            <w:tab/>
          </w:r>
          <w:r>
            <w:rPr>
              <w:sz w:val="24"/>
            </w:rPr>
            <w:fldChar w:fldCharType="begin"/>
          </w:r>
          <w:r>
            <w:rPr>
              <w:sz w:val="24"/>
            </w:rPr>
            <w:instrText xml:space="preserve"> PAGEREF _Toc43851718 \h </w:instrText>
          </w:r>
          <w:r>
            <w:rPr>
              <w:sz w:val="24"/>
            </w:rPr>
            <w:fldChar w:fldCharType="separate"/>
          </w:r>
          <w:r>
            <w:rPr>
              <w:sz w:val="24"/>
            </w:rPr>
            <w:t>84</w:t>
          </w:r>
          <w:r>
            <w:rPr>
              <w:sz w:val="24"/>
            </w:rPr>
            <w:fldChar w:fldCharType="end"/>
          </w:r>
          <w:r>
            <w:rPr>
              <w:sz w:val="24"/>
            </w:rPr>
            <w:fldChar w:fldCharType="end"/>
          </w:r>
        </w:p>
        <w:p w14:paraId="2D0915E0">
          <w:pPr>
            <w:pStyle w:val="22"/>
            <w:tabs>
              <w:tab w:val="right" w:leader="dot" w:pos="8296"/>
            </w:tabs>
            <w:rPr>
              <w:rFonts w:eastAsiaTheme="minorEastAsia"/>
              <w:sz w:val="24"/>
            </w:rPr>
          </w:pPr>
          <w:r>
            <w:fldChar w:fldCharType="begin"/>
          </w:r>
          <w:r>
            <w:instrText xml:space="preserve"> HYPERLINK \l "_Toc43851719" </w:instrText>
          </w:r>
          <w:r>
            <w:fldChar w:fldCharType="separate"/>
          </w:r>
          <w:r>
            <w:rPr>
              <w:rStyle w:val="32"/>
              <w:kern w:val="0"/>
              <w:sz w:val="24"/>
            </w:rPr>
            <w:t>一、结论</w:t>
          </w:r>
          <w:r>
            <w:rPr>
              <w:sz w:val="24"/>
            </w:rPr>
            <w:tab/>
          </w:r>
          <w:r>
            <w:rPr>
              <w:sz w:val="24"/>
            </w:rPr>
            <w:fldChar w:fldCharType="begin"/>
          </w:r>
          <w:r>
            <w:rPr>
              <w:sz w:val="24"/>
            </w:rPr>
            <w:instrText xml:space="preserve"> PAGEREF _Toc43851719 \h </w:instrText>
          </w:r>
          <w:r>
            <w:rPr>
              <w:sz w:val="24"/>
            </w:rPr>
            <w:fldChar w:fldCharType="separate"/>
          </w:r>
          <w:r>
            <w:rPr>
              <w:sz w:val="24"/>
            </w:rPr>
            <w:t>84</w:t>
          </w:r>
          <w:r>
            <w:rPr>
              <w:sz w:val="24"/>
            </w:rPr>
            <w:fldChar w:fldCharType="end"/>
          </w:r>
          <w:r>
            <w:rPr>
              <w:sz w:val="24"/>
            </w:rPr>
            <w:fldChar w:fldCharType="end"/>
          </w:r>
        </w:p>
        <w:p w14:paraId="56774718">
          <w:pPr>
            <w:pStyle w:val="15"/>
            <w:tabs>
              <w:tab w:val="right" w:leader="dot" w:pos="8296"/>
            </w:tabs>
            <w:rPr>
              <w:rFonts w:eastAsiaTheme="minorEastAsia"/>
              <w:sz w:val="24"/>
            </w:rPr>
          </w:pPr>
          <w:r>
            <w:fldChar w:fldCharType="begin"/>
          </w:r>
          <w:r>
            <w:instrText xml:space="preserve"> HYPERLINK \l "_Toc43851720" </w:instrText>
          </w:r>
          <w:r>
            <w:fldChar w:fldCharType="separate"/>
          </w:r>
          <w:r>
            <w:rPr>
              <w:rStyle w:val="32"/>
              <w:sz w:val="24"/>
            </w:rPr>
            <w:t>（一）项目基本情况</w:t>
          </w:r>
          <w:r>
            <w:rPr>
              <w:sz w:val="24"/>
            </w:rPr>
            <w:tab/>
          </w:r>
          <w:r>
            <w:rPr>
              <w:sz w:val="24"/>
            </w:rPr>
            <w:fldChar w:fldCharType="begin"/>
          </w:r>
          <w:r>
            <w:rPr>
              <w:sz w:val="24"/>
            </w:rPr>
            <w:instrText xml:space="preserve"> PAGEREF _Toc43851720 \h </w:instrText>
          </w:r>
          <w:r>
            <w:rPr>
              <w:sz w:val="24"/>
            </w:rPr>
            <w:fldChar w:fldCharType="separate"/>
          </w:r>
          <w:r>
            <w:rPr>
              <w:sz w:val="24"/>
            </w:rPr>
            <w:t>84</w:t>
          </w:r>
          <w:r>
            <w:rPr>
              <w:sz w:val="24"/>
            </w:rPr>
            <w:fldChar w:fldCharType="end"/>
          </w:r>
          <w:r>
            <w:rPr>
              <w:sz w:val="24"/>
            </w:rPr>
            <w:fldChar w:fldCharType="end"/>
          </w:r>
        </w:p>
        <w:p w14:paraId="22FBF922">
          <w:pPr>
            <w:pStyle w:val="15"/>
            <w:tabs>
              <w:tab w:val="right" w:leader="dot" w:pos="8296"/>
            </w:tabs>
            <w:rPr>
              <w:rFonts w:eastAsiaTheme="minorEastAsia"/>
              <w:sz w:val="24"/>
            </w:rPr>
          </w:pPr>
          <w:r>
            <w:fldChar w:fldCharType="begin"/>
          </w:r>
          <w:r>
            <w:instrText xml:space="preserve"> HYPERLINK \l "_Toc43851721" </w:instrText>
          </w:r>
          <w:r>
            <w:fldChar w:fldCharType="separate"/>
          </w:r>
          <w:r>
            <w:rPr>
              <w:rStyle w:val="32"/>
              <w:sz w:val="24"/>
            </w:rPr>
            <w:t>（二）矿山地质环境影响和土地损毁评估概况</w:t>
          </w:r>
          <w:r>
            <w:rPr>
              <w:sz w:val="24"/>
            </w:rPr>
            <w:tab/>
          </w:r>
          <w:r>
            <w:rPr>
              <w:sz w:val="24"/>
            </w:rPr>
            <w:fldChar w:fldCharType="begin"/>
          </w:r>
          <w:r>
            <w:rPr>
              <w:sz w:val="24"/>
            </w:rPr>
            <w:instrText xml:space="preserve"> PAGEREF _Toc43851721 \h </w:instrText>
          </w:r>
          <w:r>
            <w:rPr>
              <w:sz w:val="24"/>
            </w:rPr>
            <w:fldChar w:fldCharType="separate"/>
          </w:r>
          <w:r>
            <w:rPr>
              <w:sz w:val="24"/>
            </w:rPr>
            <w:t>84</w:t>
          </w:r>
          <w:r>
            <w:rPr>
              <w:sz w:val="24"/>
            </w:rPr>
            <w:fldChar w:fldCharType="end"/>
          </w:r>
          <w:r>
            <w:rPr>
              <w:sz w:val="24"/>
            </w:rPr>
            <w:fldChar w:fldCharType="end"/>
          </w:r>
        </w:p>
        <w:p w14:paraId="4E568CEB">
          <w:pPr>
            <w:pStyle w:val="15"/>
            <w:tabs>
              <w:tab w:val="right" w:leader="dot" w:pos="8296"/>
            </w:tabs>
            <w:rPr>
              <w:rFonts w:eastAsiaTheme="minorEastAsia"/>
              <w:sz w:val="24"/>
            </w:rPr>
          </w:pPr>
          <w:r>
            <w:fldChar w:fldCharType="begin"/>
          </w:r>
          <w:r>
            <w:instrText xml:space="preserve"> HYPERLINK \l "_Toc43851722" </w:instrText>
          </w:r>
          <w:r>
            <w:fldChar w:fldCharType="separate"/>
          </w:r>
          <w:r>
            <w:rPr>
              <w:rStyle w:val="32"/>
              <w:sz w:val="24"/>
            </w:rPr>
            <w:t>（三）矿山地质环境保护与恢复治理分区与土地复垦范围</w:t>
          </w:r>
          <w:r>
            <w:rPr>
              <w:sz w:val="24"/>
            </w:rPr>
            <w:tab/>
          </w:r>
          <w:r>
            <w:rPr>
              <w:sz w:val="24"/>
            </w:rPr>
            <w:fldChar w:fldCharType="begin"/>
          </w:r>
          <w:r>
            <w:rPr>
              <w:sz w:val="24"/>
            </w:rPr>
            <w:instrText xml:space="preserve"> PAGEREF _Toc43851722 \h </w:instrText>
          </w:r>
          <w:r>
            <w:rPr>
              <w:sz w:val="24"/>
            </w:rPr>
            <w:fldChar w:fldCharType="separate"/>
          </w:r>
          <w:r>
            <w:rPr>
              <w:sz w:val="24"/>
            </w:rPr>
            <w:t>85</w:t>
          </w:r>
          <w:r>
            <w:rPr>
              <w:sz w:val="24"/>
            </w:rPr>
            <w:fldChar w:fldCharType="end"/>
          </w:r>
          <w:r>
            <w:rPr>
              <w:sz w:val="24"/>
            </w:rPr>
            <w:fldChar w:fldCharType="end"/>
          </w:r>
        </w:p>
        <w:p w14:paraId="6B0AD8B1">
          <w:pPr>
            <w:pStyle w:val="15"/>
            <w:tabs>
              <w:tab w:val="right" w:leader="dot" w:pos="8296"/>
            </w:tabs>
            <w:rPr>
              <w:rFonts w:eastAsiaTheme="minorEastAsia"/>
              <w:sz w:val="24"/>
            </w:rPr>
          </w:pPr>
          <w:r>
            <w:fldChar w:fldCharType="begin"/>
          </w:r>
          <w:r>
            <w:instrText xml:space="preserve"> HYPERLINK \l "_Toc43851723" </w:instrText>
          </w:r>
          <w:r>
            <w:fldChar w:fldCharType="separate"/>
          </w:r>
          <w:r>
            <w:rPr>
              <w:rStyle w:val="32"/>
              <w:sz w:val="24"/>
            </w:rPr>
            <w:t>（四）矿山地质环境治理与土地复垦投资估算</w:t>
          </w:r>
          <w:r>
            <w:rPr>
              <w:sz w:val="24"/>
            </w:rPr>
            <w:tab/>
          </w:r>
          <w:r>
            <w:rPr>
              <w:sz w:val="24"/>
            </w:rPr>
            <w:fldChar w:fldCharType="begin"/>
          </w:r>
          <w:r>
            <w:rPr>
              <w:sz w:val="24"/>
            </w:rPr>
            <w:instrText xml:space="preserve"> PAGEREF _Toc43851723 \h </w:instrText>
          </w:r>
          <w:r>
            <w:rPr>
              <w:sz w:val="24"/>
            </w:rPr>
            <w:fldChar w:fldCharType="separate"/>
          </w:r>
          <w:r>
            <w:rPr>
              <w:sz w:val="24"/>
            </w:rPr>
            <w:t>85</w:t>
          </w:r>
          <w:r>
            <w:rPr>
              <w:sz w:val="24"/>
            </w:rPr>
            <w:fldChar w:fldCharType="end"/>
          </w:r>
          <w:r>
            <w:rPr>
              <w:sz w:val="24"/>
            </w:rPr>
            <w:fldChar w:fldCharType="end"/>
          </w:r>
        </w:p>
        <w:p w14:paraId="18D39A86">
          <w:pPr>
            <w:pStyle w:val="22"/>
            <w:tabs>
              <w:tab w:val="right" w:leader="dot" w:pos="8296"/>
            </w:tabs>
            <w:rPr>
              <w:rFonts w:eastAsiaTheme="minorEastAsia"/>
              <w:sz w:val="24"/>
            </w:rPr>
          </w:pPr>
          <w:r>
            <w:fldChar w:fldCharType="begin"/>
          </w:r>
          <w:r>
            <w:instrText xml:space="preserve"> HYPERLINK \l "_Toc43851724" </w:instrText>
          </w:r>
          <w:r>
            <w:fldChar w:fldCharType="separate"/>
          </w:r>
          <w:r>
            <w:rPr>
              <w:rStyle w:val="32"/>
              <w:kern w:val="0"/>
              <w:sz w:val="24"/>
            </w:rPr>
            <w:t>二、建议</w:t>
          </w:r>
          <w:r>
            <w:rPr>
              <w:sz w:val="24"/>
            </w:rPr>
            <w:tab/>
          </w:r>
          <w:r>
            <w:rPr>
              <w:sz w:val="24"/>
            </w:rPr>
            <w:fldChar w:fldCharType="begin"/>
          </w:r>
          <w:r>
            <w:rPr>
              <w:sz w:val="24"/>
            </w:rPr>
            <w:instrText xml:space="preserve"> PAGEREF _Toc43851724 \h </w:instrText>
          </w:r>
          <w:r>
            <w:rPr>
              <w:sz w:val="24"/>
            </w:rPr>
            <w:fldChar w:fldCharType="separate"/>
          </w:r>
          <w:r>
            <w:rPr>
              <w:sz w:val="24"/>
            </w:rPr>
            <w:t>85</w:t>
          </w:r>
          <w:r>
            <w:rPr>
              <w:sz w:val="24"/>
            </w:rPr>
            <w:fldChar w:fldCharType="end"/>
          </w:r>
          <w:r>
            <w:rPr>
              <w:sz w:val="24"/>
            </w:rPr>
            <w:fldChar w:fldCharType="end"/>
          </w:r>
        </w:p>
        <w:p w14:paraId="7075EDF9">
          <w:pPr>
            <w:pStyle w:val="22"/>
            <w:tabs>
              <w:tab w:val="right" w:leader="dot" w:pos="8296"/>
            </w:tabs>
            <w:rPr>
              <w:rFonts w:eastAsiaTheme="minorEastAsia"/>
              <w:sz w:val="24"/>
            </w:rPr>
          </w:pPr>
          <w:r>
            <w:fldChar w:fldCharType="begin"/>
          </w:r>
          <w:r>
            <w:instrText xml:space="preserve"> HYPERLINK \l "_Toc43851725" </w:instrText>
          </w:r>
          <w:r>
            <w:fldChar w:fldCharType="separate"/>
          </w:r>
          <w:r>
            <w:rPr>
              <w:rStyle w:val="32"/>
              <w:b/>
              <w:bCs/>
              <w:kern w:val="44"/>
              <w:sz w:val="24"/>
            </w:rPr>
            <w:t>第十章附件</w:t>
          </w:r>
          <w:r>
            <w:rPr>
              <w:sz w:val="24"/>
            </w:rPr>
            <w:tab/>
          </w:r>
          <w:r>
            <w:rPr>
              <w:sz w:val="24"/>
            </w:rPr>
            <w:fldChar w:fldCharType="begin"/>
          </w:r>
          <w:r>
            <w:rPr>
              <w:sz w:val="24"/>
            </w:rPr>
            <w:instrText xml:space="preserve"> PAGEREF _Toc43851725 \h </w:instrText>
          </w:r>
          <w:r>
            <w:rPr>
              <w:sz w:val="24"/>
            </w:rPr>
            <w:fldChar w:fldCharType="separate"/>
          </w:r>
          <w:r>
            <w:rPr>
              <w:sz w:val="24"/>
            </w:rPr>
            <w:t>87</w:t>
          </w:r>
          <w:r>
            <w:rPr>
              <w:sz w:val="24"/>
            </w:rPr>
            <w:fldChar w:fldCharType="end"/>
          </w:r>
          <w:r>
            <w:rPr>
              <w:sz w:val="24"/>
            </w:rPr>
            <w:fldChar w:fldCharType="end"/>
          </w:r>
        </w:p>
        <w:p w14:paraId="4F33A352">
          <w:pPr>
            <w:pStyle w:val="15"/>
            <w:tabs>
              <w:tab w:val="right" w:leader="dot" w:pos="8296"/>
            </w:tabs>
            <w:rPr>
              <w:rFonts w:eastAsiaTheme="minorEastAsia"/>
              <w:sz w:val="24"/>
            </w:rPr>
          </w:pPr>
          <w:r>
            <w:fldChar w:fldCharType="begin"/>
          </w:r>
          <w:r>
            <w:instrText xml:space="preserve"> HYPERLINK \l "_Toc43851726" </w:instrText>
          </w:r>
          <w:r>
            <w:fldChar w:fldCharType="separate"/>
          </w:r>
          <w:r>
            <w:rPr>
              <w:rStyle w:val="32"/>
              <w:sz w:val="24"/>
              <w:lang w:val="zh-CN"/>
            </w:rPr>
            <w:t>1、矿山企业营业执照</w:t>
          </w:r>
          <w:r>
            <w:rPr>
              <w:sz w:val="24"/>
            </w:rPr>
            <w:tab/>
          </w:r>
          <w:r>
            <w:rPr>
              <w:sz w:val="24"/>
            </w:rPr>
            <w:fldChar w:fldCharType="begin"/>
          </w:r>
          <w:r>
            <w:rPr>
              <w:sz w:val="24"/>
            </w:rPr>
            <w:instrText xml:space="preserve"> PAGEREF _Toc43851726 \h </w:instrText>
          </w:r>
          <w:r>
            <w:rPr>
              <w:sz w:val="24"/>
            </w:rPr>
            <w:fldChar w:fldCharType="separate"/>
          </w:r>
          <w:r>
            <w:rPr>
              <w:sz w:val="24"/>
            </w:rPr>
            <w:t>87</w:t>
          </w:r>
          <w:r>
            <w:rPr>
              <w:sz w:val="24"/>
            </w:rPr>
            <w:fldChar w:fldCharType="end"/>
          </w:r>
          <w:r>
            <w:rPr>
              <w:sz w:val="24"/>
            </w:rPr>
            <w:fldChar w:fldCharType="end"/>
          </w:r>
        </w:p>
        <w:p w14:paraId="7433CC3E">
          <w:pPr>
            <w:pStyle w:val="15"/>
            <w:tabs>
              <w:tab w:val="right" w:leader="dot" w:pos="8296"/>
            </w:tabs>
            <w:rPr>
              <w:rFonts w:eastAsiaTheme="minorEastAsia"/>
              <w:sz w:val="24"/>
            </w:rPr>
          </w:pPr>
          <w:r>
            <w:fldChar w:fldCharType="begin"/>
          </w:r>
          <w:r>
            <w:instrText xml:space="preserve"> HYPERLINK \l "_Toc43851727" </w:instrText>
          </w:r>
          <w:r>
            <w:fldChar w:fldCharType="separate"/>
          </w:r>
          <w:r>
            <w:rPr>
              <w:rStyle w:val="32"/>
              <w:sz w:val="24"/>
            </w:rPr>
            <w:t>2、矿山采矿许可证</w:t>
          </w:r>
          <w:r>
            <w:rPr>
              <w:sz w:val="24"/>
            </w:rPr>
            <w:tab/>
          </w:r>
          <w:r>
            <w:rPr>
              <w:sz w:val="24"/>
            </w:rPr>
            <w:fldChar w:fldCharType="begin"/>
          </w:r>
          <w:r>
            <w:rPr>
              <w:sz w:val="24"/>
            </w:rPr>
            <w:instrText xml:space="preserve"> PAGEREF _Toc43851727 \h </w:instrText>
          </w:r>
          <w:r>
            <w:rPr>
              <w:sz w:val="24"/>
            </w:rPr>
            <w:fldChar w:fldCharType="separate"/>
          </w:r>
          <w:r>
            <w:rPr>
              <w:sz w:val="24"/>
            </w:rPr>
            <w:t>88</w:t>
          </w:r>
          <w:r>
            <w:rPr>
              <w:sz w:val="24"/>
            </w:rPr>
            <w:fldChar w:fldCharType="end"/>
          </w:r>
          <w:r>
            <w:rPr>
              <w:sz w:val="24"/>
            </w:rPr>
            <w:fldChar w:fldCharType="end"/>
          </w:r>
        </w:p>
        <w:p w14:paraId="429CE6D5">
          <w:pPr>
            <w:pStyle w:val="15"/>
            <w:tabs>
              <w:tab w:val="right" w:leader="dot" w:pos="8296"/>
            </w:tabs>
            <w:rPr>
              <w:rFonts w:eastAsiaTheme="minorEastAsia"/>
              <w:sz w:val="24"/>
            </w:rPr>
          </w:pPr>
          <w:r>
            <w:fldChar w:fldCharType="begin"/>
          </w:r>
          <w:r>
            <w:instrText xml:space="preserve"> HYPERLINK \l "_Toc43851728" </w:instrText>
          </w:r>
          <w:r>
            <w:fldChar w:fldCharType="separate"/>
          </w:r>
          <w:r>
            <w:rPr>
              <w:rStyle w:val="32"/>
              <w:sz w:val="24"/>
            </w:rPr>
            <w:t>3、委托书</w:t>
          </w:r>
          <w:r>
            <w:rPr>
              <w:sz w:val="24"/>
            </w:rPr>
            <w:tab/>
          </w:r>
          <w:r>
            <w:rPr>
              <w:sz w:val="24"/>
            </w:rPr>
            <w:fldChar w:fldCharType="begin"/>
          </w:r>
          <w:r>
            <w:rPr>
              <w:sz w:val="24"/>
            </w:rPr>
            <w:instrText xml:space="preserve"> PAGEREF _Toc43851728 \h </w:instrText>
          </w:r>
          <w:r>
            <w:rPr>
              <w:sz w:val="24"/>
            </w:rPr>
            <w:fldChar w:fldCharType="separate"/>
          </w:r>
          <w:r>
            <w:rPr>
              <w:sz w:val="24"/>
            </w:rPr>
            <w:t>89</w:t>
          </w:r>
          <w:r>
            <w:rPr>
              <w:sz w:val="24"/>
            </w:rPr>
            <w:fldChar w:fldCharType="end"/>
          </w:r>
          <w:r>
            <w:rPr>
              <w:sz w:val="24"/>
            </w:rPr>
            <w:fldChar w:fldCharType="end"/>
          </w:r>
        </w:p>
        <w:p w14:paraId="707A2FFC">
          <w:pPr>
            <w:pStyle w:val="15"/>
            <w:tabs>
              <w:tab w:val="right" w:leader="dot" w:pos="8296"/>
            </w:tabs>
            <w:rPr>
              <w:rFonts w:eastAsiaTheme="minorEastAsia"/>
              <w:sz w:val="24"/>
            </w:rPr>
          </w:pPr>
          <w:r>
            <w:fldChar w:fldCharType="begin"/>
          </w:r>
          <w:r>
            <w:instrText xml:space="preserve"> HYPERLINK \l "_Toc43851729" </w:instrText>
          </w:r>
          <w:r>
            <w:fldChar w:fldCharType="separate"/>
          </w:r>
          <w:r>
            <w:rPr>
              <w:rStyle w:val="32"/>
              <w:sz w:val="24"/>
              <w:lang w:val="zh-CN"/>
            </w:rPr>
            <w:t>4、数据真实性承诺书</w:t>
          </w:r>
          <w:r>
            <w:rPr>
              <w:sz w:val="24"/>
            </w:rPr>
            <w:tab/>
          </w:r>
          <w:r>
            <w:rPr>
              <w:sz w:val="24"/>
            </w:rPr>
            <w:fldChar w:fldCharType="begin"/>
          </w:r>
          <w:r>
            <w:rPr>
              <w:sz w:val="24"/>
            </w:rPr>
            <w:instrText xml:space="preserve"> PAGEREF _Toc43851729 \h </w:instrText>
          </w:r>
          <w:r>
            <w:rPr>
              <w:sz w:val="24"/>
            </w:rPr>
            <w:fldChar w:fldCharType="separate"/>
          </w:r>
          <w:r>
            <w:rPr>
              <w:sz w:val="24"/>
            </w:rPr>
            <w:t>90</w:t>
          </w:r>
          <w:r>
            <w:rPr>
              <w:sz w:val="24"/>
            </w:rPr>
            <w:fldChar w:fldCharType="end"/>
          </w:r>
          <w:r>
            <w:rPr>
              <w:sz w:val="24"/>
            </w:rPr>
            <w:fldChar w:fldCharType="end"/>
          </w:r>
        </w:p>
        <w:p w14:paraId="30DBCF3A">
          <w:pPr>
            <w:pStyle w:val="15"/>
            <w:tabs>
              <w:tab w:val="right" w:leader="dot" w:pos="8296"/>
            </w:tabs>
            <w:rPr>
              <w:rFonts w:eastAsiaTheme="minorEastAsia"/>
              <w:sz w:val="24"/>
            </w:rPr>
          </w:pPr>
          <w:r>
            <w:fldChar w:fldCharType="begin"/>
          </w:r>
          <w:r>
            <w:instrText xml:space="preserve"> HYPERLINK \l "_Toc43851730" </w:instrText>
          </w:r>
          <w:r>
            <w:fldChar w:fldCharType="separate"/>
          </w:r>
          <w:r>
            <w:rPr>
              <w:rStyle w:val="32"/>
              <w:sz w:val="24"/>
            </w:rPr>
            <w:t>5、群众参与调查</w:t>
          </w:r>
          <w:r>
            <w:rPr>
              <w:sz w:val="24"/>
            </w:rPr>
            <w:tab/>
          </w:r>
          <w:r>
            <w:rPr>
              <w:sz w:val="24"/>
            </w:rPr>
            <w:fldChar w:fldCharType="begin"/>
          </w:r>
          <w:r>
            <w:rPr>
              <w:sz w:val="24"/>
            </w:rPr>
            <w:instrText xml:space="preserve"> PAGEREF _Toc43851730 \h </w:instrText>
          </w:r>
          <w:r>
            <w:rPr>
              <w:sz w:val="24"/>
            </w:rPr>
            <w:fldChar w:fldCharType="separate"/>
          </w:r>
          <w:r>
            <w:rPr>
              <w:sz w:val="24"/>
            </w:rPr>
            <w:t>91</w:t>
          </w:r>
          <w:r>
            <w:rPr>
              <w:sz w:val="24"/>
            </w:rPr>
            <w:fldChar w:fldCharType="end"/>
          </w:r>
          <w:r>
            <w:rPr>
              <w:sz w:val="24"/>
            </w:rPr>
            <w:fldChar w:fldCharType="end"/>
          </w:r>
        </w:p>
        <w:p w14:paraId="39EB8812">
          <w:pPr>
            <w:pStyle w:val="15"/>
            <w:tabs>
              <w:tab w:val="right" w:leader="dot" w:pos="8296"/>
            </w:tabs>
            <w:rPr>
              <w:rFonts w:eastAsiaTheme="minorEastAsia"/>
              <w:sz w:val="24"/>
            </w:rPr>
          </w:pPr>
          <w:r>
            <w:fldChar w:fldCharType="begin"/>
          </w:r>
          <w:r>
            <w:instrText xml:space="preserve"> HYPERLINK \l "_Toc43851731" </w:instrText>
          </w:r>
          <w:r>
            <w:fldChar w:fldCharType="separate"/>
          </w:r>
          <w:r>
            <w:rPr>
              <w:rStyle w:val="32"/>
              <w:sz w:val="24"/>
              <w:lang w:val="zh-CN"/>
            </w:rPr>
            <w:t>6、村组意见</w:t>
          </w:r>
          <w:r>
            <w:rPr>
              <w:sz w:val="24"/>
            </w:rPr>
            <w:tab/>
          </w:r>
          <w:r>
            <w:rPr>
              <w:sz w:val="24"/>
            </w:rPr>
            <w:fldChar w:fldCharType="begin"/>
          </w:r>
          <w:r>
            <w:rPr>
              <w:sz w:val="24"/>
            </w:rPr>
            <w:instrText xml:space="preserve"> PAGEREF _Toc43851731 \h </w:instrText>
          </w:r>
          <w:r>
            <w:rPr>
              <w:sz w:val="24"/>
            </w:rPr>
            <w:fldChar w:fldCharType="separate"/>
          </w:r>
          <w:r>
            <w:rPr>
              <w:sz w:val="24"/>
            </w:rPr>
            <w:t>94</w:t>
          </w:r>
          <w:r>
            <w:rPr>
              <w:sz w:val="24"/>
            </w:rPr>
            <w:fldChar w:fldCharType="end"/>
          </w:r>
          <w:r>
            <w:rPr>
              <w:sz w:val="24"/>
            </w:rPr>
            <w:fldChar w:fldCharType="end"/>
          </w:r>
        </w:p>
        <w:p w14:paraId="7B267D0E">
          <w:pPr>
            <w:pStyle w:val="15"/>
            <w:tabs>
              <w:tab w:val="right" w:leader="dot" w:pos="8296"/>
            </w:tabs>
            <w:rPr>
              <w:rFonts w:eastAsiaTheme="minorEastAsia"/>
              <w:sz w:val="24"/>
            </w:rPr>
          </w:pPr>
          <w:r>
            <w:fldChar w:fldCharType="begin"/>
          </w:r>
          <w:r>
            <w:instrText xml:space="preserve"> HYPERLINK \l "_Toc43851732" </w:instrText>
          </w:r>
          <w:r>
            <w:fldChar w:fldCharType="separate"/>
          </w:r>
          <w:r>
            <w:rPr>
              <w:rStyle w:val="32"/>
              <w:sz w:val="24"/>
              <w:lang w:val="zh-CN"/>
            </w:rPr>
            <w:t>7、矿山地质环境现状调查表</w:t>
          </w:r>
          <w:r>
            <w:rPr>
              <w:sz w:val="24"/>
            </w:rPr>
            <w:tab/>
          </w:r>
          <w:r>
            <w:rPr>
              <w:sz w:val="24"/>
            </w:rPr>
            <w:fldChar w:fldCharType="begin"/>
          </w:r>
          <w:r>
            <w:rPr>
              <w:sz w:val="24"/>
            </w:rPr>
            <w:instrText xml:space="preserve"> PAGEREF _Toc43851732 \h </w:instrText>
          </w:r>
          <w:r>
            <w:rPr>
              <w:sz w:val="24"/>
            </w:rPr>
            <w:fldChar w:fldCharType="separate"/>
          </w:r>
          <w:r>
            <w:rPr>
              <w:sz w:val="24"/>
            </w:rPr>
            <w:t>95</w:t>
          </w:r>
          <w:r>
            <w:rPr>
              <w:sz w:val="24"/>
            </w:rPr>
            <w:fldChar w:fldCharType="end"/>
          </w:r>
          <w:r>
            <w:rPr>
              <w:sz w:val="24"/>
            </w:rPr>
            <w:fldChar w:fldCharType="end"/>
          </w:r>
        </w:p>
        <w:p w14:paraId="00657FE8">
          <w:pPr>
            <w:pStyle w:val="15"/>
            <w:tabs>
              <w:tab w:val="right" w:leader="dot" w:pos="8296"/>
            </w:tabs>
            <w:rPr>
              <w:rFonts w:eastAsiaTheme="minorEastAsia"/>
              <w:sz w:val="24"/>
            </w:rPr>
          </w:pPr>
          <w:r>
            <w:fldChar w:fldCharType="begin"/>
          </w:r>
          <w:r>
            <w:instrText xml:space="preserve"> HYPERLINK \l "_Toc43851733" </w:instrText>
          </w:r>
          <w:r>
            <w:fldChar w:fldCharType="separate"/>
          </w:r>
          <w:r>
            <w:rPr>
              <w:rStyle w:val="32"/>
              <w:sz w:val="24"/>
            </w:rPr>
            <w:t>8、工程区材料价格信息表</w:t>
          </w:r>
          <w:r>
            <w:rPr>
              <w:sz w:val="24"/>
            </w:rPr>
            <w:tab/>
          </w:r>
          <w:r>
            <w:rPr>
              <w:sz w:val="24"/>
            </w:rPr>
            <w:fldChar w:fldCharType="begin"/>
          </w:r>
          <w:r>
            <w:rPr>
              <w:sz w:val="24"/>
            </w:rPr>
            <w:instrText xml:space="preserve"> PAGEREF _Toc43851733 \h </w:instrText>
          </w:r>
          <w:r>
            <w:rPr>
              <w:sz w:val="24"/>
            </w:rPr>
            <w:fldChar w:fldCharType="separate"/>
          </w:r>
          <w:r>
            <w:rPr>
              <w:sz w:val="24"/>
            </w:rPr>
            <w:t>97</w:t>
          </w:r>
          <w:r>
            <w:rPr>
              <w:sz w:val="24"/>
            </w:rPr>
            <w:fldChar w:fldCharType="end"/>
          </w:r>
          <w:r>
            <w:rPr>
              <w:sz w:val="24"/>
            </w:rPr>
            <w:fldChar w:fldCharType="end"/>
          </w:r>
        </w:p>
        <w:p w14:paraId="401E7449">
          <w:pPr>
            <w:pStyle w:val="15"/>
            <w:tabs>
              <w:tab w:val="right" w:leader="dot" w:pos="8296"/>
            </w:tabs>
            <w:rPr>
              <w:rFonts w:eastAsiaTheme="minorEastAsia"/>
              <w:sz w:val="24"/>
            </w:rPr>
          </w:pPr>
          <w:r>
            <w:fldChar w:fldCharType="begin"/>
          </w:r>
          <w:r>
            <w:instrText xml:space="preserve"> HYPERLINK \l "_Toc43851734" </w:instrText>
          </w:r>
          <w:r>
            <w:fldChar w:fldCharType="separate"/>
          </w:r>
          <w:r>
            <w:rPr>
              <w:rStyle w:val="32"/>
              <w:sz w:val="24"/>
              <w:lang w:val="zh-CN"/>
            </w:rPr>
            <w:t>9、项目区现场照</w:t>
          </w:r>
          <w:r>
            <w:rPr>
              <w:sz w:val="24"/>
            </w:rPr>
            <w:tab/>
          </w:r>
          <w:r>
            <w:rPr>
              <w:sz w:val="24"/>
            </w:rPr>
            <w:fldChar w:fldCharType="begin"/>
          </w:r>
          <w:r>
            <w:rPr>
              <w:sz w:val="24"/>
            </w:rPr>
            <w:instrText xml:space="preserve"> PAGEREF _Toc43851734 \h </w:instrText>
          </w:r>
          <w:r>
            <w:rPr>
              <w:sz w:val="24"/>
            </w:rPr>
            <w:fldChar w:fldCharType="separate"/>
          </w:r>
          <w:r>
            <w:rPr>
              <w:sz w:val="24"/>
            </w:rPr>
            <w:t>103</w:t>
          </w:r>
          <w:r>
            <w:rPr>
              <w:sz w:val="24"/>
            </w:rPr>
            <w:fldChar w:fldCharType="end"/>
          </w:r>
          <w:r>
            <w:rPr>
              <w:sz w:val="24"/>
            </w:rPr>
            <w:fldChar w:fldCharType="end"/>
          </w:r>
        </w:p>
        <w:p w14:paraId="00F2BD4D">
          <w:pPr>
            <w:pStyle w:val="15"/>
            <w:tabs>
              <w:tab w:val="right" w:leader="dot" w:pos="8296"/>
            </w:tabs>
            <w:rPr>
              <w:rFonts w:eastAsiaTheme="minorEastAsia"/>
              <w:sz w:val="24"/>
            </w:rPr>
          </w:pPr>
          <w:r>
            <w:fldChar w:fldCharType="begin"/>
          </w:r>
          <w:r>
            <w:instrText xml:space="preserve"> HYPERLINK \l "_Toc43851735" </w:instrText>
          </w:r>
          <w:r>
            <w:fldChar w:fldCharType="separate"/>
          </w:r>
          <w:r>
            <w:rPr>
              <w:rStyle w:val="32"/>
              <w:sz w:val="24"/>
              <w:lang w:val="zh-CN"/>
            </w:rPr>
            <w:t>10、监管协议</w:t>
          </w:r>
          <w:r>
            <w:rPr>
              <w:sz w:val="24"/>
            </w:rPr>
            <w:tab/>
          </w:r>
          <w:r>
            <w:rPr>
              <w:sz w:val="24"/>
            </w:rPr>
            <w:fldChar w:fldCharType="begin"/>
          </w:r>
          <w:r>
            <w:rPr>
              <w:sz w:val="24"/>
            </w:rPr>
            <w:instrText xml:space="preserve"> PAGEREF _Toc43851735 \h </w:instrText>
          </w:r>
          <w:r>
            <w:rPr>
              <w:sz w:val="24"/>
            </w:rPr>
            <w:fldChar w:fldCharType="separate"/>
          </w:r>
          <w:r>
            <w:rPr>
              <w:sz w:val="24"/>
            </w:rPr>
            <w:t>104</w:t>
          </w:r>
          <w:r>
            <w:rPr>
              <w:sz w:val="24"/>
            </w:rPr>
            <w:fldChar w:fldCharType="end"/>
          </w:r>
          <w:r>
            <w:rPr>
              <w:sz w:val="24"/>
            </w:rPr>
            <w:fldChar w:fldCharType="end"/>
          </w:r>
        </w:p>
        <w:p w14:paraId="0F1FC647">
          <w:pPr>
            <w:pStyle w:val="15"/>
            <w:tabs>
              <w:tab w:val="right" w:leader="dot" w:pos="8296"/>
            </w:tabs>
            <w:rPr>
              <w:rFonts w:eastAsiaTheme="minorEastAsia"/>
              <w:sz w:val="24"/>
            </w:rPr>
          </w:pPr>
          <w:r>
            <w:fldChar w:fldCharType="begin"/>
          </w:r>
          <w:r>
            <w:instrText xml:space="preserve"> HYPERLINK \l "_Toc43851736" </w:instrText>
          </w:r>
          <w:r>
            <w:fldChar w:fldCharType="separate"/>
          </w:r>
          <w:r>
            <w:rPr>
              <w:rStyle w:val="32"/>
              <w:sz w:val="24"/>
              <w:lang w:val="zh-CN"/>
            </w:rPr>
            <w:t>11、编制单位承诺书</w:t>
          </w:r>
          <w:r>
            <w:rPr>
              <w:sz w:val="24"/>
            </w:rPr>
            <w:tab/>
          </w:r>
          <w:r>
            <w:rPr>
              <w:sz w:val="24"/>
            </w:rPr>
            <w:fldChar w:fldCharType="begin"/>
          </w:r>
          <w:r>
            <w:rPr>
              <w:sz w:val="24"/>
            </w:rPr>
            <w:instrText xml:space="preserve"> PAGEREF _Toc43851736 \h </w:instrText>
          </w:r>
          <w:r>
            <w:rPr>
              <w:sz w:val="24"/>
            </w:rPr>
            <w:fldChar w:fldCharType="separate"/>
          </w:r>
          <w:r>
            <w:rPr>
              <w:sz w:val="24"/>
            </w:rPr>
            <w:t>109</w:t>
          </w:r>
          <w:r>
            <w:rPr>
              <w:sz w:val="24"/>
            </w:rPr>
            <w:fldChar w:fldCharType="end"/>
          </w:r>
          <w:r>
            <w:rPr>
              <w:sz w:val="24"/>
            </w:rPr>
            <w:fldChar w:fldCharType="end"/>
          </w:r>
        </w:p>
        <w:p w14:paraId="0799DF04">
          <w:pPr>
            <w:pStyle w:val="15"/>
            <w:tabs>
              <w:tab w:val="right" w:leader="dot" w:pos="8296"/>
            </w:tabs>
            <w:rPr>
              <w:rFonts w:eastAsiaTheme="minorEastAsia"/>
              <w:sz w:val="24"/>
            </w:rPr>
          </w:pPr>
          <w:r>
            <w:fldChar w:fldCharType="begin"/>
          </w:r>
          <w:r>
            <w:instrText xml:space="preserve"> HYPERLINK \l "_Toc43851737" </w:instrText>
          </w:r>
          <w:r>
            <w:fldChar w:fldCharType="separate"/>
          </w:r>
          <w:r>
            <w:rPr>
              <w:rStyle w:val="32"/>
              <w:sz w:val="24"/>
              <w:lang w:val="zh-CN"/>
            </w:rPr>
            <w:t>12、费用承诺书</w:t>
          </w:r>
          <w:r>
            <w:rPr>
              <w:sz w:val="24"/>
            </w:rPr>
            <w:tab/>
          </w:r>
          <w:r>
            <w:rPr>
              <w:sz w:val="24"/>
            </w:rPr>
            <w:fldChar w:fldCharType="begin"/>
          </w:r>
          <w:r>
            <w:rPr>
              <w:sz w:val="24"/>
            </w:rPr>
            <w:instrText xml:space="preserve"> PAGEREF _Toc43851737 \h </w:instrText>
          </w:r>
          <w:r>
            <w:rPr>
              <w:sz w:val="24"/>
            </w:rPr>
            <w:fldChar w:fldCharType="separate"/>
          </w:r>
          <w:r>
            <w:rPr>
              <w:sz w:val="24"/>
            </w:rPr>
            <w:t>110</w:t>
          </w:r>
          <w:r>
            <w:rPr>
              <w:sz w:val="24"/>
            </w:rPr>
            <w:fldChar w:fldCharType="end"/>
          </w:r>
          <w:r>
            <w:rPr>
              <w:sz w:val="24"/>
            </w:rPr>
            <w:fldChar w:fldCharType="end"/>
          </w:r>
        </w:p>
        <w:p w14:paraId="69D65723">
          <w:pPr>
            <w:pStyle w:val="15"/>
            <w:tabs>
              <w:tab w:val="right" w:leader="dot" w:pos="8296"/>
            </w:tabs>
            <w:rPr>
              <w:rFonts w:eastAsiaTheme="minorEastAsia"/>
              <w:sz w:val="24"/>
            </w:rPr>
          </w:pPr>
          <w:r>
            <w:fldChar w:fldCharType="begin"/>
          </w:r>
          <w:r>
            <w:instrText xml:space="preserve"> HYPERLINK \l "_Toc43851738" </w:instrText>
          </w:r>
          <w:r>
            <w:fldChar w:fldCharType="separate"/>
          </w:r>
          <w:r>
            <w:rPr>
              <w:rStyle w:val="32"/>
              <w:sz w:val="24"/>
              <w:lang w:val="zh-CN"/>
            </w:rPr>
            <w:t>13、复垦义务人承诺书</w:t>
          </w:r>
          <w:r>
            <w:rPr>
              <w:sz w:val="24"/>
            </w:rPr>
            <w:tab/>
          </w:r>
          <w:r>
            <w:rPr>
              <w:sz w:val="24"/>
            </w:rPr>
            <w:fldChar w:fldCharType="begin"/>
          </w:r>
          <w:r>
            <w:rPr>
              <w:sz w:val="24"/>
            </w:rPr>
            <w:instrText xml:space="preserve"> PAGEREF _Toc43851738 \h </w:instrText>
          </w:r>
          <w:r>
            <w:rPr>
              <w:sz w:val="24"/>
            </w:rPr>
            <w:fldChar w:fldCharType="separate"/>
          </w:r>
          <w:r>
            <w:rPr>
              <w:sz w:val="24"/>
            </w:rPr>
            <w:t>111</w:t>
          </w:r>
          <w:r>
            <w:rPr>
              <w:sz w:val="24"/>
            </w:rPr>
            <w:fldChar w:fldCharType="end"/>
          </w:r>
          <w:r>
            <w:rPr>
              <w:sz w:val="24"/>
            </w:rPr>
            <w:fldChar w:fldCharType="end"/>
          </w:r>
        </w:p>
        <w:p w14:paraId="6BEDE82E">
          <w:pPr>
            <w:spacing w:line="360" w:lineRule="auto"/>
          </w:pPr>
          <w:r>
            <w:rPr>
              <w:rFonts w:eastAsiaTheme="minorEastAsia"/>
              <w:bCs/>
              <w:sz w:val="24"/>
              <w:lang w:val="zh-CN"/>
            </w:rPr>
            <w:fldChar w:fldCharType="end"/>
          </w:r>
        </w:p>
      </w:sdtContent>
    </w:sdt>
    <w:p w14:paraId="6061491D">
      <w:pPr>
        <w:ind w:firstLine="643"/>
        <w:jc w:val="center"/>
        <w:rPr>
          <w:b/>
          <w:bCs/>
          <w:sz w:val="32"/>
          <w:szCs w:val="32"/>
        </w:rPr>
      </w:pPr>
    </w:p>
    <w:p w14:paraId="153E66DA">
      <w:pPr>
        <w:pStyle w:val="3"/>
        <w:jc w:val="center"/>
        <w:rPr>
          <w:sz w:val="32"/>
          <w:szCs w:val="32"/>
        </w:rPr>
        <w:sectPr>
          <w:headerReference r:id="rId5" w:type="first"/>
          <w:headerReference r:id="rId3" w:type="default"/>
          <w:footerReference r:id="rId6" w:type="default"/>
          <w:headerReference r:id="rId4" w:type="even"/>
          <w:pgSz w:w="11906" w:h="16838"/>
          <w:pgMar w:top="1440" w:right="1800" w:bottom="1440" w:left="1800" w:header="851" w:footer="992" w:gutter="0"/>
          <w:pgNumType w:fmt="upperRoman" w:start="1"/>
          <w:cols w:space="425" w:num="1"/>
          <w:docGrid w:type="lines" w:linePitch="312" w:charSpace="0"/>
        </w:sectPr>
      </w:pPr>
      <w:bookmarkStart w:id="0" w:name="_Toc492546637"/>
    </w:p>
    <w:p w14:paraId="4CAFB222">
      <w:pPr>
        <w:pStyle w:val="3"/>
        <w:jc w:val="center"/>
        <w:rPr>
          <w:sz w:val="32"/>
          <w:szCs w:val="32"/>
        </w:rPr>
      </w:pPr>
      <w:bookmarkStart w:id="1" w:name="_Toc43851600"/>
      <w:r>
        <w:rPr>
          <w:sz w:val="32"/>
          <w:szCs w:val="32"/>
        </w:rPr>
        <w:t>前言</w:t>
      </w:r>
      <w:bookmarkEnd w:id="0"/>
      <w:bookmarkEnd w:id="1"/>
    </w:p>
    <w:p w14:paraId="7EE4BC28">
      <w:pPr>
        <w:keepNext/>
        <w:keepLines/>
        <w:adjustRightInd w:val="0"/>
        <w:spacing w:beforeLines="50" w:afterLines="50" w:line="360" w:lineRule="auto"/>
        <w:jc w:val="left"/>
        <w:textAlignment w:val="baseline"/>
        <w:outlineLvl w:val="0"/>
        <w:rPr>
          <w:kern w:val="0"/>
          <w:sz w:val="30"/>
          <w:szCs w:val="30"/>
        </w:rPr>
      </w:pPr>
      <w:bookmarkStart w:id="2" w:name="_Toc43851601"/>
      <w:bookmarkStart w:id="3" w:name="_Toc492546638"/>
      <w:r>
        <w:rPr>
          <w:kern w:val="0"/>
          <w:sz w:val="30"/>
          <w:szCs w:val="30"/>
        </w:rPr>
        <w:t>一、任务的由来</w:t>
      </w:r>
      <w:bookmarkEnd w:id="2"/>
      <w:bookmarkEnd w:id="3"/>
    </w:p>
    <w:p w14:paraId="145EB510">
      <w:pPr>
        <w:spacing w:line="360" w:lineRule="auto"/>
        <w:ind w:firstLine="480" w:firstLineChars="200"/>
        <w:rPr>
          <w:sz w:val="24"/>
        </w:rPr>
      </w:pPr>
      <w:r>
        <w:rPr>
          <w:sz w:val="24"/>
        </w:rPr>
        <w:t>广元市利州区紫兰建材厂砖瓦用页岩矿矿权面积0.0206km</w:t>
      </w:r>
      <w:r>
        <w:rPr>
          <w:sz w:val="24"/>
          <w:vertAlign w:val="superscript"/>
        </w:rPr>
        <w:t>2</w:t>
      </w:r>
      <w:r>
        <w:rPr>
          <w:sz w:val="24"/>
        </w:rPr>
        <w:t>。为减少矿山建设及生产活动造成的矿山地质环境问题及地质灾害，充分挖掘资源潜力，提高土地生产力，改善矿山地质环境和生态环境，促进矿山地质环境问题治理工作的规范化，实现地区经济可持续发展，根据中华人民共和国国土资源部令第44号《矿山地质环境保护规定》关于编制矿山地质环境保护与恢复治理方案的要求，和贯彻落实国务院颁布的《土地复垦条例》、国家七部委（局）联合发布的《关于加强生产建设项目土地复垦管理工作的通知》（国土资发〔2006〕225号）及《国土资源部办公厅关于做好地质环境保护与土地复垦方案编报有关工作的通知》（国土资规〔2016〕21号）的要求，矿山企业必须开展矿山地质环境保护与土地复垦工作，需编制矿山地质环境保护与土地复垦方案。由此，广元市利州区紫兰建材厂委托广元林晨工程咨询服务有限公司，进行《广元市利州区紫兰建材厂砖瓦用页岩矿矿山地质环境保护与土地复垦方案》的编制工作，为今后矿山地质环境保护与土地复垦提供依据。</w:t>
      </w:r>
    </w:p>
    <w:p w14:paraId="1AB7A27A">
      <w:pPr>
        <w:spacing w:line="360" w:lineRule="auto"/>
        <w:ind w:firstLine="480" w:firstLineChars="200"/>
        <w:rPr>
          <w:sz w:val="24"/>
        </w:rPr>
      </w:pPr>
      <w:r>
        <w:rPr>
          <w:sz w:val="24"/>
        </w:rPr>
        <w:t>接到委托后，我公司编制人员于2020月4月赴现场进行踏勘和资料收集，调查了矿山周边建设及生产情况、矿山地质环境、土地利用状况和土壤情况、农业生产及农民收入状况、材料价格及人工费用情况等，收集了土地利用现状图等技术资料。在方案的编制过程，多次与业主单位、当地自然资源主管部门进行交流汇报，形成此矿山地质环境保护与土地复垦方案。</w:t>
      </w:r>
    </w:p>
    <w:p w14:paraId="079A6208">
      <w:pPr>
        <w:keepNext/>
        <w:keepLines/>
        <w:adjustRightInd w:val="0"/>
        <w:spacing w:beforeLines="50" w:afterLines="50" w:line="360" w:lineRule="auto"/>
        <w:jc w:val="left"/>
        <w:textAlignment w:val="baseline"/>
        <w:outlineLvl w:val="0"/>
        <w:rPr>
          <w:kern w:val="0"/>
          <w:sz w:val="30"/>
          <w:szCs w:val="30"/>
        </w:rPr>
      </w:pPr>
      <w:bookmarkStart w:id="4" w:name="_Toc492546639"/>
      <w:bookmarkStart w:id="5" w:name="_Toc43851602"/>
      <w:r>
        <w:rPr>
          <w:kern w:val="0"/>
          <w:sz w:val="30"/>
          <w:szCs w:val="30"/>
        </w:rPr>
        <w:t>二、编制目的</w:t>
      </w:r>
      <w:bookmarkEnd w:id="4"/>
      <w:bookmarkEnd w:id="5"/>
    </w:p>
    <w:p w14:paraId="3A4D2B9D">
      <w:pPr>
        <w:adjustRightInd w:val="0"/>
        <w:snapToGrid w:val="0"/>
        <w:spacing w:line="360" w:lineRule="auto"/>
        <w:ind w:firstLine="480" w:firstLineChars="200"/>
        <w:rPr>
          <w:sz w:val="24"/>
        </w:rPr>
      </w:pPr>
      <w:r>
        <w:rPr>
          <w:sz w:val="24"/>
        </w:rPr>
        <w:t>按照“预防为主，防治结合”、“在保护中开发，在开发中保护”、“科学规划、因地制宜、综合治理、经济可行、合理利用”的原则，为保证矿山地质环境恢复治理和土地复垦义务的落实，保证矿山地质环境保护理与土地复垦的任务、措施、计划和资金落到实处；为自然资源主管部门实施监管矿山地质环境保护与土地复垦的实施管理、监督检查以及土地复垦费征收等提供依据，也为矿山闭坑后地质环境保护与土地复垦工作提供依据。</w:t>
      </w:r>
    </w:p>
    <w:p w14:paraId="5AB83E73">
      <w:pPr>
        <w:adjustRightInd w:val="0"/>
        <w:snapToGrid w:val="0"/>
        <w:spacing w:line="360" w:lineRule="auto"/>
        <w:ind w:firstLine="480" w:firstLineChars="200"/>
        <w:rPr>
          <w:sz w:val="24"/>
        </w:rPr>
      </w:pPr>
      <w:r>
        <w:rPr>
          <w:sz w:val="24"/>
        </w:rPr>
        <w:t>广元市利州区紫兰建材厂砖瓦用页岩矿属停产矿山，所以本方案内容主要包含矿山已损毁土地情况及开采过程中土地损毁情况预测、土地复垦范围、土地复垦方案设计及复垦投资等，各项工作的内容和要求如下：</w:t>
      </w:r>
    </w:p>
    <w:p w14:paraId="1C8D0F19">
      <w:pPr>
        <w:tabs>
          <w:tab w:val="left" w:pos="0"/>
        </w:tabs>
        <w:spacing w:line="360" w:lineRule="auto"/>
        <w:ind w:firstLine="480" w:firstLineChars="200"/>
        <w:rPr>
          <w:sz w:val="24"/>
        </w:rPr>
      </w:pPr>
      <w:r>
        <w:rPr>
          <w:sz w:val="24"/>
        </w:rPr>
        <w:t>1、通过收集资料并结合野外调查，了解矿山企业概况，包括企业名称、位置、范围、相邻矿山的分布与概况；矿山企业的性质、矿山建设规模及工程布局；矿山设计生产能力、设计生产服务年限；矿产资源储量、矿层赋存特征；矿山开采历史及现状；矿山采区布置、开采方式、开采顺序、固体与液体废物的排放与处置情况；矿区社会经济概况等。</w:t>
      </w:r>
    </w:p>
    <w:p w14:paraId="34BC9C6F">
      <w:pPr>
        <w:tabs>
          <w:tab w:val="left" w:pos="0"/>
        </w:tabs>
        <w:spacing w:line="360" w:lineRule="auto"/>
        <w:ind w:firstLine="480" w:firstLineChars="200"/>
        <w:rPr>
          <w:rFonts w:eastAsiaTheme="minorEastAsia"/>
          <w:sz w:val="24"/>
        </w:rPr>
      </w:pPr>
      <w:r>
        <w:rPr>
          <w:rFonts w:eastAsiaTheme="minorEastAsia"/>
          <w:sz w:val="24"/>
        </w:rPr>
        <w:t>2、基本查明矿区地质环境条件和土地利用现状，包括：地形地貌、气象水文、地层岩性、地质构造、水文地质、工程地质现象、人类工程活动、土地利用现状及规划等。</w:t>
      </w:r>
    </w:p>
    <w:p w14:paraId="00F4A222">
      <w:pPr>
        <w:tabs>
          <w:tab w:val="left" w:pos="0"/>
        </w:tabs>
        <w:spacing w:line="360" w:lineRule="auto"/>
        <w:ind w:firstLine="480" w:firstLineChars="200"/>
        <w:rPr>
          <w:rFonts w:eastAsiaTheme="minorEastAsia"/>
          <w:sz w:val="24"/>
        </w:rPr>
      </w:pPr>
      <w:r>
        <w:rPr>
          <w:rFonts w:eastAsiaTheme="minorEastAsia"/>
          <w:sz w:val="24"/>
        </w:rPr>
        <w:t>3、基本查明矿区地质环境问题、地质灾害发育现状及造成的危害，产生地质环境问题的背景，分析研究主要地质环境问题的分布规律、形成机理及影响因素；对评估区地质环境影响进行现状、预测评估，并进行矿山地质环境保护与恢复治理分区。</w:t>
      </w:r>
    </w:p>
    <w:p w14:paraId="7FBEFBAD">
      <w:pPr>
        <w:tabs>
          <w:tab w:val="left" w:pos="0"/>
        </w:tabs>
        <w:spacing w:line="360" w:lineRule="auto"/>
        <w:ind w:firstLine="480" w:firstLineChars="200"/>
        <w:rPr>
          <w:rFonts w:eastAsiaTheme="minorEastAsia"/>
          <w:sz w:val="24"/>
        </w:rPr>
      </w:pPr>
      <w:r>
        <w:rPr>
          <w:rFonts w:eastAsiaTheme="minorEastAsia"/>
          <w:sz w:val="24"/>
        </w:rPr>
        <w:t>4、基本查明矿区土地损毁现状，并对矿山建设可能造成的土地损毁进行预测评估，划定土地复垦责任范围，确定复垦单元，对土地复垦进行适宜性评价。</w:t>
      </w:r>
    </w:p>
    <w:p w14:paraId="0693C6BD">
      <w:pPr>
        <w:tabs>
          <w:tab w:val="left" w:pos="0"/>
        </w:tabs>
        <w:spacing w:line="360" w:lineRule="auto"/>
        <w:ind w:firstLine="480" w:firstLineChars="200"/>
        <w:rPr>
          <w:rFonts w:eastAsiaTheme="minorEastAsia"/>
          <w:sz w:val="24"/>
        </w:rPr>
      </w:pPr>
      <w:r>
        <w:rPr>
          <w:rFonts w:eastAsiaTheme="minorEastAsia"/>
          <w:sz w:val="24"/>
        </w:rPr>
        <w:t>5、针对矿山地质环境保护与恢复治理分区，提出矿山地质环境保护与恢复治理措施、监测方案及部署；针对土地复垦责任范围提出土地复垦工程措施及监测和管护部署。</w:t>
      </w:r>
    </w:p>
    <w:p w14:paraId="1C4C4E74">
      <w:pPr>
        <w:tabs>
          <w:tab w:val="left" w:pos="0"/>
        </w:tabs>
        <w:spacing w:line="360" w:lineRule="auto"/>
        <w:ind w:firstLine="480" w:firstLineChars="200"/>
        <w:rPr>
          <w:rFonts w:eastAsiaTheme="minorEastAsia"/>
          <w:sz w:val="32"/>
        </w:rPr>
      </w:pPr>
      <w:r>
        <w:rPr>
          <w:rFonts w:eastAsiaTheme="minorEastAsia"/>
          <w:sz w:val="24"/>
        </w:rPr>
        <w:t>6、根据矿山地质环境保护与土地复垦工程量和工作部署，作出矿山地质环境保护和土地复垦的经费估算与进度安排，提出矿山地质环境保护与土地复垦的保障措施。</w:t>
      </w:r>
    </w:p>
    <w:p w14:paraId="3B99616F">
      <w:pPr>
        <w:adjustRightInd w:val="0"/>
        <w:snapToGrid w:val="0"/>
        <w:spacing w:line="360" w:lineRule="auto"/>
        <w:ind w:firstLine="480" w:firstLineChars="200"/>
        <w:rPr>
          <w:rFonts w:eastAsiaTheme="minorEastAsia"/>
          <w:kern w:val="28"/>
          <w:sz w:val="24"/>
        </w:rPr>
      </w:pPr>
      <w:r>
        <w:rPr>
          <w:rFonts w:eastAsiaTheme="minorEastAsia"/>
          <w:sz w:val="24"/>
        </w:rPr>
        <w:t>1）根据现场调查、测量及访问，统计整理已损毁土地类型及预测矿山在开采过程中土地损毁的类型，各类型土地损毁程度和损毁范围，量算并统计各类破坏土地的面积。</w:t>
      </w:r>
    </w:p>
    <w:p w14:paraId="7155D9EC">
      <w:pPr>
        <w:adjustRightInd w:val="0"/>
        <w:snapToGrid w:val="0"/>
        <w:spacing w:line="360" w:lineRule="auto"/>
        <w:ind w:firstLine="480" w:firstLineChars="200"/>
        <w:rPr>
          <w:rFonts w:eastAsiaTheme="minorEastAsia"/>
          <w:kern w:val="28"/>
          <w:sz w:val="24"/>
        </w:rPr>
      </w:pPr>
      <w:r>
        <w:rPr>
          <w:rFonts w:eastAsiaTheme="minorEastAsia"/>
          <w:kern w:val="28"/>
          <w:sz w:val="24"/>
        </w:rPr>
        <w:t>2</w:t>
      </w:r>
      <w:r>
        <w:rPr>
          <w:rFonts w:eastAsiaTheme="minorEastAsia"/>
          <w:sz w:val="24"/>
        </w:rPr>
        <w:t>）</w:t>
      </w:r>
      <w:r>
        <w:rPr>
          <w:rFonts w:eastAsiaTheme="minorEastAsia"/>
          <w:kern w:val="28"/>
          <w:sz w:val="24"/>
        </w:rPr>
        <w:t>损毁土地分析。根据调查、评价及预测结果，分类统计被损毁土地面积，确定各类被损毁土地的复垦面积，并根据各类土地的损毁时间、损毁性质和损毁程度，合理确定矿山开采过程中的挖损、压占区域及其复垦时间和复垦利用类型等。</w:t>
      </w:r>
    </w:p>
    <w:p w14:paraId="483C6D3D">
      <w:pPr>
        <w:adjustRightInd w:val="0"/>
        <w:snapToGrid w:val="0"/>
        <w:spacing w:line="360" w:lineRule="auto"/>
        <w:ind w:firstLine="480" w:firstLineChars="200"/>
        <w:rPr>
          <w:rFonts w:eastAsiaTheme="minorEastAsia"/>
          <w:kern w:val="28"/>
          <w:sz w:val="24"/>
        </w:rPr>
      </w:pPr>
      <w:r>
        <w:rPr>
          <w:rFonts w:eastAsiaTheme="minorEastAsia"/>
          <w:kern w:val="28"/>
          <w:sz w:val="24"/>
        </w:rPr>
        <w:t>3）复垦工程量计算及复垦计划安排。在复垦规划的基础上，按各类土地复垦技术要求设计复垦方案、明确要求达到的技术标准和技术参数，计算复垦工程量，并结合矿山开采进度安排，合理规划土地复垦工作计划。</w:t>
      </w:r>
    </w:p>
    <w:p w14:paraId="5D94177E">
      <w:pPr>
        <w:adjustRightInd w:val="0"/>
        <w:snapToGrid w:val="0"/>
        <w:spacing w:line="360" w:lineRule="auto"/>
        <w:ind w:firstLine="480" w:firstLineChars="200"/>
        <w:rPr>
          <w:rFonts w:eastAsiaTheme="minorEastAsia"/>
          <w:kern w:val="28"/>
          <w:sz w:val="24"/>
        </w:rPr>
      </w:pPr>
      <w:r>
        <w:rPr>
          <w:rFonts w:eastAsiaTheme="minorEastAsia"/>
          <w:kern w:val="28"/>
          <w:sz w:val="24"/>
        </w:rPr>
        <w:t>4</w:t>
      </w:r>
      <w:r>
        <w:rPr>
          <w:rFonts w:eastAsiaTheme="minorEastAsia"/>
          <w:sz w:val="24"/>
        </w:rPr>
        <w:t>）</w:t>
      </w:r>
      <w:r>
        <w:rPr>
          <w:rFonts w:eastAsiaTheme="minorEastAsia"/>
          <w:kern w:val="28"/>
          <w:sz w:val="24"/>
        </w:rPr>
        <w:t>复垦投资估算。根据复垦设计工程量，按照《土地开发整理项目预算编制暂行办法》和《四川省土地开发整理项目预算编制定额标准》，结合四川省土地复垦征收的有关规定，预算项目土地复垦投资，说明复垦投资来源和安排，评价土地复垦效益。</w:t>
      </w:r>
    </w:p>
    <w:p w14:paraId="3969B244">
      <w:pPr>
        <w:adjustRightInd w:val="0"/>
        <w:snapToGrid w:val="0"/>
        <w:spacing w:line="360" w:lineRule="auto"/>
        <w:ind w:firstLine="480" w:firstLineChars="200"/>
        <w:rPr>
          <w:rFonts w:eastAsiaTheme="minorEastAsia"/>
          <w:kern w:val="28"/>
          <w:sz w:val="24"/>
        </w:rPr>
      </w:pPr>
      <w:r>
        <w:rPr>
          <w:rFonts w:eastAsiaTheme="minorEastAsia"/>
          <w:kern w:val="28"/>
          <w:sz w:val="24"/>
        </w:rPr>
        <w:t>5</w:t>
      </w:r>
      <w:r>
        <w:rPr>
          <w:rFonts w:eastAsiaTheme="minorEastAsia"/>
          <w:sz w:val="24"/>
        </w:rPr>
        <w:t>）</w:t>
      </w:r>
      <w:r>
        <w:rPr>
          <w:rFonts w:eastAsiaTheme="minorEastAsia"/>
          <w:kern w:val="28"/>
          <w:sz w:val="24"/>
        </w:rPr>
        <w:t>明确项目土地复垦的组织管理、工程技术、工程投资等各项保障措施及公众参与情况。</w:t>
      </w:r>
    </w:p>
    <w:p w14:paraId="0ACA97BD">
      <w:pPr>
        <w:adjustRightInd w:val="0"/>
        <w:snapToGrid w:val="0"/>
        <w:spacing w:line="360" w:lineRule="auto"/>
        <w:ind w:firstLine="480" w:firstLineChars="200"/>
        <w:rPr>
          <w:rFonts w:eastAsiaTheme="minorEastAsia"/>
          <w:kern w:val="28"/>
          <w:sz w:val="24"/>
        </w:rPr>
      </w:pPr>
      <w:r>
        <w:rPr>
          <w:rFonts w:eastAsiaTheme="minorEastAsia"/>
          <w:kern w:val="28"/>
          <w:sz w:val="24"/>
        </w:rPr>
        <w:t>综合以上及本项目区实际情况，确定本方案编制目的为补做。</w:t>
      </w:r>
    </w:p>
    <w:p w14:paraId="413B022D">
      <w:pPr>
        <w:keepNext/>
        <w:keepLines/>
        <w:adjustRightInd w:val="0"/>
        <w:spacing w:beforeLines="50" w:afterLines="50" w:line="360" w:lineRule="auto"/>
        <w:jc w:val="left"/>
        <w:textAlignment w:val="baseline"/>
        <w:outlineLvl w:val="0"/>
        <w:rPr>
          <w:kern w:val="0"/>
          <w:sz w:val="30"/>
          <w:szCs w:val="30"/>
        </w:rPr>
      </w:pPr>
      <w:bookmarkStart w:id="6" w:name="_Toc43851603"/>
      <w:bookmarkStart w:id="7" w:name="_Toc492546640"/>
      <w:r>
        <w:rPr>
          <w:kern w:val="0"/>
          <w:sz w:val="30"/>
          <w:szCs w:val="30"/>
        </w:rPr>
        <w:t>三、编制依据</w:t>
      </w:r>
      <w:bookmarkEnd w:id="6"/>
      <w:bookmarkEnd w:id="7"/>
    </w:p>
    <w:p w14:paraId="566851E8">
      <w:pPr>
        <w:pStyle w:val="5"/>
        <w:spacing w:beforeLines="50" w:afterLines="50" w:line="360" w:lineRule="auto"/>
        <w:rPr>
          <w:b w:val="0"/>
          <w:sz w:val="28"/>
          <w:szCs w:val="28"/>
        </w:rPr>
      </w:pPr>
      <w:bookmarkStart w:id="8" w:name="_Toc481328128"/>
      <w:bookmarkStart w:id="9" w:name="_Toc43851604"/>
      <w:r>
        <w:rPr>
          <w:b w:val="0"/>
          <w:sz w:val="28"/>
          <w:szCs w:val="28"/>
        </w:rPr>
        <w:t>（一）法律法规</w:t>
      </w:r>
      <w:bookmarkEnd w:id="8"/>
      <w:bookmarkEnd w:id="9"/>
    </w:p>
    <w:p w14:paraId="319B39C1">
      <w:pPr>
        <w:pStyle w:val="68"/>
        <w:rPr>
          <w:rFonts w:ascii="Times New Roman" w:hAnsi="Times New Roman" w:cs="Times New Roman" w:eastAsiaTheme="minorEastAsia"/>
          <w:kern w:val="28"/>
          <w:sz w:val="24"/>
          <w:szCs w:val="24"/>
        </w:rPr>
      </w:pPr>
      <w:bookmarkStart w:id="10" w:name="_Toc481328129"/>
      <w:r>
        <w:rPr>
          <w:rFonts w:ascii="Times New Roman" w:hAnsi="Times New Roman" w:cs="Times New Roman" w:eastAsiaTheme="minorEastAsia"/>
          <w:kern w:val="28"/>
          <w:sz w:val="24"/>
          <w:szCs w:val="24"/>
        </w:rPr>
        <w:t>1、《中华人民共和国矿产资源法》（全国人大立法，2009年修订）；</w:t>
      </w:r>
    </w:p>
    <w:p w14:paraId="3A4BB893">
      <w:pPr>
        <w:pStyle w:val="68"/>
        <w:rPr>
          <w:rFonts w:ascii="Times New Roman" w:hAnsi="Times New Roman" w:cs="Times New Roman"/>
          <w:sz w:val="24"/>
          <w:szCs w:val="24"/>
        </w:rPr>
      </w:pPr>
      <w:r>
        <w:rPr>
          <w:rFonts w:ascii="Times New Roman" w:hAnsi="Times New Roman" w:cs="Times New Roman"/>
          <w:sz w:val="24"/>
          <w:szCs w:val="24"/>
        </w:rPr>
        <w:t>2、《中华人民共和国土地管理法》（全国人大立法，2004年修订）；</w:t>
      </w:r>
    </w:p>
    <w:p w14:paraId="351DB1A8">
      <w:pPr>
        <w:pStyle w:val="68"/>
        <w:rPr>
          <w:rFonts w:ascii="Times New Roman" w:hAnsi="Times New Roman" w:cs="Times New Roman" w:eastAsiaTheme="minorEastAsia"/>
          <w:kern w:val="28"/>
          <w:sz w:val="24"/>
          <w:szCs w:val="24"/>
        </w:rPr>
      </w:pPr>
      <w:r>
        <w:rPr>
          <w:rFonts w:ascii="Times New Roman" w:hAnsi="Times New Roman" w:cs="Times New Roman" w:eastAsiaTheme="minorEastAsia"/>
          <w:kern w:val="28"/>
          <w:sz w:val="24"/>
          <w:szCs w:val="24"/>
        </w:rPr>
        <w:t>3、《中华人民共和国环境保护法》（全国人大立法，2014年修订）；</w:t>
      </w:r>
    </w:p>
    <w:p w14:paraId="1D6288C3">
      <w:pPr>
        <w:pStyle w:val="68"/>
        <w:rPr>
          <w:rFonts w:ascii="Times New Roman" w:hAnsi="Times New Roman" w:cs="Times New Roman" w:eastAsiaTheme="minorEastAsia"/>
          <w:kern w:val="28"/>
          <w:sz w:val="24"/>
          <w:szCs w:val="24"/>
        </w:rPr>
      </w:pPr>
      <w:r>
        <w:rPr>
          <w:rFonts w:ascii="Times New Roman" w:hAnsi="Times New Roman" w:cs="Times New Roman"/>
          <w:sz w:val="24"/>
          <w:szCs w:val="24"/>
        </w:rPr>
        <w:t>4、《中华人民共和国水土保持法》（全国人大立法，2010年修订）；</w:t>
      </w:r>
    </w:p>
    <w:p w14:paraId="760025BC">
      <w:pPr>
        <w:pStyle w:val="68"/>
        <w:rPr>
          <w:rFonts w:ascii="Times New Roman" w:hAnsi="Times New Roman" w:cs="Times New Roman" w:eastAsiaTheme="minorEastAsia"/>
          <w:kern w:val="28"/>
          <w:sz w:val="24"/>
          <w:szCs w:val="24"/>
        </w:rPr>
      </w:pPr>
      <w:r>
        <w:rPr>
          <w:rFonts w:ascii="Times New Roman" w:hAnsi="Times New Roman" w:cs="Times New Roman" w:eastAsiaTheme="minorEastAsia"/>
          <w:kern w:val="28"/>
          <w:sz w:val="24"/>
          <w:szCs w:val="24"/>
        </w:rPr>
        <w:t>5、《中华人民共和国农业法》（全国人民代表大会常务委员会，2002年修订）；</w:t>
      </w:r>
    </w:p>
    <w:p w14:paraId="3CE77EC6">
      <w:pPr>
        <w:pStyle w:val="68"/>
        <w:rPr>
          <w:rFonts w:ascii="Times New Roman" w:hAnsi="Times New Roman" w:cs="Times New Roman"/>
          <w:sz w:val="24"/>
          <w:szCs w:val="24"/>
        </w:rPr>
      </w:pPr>
      <w:r>
        <w:rPr>
          <w:rFonts w:ascii="Times New Roman" w:hAnsi="Times New Roman" w:cs="Times New Roman"/>
          <w:sz w:val="24"/>
          <w:szCs w:val="24"/>
        </w:rPr>
        <w:t>6、《中华人民共和国森林法（修订）》（2009年8月27日）；</w:t>
      </w:r>
    </w:p>
    <w:p w14:paraId="5EB12726">
      <w:pPr>
        <w:pStyle w:val="68"/>
        <w:rPr>
          <w:rFonts w:ascii="Times New Roman" w:hAnsi="Times New Roman" w:cs="Times New Roman" w:eastAsiaTheme="minorEastAsia"/>
          <w:kern w:val="28"/>
          <w:sz w:val="24"/>
          <w:szCs w:val="24"/>
        </w:rPr>
      </w:pPr>
      <w:r>
        <w:rPr>
          <w:rFonts w:ascii="Times New Roman" w:hAnsi="Times New Roman" w:cs="Times New Roman" w:eastAsiaTheme="minorEastAsia"/>
          <w:kern w:val="28"/>
          <w:sz w:val="24"/>
          <w:szCs w:val="24"/>
        </w:rPr>
        <w:t>7、《中华人民共和国水污染防治法》（2008年6月1日）；</w:t>
      </w:r>
    </w:p>
    <w:p w14:paraId="291E831E">
      <w:pPr>
        <w:pStyle w:val="68"/>
        <w:rPr>
          <w:rFonts w:ascii="Times New Roman" w:hAnsi="Times New Roman" w:cs="Times New Roman"/>
          <w:sz w:val="24"/>
          <w:szCs w:val="24"/>
        </w:rPr>
      </w:pPr>
      <w:r>
        <w:rPr>
          <w:rFonts w:ascii="Times New Roman" w:hAnsi="Times New Roman" w:cs="Times New Roman"/>
          <w:sz w:val="24"/>
          <w:szCs w:val="24"/>
        </w:rPr>
        <w:t>8、《中华人民共和国环境影响评价法》（2018年12月29日修订）；</w:t>
      </w:r>
    </w:p>
    <w:p w14:paraId="7A842EB6">
      <w:pPr>
        <w:pStyle w:val="68"/>
        <w:rPr>
          <w:rFonts w:ascii="Times New Roman" w:hAnsi="Times New Roman" w:cs="Times New Roman" w:eastAsiaTheme="minorEastAsia"/>
          <w:kern w:val="28"/>
          <w:sz w:val="24"/>
          <w:szCs w:val="24"/>
        </w:rPr>
      </w:pPr>
      <w:r>
        <w:rPr>
          <w:rFonts w:ascii="Times New Roman" w:hAnsi="Times New Roman" w:cs="Times New Roman" w:eastAsiaTheme="minorEastAsia"/>
          <w:kern w:val="28"/>
          <w:sz w:val="24"/>
          <w:szCs w:val="24"/>
        </w:rPr>
        <w:t>9、《中华人民共和国土地管理法实施条例》（1998年12月27日，国务院令第256号发布）；</w:t>
      </w:r>
    </w:p>
    <w:p w14:paraId="6D6D29EC">
      <w:pPr>
        <w:pStyle w:val="68"/>
        <w:rPr>
          <w:rFonts w:ascii="Times New Roman" w:hAnsi="Times New Roman" w:cs="Times New Roman"/>
          <w:sz w:val="24"/>
          <w:szCs w:val="24"/>
        </w:rPr>
      </w:pPr>
      <w:r>
        <w:rPr>
          <w:rFonts w:ascii="Times New Roman" w:hAnsi="Times New Roman" w:cs="Times New Roman"/>
          <w:sz w:val="24"/>
          <w:szCs w:val="24"/>
        </w:rPr>
        <w:t>10、《地质灾害防治条例》（国务院令第394号，2004年3月）；</w:t>
      </w:r>
    </w:p>
    <w:p w14:paraId="54759B1C">
      <w:pPr>
        <w:pStyle w:val="68"/>
        <w:rPr>
          <w:rFonts w:ascii="Times New Roman" w:hAnsi="Times New Roman" w:cs="Times New Roman" w:eastAsiaTheme="minorEastAsia"/>
          <w:kern w:val="28"/>
          <w:sz w:val="24"/>
          <w:szCs w:val="24"/>
        </w:rPr>
      </w:pPr>
      <w:r>
        <w:rPr>
          <w:rFonts w:ascii="Times New Roman" w:hAnsi="Times New Roman" w:cs="Times New Roman" w:eastAsiaTheme="minorEastAsia"/>
          <w:kern w:val="28"/>
          <w:sz w:val="24"/>
          <w:szCs w:val="24"/>
        </w:rPr>
        <w:t>11、《土地复垦条例》（2011年2月22日，国务院第145次常务会议通过，自公布之日起施行）；</w:t>
      </w:r>
    </w:p>
    <w:p w14:paraId="181EEF16">
      <w:pPr>
        <w:pStyle w:val="68"/>
        <w:rPr>
          <w:rFonts w:ascii="Times New Roman" w:hAnsi="Times New Roman" w:cs="Times New Roman"/>
          <w:sz w:val="24"/>
          <w:szCs w:val="24"/>
        </w:rPr>
      </w:pPr>
      <w:r>
        <w:rPr>
          <w:rFonts w:ascii="Times New Roman" w:hAnsi="Times New Roman" w:cs="Times New Roman"/>
          <w:sz w:val="24"/>
          <w:szCs w:val="24"/>
        </w:rPr>
        <w:t>12、《矿山地质环境保护规定》（国土资源部令第44号，2009年3月）；</w:t>
      </w:r>
    </w:p>
    <w:p w14:paraId="42279864">
      <w:pPr>
        <w:pStyle w:val="68"/>
        <w:rPr>
          <w:rFonts w:ascii="Times New Roman" w:hAnsi="Times New Roman" w:cs="Times New Roman" w:eastAsiaTheme="minorEastAsia"/>
          <w:kern w:val="28"/>
          <w:sz w:val="24"/>
          <w:szCs w:val="24"/>
        </w:rPr>
      </w:pPr>
      <w:r>
        <w:rPr>
          <w:rFonts w:ascii="Times New Roman" w:hAnsi="Times New Roman" w:cs="Times New Roman" w:eastAsiaTheme="minorEastAsia"/>
          <w:kern w:val="28"/>
          <w:sz w:val="24"/>
          <w:szCs w:val="24"/>
        </w:rPr>
        <w:t>13、《土地复垦条例实施办法》（国土资源部令第56号，2012年12月）。</w:t>
      </w:r>
    </w:p>
    <w:p w14:paraId="6D241FCE">
      <w:pPr>
        <w:pStyle w:val="5"/>
        <w:spacing w:beforeLines="50" w:afterLines="50" w:line="360" w:lineRule="auto"/>
        <w:rPr>
          <w:b w:val="0"/>
          <w:sz w:val="28"/>
          <w:szCs w:val="28"/>
        </w:rPr>
      </w:pPr>
      <w:bookmarkStart w:id="11" w:name="_Toc43851605"/>
      <w:r>
        <w:rPr>
          <w:b w:val="0"/>
          <w:sz w:val="28"/>
          <w:szCs w:val="28"/>
        </w:rPr>
        <w:t>（二）规章文件</w:t>
      </w:r>
      <w:bookmarkEnd w:id="10"/>
      <w:bookmarkEnd w:id="11"/>
    </w:p>
    <w:p w14:paraId="10802268">
      <w:pPr>
        <w:adjustRightInd w:val="0"/>
        <w:snapToGrid w:val="0"/>
        <w:spacing w:line="360" w:lineRule="auto"/>
        <w:ind w:firstLine="480" w:firstLineChars="200"/>
        <w:rPr>
          <w:rFonts w:eastAsiaTheme="minorEastAsia"/>
          <w:kern w:val="28"/>
          <w:sz w:val="24"/>
        </w:rPr>
      </w:pPr>
      <w:bookmarkStart w:id="12" w:name="_Toc481328130"/>
      <w:r>
        <w:rPr>
          <w:rFonts w:eastAsiaTheme="minorEastAsia"/>
          <w:kern w:val="28"/>
          <w:sz w:val="24"/>
        </w:rPr>
        <w:t>1、《国土资源部办公厅关于做好矿山地质环境保护与治理恢复方案与土地复垦方案编报有关工作的通知》（国土资厅发[2016]21号）；</w:t>
      </w:r>
    </w:p>
    <w:p w14:paraId="15D1F21B">
      <w:pPr>
        <w:adjustRightInd w:val="0"/>
        <w:snapToGrid w:val="0"/>
        <w:spacing w:line="360" w:lineRule="auto"/>
        <w:ind w:firstLine="480" w:firstLineChars="200"/>
        <w:rPr>
          <w:rFonts w:eastAsiaTheme="minorEastAsia"/>
          <w:kern w:val="28"/>
          <w:sz w:val="24"/>
        </w:rPr>
      </w:pPr>
      <w:r>
        <w:rPr>
          <w:rFonts w:eastAsiaTheme="minorEastAsia"/>
          <w:kern w:val="28"/>
          <w:sz w:val="24"/>
        </w:rPr>
        <w:t>2、《关于加强矿山地质环境恢复和综合治理的指导意见》（国土资发〔2016〕63号；</w:t>
      </w:r>
    </w:p>
    <w:p w14:paraId="412881C5">
      <w:pPr>
        <w:adjustRightInd w:val="0"/>
        <w:snapToGrid w:val="0"/>
        <w:spacing w:line="360" w:lineRule="auto"/>
        <w:ind w:firstLine="480" w:firstLineChars="200"/>
        <w:rPr>
          <w:rFonts w:eastAsiaTheme="minorEastAsia"/>
          <w:kern w:val="28"/>
          <w:sz w:val="24"/>
        </w:rPr>
      </w:pPr>
      <w:r>
        <w:rPr>
          <w:rFonts w:eastAsiaTheme="minorEastAsia"/>
          <w:kern w:val="28"/>
          <w:sz w:val="24"/>
        </w:rPr>
        <w:t>3、《关于加强矿山生态环境保护工作的通知》（国土资源部国土资发[1999]36号）；</w:t>
      </w:r>
    </w:p>
    <w:p w14:paraId="0FF2C059">
      <w:pPr>
        <w:adjustRightInd w:val="0"/>
        <w:snapToGrid w:val="0"/>
        <w:spacing w:line="360" w:lineRule="auto"/>
        <w:ind w:firstLine="480" w:firstLineChars="200"/>
        <w:rPr>
          <w:rFonts w:eastAsiaTheme="minorEastAsia"/>
          <w:kern w:val="28"/>
          <w:sz w:val="24"/>
        </w:rPr>
      </w:pPr>
      <w:r>
        <w:rPr>
          <w:rFonts w:eastAsiaTheme="minorEastAsia"/>
          <w:kern w:val="28"/>
          <w:sz w:val="24"/>
        </w:rPr>
        <w:t>4、《关于加强生产建设项目土地复垦管理工作的通知》（国土资发[2006]225号）（2006.9.30）；</w:t>
      </w:r>
    </w:p>
    <w:p w14:paraId="1C355083">
      <w:pPr>
        <w:adjustRightInd w:val="0"/>
        <w:snapToGrid w:val="0"/>
        <w:spacing w:line="360" w:lineRule="auto"/>
        <w:ind w:firstLine="480" w:firstLineChars="200"/>
        <w:rPr>
          <w:rFonts w:eastAsiaTheme="minorEastAsia"/>
          <w:kern w:val="28"/>
          <w:sz w:val="24"/>
        </w:rPr>
      </w:pPr>
      <w:r>
        <w:rPr>
          <w:rFonts w:eastAsiaTheme="minorEastAsia"/>
          <w:kern w:val="28"/>
          <w:sz w:val="24"/>
        </w:rPr>
        <w:t>5、《关于进一步加强土地整理复垦开发工作的通知》（国土资发[2008]176号）（2008.8.29）；</w:t>
      </w:r>
    </w:p>
    <w:p w14:paraId="52A274DD">
      <w:pPr>
        <w:adjustRightInd w:val="0"/>
        <w:snapToGrid w:val="0"/>
        <w:spacing w:line="360" w:lineRule="auto"/>
        <w:ind w:firstLine="480" w:firstLineChars="200"/>
        <w:rPr>
          <w:rFonts w:eastAsiaTheme="minorEastAsia"/>
          <w:kern w:val="28"/>
          <w:sz w:val="24"/>
        </w:rPr>
      </w:pPr>
      <w:r>
        <w:rPr>
          <w:rFonts w:eastAsiaTheme="minorEastAsia"/>
          <w:kern w:val="28"/>
          <w:sz w:val="24"/>
        </w:rPr>
        <w:t>6、《国务院关于深化改革严格土地管理的决定》（国发[2004]28号）（2004.10.21）；</w:t>
      </w:r>
    </w:p>
    <w:p w14:paraId="52DCBE38">
      <w:pPr>
        <w:adjustRightInd w:val="0"/>
        <w:snapToGrid w:val="0"/>
        <w:spacing w:line="360" w:lineRule="auto"/>
        <w:ind w:firstLine="480" w:firstLineChars="200"/>
        <w:rPr>
          <w:rFonts w:eastAsiaTheme="minorEastAsia"/>
          <w:kern w:val="28"/>
          <w:sz w:val="24"/>
        </w:rPr>
      </w:pPr>
      <w:r>
        <w:rPr>
          <w:rFonts w:eastAsiaTheme="minorEastAsia"/>
          <w:kern w:val="28"/>
          <w:sz w:val="24"/>
        </w:rPr>
        <w:t>7、《中共中央、国务院关于进一步加强土地管理切实保护耕地的通知》（1999.4）；</w:t>
      </w:r>
    </w:p>
    <w:p w14:paraId="04B2303A">
      <w:pPr>
        <w:adjustRightInd w:val="0"/>
        <w:snapToGrid w:val="0"/>
        <w:spacing w:line="360" w:lineRule="auto"/>
        <w:ind w:firstLine="480" w:firstLineChars="200"/>
        <w:rPr>
          <w:rFonts w:eastAsiaTheme="minorEastAsia"/>
          <w:kern w:val="28"/>
          <w:sz w:val="24"/>
        </w:rPr>
      </w:pPr>
      <w:r>
        <w:rPr>
          <w:rFonts w:eastAsiaTheme="minorEastAsia"/>
          <w:kern w:val="28"/>
          <w:sz w:val="24"/>
        </w:rPr>
        <w:t>8、《国土资源部关于加强地质灾害危险性评估的通知》（国土资发[2004]69号）；</w:t>
      </w:r>
    </w:p>
    <w:p w14:paraId="7F99C855">
      <w:pPr>
        <w:adjustRightInd w:val="0"/>
        <w:snapToGrid w:val="0"/>
        <w:spacing w:line="360" w:lineRule="auto"/>
        <w:ind w:firstLine="480" w:firstLineChars="200"/>
        <w:rPr>
          <w:rFonts w:eastAsiaTheme="minorEastAsia"/>
          <w:kern w:val="28"/>
          <w:sz w:val="24"/>
        </w:rPr>
      </w:pPr>
      <w:r>
        <w:rPr>
          <w:rFonts w:eastAsiaTheme="minorEastAsia"/>
          <w:kern w:val="28"/>
          <w:sz w:val="24"/>
        </w:rPr>
        <w:t>9、《关于进一步加强矿产资源规划实施管理工作的通知》（国土资发[2004]29号）；</w:t>
      </w:r>
    </w:p>
    <w:p w14:paraId="2EA8DE57">
      <w:pPr>
        <w:adjustRightInd w:val="0"/>
        <w:snapToGrid w:val="0"/>
        <w:spacing w:line="360" w:lineRule="auto"/>
        <w:ind w:firstLine="480" w:firstLineChars="200"/>
        <w:rPr>
          <w:rFonts w:eastAsiaTheme="minorEastAsia"/>
          <w:kern w:val="28"/>
          <w:sz w:val="24"/>
        </w:rPr>
      </w:pPr>
      <w:r>
        <w:rPr>
          <w:rFonts w:eastAsiaTheme="minorEastAsia"/>
          <w:kern w:val="28"/>
          <w:sz w:val="24"/>
        </w:rPr>
        <w:t>10、四川省国土资源厅下发《关于进一步贯彻落实矿山土地复垦制度的通知》（2016年3月16日）；</w:t>
      </w:r>
    </w:p>
    <w:p w14:paraId="5D9C26BF">
      <w:pPr>
        <w:adjustRightInd w:val="0"/>
        <w:snapToGrid w:val="0"/>
        <w:spacing w:line="360" w:lineRule="auto"/>
        <w:ind w:firstLine="480" w:firstLineChars="200"/>
        <w:rPr>
          <w:rFonts w:eastAsiaTheme="minorEastAsia"/>
          <w:kern w:val="28"/>
          <w:sz w:val="24"/>
        </w:rPr>
      </w:pPr>
      <w:r>
        <w:rPr>
          <w:rFonts w:eastAsiaTheme="minorEastAsia"/>
          <w:kern w:val="28"/>
          <w:sz w:val="24"/>
        </w:rPr>
        <w:t>11、《四川省水土保持工程建设监理管理办法》（川水发[2011]26号）；</w:t>
      </w:r>
    </w:p>
    <w:p w14:paraId="57B1883E">
      <w:pPr>
        <w:adjustRightInd w:val="0"/>
        <w:snapToGrid w:val="0"/>
        <w:spacing w:line="360" w:lineRule="auto"/>
        <w:ind w:firstLine="480" w:firstLineChars="200"/>
        <w:rPr>
          <w:rFonts w:eastAsiaTheme="minorEastAsia"/>
          <w:kern w:val="28"/>
          <w:sz w:val="24"/>
        </w:rPr>
      </w:pPr>
      <w:r>
        <w:rPr>
          <w:rFonts w:eastAsiaTheme="minorEastAsia"/>
          <w:kern w:val="28"/>
          <w:sz w:val="24"/>
        </w:rPr>
        <w:t>12、《四川省水利厅关于印发&lt;四川省水土保持方案编制与审查若干技术问题暂行规定&gt;的函》（川水发[2014]723号）；</w:t>
      </w:r>
    </w:p>
    <w:p w14:paraId="0E9C840B">
      <w:pPr>
        <w:adjustRightInd w:val="0"/>
        <w:snapToGrid w:val="0"/>
        <w:spacing w:line="360" w:lineRule="auto"/>
        <w:ind w:firstLine="480" w:firstLineChars="200"/>
        <w:rPr>
          <w:rFonts w:eastAsiaTheme="minorEastAsia"/>
          <w:kern w:val="28"/>
          <w:sz w:val="24"/>
        </w:rPr>
      </w:pPr>
      <w:r>
        <w:rPr>
          <w:rFonts w:eastAsiaTheme="minorEastAsia"/>
          <w:kern w:val="28"/>
          <w:sz w:val="24"/>
        </w:rPr>
        <w:t>13、《四川省国土资源厅关于做好矿山地质环境保护与土地复垦方案编报工作的通知》（川国土资办发[2017]74号）；</w:t>
      </w:r>
    </w:p>
    <w:p w14:paraId="107D20FD">
      <w:pPr>
        <w:adjustRightInd w:val="0"/>
        <w:snapToGrid w:val="0"/>
        <w:spacing w:line="360" w:lineRule="auto"/>
        <w:ind w:firstLine="480" w:firstLineChars="200"/>
        <w:rPr>
          <w:rFonts w:eastAsiaTheme="minorEastAsia"/>
          <w:kern w:val="28"/>
          <w:sz w:val="24"/>
        </w:rPr>
      </w:pPr>
      <w:r>
        <w:rPr>
          <w:rFonts w:eastAsiaTheme="minorEastAsia"/>
          <w:kern w:val="28"/>
          <w:sz w:val="24"/>
        </w:rPr>
        <w:t>14、《四川省国土资源厅、四川省财政厅关于营业税改增值税后四川省土地开发整理项目预算定额计价规则调整办法的通知》（川国土资发[2017]42号）；</w:t>
      </w:r>
    </w:p>
    <w:p w14:paraId="492AB366">
      <w:pPr>
        <w:adjustRightInd w:val="0"/>
        <w:snapToGrid w:val="0"/>
        <w:spacing w:line="360" w:lineRule="auto"/>
        <w:ind w:firstLine="480" w:firstLineChars="200"/>
        <w:rPr>
          <w:rFonts w:eastAsiaTheme="minorEastAsia"/>
          <w:kern w:val="28"/>
          <w:sz w:val="24"/>
        </w:rPr>
      </w:pPr>
      <w:r>
        <w:rPr>
          <w:rFonts w:eastAsiaTheme="minorEastAsia"/>
          <w:kern w:val="28"/>
          <w:sz w:val="24"/>
        </w:rPr>
        <w:t>15、《关于调整增值税税率的通知》（财税[2018]32号）。</w:t>
      </w:r>
    </w:p>
    <w:p w14:paraId="7D6A08B8">
      <w:pPr>
        <w:pStyle w:val="5"/>
        <w:spacing w:beforeLines="50" w:afterLines="50" w:line="360" w:lineRule="auto"/>
        <w:rPr>
          <w:b w:val="0"/>
          <w:sz w:val="28"/>
          <w:szCs w:val="28"/>
        </w:rPr>
      </w:pPr>
      <w:bookmarkStart w:id="13" w:name="_Toc43851606"/>
      <w:r>
        <w:rPr>
          <w:b w:val="0"/>
          <w:sz w:val="28"/>
          <w:szCs w:val="28"/>
        </w:rPr>
        <w:t>（三）标准规范</w:t>
      </w:r>
      <w:bookmarkEnd w:id="12"/>
      <w:bookmarkEnd w:id="13"/>
    </w:p>
    <w:p w14:paraId="7C6E68AA">
      <w:pPr>
        <w:pStyle w:val="16"/>
        <w:spacing w:line="360" w:lineRule="auto"/>
        <w:ind w:firstLine="480" w:firstLineChars="200"/>
        <w:rPr>
          <w:rFonts w:ascii="Times New Roman" w:hAnsi="Times New Roman" w:cs="Times New Roman"/>
          <w:kern w:val="28"/>
          <w:sz w:val="24"/>
          <w:szCs w:val="24"/>
        </w:rPr>
      </w:pPr>
      <w:bookmarkStart w:id="14" w:name="_Toc481328131"/>
      <w:r>
        <w:rPr>
          <w:rFonts w:ascii="Times New Roman" w:hAnsi="Times New Roman" w:cs="Times New Roman"/>
          <w:kern w:val="28"/>
          <w:sz w:val="24"/>
          <w:szCs w:val="24"/>
        </w:rPr>
        <w:t>1、DZ/T 0223-2011  矿山地质环境保护与恢复治理方案编制规范</w:t>
      </w:r>
    </w:p>
    <w:p w14:paraId="62403E66">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2、TD/T 1031.1-2011《土地复垦方案编制规程》（第一部分：通则）</w:t>
      </w:r>
    </w:p>
    <w:p w14:paraId="5E2C1609">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3、DZ/T0287-2015   矿山地质环境监测技术规程</w:t>
      </w:r>
    </w:p>
    <w:p w14:paraId="39A4B34F">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4、DZ T 0286-2015   地质灾害危险性评估规范</w:t>
      </w:r>
    </w:p>
    <w:p w14:paraId="3A8B44C1">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5、GB 50330-2013    建筑边坡工程技术规范</w:t>
      </w:r>
    </w:p>
    <w:p w14:paraId="4C813E46">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6、GB/T 958-2015    区域地质图图图例</w:t>
      </w:r>
    </w:p>
    <w:p w14:paraId="613E7523">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7、GB/T 12328-1990  综合工程地质图图例及色标</w:t>
      </w:r>
    </w:p>
    <w:p w14:paraId="7DE9D172">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8、GB/T 14538-1993  综合水文地质图图例及色标</w:t>
      </w:r>
    </w:p>
    <w:p w14:paraId="50A91C97">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9、GB/T 21010-2017  土地利用现状分类</w:t>
      </w:r>
    </w:p>
    <w:p w14:paraId="65E22FB5">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10、GB50021-2001（2009年版）岩土工程勘察规范</w:t>
      </w:r>
    </w:p>
    <w:p w14:paraId="03332CA2">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11、GB3100-3102-1993  量和单位</w:t>
      </w:r>
    </w:p>
    <w:p w14:paraId="64512D17">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12、GB3838-2002  地表水环境质量标准</w:t>
      </w:r>
    </w:p>
    <w:p w14:paraId="6A839FBE">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13、GB11607-1989  渔业水质标准</w:t>
      </w:r>
    </w:p>
    <w:p w14:paraId="58E7D6F3">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14、GB15618-2008  土壤环境质量标准</w:t>
      </w:r>
    </w:p>
    <w:p w14:paraId="6ECB9CE9">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15、GB/T16453-2008  水土保持综合治理技术规范</w:t>
      </w:r>
    </w:p>
    <w:p w14:paraId="7459C4B1">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16、GB/T18337.2-2001  生态公益林建设技术规程</w:t>
      </w:r>
    </w:p>
    <w:p w14:paraId="2475D502">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17、GB/T19231-2003  土地基本术语</w:t>
      </w:r>
    </w:p>
    <w:p w14:paraId="21EDE782">
      <w:pPr>
        <w:pStyle w:val="16"/>
        <w:spacing w:line="360" w:lineRule="auto"/>
        <w:ind w:firstLine="480" w:firstLineChars="200"/>
        <w:rPr>
          <w:rFonts w:ascii="Times New Roman" w:hAnsi="Times New Roman" w:cs="Times New Roman"/>
          <w:kern w:val="28"/>
          <w:sz w:val="24"/>
          <w:szCs w:val="24"/>
        </w:rPr>
      </w:pPr>
      <w:r>
        <w:rPr>
          <w:rFonts w:ascii="Times New Roman" w:hAnsi="Times New Roman" w:cs="Times New Roman"/>
          <w:kern w:val="28"/>
          <w:sz w:val="24"/>
          <w:szCs w:val="24"/>
        </w:rPr>
        <w:t>18、DZ/T 0517-1995  1：50000地质图地理底图编绘规范</w:t>
      </w:r>
    </w:p>
    <w:p w14:paraId="1B787A84">
      <w:pPr>
        <w:adjustRightInd w:val="0"/>
        <w:snapToGrid w:val="0"/>
        <w:spacing w:line="360" w:lineRule="auto"/>
        <w:ind w:firstLine="480" w:firstLineChars="200"/>
        <w:rPr>
          <w:rFonts w:eastAsiaTheme="minorEastAsia"/>
          <w:kern w:val="28"/>
          <w:sz w:val="24"/>
        </w:rPr>
      </w:pPr>
      <w:r>
        <w:rPr>
          <w:rFonts w:eastAsiaTheme="minorEastAsia"/>
          <w:kern w:val="28"/>
          <w:sz w:val="24"/>
        </w:rPr>
        <w:t>19、DZ/T 0179-1997  地质图用色标准及用色原则（1：50000）</w:t>
      </w:r>
    </w:p>
    <w:p w14:paraId="31C656F7">
      <w:pPr>
        <w:adjustRightInd w:val="0"/>
        <w:snapToGrid w:val="0"/>
        <w:spacing w:line="360" w:lineRule="auto"/>
        <w:ind w:firstLine="480" w:firstLineChars="200"/>
        <w:rPr>
          <w:rFonts w:eastAsiaTheme="minorEastAsia"/>
          <w:kern w:val="28"/>
          <w:sz w:val="24"/>
        </w:rPr>
      </w:pPr>
      <w:r>
        <w:rPr>
          <w:rFonts w:eastAsiaTheme="minorEastAsia"/>
          <w:kern w:val="28"/>
          <w:sz w:val="24"/>
        </w:rPr>
        <w:t>20、DZ/T 0218-2006   滑坡防治工程勘查规范</w:t>
      </w:r>
    </w:p>
    <w:p w14:paraId="65A03232">
      <w:pPr>
        <w:adjustRightInd w:val="0"/>
        <w:snapToGrid w:val="0"/>
        <w:spacing w:line="360" w:lineRule="auto"/>
        <w:ind w:firstLine="480" w:firstLineChars="200"/>
        <w:rPr>
          <w:rFonts w:eastAsiaTheme="minorEastAsia"/>
          <w:kern w:val="28"/>
          <w:sz w:val="24"/>
        </w:rPr>
      </w:pPr>
      <w:r>
        <w:rPr>
          <w:rFonts w:eastAsiaTheme="minorEastAsia"/>
          <w:kern w:val="28"/>
          <w:sz w:val="24"/>
        </w:rPr>
        <w:t>21、DZ/T 0219-2006   滑坡防治工程设计与施工技术规范</w:t>
      </w:r>
    </w:p>
    <w:p w14:paraId="0DBFAFE1">
      <w:pPr>
        <w:adjustRightInd w:val="0"/>
        <w:snapToGrid w:val="0"/>
        <w:spacing w:line="360" w:lineRule="auto"/>
        <w:ind w:firstLine="480" w:firstLineChars="200"/>
        <w:rPr>
          <w:rFonts w:eastAsiaTheme="minorEastAsia"/>
          <w:kern w:val="28"/>
          <w:sz w:val="24"/>
        </w:rPr>
      </w:pPr>
      <w:r>
        <w:rPr>
          <w:rFonts w:eastAsiaTheme="minorEastAsia"/>
          <w:kern w:val="28"/>
          <w:sz w:val="24"/>
        </w:rPr>
        <w:t>22、DZ/T 0220-2006   泥石流灾害防治工程勘查规范</w:t>
      </w:r>
    </w:p>
    <w:p w14:paraId="46D0F2A7">
      <w:pPr>
        <w:adjustRightInd w:val="0"/>
        <w:snapToGrid w:val="0"/>
        <w:spacing w:line="360" w:lineRule="auto"/>
        <w:ind w:firstLine="480" w:firstLineChars="200"/>
        <w:rPr>
          <w:rFonts w:eastAsiaTheme="minorEastAsia"/>
          <w:kern w:val="28"/>
          <w:sz w:val="24"/>
        </w:rPr>
      </w:pPr>
      <w:r>
        <w:rPr>
          <w:rFonts w:eastAsiaTheme="minorEastAsia"/>
          <w:kern w:val="28"/>
          <w:sz w:val="24"/>
        </w:rPr>
        <w:t>23、DZ/T 0221-2006   崩塌、滑坡、泥石流监测规范</w:t>
      </w:r>
    </w:p>
    <w:p w14:paraId="263FEACF">
      <w:pPr>
        <w:adjustRightInd w:val="0"/>
        <w:snapToGrid w:val="0"/>
        <w:spacing w:line="360" w:lineRule="auto"/>
        <w:ind w:firstLine="480" w:firstLineChars="200"/>
        <w:rPr>
          <w:rFonts w:eastAsiaTheme="minorEastAsia"/>
          <w:kern w:val="28"/>
          <w:sz w:val="24"/>
        </w:rPr>
      </w:pPr>
      <w:r>
        <w:rPr>
          <w:rFonts w:eastAsiaTheme="minorEastAsia"/>
          <w:kern w:val="28"/>
          <w:sz w:val="24"/>
        </w:rPr>
        <w:t>24、SL/T183-2005     地下水监测规范</w:t>
      </w:r>
    </w:p>
    <w:p w14:paraId="0F810581">
      <w:pPr>
        <w:adjustRightInd w:val="0"/>
        <w:snapToGrid w:val="0"/>
        <w:spacing w:line="360" w:lineRule="auto"/>
        <w:ind w:firstLine="480" w:firstLineChars="200"/>
        <w:rPr>
          <w:rFonts w:eastAsiaTheme="minorEastAsia"/>
          <w:kern w:val="28"/>
          <w:sz w:val="24"/>
        </w:rPr>
      </w:pPr>
      <w:r>
        <w:rPr>
          <w:rFonts w:eastAsiaTheme="minorEastAsia"/>
          <w:kern w:val="28"/>
          <w:sz w:val="24"/>
        </w:rPr>
        <w:t>25、TD/T 1012-2000   土地开发整理项目规划设计规范</w:t>
      </w:r>
    </w:p>
    <w:p w14:paraId="4581E3A1">
      <w:pPr>
        <w:adjustRightInd w:val="0"/>
        <w:snapToGrid w:val="0"/>
        <w:spacing w:line="360" w:lineRule="auto"/>
        <w:ind w:firstLine="480" w:firstLineChars="200"/>
        <w:rPr>
          <w:rFonts w:eastAsiaTheme="minorEastAsia"/>
          <w:kern w:val="28"/>
          <w:sz w:val="24"/>
        </w:rPr>
      </w:pPr>
      <w:r>
        <w:rPr>
          <w:rFonts w:eastAsiaTheme="minorEastAsia"/>
          <w:kern w:val="28"/>
          <w:sz w:val="24"/>
        </w:rPr>
        <w:t>26、HJ/T 192-2015   生态环境状况评价技术规范（试行）</w:t>
      </w:r>
    </w:p>
    <w:p w14:paraId="02D3DC08">
      <w:pPr>
        <w:adjustRightInd w:val="0"/>
        <w:snapToGrid w:val="0"/>
        <w:spacing w:line="360" w:lineRule="auto"/>
        <w:ind w:firstLine="480" w:firstLineChars="200"/>
        <w:rPr>
          <w:rFonts w:eastAsiaTheme="minorEastAsia"/>
          <w:kern w:val="28"/>
          <w:sz w:val="24"/>
        </w:rPr>
      </w:pPr>
      <w:r>
        <w:rPr>
          <w:rFonts w:eastAsiaTheme="minorEastAsia"/>
          <w:kern w:val="28"/>
          <w:sz w:val="24"/>
        </w:rPr>
        <w:t>27、LY/T1607-2003  造林作业设计规程</w:t>
      </w:r>
    </w:p>
    <w:p w14:paraId="0FA7AACD">
      <w:pPr>
        <w:adjustRightInd w:val="0"/>
        <w:snapToGrid w:val="0"/>
        <w:spacing w:line="360" w:lineRule="auto"/>
        <w:ind w:firstLine="480" w:firstLineChars="200"/>
        <w:rPr>
          <w:rFonts w:eastAsiaTheme="minorEastAsia"/>
          <w:kern w:val="28"/>
          <w:sz w:val="24"/>
        </w:rPr>
      </w:pPr>
      <w:r>
        <w:rPr>
          <w:rFonts w:eastAsiaTheme="minorEastAsia"/>
          <w:kern w:val="28"/>
          <w:sz w:val="24"/>
        </w:rPr>
        <w:t>28、NY/T 1120-2006  耕地质量验收技术规范</w:t>
      </w:r>
    </w:p>
    <w:p w14:paraId="78AD1C95">
      <w:pPr>
        <w:adjustRightInd w:val="0"/>
        <w:snapToGrid w:val="0"/>
        <w:spacing w:line="360" w:lineRule="auto"/>
        <w:ind w:firstLine="480" w:firstLineChars="200"/>
        <w:rPr>
          <w:rFonts w:eastAsiaTheme="minorEastAsia"/>
          <w:kern w:val="28"/>
          <w:sz w:val="24"/>
        </w:rPr>
      </w:pPr>
      <w:r>
        <w:rPr>
          <w:rFonts w:eastAsiaTheme="minorEastAsia"/>
          <w:kern w:val="28"/>
          <w:sz w:val="24"/>
        </w:rPr>
        <w:t>29、NY/T 1634-2008  耕地地力调查与质量评价技术规程</w:t>
      </w:r>
    </w:p>
    <w:p w14:paraId="17CE5F53">
      <w:pPr>
        <w:adjustRightInd w:val="0"/>
        <w:snapToGrid w:val="0"/>
        <w:spacing w:line="360" w:lineRule="auto"/>
        <w:ind w:firstLine="480" w:firstLineChars="200"/>
        <w:rPr>
          <w:rFonts w:eastAsiaTheme="minorEastAsia"/>
          <w:kern w:val="28"/>
          <w:sz w:val="24"/>
        </w:rPr>
      </w:pPr>
      <w:r>
        <w:rPr>
          <w:rFonts w:eastAsiaTheme="minorEastAsia"/>
          <w:kern w:val="28"/>
          <w:sz w:val="24"/>
        </w:rPr>
        <w:t>30、NY/T 1342-2007  人工草地建设技术规程</w:t>
      </w:r>
    </w:p>
    <w:p w14:paraId="3AAEEB98">
      <w:pPr>
        <w:adjustRightInd w:val="0"/>
        <w:snapToGrid w:val="0"/>
        <w:spacing w:line="360" w:lineRule="auto"/>
        <w:ind w:firstLine="480" w:firstLineChars="200"/>
        <w:rPr>
          <w:rFonts w:eastAsiaTheme="minorEastAsia"/>
          <w:kern w:val="28"/>
          <w:sz w:val="24"/>
        </w:rPr>
      </w:pPr>
      <w:r>
        <w:rPr>
          <w:rFonts w:eastAsiaTheme="minorEastAsia"/>
          <w:kern w:val="28"/>
          <w:sz w:val="24"/>
        </w:rPr>
        <w:t>31、TD/T1007-2003   耕地后备资源调查与评价技术规程</w:t>
      </w:r>
    </w:p>
    <w:p w14:paraId="32AC8F90">
      <w:pPr>
        <w:adjustRightInd w:val="0"/>
        <w:snapToGrid w:val="0"/>
        <w:spacing w:line="360" w:lineRule="auto"/>
        <w:ind w:firstLine="480" w:firstLineChars="200"/>
        <w:rPr>
          <w:rFonts w:eastAsiaTheme="minorEastAsia"/>
          <w:kern w:val="28"/>
          <w:sz w:val="24"/>
        </w:rPr>
      </w:pPr>
      <w:r>
        <w:rPr>
          <w:rFonts w:eastAsiaTheme="minorEastAsia"/>
          <w:kern w:val="28"/>
          <w:sz w:val="24"/>
        </w:rPr>
        <w:t>32、TD/T1014-2007   第二次全国土地调查技术规程</w:t>
      </w:r>
    </w:p>
    <w:p w14:paraId="307D8AD9">
      <w:pPr>
        <w:adjustRightInd w:val="0"/>
        <w:snapToGrid w:val="0"/>
        <w:spacing w:line="360" w:lineRule="auto"/>
        <w:ind w:firstLine="480" w:firstLineChars="200"/>
        <w:rPr>
          <w:rFonts w:eastAsiaTheme="minorEastAsia"/>
          <w:kern w:val="28"/>
          <w:sz w:val="24"/>
        </w:rPr>
      </w:pPr>
      <w:r>
        <w:rPr>
          <w:rFonts w:eastAsiaTheme="minorEastAsia"/>
          <w:kern w:val="28"/>
          <w:sz w:val="24"/>
        </w:rPr>
        <w:t>33、TD/T1036-2013   土地复垦质量控制标准</w:t>
      </w:r>
    </w:p>
    <w:p w14:paraId="6A394D82">
      <w:pPr>
        <w:adjustRightInd w:val="0"/>
        <w:snapToGrid w:val="0"/>
        <w:spacing w:line="360" w:lineRule="auto"/>
        <w:ind w:firstLine="480" w:firstLineChars="200"/>
        <w:rPr>
          <w:rFonts w:eastAsiaTheme="minorEastAsia"/>
          <w:kern w:val="28"/>
          <w:sz w:val="24"/>
        </w:rPr>
      </w:pPr>
      <w:r>
        <w:rPr>
          <w:rFonts w:eastAsiaTheme="minorEastAsia"/>
          <w:kern w:val="28"/>
          <w:sz w:val="24"/>
        </w:rPr>
        <w:t>34、TD/T1044-2014   生产项目土地复垦验收规程</w:t>
      </w:r>
    </w:p>
    <w:p w14:paraId="3B4ADB8E">
      <w:pPr>
        <w:adjustRightInd w:val="0"/>
        <w:snapToGrid w:val="0"/>
        <w:spacing w:line="360" w:lineRule="auto"/>
        <w:ind w:firstLine="480" w:firstLineChars="200"/>
        <w:rPr>
          <w:rFonts w:eastAsiaTheme="minorEastAsia"/>
          <w:kern w:val="28"/>
          <w:sz w:val="24"/>
        </w:rPr>
      </w:pPr>
      <w:r>
        <w:rPr>
          <w:rFonts w:eastAsiaTheme="minorEastAsia"/>
          <w:kern w:val="28"/>
          <w:sz w:val="24"/>
        </w:rPr>
        <w:t>35、GB50288-1999   灌溉与排水工程技术规范</w:t>
      </w:r>
    </w:p>
    <w:p w14:paraId="45A2C658">
      <w:pPr>
        <w:adjustRightInd w:val="0"/>
        <w:snapToGrid w:val="0"/>
        <w:spacing w:line="360" w:lineRule="auto"/>
        <w:ind w:firstLine="480" w:firstLineChars="200"/>
        <w:rPr>
          <w:rFonts w:eastAsiaTheme="minorEastAsia"/>
          <w:kern w:val="28"/>
          <w:sz w:val="24"/>
        </w:rPr>
      </w:pPr>
      <w:r>
        <w:rPr>
          <w:rFonts w:eastAsiaTheme="minorEastAsia"/>
          <w:kern w:val="28"/>
          <w:sz w:val="24"/>
        </w:rPr>
        <w:t>36、GB/T15776-2016  造林技术规程</w:t>
      </w:r>
    </w:p>
    <w:p w14:paraId="27FB62E1">
      <w:pPr>
        <w:pStyle w:val="5"/>
        <w:spacing w:beforeLines="50" w:afterLines="50" w:line="360" w:lineRule="auto"/>
        <w:rPr>
          <w:b w:val="0"/>
          <w:sz w:val="28"/>
          <w:szCs w:val="28"/>
        </w:rPr>
      </w:pPr>
      <w:bookmarkStart w:id="15" w:name="_Toc43851607"/>
      <w:r>
        <w:rPr>
          <w:b w:val="0"/>
          <w:sz w:val="28"/>
          <w:szCs w:val="28"/>
        </w:rPr>
        <w:t>（四）技术文件与资料</w:t>
      </w:r>
      <w:bookmarkEnd w:id="14"/>
      <w:bookmarkEnd w:id="15"/>
    </w:p>
    <w:p w14:paraId="05FC45A3">
      <w:pPr>
        <w:adjustRightInd w:val="0"/>
        <w:snapToGrid w:val="0"/>
        <w:spacing w:line="360" w:lineRule="auto"/>
        <w:ind w:firstLine="480" w:firstLineChars="200"/>
        <w:rPr>
          <w:rFonts w:eastAsiaTheme="minorEastAsia"/>
          <w:kern w:val="28"/>
          <w:sz w:val="24"/>
        </w:rPr>
      </w:pPr>
      <w:bookmarkStart w:id="16" w:name="_Toc481328132"/>
      <w:bookmarkStart w:id="17" w:name="OLE_LINK164"/>
      <w:r>
        <w:rPr>
          <w:rFonts w:eastAsiaTheme="minorEastAsia"/>
          <w:kern w:val="28"/>
          <w:sz w:val="24"/>
        </w:rPr>
        <w:t>1、《广元市利州区紫兰建材厂砖瓦用页岩矿资源/储量核实报告》，四川省地质矿产勘查开发局化探队，2015.03；</w:t>
      </w:r>
    </w:p>
    <w:p w14:paraId="5B55104E">
      <w:pPr>
        <w:adjustRightInd w:val="0"/>
        <w:snapToGrid w:val="0"/>
        <w:spacing w:line="360" w:lineRule="auto"/>
        <w:ind w:firstLine="480" w:firstLineChars="200"/>
        <w:rPr>
          <w:rFonts w:eastAsiaTheme="minorEastAsia"/>
          <w:kern w:val="28"/>
          <w:sz w:val="24"/>
        </w:rPr>
      </w:pPr>
      <w:r>
        <w:rPr>
          <w:rFonts w:eastAsiaTheme="minorEastAsia"/>
          <w:kern w:val="28"/>
          <w:sz w:val="24"/>
        </w:rPr>
        <w:t>2、《广元市利州区紫兰建材厂砖瓦用页岩矿矿产资源开发利用方案》，四川省地质矿产勘查开发局化探队，2015，04；</w:t>
      </w:r>
    </w:p>
    <w:p w14:paraId="37222640">
      <w:pPr>
        <w:adjustRightInd w:val="0"/>
        <w:snapToGrid w:val="0"/>
        <w:spacing w:line="360" w:lineRule="auto"/>
        <w:ind w:firstLine="480" w:firstLineChars="200"/>
        <w:rPr>
          <w:rFonts w:eastAsiaTheme="minorEastAsia"/>
          <w:kern w:val="28"/>
          <w:sz w:val="24"/>
        </w:rPr>
      </w:pPr>
      <w:r>
        <w:rPr>
          <w:rFonts w:eastAsiaTheme="minorEastAsia"/>
          <w:kern w:val="28"/>
          <w:sz w:val="24"/>
        </w:rPr>
        <w:t>3、《土地利用现状图、规划图》（1:10000）。</w:t>
      </w:r>
    </w:p>
    <w:p w14:paraId="68D1E155">
      <w:pPr>
        <w:keepNext/>
        <w:keepLines/>
        <w:adjustRightInd w:val="0"/>
        <w:spacing w:beforeLines="50" w:afterLines="50" w:line="360" w:lineRule="auto"/>
        <w:jc w:val="left"/>
        <w:textAlignment w:val="baseline"/>
        <w:outlineLvl w:val="0"/>
        <w:rPr>
          <w:kern w:val="0"/>
          <w:sz w:val="30"/>
          <w:szCs w:val="30"/>
        </w:rPr>
      </w:pPr>
      <w:bookmarkStart w:id="18" w:name="_Toc43851608"/>
      <w:r>
        <w:rPr>
          <w:kern w:val="0"/>
          <w:sz w:val="30"/>
          <w:szCs w:val="30"/>
        </w:rPr>
        <w:t>四、方案适用年限</w:t>
      </w:r>
      <w:bookmarkEnd w:id="16"/>
      <w:bookmarkEnd w:id="18"/>
    </w:p>
    <w:bookmarkEnd w:id="17"/>
    <w:p w14:paraId="4C893A09">
      <w:pPr>
        <w:adjustRightInd w:val="0"/>
        <w:snapToGrid w:val="0"/>
        <w:spacing w:line="360" w:lineRule="auto"/>
        <w:ind w:firstLine="480" w:firstLineChars="200"/>
        <w:rPr>
          <w:rFonts w:eastAsiaTheme="minorEastAsia"/>
          <w:sz w:val="24"/>
        </w:rPr>
      </w:pPr>
      <w:bookmarkStart w:id="19" w:name="_Toc481328133"/>
      <w:r>
        <w:rPr>
          <w:rFonts w:eastAsiaTheme="minorEastAsia"/>
          <w:sz w:val="24"/>
        </w:rPr>
        <w:t>1、矿山服务年限</w:t>
      </w:r>
    </w:p>
    <w:p w14:paraId="0744936F">
      <w:pPr>
        <w:adjustRightInd w:val="0"/>
        <w:snapToGrid w:val="0"/>
        <w:spacing w:line="360" w:lineRule="auto"/>
        <w:ind w:firstLine="480" w:firstLineChars="200"/>
        <w:rPr>
          <w:rFonts w:eastAsiaTheme="minorEastAsia"/>
          <w:sz w:val="24"/>
        </w:rPr>
      </w:pPr>
      <w:r>
        <w:rPr>
          <w:rFonts w:eastAsiaTheme="minorEastAsia"/>
          <w:sz w:val="24"/>
        </w:rPr>
        <w:t>本矿山为停产矿山，矿权面积0.0206km</w:t>
      </w:r>
      <w:r>
        <w:rPr>
          <w:rFonts w:eastAsiaTheme="minorEastAsia"/>
          <w:sz w:val="24"/>
          <w:vertAlign w:val="superscript"/>
        </w:rPr>
        <w:t>2</w:t>
      </w:r>
      <w:r>
        <w:rPr>
          <w:rFonts w:eastAsiaTheme="minorEastAsia"/>
          <w:sz w:val="24"/>
        </w:rPr>
        <w:t>；开采矿种：砖瓦用页岩；开采深度：+565～+535m标高；在建期生产规模4.0万t/a。</w:t>
      </w:r>
    </w:p>
    <w:p w14:paraId="04B647FF">
      <w:pPr>
        <w:adjustRightInd w:val="0"/>
        <w:snapToGrid w:val="0"/>
        <w:spacing w:line="360" w:lineRule="auto"/>
        <w:ind w:firstLine="480" w:firstLineChars="200"/>
        <w:rPr>
          <w:rFonts w:eastAsiaTheme="minorEastAsia"/>
          <w:kern w:val="28"/>
          <w:sz w:val="24"/>
        </w:rPr>
      </w:pPr>
      <w:r>
        <w:rPr>
          <w:rFonts w:eastAsiaTheme="minorEastAsia"/>
          <w:sz w:val="24"/>
        </w:rPr>
        <w:t>根据矿区实际生产情况，本项目区已于2018年停产，停产时间为采矿证到期时间（2018年5月20日）。本方案为业主为落实四川省自然资源厅相关文件精神和履行复垦责任人义务而补做，因此，本矿山已没有服务文件和手续支撑，矿山服务意义随着采矿证到期而自然废止。</w:t>
      </w:r>
    </w:p>
    <w:p w14:paraId="76082A01">
      <w:pPr>
        <w:adjustRightInd w:val="0"/>
        <w:snapToGrid w:val="0"/>
        <w:spacing w:line="360" w:lineRule="auto"/>
        <w:ind w:firstLine="480" w:firstLineChars="200"/>
        <w:rPr>
          <w:rFonts w:eastAsiaTheme="minorEastAsia"/>
          <w:sz w:val="24"/>
        </w:rPr>
      </w:pPr>
      <w:r>
        <w:rPr>
          <w:rFonts w:eastAsiaTheme="minorEastAsia"/>
          <w:sz w:val="24"/>
        </w:rPr>
        <w:t>2、方案服务年限</w:t>
      </w:r>
    </w:p>
    <w:p w14:paraId="0CAC760D">
      <w:pPr>
        <w:adjustRightInd w:val="0"/>
        <w:snapToGrid w:val="0"/>
        <w:spacing w:line="360" w:lineRule="auto"/>
        <w:ind w:firstLine="480" w:firstLineChars="200"/>
        <w:rPr>
          <w:rFonts w:eastAsiaTheme="minorEastAsia"/>
          <w:sz w:val="24"/>
        </w:rPr>
      </w:pPr>
      <w:r>
        <w:rPr>
          <w:rFonts w:eastAsiaTheme="minorEastAsia"/>
          <w:sz w:val="24"/>
        </w:rPr>
        <w:t>鉴于本项目区情况比较特殊，矿山未开采，厂区处理原材料为外购材料，目前堆积区堆积材料可供厂区可利用加工0.1年，在将外购材料加工完毕后，对厂区进行拆除关停，因此，本项目方案服务年限主要在于厂区的服务年限上考虑，恢复治理和土地复垦及3年抚育期。因此，本方案服务年限自本方案批准之时算起，共3.1年。</w:t>
      </w:r>
    </w:p>
    <w:p w14:paraId="789661B3">
      <w:pPr>
        <w:adjustRightInd w:val="0"/>
        <w:snapToGrid w:val="0"/>
        <w:spacing w:line="360" w:lineRule="auto"/>
        <w:ind w:firstLine="480" w:firstLineChars="200"/>
        <w:rPr>
          <w:rFonts w:eastAsiaTheme="minorEastAsia"/>
          <w:sz w:val="24"/>
        </w:rPr>
      </w:pPr>
      <w:r>
        <w:rPr>
          <w:rFonts w:eastAsiaTheme="minorEastAsia"/>
          <w:sz w:val="24"/>
        </w:rPr>
        <w:t>3、方案的适用年限</w:t>
      </w:r>
    </w:p>
    <w:p w14:paraId="7D6249B4">
      <w:pPr>
        <w:adjustRightInd w:val="0"/>
        <w:snapToGrid w:val="0"/>
        <w:spacing w:line="360" w:lineRule="auto"/>
        <w:ind w:firstLine="480" w:firstLineChars="200"/>
        <w:rPr>
          <w:rFonts w:eastAsiaTheme="minorEastAsia"/>
          <w:sz w:val="24"/>
        </w:rPr>
      </w:pPr>
      <w:r>
        <w:rPr>
          <w:rFonts w:eastAsiaTheme="minorEastAsia"/>
          <w:sz w:val="24"/>
        </w:rPr>
        <w:t>本方案后期不再进行开采，砖厂制砖原材料自停产后均为外购，在0.1年关停后开始复垦工程。因此，本方案的适用期为当前到复垦、监测和管护工程完成后，共3.1年。</w:t>
      </w:r>
    </w:p>
    <w:p w14:paraId="2A76858F">
      <w:pPr>
        <w:keepNext/>
        <w:keepLines/>
        <w:adjustRightInd w:val="0"/>
        <w:spacing w:beforeLines="50" w:afterLines="50" w:line="360" w:lineRule="auto"/>
        <w:jc w:val="left"/>
        <w:textAlignment w:val="baseline"/>
        <w:outlineLvl w:val="0"/>
        <w:rPr>
          <w:kern w:val="0"/>
          <w:sz w:val="30"/>
          <w:szCs w:val="30"/>
        </w:rPr>
      </w:pPr>
      <w:bookmarkStart w:id="20" w:name="_Toc43851609"/>
      <w:r>
        <w:rPr>
          <w:kern w:val="0"/>
          <w:sz w:val="30"/>
          <w:szCs w:val="30"/>
        </w:rPr>
        <w:t>五、编制工作概况</w:t>
      </w:r>
      <w:bookmarkEnd w:id="19"/>
      <w:bookmarkEnd w:id="20"/>
    </w:p>
    <w:p w14:paraId="1AF00DC6">
      <w:pPr>
        <w:pStyle w:val="5"/>
        <w:spacing w:beforeLines="50" w:afterLines="50" w:line="360" w:lineRule="auto"/>
        <w:rPr>
          <w:b w:val="0"/>
          <w:sz w:val="28"/>
          <w:szCs w:val="28"/>
        </w:rPr>
      </w:pPr>
      <w:bookmarkStart w:id="21" w:name="_Toc333940495"/>
      <w:bookmarkStart w:id="22" w:name="_Toc43851610"/>
      <w:bookmarkStart w:id="23" w:name="_Toc481328134"/>
      <w:bookmarkStart w:id="24" w:name="_Toc325634028"/>
      <w:bookmarkStart w:id="25" w:name="_Toc317499449"/>
      <w:bookmarkStart w:id="26" w:name="_Toc317496138"/>
      <w:r>
        <w:rPr>
          <w:b w:val="0"/>
          <w:sz w:val="28"/>
          <w:szCs w:val="28"/>
        </w:rPr>
        <w:t>（一）工作程序</w:t>
      </w:r>
      <w:bookmarkEnd w:id="21"/>
      <w:bookmarkEnd w:id="22"/>
      <w:bookmarkEnd w:id="23"/>
      <w:bookmarkEnd w:id="24"/>
      <w:bookmarkEnd w:id="25"/>
      <w:bookmarkEnd w:id="26"/>
    </w:p>
    <w:p w14:paraId="587D19C7">
      <w:pPr>
        <w:spacing w:line="360" w:lineRule="auto"/>
        <w:ind w:firstLine="480" w:firstLineChars="200"/>
        <w:rPr>
          <w:sz w:val="24"/>
          <w:lang w:val="zh-CN"/>
        </w:rPr>
      </w:pPr>
      <w:r>
        <w:rPr>
          <w:sz w:val="24"/>
          <w:lang w:val="zh-CN"/>
        </w:rPr>
        <w:t>本次方案编制工作按照《矿山地质环境保护与恢复治理方案编制规范》（DZ/T223－2011）</w:t>
      </w:r>
      <w:r>
        <w:rPr>
          <w:rFonts w:eastAsiaTheme="minorEastAsia"/>
          <w:kern w:val="28"/>
          <w:sz w:val="24"/>
        </w:rPr>
        <w:t>、《土地复垦方案编制规程第一部分：通则》（TD/T 1031.1-2011）</w:t>
      </w:r>
      <w:r>
        <w:rPr>
          <w:rFonts w:eastAsiaTheme="minorEastAsia"/>
          <w:sz w:val="24"/>
        </w:rPr>
        <w:t>及《矿山地质环境保护和土地复垦方案编制指南》</w:t>
      </w:r>
      <w:r>
        <w:rPr>
          <w:sz w:val="24"/>
          <w:lang w:val="zh-CN"/>
        </w:rPr>
        <w:t>规定的程序进行。工作程序：接收业主委托，在充分收集和利用已有资料的基础上，结合现场调查评估区内的地质环境条件（地层岩性、地质构造、水文地质、工程地质、矿山地质、不良地质现象、人类工程活动等）、社会环境条件、现状地质灾害和地质环境的类型、分布规模、稳定程度、活动特点等因素，综合分析，进行</w:t>
      </w:r>
      <w:r>
        <w:rPr>
          <w:sz w:val="24"/>
        </w:rPr>
        <w:t>广元市利州区紫兰建材厂砖瓦用页岩矿矿山</w:t>
      </w:r>
      <w:r>
        <w:rPr>
          <w:sz w:val="24"/>
          <w:lang w:val="zh-CN"/>
        </w:rPr>
        <w:t>地质环境影响评估、矿山地质环境保护与恢复治理分区，并提出</w:t>
      </w:r>
      <w:r>
        <w:rPr>
          <w:sz w:val="24"/>
        </w:rPr>
        <w:t>广元市利州区紫兰建材厂砖瓦用页岩矿</w:t>
      </w:r>
      <w:r>
        <w:rPr>
          <w:sz w:val="24"/>
          <w:lang w:val="zh-CN"/>
        </w:rPr>
        <w:t>矿山地质环境保护与恢复治理措施、建议方案编制的工作程序框图见图0-1。</w:t>
      </w:r>
    </w:p>
    <w:p w14:paraId="468F499C">
      <w:pPr>
        <w:spacing w:line="360" w:lineRule="auto"/>
        <w:ind w:firstLine="480" w:firstLineChars="200"/>
        <w:rPr>
          <w:sz w:val="24"/>
          <w:lang w:val="zh-CN"/>
        </w:rPr>
      </w:pPr>
    </w:p>
    <w:p w14:paraId="55C30F91">
      <w:pPr>
        <w:spacing w:line="360" w:lineRule="auto"/>
        <w:ind w:firstLine="480" w:firstLineChars="200"/>
        <w:rPr>
          <w:sz w:val="24"/>
          <w:lang w:val="zh-CN"/>
        </w:rPr>
      </w:pPr>
    </w:p>
    <w:p w14:paraId="46C8053F">
      <w:pPr>
        <w:spacing w:line="360" w:lineRule="auto"/>
        <w:ind w:firstLine="480" w:firstLineChars="200"/>
        <w:rPr>
          <w:sz w:val="24"/>
          <w:lang w:val="zh-CN"/>
        </w:rPr>
      </w:pPr>
    </w:p>
    <w:p w14:paraId="28676372">
      <w:pPr>
        <w:spacing w:line="360" w:lineRule="auto"/>
        <w:ind w:firstLine="480" w:firstLineChars="200"/>
        <w:rPr>
          <w:sz w:val="24"/>
          <w:lang w:val="zh-CN"/>
        </w:rPr>
      </w:pPr>
    </w:p>
    <w:p w14:paraId="520F2913">
      <w:pPr>
        <w:spacing w:line="360" w:lineRule="auto"/>
        <w:ind w:firstLine="480" w:firstLineChars="200"/>
        <w:rPr>
          <w:sz w:val="24"/>
          <w:lang w:val="zh-CN"/>
        </w:rPr>
      </w:pPr>
    </w:p>
    <w:p w14:paraId="64A41DA8">
      <w:pPr>
        <w:spacing w:line="360" w:lineRule="auto"/>
        <w:ind w:firstLine="480" w:firstLineChars="200"/>
        <w:rPr>
          <w:sz w:val="24"/>
          <w:lang w:val="zh-CN"/>
        </w:rPr>
      </w:pPr>
    </w:p>
    <w:p w14:paraId="1074EE16">
      <w:pPr>
        <w:spacing w:line="360" w:lineRule="auto"/>
        <w:ind w:firstLine="480" w:firstLineChars="200"/>
        <w:rPr>
          <w:sz w:val="24"/>
          <w:lang w:val="zh-CN"/>
        </w:rPr>
      </w:pPr>
    </w:p>
    <w:p w14:paraId="26A62543">
      <w:pPr>
        <w:spacing w:line="360" w:lineRule="auto"/>
        <w:ind w:firstLine="480" w:firstLineChars="200"/>
        <w:rPr>
          <w:sz w:val="24"/>
          <w:lang w:val="zh-CN"/>
        </w:rPr>
      </w:pPr>
    </w:p>
    <w:tbl>
      <w:tblPr>
        <w:tblStyle w:val="29"/>
        <w:tblW w:w="51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72"/>
      </w:tblGrid>
      <w:tr w14:paraId="21410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5172" w:type="dxa"/>
            <w:tcBorders>
              <w:top w:val="single" w:color="auto" w:sz="4" w:space="0"/>
              <w:left w:val="single" w:color="auto" w:sz="4" w:space="0"/>
              <w:bottom w:val="single" w:color="auto" w:sz="4" w:space="0"/>
              <w:right w:val="single" w:color="auto" w:sz="4" w:space="0"/>
            </w:tcBorders>
            <w:vAlign w:val="center"/>
          </w:tcPr>
          <w:p w14:paraId="01DA144C">
            <w:pPr>
              <w:jc w:val="center"/>
              <w:rPr>
                <w:sz w:val="24"/>
              </w:rPr>
            </w:pPr>
            <w:r>
              <w:rPr>
                <w:sz w:val="24"/>
              </w:rPr>
              <w:t>资料收集及现场踏勘</w:t>
            </w:r>
          </w:p>
        </w:tc>
      </w:tr>
      <w:tr w14:paraId="03EFB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172" w:type="dxa"/>
            <w:tcBorders>
              <w:top w:val="single" w:color="auto" w:sz="4" w:space="0"/>
              <w:left w:val="single" w:color="FFFFFF" w:sz="4" w:space="0"/>
              <w:bottom w:val="single" w:color="auto" w:sz="4" w:space="0"/>
              <w:right w:val="single" w:color="FFFFFF" w:sz="4" w:space="0"/>
            </w:tcBorders>
            <w:vAlign w:val="center"/>
          </w:tcPr>
          <w:p w14:paraId="39DF6911">
            <w:pPr>
              <w:rPr>
                <w:sz w:val="24"/>
              </w:rPr>
            </w:pPr>
            <w:r>
              <w:rPr>
                <w:sz w:val="24"/>
              </w:rPr>
              <w:drawing>
                <wp:anchor distT="0" distB="0" distL="114300" distR="114300" simplePos="0" relativeHeight="251660288" behindDoc="0" locked="0" layoutInCell="1" allowOverlap="1">
                  <wp:simplePos x="0" y="0"/>
                  <wp:positionH relativeFrom="column">
                    <wp:posOffset>1521460</wp:posOffset>
                  </wp:positionH>
                  <wp:positionV relativeFrom="paragraph">
                    <wp:posOffset>58420</wp:posOffset>
                  </wp:positionV>
                  <wp:extent cx="70485" cy="233680"/>
                  <wp:effectExtent l="19050" t="0" r="5715"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70485" cy="233680"/>
                          </a:xfrm>
                          <a:prstGeom prst="rect">
                            <a:avLst/>
                          </a:prstGeom>
                          <a:noFill/>
                          <a:ln>
                            <a:noFill/>
                          </a:ln>
                          <a:effectLst/>
                        </pic:spPr>
                      </pic:pic>
                    </a:graphicData>
                  </a:graphic>
                </wp:anchor>
              </w:drawing>
            </w:r>
            <w:r>
              <w:rPr>
                <w:sz w:val="24"/>
              </w:rPr>
              <w:drawing>
                <wp:anchor distT="0" distB="0" distL="114300" distR="114300" simplePos="0" relativeHeight="251659264" behindDoc="0" locked="0" layoutInCell="1" allowOverlap="1">
                  <wp:simplePos x="0" y="0"/>
                  <wp:positionH relativeFrom="column">
                    <wp:posOffset>1532255</wp:posOffset>
                  </wp:positionH>
                  <wp:positionV relativeFrom="paragraph">
                    <wp:posOffset>600710</wp:posOffset>
                  </wp:positionV>
                  <wp:extent cx="70485" cy="233680"/>
                  <wp:effectExtent l="19050" t="0" r="5715"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70485" cy="233680"/>
                          </a:xfrm>
                          <a:prstGeom prst="rect">
                            <a:avLst/>
                          </a:prstGeom>
                          <a:noFill/>
                          <a:ln>
                            <a:noFill/>
                          </a:ln>
                          <a:effectLst/>
                        </pic:spPr>
                      </pic:pic>
                    </a:graphicData>
                  </a:graphic>
                </wp:anchor>
              </w:drawing>
            </w:r>
            <w:r>
              <w:rPr>
                <w:sz w:val="24"/>
              </w:rPr>
              <w:drawing>
                <wp:anchor distT="0" distB="0" distL="114300" distR="114300" simplePos="0" relativeHeight="251661312" behindDoc="0" locked="0" layoutInCell="1" allowOverlap="1">
                  <wp:simplePos x="0" y="0"/>
                  <wp:positionH relativeFrom="column">
                    <wp:posOffset>1521460</wp:posOffset>
                  </wp:positionH>
                  <wp:positionV relativeFrom="paragraph">
                    <wp:posOffset>1217295</wp:posOffset>
                  </wp:positionV>
                  <wp:extent cx="70485" cy="233680"/>
                  <wp:effectExtent l="19050" t="0" r="5715"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70485" cy="233680"/>
                          </a:xfrm>
                          <a:prstGeom prst="rect">
                            <a:avLst/>
                          </a:prstGeom>
                          <a:noFill/>
                          <a:ln>
                            <a:noFill/>
                          </a:ln>
                          <a:effectLst/>
                        </pic:spPr>
                      </pic:pic>
                    </a:graphicData>
                  </a:graphic>
                </wp:anchor>
              </w:drawing>
            </w:r>
            <w:r>
              <w:rPr>
                <w:sz w:val="24"/>
              </w:rPr>
              <w:drawing>
                <wp:anchor distT="0" distB="0" distL="114300" distR="114300" simplePos="0" relativeHeight="251662336" behindDoc="0" locked="0" layoutInCell="1" allowOverlap="1">
                  <wp:simplePos x="0" y="0"/>
                  <wp:positionH relativeFrom="column">
                    <wp:posOffset>1532255</wp:posOffset>
                  </wp:positionH>
                  <wp:positionV relativeFrom="paragraph">
                    <wp:posOffset>1802130</wp:posOffset>
                  </wp:positionV>
                  <wp:extent cx="70485" cy="233680"/>
                  <wp:effectExtent l="19050" t="0" r="5715"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70485" cy="233680"/>
                          </a:xfrm>
                          <a:prstGeom prst="rect">
                            <a:avLst/>
                          </a:prstGeom>
                          <a:noFill/>
                          <a:ln>
                            <a:noFill/>
                          </a:ln>
                          <a:effectLst/>
                        </pic:spPr>
                      </pic:pic>
                    </a:graphicData>
                  </a:graphic>
                </wp:anchor>
              </w:drawing>
            </w:r>
            <w:r>
              <w:rPr>
                <w:sz w:val="24"/>
              </w:rPr>
              <w:drawing>
                <wp:anchor distT="0" distB="0" distL="114300" distR="114300" simplePos="0" relativeHeight="251663360" behindDoc="0" locked="0" layoutInCell="1" allowOverlap="1">
                  <wp:simplePos x="0" y="0"/>
                  <wp:positionH relativeFrom="column">
                    <wp:posOffset>1532255</wp:posOffset>
                  </wp:positionH>
                  <wp:positionV relativeFrom="paragraph">
                    <wp:posOffset>2461260</wp:posOffset>
                  </wp:positionV>
                  <wp:extent cx="70485" cy="233680"/>
                  <wp:effectExtent l="19050" t="0" r="5715"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70485" cy="233680"/>
                          </a:xfrm>
                          <a:prstGeom prst="rect">
                            <a:avLst/>
                          </a:prstGeom>
                          <a:noFill/>
                          <a:ln>
                            <a:noFill/>
                          </a:ln>
                          <a:effectLst/>
                        </pic:spPr>
                      </pic:pic>
                    </a:graphicData>
                  </a:graphic>
                </wp:anchor>
              </w:drawing>
            </w:r>
          </w:p>
        </w:tc>
      </w:tr>
      <w:tr w14:paraId="0BA85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5172" w:type="dxa"/>
            <w:tcBorders>
              <w:top w:val="single" w:color="auto" w:sz="4" w:space="0"/>
              <w:left w:val="single" w:color="auto" w:sz="4" w:space="0"/>
              <w:bottom w:val="single" w:color="auto" w:sz="4" w:space="0"/>
              <w:right w:val="single" w:color="auto" w:sz="4" w:space="0"/>
            </w:tcBorders>
            <w:vAlign w:val="center"/>
          </w:tcPr>
          <w:p w14:paraId="13142731">
            <w:pPr>
              <w:jc w:val="center"/>
              <w:rPr>
                <w:sz w:val="24"/>
              </w:rPr>
            </w:pPr>
            <w:r>
              <w:rPr>
                <w:sz w:val="24"/>
              </w:rPr>
              <w:t>矿山地质环境和土地资源等调查</w:t>
            </w:r>
          </w:p>
        </w:tc>
      </w:tr>
      <w:tr w14:paraId="6F678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172" w:type="dxa"/>
            <w:tcBorders>
              <w:top w:val="single" w:color="auto" w:sz="4" w:space="0"/>
              <w:left w:val="single" w:color="FFFFFF" w:sz="4" w:space="0"/>
              <w:bottom w:val="single" w:color="auto" w:sz="4" w:space="0"/>
              <w:right w:val="single" w:color="FFFFFF" w:sz="4" w:space="0"/>
            </w:tcBorders>
            <w:vAlign w:val="center"/>
          </w:tcPr>
          <w:p w14:paraId="5162E6E4">
            <w:pPr>
              <w:rPr>
                <w:sz w:val="24"/>
              </w:rPr>
            </w:pPr>
          </w:p>
        </w:tc>
      </w:tr>
      <w:tr w14:paraId="4020A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5172" w:type="dxa"/>
            <w:tcBorders>
              <w:top w:val="single" w:color="auto" w:sz="4" w:space="0"/>
              <w:left w:val="single" w:color="auto" w:sz="4" w:space="0"/>
              <w:bottom w:val="single" w:color="auto" w:sz="4" w:space="0"/>
              <w:right w:val="single" w:color="auto" w:sz="4" w:space="0"/>
            </w:tcBorders>
            <w:vAlign w:val="center"/>
          </w:tcPr>
          <w:p w14:paraId="1A882972">
            <w:pPr>
              <w:jc w:val="center"/>
              <w:rPr>
                <w:sz w:val="24"/>
              </w:rPr>
            </w:pPr>
            <w:r>
              <w:rPr>
                <w:sz w:val="24"/>
              </w:rPr>
              <w:t>确定矿山地质环境评估范围和复垦区</w:t>
            </w:r>
          </w:p>
        </w:tc>
      </w:tr>
      <w:tr w14:paraId="73B23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172" w:type="dxa"/>
            <w:tcBorders>
              <w:top w:val="single" w:color="auto" w:sz="4" w:space="0"/>
              <w:left w:val="single" w:color="FFFFFF" w:sz="4" w:space="0"/>
              <w:bottom w:val="single" w:color="auto" w:sz="4" w:space="0"/>
              <w:right w:val="single" w:color="FFFFFF" w:sz="4" w:space="0"/>
            </w:tcBorders>
            <w:vAlign w:val="center"/>
          </w:tcPr>
          <w:p w14:paraId="7844C7A7">
            <w:pPr>
              <w:rPr>
                <w:sz w:val="24"/>
              </w:rPr>
            </w:pPr>
          </w:p>
        </w:tc>
      </w:tr>
      <w:tr w14:paraId="2D8AB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5172" w:type="dxa"/>
            <w:tcBorders>
              <w:top w:val="single" w:color="auto" w:sz="4" w:space="0"/>
              <w:left w:val="single" w:color="auto" w:sz="4" w:space="0"/>
              <w:bottom w:val="single" w:color="auto" w:sz="4" w:space="0"/>
              <w:right w:val="single" w:color="auto" w:sz="4" w:space="0"/>
            </w:tcBorders>
            <w:vAlign w:val="center"/>
          </w:tcPr>
          <w:p w14:paraId="7C7CB990">
            <w:pPr>
              <w:jc w:val="center"/>
              <w:rPr>
                <w:sz w:val="24"/>
              </w:rPr>
            </w:pPr>
            <w:r>
              <w:rPr>
                <w:sz w:val="24"/>
              </w:rPr>
              <w:t>矿山地质环境影响评估和土地复垦适宜性评价</w:t>
            </w:r>
          </w:p>
        </w:tc>
      </w:tr>
      <w:tr w14:paraId="3FEC6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172" w:type="dxa"/>
            <w:tcBorders>
              <w:top w:val="single" w:color="auto" w:sz="4" w:space="0"/>
              <w:left w:val="single" w:color="FFFFFF" w:sz="4" w:space="0"/>
              <w:bottom w:val="single" w:color="auto" w:sz="4" w:space="0"/>
              <w:right w:val="single" w:color="FFFFFF" w:sz="4" w:space="0"/>
            </w:tcBorders>
            <w:vAlign w:val="center"/>
          </w:tcPr>
          <w:p w14:paraId="28AF9DD7">
            <w:pPr>
              <w:rPr>
                <w:sz w:val="24"/>
              </w:rPr>
            </w:pPr>
          </w:p>
        </w:tc>
      </w:tr>
      <w:tr w14:paraId="45884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5172" w:type="dxa"/>
            <w:tcBorders>
              <w:top w:val="single" w:color="auto" w:sz="4" w:space="0"/>
              <w:left w:val="single" w:color="auto" w:sz="4" w:space="0"/>
              <w:bottom w:val="single" w:color="auto" w:sz="4" w:space="0"/>
              <w:right w:val="single" w:color="auto" w:sz="4" w:space="0"/>
            </w:tcBorders>
            <w:vAlign w:val="center"/>
          </w:tcPr>
          <w:p w14:paraId="77A9D278">
            <w:pPr>
              <w:jc w:val="center"/>
              <w:rPr>
                <w:sz w:val="24"/>
              </w:rPr>
            </w:pPr>
            <w:r>
              <w:rPr>
                <w:sz w:val="24"/>
              </w:rPr>
              <w:t>矿山地质环境保护与土地复垦分区</w:t>
            </w:r>
          </w:p>
        </w:tc>
      </w:tr>
      <w:tr w14:paraId="2E550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172" w:type="dxa"/>
            <w:tcBorders>
              <w:top w:val="single" w:color="FFFFFF" w:sz="4" w:space="0"/>
              <w:left w:val="single" w:color="FFFFFF" w:sz="4" w:space="0"/>
              <w:bottom w:val="single" w:color="auto" w:sz="4" w:space="0"/>
              <w:right w:val="single" w:color="FFFFFF" w:sz="4" w:space="0"/>
            </w:tcBorders>
            <w:vAlign w:val="center"/>
          </w:tcPr>
          <w:p w14:paraId="77391B7C">
            <w:pPr>
              <w:rPr>
                <w:sz w:val="24"/>
              </w:rPr>
            </w:pPr>
          </w:p>
        </w:tc>
      </w:tr>
      <w:tr w14:paraId="2A784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5172" w:type="dxa"/>
            <w:tcBorders>
              <w:top w:val="single" w:color="auto" w:sz="4" w:space="0"/>
              <w:left w:val="single" w:color="auto" w:sz="4" w:space="0"/>
              <w:bottom w:val="single" w:color="auto" w:sz="4" w:space="0"/>
              <w:right w:val="single" w:color="auto" w:sz="4" w:space="0"/>
            </w:tcBorders>
            <w:vAlign w:val="center"/>
          </w:tcPr>
          <w:p w14:paraId="0A0A5EC7">
            <w:pPr>
              <w:jc w:val="center"/>
              <w:rPr>
                <w:sz w:val="24"/>
              </w:rPr>
            </w:pPr>
            <w:r>
              <w:rPr>
                <w:sz w:val="24"/>
              </w:rPr>
              <w:t>矿山地质环境保护与土地复垦方案报告编写和图件编绘</w:t>
            </w:r>
          </w:p>
        </w:tc>
      </w:tr>
    </w:tbl>
    <w:p w14:paraId="19254BAE">
      <w:pPr>
        <w:jc w:val="center"/>
        <w:rPr>
          <w:rFonts w:eastAsiaTheme="minorEastAsia"/>
          <w:b/>
          <w:szCs w:val="21"/>
        </w:rPr>
      </w:pPr>
      <w:r>
        <w:rPr>
          <w:rFonts w:eastAsiaTheme="minorEastAsia"/>
          <w:b/>
          <w:szCs w:val="21"/>
        </w:rPr>
        <w:t>图0-1  工作程序框图</w:t>
      </w:r>
    </w:p>
    <w:p w14:paraId="1EF208A2">
      <w:pPr>
        <w:pStyle w:val="5"/>
        <w:spacing w:beforeLines="50" w:afterLines="50" w:line="360" w:lineRule="auto"/>
        <w:rPr>
          <w:b w:val="0"/>
          <w:sz w:val="28"/>
          <w:szCs w:val="28"/>
        </w:rPr>
      </w:pPr>
      <w:bookmarkStart w:id="27" w:name="_Toc333940496"/>
      <w:bookmarkStart w:id="28" w:name="_Toc325634029"/>
      <w:bookmarkStart w:id="29" w:name="_Toc43851611"/>
      <w:bookmarkStart w:id="30" w:name="_Toc317496139"/>
      <w:bookmarkStart w:id="31" w:name="_Toc317499450"/>
      <w:bookmarkStart w:id="32" w:name="_Toc481328135"/>
      <w:r>
        <w:rPr>
          <w:b w:val="0"/>
          <w:sz w:val="28"/>
          <w:szCs w:val="28"/>
        </w:rPr>
        <w:t>（二）工作方法</w:t>
      </w:r>
      <w:bookmarkEnd w:id="27"/>
      <w:bookmarkEnd w:id="28"/>
      <w:bookmarkEnd w:id="29"/>
      <w:bookmarkEnd w:id="30"/>
      <w:bookmarkEnd w:id="31"/>
      <w:bookmarkEnd w:id="32"/>
    </w:p>
    <w:p w14:paraId="761E4993">
      <w:pPr>
        <w:spacing w:line="360" w:lineRule="auto"/>
        <w:ind w:firstLine="480" w:firstLineChars="200"/>
        <w:rPr>
          <w:sz w:val="24"/>
        </w:rPr>
      </w:pPr>
      <w:r>
        <w:rPr>
          <w:sz w:val="24"/>
        </w:rPr>
        <w:t>广元林晨工程咨询服务有限公司在接到委托任务后，按</w:t>
      </w:r>
      <w:r>
        <w:rPr>
          <w:sz w:val="24"/>
          <w:lang w:val="zh-CN"/>
        </w:rPr>
        <w:t>编制规范</w:t>
      </w:r>
      <w:r>
        <w:rPr>
          <w:sz w:val="24"/>
        </w:rPr>
        <w:t>《</w:t>
      </w:r>
      <w:r>
        <w:rPr>
          <w:sz w:val="24"/>
          <w:lang w:val="zh-CN"/>
        </w:rPr>
        <w:t>矿山地质环境保护与恢复治理方案编制规范</w:t>
      </w:r>
      <w:r>
        <w:rPr>
          <w:sz w:val="24"/>
        </w:rPr>
        <w:t>》</w:t>
      </w:r>
      <w:r>
        <w:rPr>
          <w:sz w:val="24"/>
          <w:lang w:val="zh-CN"/>
        </w:rPr>
        <w:t>（DZ/T223-2011）、《土地复垦方案编制实务》、</w:t>
      </w:r>
      <w:r>
        <w:rPr>
          <w:sz w:val="24"/>
        </w:rPr>
        <w:t>《</w:t>
      </w:r>
      <w:r>
        <w:rPr>
          <w:sz w:val="24"/>
          <w:lang w:val="zh-CN"/>
        </w:rPr>
        <w:t>矿山地质环境保护与土地复垦方案编制指南</w:t>
      </w:r>
      <w:r>
        <w:rPr>
          <w:sz w:val="24"/>
        </w:rPr>
        <w:t>》中要求的工作程序，在充分收集、综合分析建设项目相关资料的基础上，</w:t>
      </w:r>
      <w:r>
        <w:rPr>
          <w:sz w:val="24"/>
          <w:lang w:val="zh-CN"/>
        </w:rPr>
        <w:t>确定调查范围。开展矿山地质环境现状和土地资源调查，</w:t>
      </w:r>
      <w:r>
        <w:rPr>
          <w:sz w:val="24"/>
        </w:rPr>
        <w:t>广泛征询土地复垦义务人、政府相关部门、土地使用权人和社会公众的意愿。</w:t>
      </w:r>
      <w:r>
        <w:rPr>
          <w:sz w:val="24"/>
          <w:lang w:val="zh-CN"/>
        </w:rPr>
        <w:t>经资料整理分析，进行矿山地质环境影响和土地损毁评估，在此基础上，进行矿山地质环境保护与恢复治理分区和土地复垦范围确定，制订恢复治理措施和复垦方案，提出保护和预防、恢复治理工程，拟定监测方案，并进行治理经费估算和效益分析。</w:t>
      </w:r>
      <w:r>
        <w:rPr>
          <w:sz w:val="24"/>
        </w:rPr>
        <w:t>对初步拟定的矿山地质环境保护与土地复垦方案广泛征询土地复垦义务人、政府相关部门、土地使用权人和社会公众的意愿，从组织、经济、技术、公众接受程度等方面进行可行性论证。最后依据方案协调论证结果，确定土地复垦标准，优化工程设计，完善工程量测算及投资估算，细化地质环境保护与土地复垦实施计划安排以及资金、技术和组织管理保障措施等。</w:t>
      </w:r>
    </w:p>
    <w:p w14:paraId="796329E1">
      <w:pPr>
        <w:adjustRightInd w:val="0"/>
        <w:snapToGrid w:val="0"/>
        <w:spacing w:line="360" w:lineRule="auto"/>
        <w:ind w:firstLine="480" w:firstLineChars="200"/>
        <w:rPr>
          <w:rFonts w:eastAsiaTheme="minorEastAsia"/>
          <w:sz w:val="24"/>
        </w:rPr>
      </w:pPr>
      <w:r>
        <w:rPr>
          <w:rFonts w:eastAsiaTheme="minorEastAsia"/>
          <w:sz w:val="24"/>
        </w:rPr>
        <w:t>1、资料收集与分析</w:t>
      </w:r>
    </w:p>
    <w:p w14:paraId="2D72C3B3">
      <w:pPr>
        <w:adjustRightInd w:val="0"/>
        <w:snapToGrid w:val="0"/>
        <w:spacing w:line="360" w:lineRule="auto"/>
        <w:ind w:firstLine="480" w:firstLineChars="200"/>
        <w:rPr>
          <w:rFonts w:eastAsiaTheme="minorEastAsia"/>
          <w:sz w:val="24"/>
        </w:rPr>
      </w:pPr>
      <w:r>
        <w:rPr>
          <w:rFonts w:eastAsiaTheme="minorEastAsia"/>
          <w:sz w:val="24"/>
        </w:rPr>
        <w:t>（1）广泛收集了评估区及周边自然地理、生态环境、社会经济、土地利用现状与权属、土壤、矿山储量核实报告、开发利用方案等相关资料。</w:t>
      </w:r>
    </w:p>
    <w:p w14:paraId="3B36F243">
      <w:pPr>
        <w:adjustRightInd w:val="0"/>
        <w:snapToGrid w:val="0"/>
        <w:spacing w:line="360" w:lineRule="auto"/>
        <w:ind w:firstLine="480" w:firstLineChars="200"/>
        <w:rPr>
          <w:rFonts w:eastAsiaTheme="minorEastAsia"/>
          <w:sz w:val="24"/>
        </w:rPr>
      </w:pPr>
      <w:r>
        <w:rPr>
          <w:rFonts w:eastAsiaTheme="minorEastAsia"/>
          <w:sz w:val="24"/>
        </w:rPr>
        <w:t>（2）在开展野外调查工作前，充分收集、分析、整理相关资料，了解评估区地质环境条件和土地资源状况，分析已有资料情况，确定补充资料内容，初步确定野外调查方法、调查路线和调查内容。</w:t>
      </w:r>
    </w:p>
    <w:p w14:paraId="08F8216A">
      <w:pPr>
        <w:adjustRightInd w:val="0"/>
        <w:snapToGrid w:val="0"/>
        <w:spacing w:line="360" w:lineRule="auto"/>
        <w:ind w:firstLine="480" w:firstLineChars="200"/>
        <w:rPr>
          <w:rFonts w:eastAsiaTheme="minorEastAsia"/>
          <w:sz w:val="24"/>
        </w:rPr>
      </w:pPr>
      <w:r>
        <w:rPr>
          <w:rFonts w:eastAsiaTheme="minorEastAsia"/>
          <w:sz w:val="24"/>
        </w:rPr>
        <w:t>2、野外调查</w:t>
      </w:r>
    </w:p>
    <w:p w14:paraId="3700EE94">
      <w:pPr>
        <w:adjustRightInd w:val="0"/>
        <w:snapToGrid w:val="0"/>
        <w:spacing w:line="360" w:lineRule="auto"/>
        <w:ind w:firstLine="480" w:firstLineChars="200"/>
        <w:rPr>
          <w:rFonts w:eastAsiaTheme="minorEastAsia"/>
          <w:color w:val="000000" w:themeColor="text1"/>
          <w:sz w:val="24"/>
        </w:rPr>
      </w:pPr>
      <w:r>
        <w:rPr>
          <w:rFonts w:eastAsiaTheme="minorEastAsia"/>
          <w:sz w:val="24"/>
        </w:rPr>
        <w:t>（1）实地调查了评估区地质灾害发育情况、地下水水位水质、地形地貌景</w:t>
      </w:r>
      <w:r>
        <w:rPr>
          <w:rFonts w:eastAsiaTheme="minorEastAsia"/>
          <w:color w:val="000000" w:themeColor="text1"/>
          <w:sz w:val="24"/>
        </w:rPr>
        <w:t>观，土壤、水文、水资源、生物多样性、土地利用情况、土地损毁情况等，并针对区域内耕地及林地等主要地类进行土壤剖面挖掘，实地拍摄影像、图片等相关资料，并做文字记录。</w:t>
      </w:r>
    </w:p>
    <w:p w14:paraId="26080CBE">
      <w:pPr>
        <w:spacing w:line="360" w:lineRule="auto"/>
        <w:ind w:firstLine="480" w:firstLineChars="200"/>
        <w:rPr>
          <w:color w:val="000000" w:themeColor="text1"/>
          <w:sz w:val="24"/>
        </w:rPr>
      </w:pPr>
      <w:r>
        <w:rPr>
          <w:color w:val="000000" w:themeColor="text1"/>
          <w:sz w:val="24"/>
        </w:rPr>
        <w:t>（2）确定调查范围：评估范围以矿区范围为基础，考虑到矿体采动后对地表的影响，本项目的矿山地质环境影响范围以矿山周边山坡分水岭为界，总面积约7.3025hm</w:t>
      </w:r>
      <w:r>
        <w:rPr>
          <w:color w:val="000000" w:themeColor="text1"/>
          <w:sz w:val="24"/>
          <w:vertAlign w:val="superscript"/>
        </w:rPr>
        <w:t>2</w:t>
      </w:r>
      <w:r>
        <w:rPr>
          <w:color w:val="000000" w:themeColor="text1"/>
          <w:sz w:val="24"/>
        </w:rPr>
        <w:t>。</w:t>
      </w:r>
    </w:p>
    <w:p w14:paraId="6BEABB6A">
      <w:pPr>
        <w:adjustRightInd w:val="0"/>
        <w:snapToGrid w:val="0"/>
        <w:spacing w:line="360" w:lineRule="auto"/>
        <w:ind w:firstLine="480" w:firstLineChars="200"/>
        <w:rPr>
          <w:rFonts w:eastAsiaTheme="minorEastAsia"/>
          <w:sz w:val="24"/>
        </w:rPr>
      </w:pPr>
      <w:r>
        <w:rPr>
          <w:rFonts w:eastAsiaTheme="minorEastAsia"/>
          <w:color w:val="000000" w:themeColor="text1"/>
          <w:sz w:val="24"/>
        </w:rPr>
        <w:t>（3）野外调查内容：</w:t>
      </w:r>
      <w:r>
        <w:rPr>
          <w:rFonts w:eastAsiaTheme="minorEastAsia"/>
          <w:color w:val="000000" w:themeColor="text1"/>
          <w:sz w:val="24"/>
          <w:lang w:val="zh-CN"/>
        </w:rPr>
        <w:t>主要</w:t>
      </w:r>
      <w:r>
        <w:rPr>
          <w:rFonts w:eastAsiaTheme="minorEastAsia"/>
          <w:sz w:val="24"/>
          <w:lang w:val="zh-CN"/>
        </w:rPr>
        <w:t>对区内交通、矿山建设情况、村庄、植被覆盖率、地形地貌、现状下地质环境条件等进行了调查，</w:t>
      </w:r>
      <w:r>
        <w:rPr>
          <w:rFonts w:eastAsiaTheme="minorEastAsia"/>
          <w:sz w:val="24"/>
        </w:rPr>
        <w:t>基本查明了评估区内的地质环境问题。</w:t>
      </w:r>
    </w:p>
    <w:p w14:paraId="44CAF753">
      <w:pPr>
        <w:adjustRightInd w:val="0"/>
        <w:snapToGrid w:val="0"/>
        <w:spacing w:line="360" w:lineRule="auto"/>
        <w:ind w:firstLine="480" w:firstLineChars="200"/>
        <w:rPr>
          <w:rFonts w:eastAsiaTheme="minorEastAsia"/>
          <w:sz w:val="24"/>
        </w:rPr>
      </w:pPr>
      <w:r>
        <w:rPr>
          <w:rFonts w:eastAsiaTheme="minorEastAsia"/>
          <w:sz w:val="24"/>
        </w:rPr>
        <w:t>3、公众参与</w:t>
      </w:r>
    </w:p>
    <w:p w14:paraId="3A5D5976">
      <w:pPr>
        <w:adjustRightInd w:val="0"/>
        <w:snapToGrid w:val="0"/>
        <w:spacing w:line="360" w:lineRule="auto"/>
        <w:ind w:firstLine="480" w:firstLineChars="200"/>
        <w:rPr>
          <w:rFonts w:eastAsiaTheme="minorEastAsia"/>
          <w:sz w:val="24"/>
        </w:rPr>
      </w:pPr>
      <w:r>
        <w:rPr>
          <w:rFonts w:eastAsiaTheme="minorEastAsia"/>
          <w:sz w:val="24"/>
        </w:rPr>
        <w:t>采用座谈会、调查走访等方式，调查土地使用权人以及自然资源、林业、水利、农业、环保等部门及相应的权益人，征求对土地复垦方向、复垦标准及复垦措施的意见。</w:t>
      </w:r>
    </w:p>
    <w:p w14:paraId="579151DB">
      <w:pPr>
        <w:adjustRightInd w:val="0"/>
        <w:snapToGrid w:val="0"/>
        <w:spacing w:line="360" w:lineRule="auto"/>
        <w:ind w:firstLine="480" w:firstLineChars="200"/>
        <w:rPr>
          <w:rFonts w:eastAsiaTheme="minorEastAsia"/>
          <w:sz w:val="24"/>
        </w:rPr>
      </w:pPr>
      <w:r>
        <w:rPr>
          <w:rFonts w:eastAsiaTheme="minorEastAsia"/>
          <w:sz w:val="24"/>
        </w:rPr>
        <w:t>4、室内资料整理及综合分析</w:t>
      </w:r>
    </w:p>
    <w:p w14:paraId="03C507D4">
      <w:pPr>
        <w:adjustRightInd w:val="0"/>
        <w:snapToGrid w:val="0"/>
        <w:spacing w:line="360" w:lineRule="auto"/>
        <w:ind w:firstLine="480" w:firstLineChars="200"/>
        <w:rPr>
          <w:rFonts w:eastAsiaTheme="minorEastAsia"/>
          <w:sz w:val="24"/>
        </w:rPr>
      </w:pPr>
      <w:r>
        <w:rPr>
          <w:rFonts w:eastAsiaTheme="minorEastAsia"/>
          <w:sz w:val="24"/>
        </w:rPr>
        <w:t>在综合分析研究已有资料和实际调查资料的基础上，按照《矿山地质环境保护与土地复垦方案编制指南》的工作程序，进行矿山地质环境影响现状评估、预测评估，编制相关图件，进行防治分区，确定恢复治理目标与治理工程，进行治理经费估算，最终提交《广元市利州区紫兰建材厂砖瓦用页岩矿矿山地质环境保护与土地复垦方案》文本及附图。</w:t>
      </w:r>
    </w:p>
    <w:p w14:paraId="0F8DBB34">
      <w:pPr>
        <w:pStyle w:val="5"/>
        <w:spacing w:beforeLines="50" w:afterLines="50"/>
        <w:rPr>
          <w:sz w:val="28"/>
          <w:szCs w:val="28"/>
        </w:rPr>
      </w:pPr>
      <w:bookmarkStart w:id="33" w:name="_Toc523077046"/>
      <w:bookmarkStart w:id="34" w:name="_Toc1466"/>
      <w:bookmarkStart w:id="35" w:name="_Toc43851612"/>
      <w:r>
        <w:rPr>
          <w:b w:val="0"/>
          <w:sz w:val="28"/>
          <w:szCs w:val="28"/>
        </w:rPr>
        <w:t>（三）完成工作量</w:t>
      </w:r>
      <w:bookmarkEnd w:id="33"/>
      <w:bookmarkEnd w:id="34"/>
      <w:bookmarkEnd w:id="35"/>
    </w:p>
    <w:p w14:paraId="71EB9843">
      <w:pPr>
        <w:adjustRightInd w:val="0"/>
        <w:snapToGrid w:val="0"/>
        <w:spacing w:line="360" w:lineRule="auto"/>
        <w:ind w:firstLine="480" w:firstLineChars="200"/>
        <w:rPr>
          <w:rFonts w:eastAsiaTheme="minorEastAsia"/>
          <w:sz w:val="24"/>
        </w:rPr>
      </w:pPr>
      <w:r>
        <w:rPr>
          <w:rFonts w:eastAsiaTheme="minorEastAsia"/>
          <w:sz w:val="24"/>
        </w:rPr>
        <w:t>本方案编制工作前期，资料收集较全面，地质环境保护和土地复垦现场调查工作严格按国家现行有关技术规范进行，工作精度符合现行技术规范要求，达到了预期工作目的。完成工作量见表0-1。</w:t>
      </w:r>
    </w:p>
    <w:p w14:paraId="40718766">
      <w:pPr>
        <w:ind w:firstLine="422" w:firstLineChars="200"/>
        <w:jc w:val="center"/>
        <w:rPr>
          <w:rFonts w:eastAsia="仿宋"/>
          <w:b/>
        </w:rPr>
      </w:pPr>
    </w:p>
    <w:p w14:paraId="0AD13229">
      <w:pPr>
        <w:ind w:firstLine="422" w:firstLineChars="200"/>
        <w:jc w:val="center"/>
        <w:rPr>
          <w:rFonts w:eastAsiaTheme="minorEastAsia"/>
          <w:b/>
        </w:rPr>
      </w:pPr>
      <w:r>
        <w:rPr>
          <w:rFonts w:eastAsiaTheme="minorEastAsia"/>
          <w:b/>
        </w:rPr>
        <w:t>表0-1  完成工作量一览表</w:t>
      </w:r>
    </w:p>
    <w:tbl>
      <w:tblPr>
        <w:tblStyle w:val="29"/>
        <w:tblW w:w="8797" w:type="dxa"/>
        <w:jc w:val="center"/>
        <w:tblLayout w:type="fixed"/>
        <w:tblCellMar>
          <w:top w:w="0" w:type="dxa"/>
          <w:left w:w="0" w:type="dxa"/>
          <w:bottom w:w="0" w:type="dxa"/>
          <w:right w:w="0" w:type="dxa"/>
        </w:tblCellMar>
      </w:tblPr>
      <w:tblGrid>
        <w:gridCol w:w="623"/>
        <w:gridCol w:w="899"/>
        <w:gridCol w:w="683"/>
        <w:gridCol w:w="4278"/>
        <w:gridCol w:w="615"/>
        <w:gridCol w:w="1699"/>
      </w:tblGrid>
      <w:tr w14:paraId="70638101">
        <w:tblPrEx>
          <w:tblCellMar>
            <w:top w:w="0" w:type="dxa"/>
            <w:left w:w="0" w:type="dxa"/>
            <w:bottom w:w="0" w:type="dxa"/>
            <w:right w:w="0" w:type="dxa"/>
          </w:tblCellMar>
        </w:tblPrEx>
        <w:trPr>
          <w:trHeight w:val="369" w:hRule="exact"/>
          <w:jc w:val="center"/>
        </w:trPr>
        <w:tc>
          <w:tcPr>
            <w:tcW w:w="623" w:type="dxa"/>
            <w:tcBorders>
              <w:top w:val="single" w:color="000000" w:sz="4" w:space="0"/>
              <w:left w:val="single" w:color="000000" w:sz="4" w:space="0"/>
              <w:bottom w:val="single" w:color="000000" w:sz="4" w:space="0"/>
              <w:right w:val="single" w:color="000000" w:sz="4" w:space="0"/>
            </w:tcBorders>
            <w:vAlign w:val="center"/>
          </w:tcPr>
          <w:p w14:paraId="32AEBAA0">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序号</w:t>
            </w:r>
          </w:p>
        </w:tc>
        <w:tc>
          <w:tcPr>
            <w:tcW w:w="5860" w:type="dxa"/>
            <w:gridSpan w:val="3"/>
            <w:tcBorders>
              <w:top w:val="single" w:color="000000" w:sz="4" w:space="0"/>
              <w:left w:val="single" w:color="000000" w:sz="4" w:space="0"/>
              <w:bottom w:val="single" w:color="000000" w:sz="4" w:space="0"/>
              <w:right w:val="single" w:color="000000" w:sz="4" w:space="0"/>
            </w:tcBorders>
            <w:vAlign w:val="center"/>
          </w:tcPr>
          <w:p w14:paraId="654C4AC2">
            <w:pPr>
              <w:tabs>
                <w:tab w:val="left" w:pos="631"/>
              </w:tabs>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项目</w:t>
            </w:r>
          </w:p>
        </w:tc>
        <w:tc>
          <w:tcPr>
            <w:tcW w:w="615" w:type="dxa"/>
            <w:tcBorders>
              <w:top w:val="single" w:color="000000" w:sz="4" w:space="0"/>
              <w:left w:val="single" w:color="000000" w:sz="4" w:space="0"/>
              <w:bottom w:val="single" w:color="000000" w:sz="4" w:space="0"/>
              <w:right w:val="single" w:color="000000" w:sz="4" w:space="0"/>
            </w:tcBorders>
            <w:vAlign w:val="center"/>
          </w:tcPr>
          <w:p w14:paraId="5013BB7F">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单位</w:t>
            </w:r>
          </w:p>
        </w:tc>
        <w:tc>
          <w:tcPr>
            <w:tcW w:w="1699" w:type="dxa"/>
            <w:tcBorders>
              <w:top w:val="single" w:color="000000" w:sz="4" w:space="0"/>
              <w:left w:val="single" w:color="000000" w:sz="4" w:space="0"/>
              <w:bottom w:val="single" w:color="000000" w:sz="4" w:space="0"/>
              <w:right w:val="single" w:color="000000" w:sz="4" w:space="0"/>
            </w:tcBorders>
            <w:vAlign w:val="center"/>
          </w:tcPr>
          <w:p w14:paraId="1886F6E8">
            <w:pPr>
              <w:kinsoku w:val="0"/>
              <w:overflowPunct w:val="0"/>
              <w:autoSpaceDE w:val="0"/>
              <w:autoSpaceDN w:val="0"/>
              <w:adjustRightInd w:val="0"/>
              <w:jc w:val="center"/>
              <w:rPr>
                <w:color w:val="000000" w:themeColor="text1"/>
                <w:kern w:val="0"/>
                <w:szCs w:val="21"/>
              </w:rPr>
            </w:pPr>
            <w:r>
              <w:rPr>
                <w:rFonts w:eastAsiaTheme="minorEastAsia"/>
                <w:color w:val="000000" w:themeColor="text1"/>
                <w:kern w:val="0"/>
                <w:szCs w:val="21"/>
              </w:rPr>
              <w:t>数量</w:t>
            </w:r>
          </w:p>
        </w:tc>
      </w:tr>
      <w:tr w14:paraId="34893FAE">
        <w:tblPrEx>
          <w:tblCellMar>
            <w:top w:w="0" w:type="dxa"/>
            <w:left w:w="0" w:type="dxa"/>
            <w:bottom w:w="0" w:type="dxa"/>
            <w:right w:w="0" w:type="dxa"/>
          </w:tblCellMar>
        </w:tblPrEx>
        <w:trPr>
          <w:trHeight w:val="369" w:hRule="exact"/>
          <w:jc w:val="center"/>
        </w:trPr>
        <w:tc>
          <w:tcPr>
            <w:tcW w:w="623" w:type="dxa"/>
            <w:vMerge w:val="restart"/>
            <w:tcBorders>
              <w:top w:val="single" w:color="000000" w:sz="4" w:space="0"/>
              <w:left w:val="single" w:color="000000" w:sz="4" w:space="0"/>
              <w:bottom w:val="single" w:color="000000" w:sz="4" w:space="0"/>
              <w:right w:val="single" w:color="000000" w:sz="4" w:space="0"/>
            </w:tcBorders>
            <w:vAlign w:val="center"/>
          </w:tcPr>
          <w:p w14:paraId="1FCA2D99">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1</w:t>
            </w:r>
          </w:p>
        </w:tc>
        <w:tc>
          <w:tcPr>
            <w:tcW w:w="899" w:type="dxa"/>
            <w:vMerge w:val="restart"/>
            <w:tcBorders>
              <w:top w:val="single" w:color="000000" w:sz="4" w:space="0"/>
              <w:left w:val="single" w:color="000000" w:sz="4" w:space="0"/>
              <w:bottom w:val="single" w:color="000000" w:sz="4" w:space="0"/>
              <w:right w:val="single" w:color="000000" w:sz="4" w:space="0"/>
            </w:tcBorders>
            <w:vAlign w:val="center"/>
          </w:tcPr>
          <w:p w14:paraId="75238A63">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资料</w:t>
            </w:r>
          </w:p>
          <w:p w14:paraId="37120BFA">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收集</w:t>
            </w: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0DD3BDA1">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w:t>
            </w:r>
            <w:r>
              <w:rPr>
                <w:rFonts w:eastAsiaTheme="minorEastAsia"/>
                <w:color w:val="000000" w:themeColor="text1"/>
                <w:kern w:val="28"/>
                <w:szCs w:val="21"/>
              </w:rPr>
              <w:t>广元市利州区紫兰建材厂矿产资源开发利用方案</w:t>
            </w:r>
            <w:r>
              <w:rPr>
                <w:rFonts w:eastAsiaTheme="minorEastAsia"/>
                <w:color w:val="000000" w:themeColor="text1"/>
                <w:kern w:val="0"/>
                <w:szCs w:val="21"/>
              </w:rPr>
              <w:t>》</w:t>
            </w:r>
          </w:p>
        </w:tc>
        <w:tc>
          <w:tcPr>
            <w:tcW w:w="615" w:type="dxa"/>
            <w:tcBorders>
              <w:top w:val="single" w:color="000000" w:sz="4" w:space="0"/>
              <w:left w:val="single" w:color="000000" w:sz="4" w:space="0"/>
              <w:bottom w:val="single" w:color="000000" w:sz="4" w:space="0"/>
              <w:right w:val="single" w:color="000000" w:sz="4" w:space="0"/>
            </w:tcBorders>
            <w:vAlign w:val="center"/>
          </w:tcPr>
          <w:p w14:paraId="2D70CC7F">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17C19663">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76F5492E">
        <w:tblPrEx>
          <w:tblCellMar>
            <w:top w:w="0" w:type="dxa"/>
            <w:left w:w="0" w:type="dxa"/>
            <w:bottom w:w="0" w:type="dxa"/>
            <w:right w:w="0" w:type="dxa"/>
          </w:tblCellMar>
        </w:tblPrEx>
        <w:trPr>
          <w:trHeight w:val="663"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52B750FE">
            <w:pPr>
              <w:kinsoku w:val="0"/>
              <w:overflowPunct w:val="0"/>
              <w:autoSpaceDE w:val="0"/>
              <w:autoSpaceDN w:val="0"/>
              <w:adjustRightInd w:val="0"/>
              <w:jc w:val="center"/>
              <w:rPr>
                <w:rFonts w:eastAsiaTheme="minorEastAsia"/>
                <w:color w:val="000000" w:themeColor="text1"/>
                <w:kern w:val="0"/>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6CA895DD">
            <w:pPr>
              <w:kinsoku w:val="0"/>
              <w:overflowPunct w:val="0"/>
              <w:autoSpaceDE w:val="0"/>
              <w:autoSpaceDN w:val="0"/>
              <w:adjustRightInd w:val="0"/>
              <w:jc w:val="center"/>
              <w:rPr>
                <w:rFonts w:eastAsiaTheme="minorEastAsia"/>
                <w:color w:val="000000" w:themeColor="text1"/>
                <w:kern w:val="0"/>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424621D2">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w:t>
            </w:r>
            <w:r>
              <w:rPr>
                <w:rFonts w:eastAsiaTheme="minorEastAsia"/>
                <w:kern w:val="28"/>
                <w:szCs w:val="21"/>
              </w:rPr>
              <w:t>广元市利州区紫兰建材厂砖瓦用页岩矿资源/储量核实报告</w:t>
            </w:r>
            <w:r>
              <w:rPr>
                <w:rFonts w:eastAsiaTheme="minorEastAsia"/>
                <w:color w:val="000000" w:themeColor="text1"/>
                <w:kern w:val="0"/>
                <w:szCs w:val="21"/>
              </w:rPr>
              <w:t>》</w:t>
            </w:r>
          </w:p>
        </w:tc>
        <w:tc>
          <w:tcPr>
            <w:tcW w:w="615" w:type="dxa"/>
            <w:tcBorders>
              <w:top w:val="single" w:color="000000" w:sz="4" w:space="0"/>
              <w:left w:val="single" w:color="000000" w:sz="4" w:space="0"/>
              <w:bottom w:val="single" w:color="000000" w:sz="4" w:space="0"/>
              <w:right w:val="single" w:color="000000" w:sz="4" w:space="0"/>
            </w:tcBorders>
            <w:vAlign w:val="center"/>
          </w:tcPr>
          <w:p w14:paraId="441D9FD9">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6D2B38D8">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68930E74">
        <w:tblPrEx>
          <w:tblCellMar>
            <w:top w:w="0" w:type="dxa"/>
            <w:left w:w="0" w:type="dxa"/>
            <w:bottom w:w="0" w:type="dxa"/>
            <w:right w:w="0" w:type="dxa"/>
          </w:tblCellMar>
        </w:tblPrEx>
        <w:trPr>
          <w:trHeight w:val="369"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460F429A">
            <w:pPr>
              <w:kinsoku w:val="0"/>
              <w:overflowPunct w:val="0"/>
              <w:autoSpaceDE w:val="0"/>
              <w:autoSpaceDN w:val="0"/>
              <w:adjustRightInd w:val="0"/>
              <w:jc w:val="center"/>
              <w:rPr>
                <w:rFonts w:eastAsiaTheme="minorEastAsia"/>
                <w:color w:val="000000" w:themeColor="text1"/>
                <w:kern w:val="0"/>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14827011">
            <w:pPr>
              <w:kinsoku w:val="0"/>
              <w:overflowPunct w:val="0"/>
              <w:autoSpaceDE w:val="0"/>
              <w:autoSpaceDN w:val="0"/>
              <w:adjustRightInd w:val="0"/>
              <w:jc w:val="center"/>
              <w:rPr>
                <w:rFonts w:eastAsiaTheme="minorEastAsia"/>
                <w:color w:val="000000" w:themeColor="text1"/>
                <w:kern w:val="0"/>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3CA55680">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《土地利用现状分布图》（1:10000）</w:t>
            </w:r>
          </w:p>
        </w:tc>
        <w:tc>
          <w:tcPr>
            <w:tcW w:w="615" w:type="dxa"/>
            <w:tcBorders>
              <w:top w:val="single" w:color="000000" w:sz="4" w:space="0"/>
              <w:left w:val="single" w:color="000000" w:sz="4" w:space="0"/>
              <w:bottom w:val="single" w:color="000000" w:sz="4" w:space="0"/>
              <w:right w:val="single" w:color="000000" w:sz="4" w:space="0"/>
            </w:tcBorders>
            <w:vAlign w:val="center"/>
          </w:tcPr>
          <w:p w14:paraId="7F79D0A4">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449059F2">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548733BE">
        <w:tblPrEx>
          <w:tblCellMar>
            <w:top w:w="0" w:type="dxa"/>
            <w:left w:w="0" w:type="dxa"/>
            <w:bottom w:w="0" w:type="dxa"/>
            <w:right w:w="0" w:type="dxa"/>
          </w:tblCellMar>
        </w:tblPrEx>
        <w:trPr>
          <w:trHeight w:val="369"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7B96FE39">
            <w:pPr>
              <w:kinsoku w:val="0"/>
              <w:overflowPunct w:val="0"/>
              <w:autoSpaceDE w:val="0"/>
              <w:autoSpaceDN w:val="0"/>
              <w:adjustRightInd w:val="0"/>
              <w:jc w:val="center"/>
              <w:rPr>
                <w:rFonts w:eastAsiaTheme="minorEastAsia"/>
                <w:color w:val="000000" w:themeColor="text1"/>
                <w:kern w:val="0"/>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0745CDE9">
            <w:pPr>
              <w:kinsoku w:val="0"/>
              <w:overflowPunct w:val="0"/>
              <w:autoSpaceDE w:val="0"/>
              <w:autoSpaceDN w:val="0"/>
              <w:adjustRightInd w:val="0"/>
              <w:jc w:val="center"/>
              <w:rPr>
                <w:rFonts w:eastAsiaTheme="minorEastAsia"/>
                <w:color w:val="000000" w:themeColor="text1"/>
                <w:kern w:val="0"/>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667F7F2B">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其他报告或批复材料</w:t>
            </w:r>
          </w:p>
        </w:tc>
        <w:tc>
          <w:tcPr>
            <w:tcW w:w="615" w:type="dxa"/>
            <w:tcBorders>
              <w:top w:val="single" w:color="000000" w:sz="4" w:space="0"/>
              <w:left w:val="single" w:color="000000" w:sz="4" w:space="0"/>
              <w:bottom w:val="single" w:color="000000" w:sz="4" w:space="0"/>
              <w:right w:val="single" w:color="000000" w:sz="4" w:space="0"/>
            </w:tcBorders>
            <w:vAlign w:val="center"/>
          </w:tcPr>
          <w:p w14:paraId="5E408965">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7A69AB58">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3602C7BE">
        <w:tblPrEx>
          <w:tblCellMar>
            <w:top w:w="0" w:type="dxa"/>
            <w:left w:w="0" w:type="dxa"/>
            <w:bottom w:w="0" w:type="dxa"/>
            <w:right w:w="0" w:type="dxa"/>
          </w:tblCellMar>
        </w:tblPrEx>
        <w:trPr>
          <w:trHeight w:val="369" w:hRule="exact"/>
          <w:jc w:val="center"/>
        </w:trPr>
        <w:tc>
          <w:tcPr>
            <w:tcW w:w="623" w:type="dxa"/>
            <w:vMerge w:val="restart"/>
            <w:tcBorders>
              <w:top w:val="single" w:color="000000" w:sz="4" w:space="0"/>
              <w:left w:val="single" w:color="000000" w:sz="4" w:space="0"/>
              <w:bottom w:val="single" w:color="000000" w:sz="4" w:space="0"/>
              <w:right w:val="single" w:color="000000" w:sz="4" w:space="0"/>
            </w:tcBorders>
            <w:vAlign w:val="center"/>
          </w:tcPr>
          <w:p w14:paraId="0A9ACA07">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2</w:t>
            </w:r>
          </w:p>
        </w:tc>
        <w:tc>
          <w:tcPr>
            <w:tcW w:w="899" w:type="dxa"/>
            <w:vMerge w:val="restart"/>
            <w:tcBorders>
              <w:top w:val="single" w:color="000000" w:sz="4" w:space="0"/>
              <w:left w:val="single" w:color="000000" w:sz="4" w:space="0"/>
              <w:bottom w:val="single" w:color="000000" w:sz="4" w:space="0"/>
              <w:right w:val="single" w:color="000000" w:sz="4" w:space="0"/>
            </w:tcBorders>
            <w:vAlign w:val="center"/>
          </w:tcPr>
          <w:p w14:paraId="530FCB55">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地质环境与土地资源野外调查</w:t>
            </w: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63AB0EAE">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矿区面积</w:t>
            </w:r>
          </w:p>
        </w:tc>
        <w:tc>
          <w:tcPr>
            <w:tcW w:w="615" w:type="dxa"/>
            <w:tcBorders>
              <w:top w:val="single" w:color="000000" w:sz="4" w:space="0"/>
              <w:left w:val="single" w:color="000000" w:sz="4" w:space="0"/>
              <w:bottom w:val="single" w:color="000000" w:sz="4" w:space="0"/>
              <w:right w:val="single" w:color="000000" w:sz="4" w:space="0"/>
            </w:tcBorders>
            <w:vAlign w:val="center"/>
          </w:tcPr>
          <w:p w14:paraId="7D345724">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km</w:t>
            </w:r>
            <w:r>
              <w:rPr>
                <w:rFonts w:eastAsiaTheme="minorEastAsia"/>
                <w:color w:val="000000" w:themeColor="text1"/>
                <w:kern w:val="0"/>
                <w:szCs w:val="21"/>
                <w:vertAlign w:val="superscript"/>
              </w:rPr>
              <w:t>2</w:t>
            </w:r>
          </w:p>
        </w:tc>
        <w:tc>
          <w:tcPr>
            <w:tcW w:w="1699" w:type="dxa"/>
            <w:tcBorders>
              <w:top w:val="single" w:color="000000" w:sz="4" w:space="0"/>
              <w:left w:val="single" w:color="000000" w:sz="4" w:space="0"/>
              <w:bottom w:val="single" w:color="000000" w:sz="4" w:space="0"/>
              <w:right w:val="single" w:color="000000" w:sz="4" w:space="0"/>
            </w:tcBorders>
            <w:vAlign w:val="center"/>
          </w:tcPr>
          <w:p w14:paraId="1533023E">
            <w:pPr>
              <w:kinsoku w:val="0"/>
              <w:overflowPunct w:val="0"/>
              <w:autoSpaceDE w:val="0"/>
              <w:autoSpaceDN w:val="0"/>
              <w:adjustRightInd w:val="0"/>
              <w:jc w:val="center"/>
              <w:rPr>
                <w:color w:val="000000" w:themeColor="text1"/>
                <w:kern w:val="0"/>
                <w:szCs w:val="21"/>
              </w:rPr>
            </w:pPr>
            <w:r>
              <w:rPr>
                <w:color w:val="000000" w:themeColor="text1"/>
                <w:kern w:val="10"/>
                <w:szCs w:val="21"/>
              </w:rPr>
              <w:t>0.0206</w:t>
            </w:r>
          </w:p>
        </w:tc>
      </w:tr>
      <w:tr w14:paraId="457628C4">
        <w:tblPrEx>
          <w:tblCellMar>
            <w:top w:w="0" w:type="dxa"/>
            <w:left w:w="0" w:type="dxa"/>
            <w:bottom w:w="0" w:type="dxa"/>
            <w:right w:w="0" w:type="dxa"/>
          </w:tblCellMar>
        </w:tblPrEx>
        <w:trPr>
          <w:trHeight w:val="369"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3AE85978">
            <w:pPr>
              <w:jc w:val="center"/>
              <w:rPr>
                <w:rFonts w:eastAsiaTheme="minorEastAsia"/>
                <w:color w:val="000000" w:themeColor="text1"/>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29282561">
            <w:pPr>
              <w:jc w:val="center"/>
              <w:rPr>
                <w:rFonts w:eastAsiaTheme="minorEastAsia"/>
                <w:color w:val="000000" w:themeColor="text1"/>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51AA7927">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调查面积</w:t>
            </w:r>
          </w:p>
        </w:tc>
        <w:tc>
          <w:tcPr>
            <w:tcW w:w="615" w:type="dxa"/>
            <w:tcBorders>
              <w:top w:val="single" w:color="000000" w:sz="4" w:space="0"/>
              <w:left w:val="single" w:color="000000" w:sz="4" w:space="0"/>
              <w:bottom w:val="single" w:color="000000" w:sz="4" w:space="0"/>
              <w:right w:val="single" w:color="000000" w:sz="4" w:space="0"/>
            </w:tcBorders>
            <w:vAlign w:val="center"/>
          </w:tcPr>
          <w:p w14:paraId="1C881420">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km</w:t>
            </w:r>
            <w:r>
              <w:rPr>
                <w:rFonts w:eastAsiaTheme="minorEastAsia"/>
                <w:color w:val="000000" w:themeColor="text1"/>
                <w:kern w:val="0"/>
                <w:szCs w:val="21"/>
                <w:vertAlign w:val="superscript"/>
              </w:rPr>
              <w:t>2</w:t>
            </w:r>
          </w:p>
        </w:tc>
        <w:tc>
          <w:tcPr>
            <w:tcW w:w="1699" w:type="dxa"/>
            <w:tcBorders>
              <w:top w:val="single" w:color="000000" w:sz="4" w:space="0"/>
              <w:left w:val="single" w:color="000000" w:sz="4" w:space="0"/>
              <w:bottom w:val="single" w:color="000000" w:sz="4" w:space="0"/>
              <w:right w:val="single" w:color="000000" w:sz="4" w:space="0"/>
            </w:tcBorders>
            <w:vAlign w:val="center"/>
          </w:tcPr>
          <w:p w14:paraId="25975113">
            <w:pPr>
              <w:kinsoku w:val="0"/>
              <w:overflowPunct w:val="0"/>
              <w:autoSpaceDE w:val="0"/>
              <w:autoSpaceDN w:val="0"/>
              <w:adjustRightInd w:val="0"/>
              <w:jc w:val="center"/>
              <w:rPr>
                <w:color w:val="000000" w:themeColor="text1"/>
                <w:kern w:val="0"/>
                <w:szCs w:val="21"/>
              </w:rPr>
            </w:pPr>
            <w:r>
              <w:rPr>
                <w:color w:val="000000" w:themeColor="text1"/>
                <w:kern w:val="0"/>
                <w:szCs w:val="21"/>
              </w:rPr>
              <w:t>0.0639</w:t>
            </w:r>
          </w:p>
        </w:tc>
      </w:tr>
      <w:tr w14:paraId="6A1CAFBF">
        <w:tblPrEx>
          <w:tblCellMar>
            <w:top w:w="0" w:type="dxa"/>
            <w:left w:w="0" w:type="dxa"/>
            <w:bottom w:w="0" w:type="dxa"/>
            <w:right w:w="0" w:type="dxa"/>
          </w:tblCellMar>
        </w:tblPrEx>
        <w:trPr>
          <w:trHeight w:val="369"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28D80139">
            <w:pPr>
              <w:kinsoku w:val="0"/>
              <w:overflowPunct w:val="0"/>
              <w:autoSpaceDE w:val="0"/>
              <w:autoSpaceDN w:val="0"/>
              <w:adjustRightInd w:val="0"/>
              <w:jc w:val="center"/>
              <w:rPr>
                <w:rFonts w:eastAsiaTheme="minorEastAsia"/>
                <w:color w:val="000000" w:themeColor="text1"/>
                <w:kern w:val="0"/>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4D2870AF">
            <w:pPr>
              <w:kinsoku w:val="0"/>
              <w:overflowPunct w:val="0"/>
              <w:autoSpaceDE w:val="0"/>
              <w:autoSpaceDN w:val="0"/>
              <w:adjustRightInd w:val="0"/>
              <w:jc w:val="center"/>
              <w:rPr>
                <w:rFonts w:eastAsiaTheme="minorEastAsia"/>
                <w:color w:val="000000" w:themeColor="text1"/>
                <w:kern w:val="0"/>
                <w:szCs w:val="21"/>
              </w:rPr>
            </w:pPr>
          </w:p>
        </w:tc>
        <w:tc>
          <w:tcPr>
            <w:tcW w:w="683" w:type="dxa"/>
            <w:vMerge w:val="restart"/>
            <w:tcBorders>
              <w:top w:val="single" w:color="000000" w:sz="4" w:space="0"/>
              <w:left w:val="single" w:color="000000" w:sz="4" w:space="0"/>
              <w:bottom w:val="single" w:color="000000" w:sz="4" w:space="0"/>
              <w:right w:val="single" w:color="000000" w:sz="4" w:space="0"/>
            </w:tcBorders>
            <w:vAlign w:val="center"/>
          </w:tcPr>
          <w:p w14:paraId="416777AE">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调查点</w:t>
            </w:r>
          </w:p>
        </w:tc>
        <w:tc>
          <w:tcPr>
            <w:tcW w:w="4278" w:type="dxa"/>
            <w:tcBorders>
              <w:top w:val="single" w:color="000000" w:sz="4" w:space="0"/>
              <w:left w:val="single" w:color="000000" w:sz="4" w:space="0"/>
              <w:bottom w:val="single" w:color="000000" w:sz="4" w:space="0"/>
              <w:right w:val="single" w:color="000000" w:sz="4" w:space="0"/>
            </w:tcBorders>
            <w:vAlign w:val="center"/>
          </w:tcPr>
          <w:p w14:paraId="7DD1725E">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地质特征点（基岩出露位置、河流、村庄）</w:t>
            </w:r>
          </w:p>
        </w:tc>
        <w:tc>
          <w:tcPr>
            <w:tcW w:w="615" w:type="dxa"/>
            <w:tcBorders>
              <w:top w:val="single" w:color="000000" w:sz="4" w:space="0"/>
              <w:left w:val="single" w:color="000000" w:sz="4" w:space="0"/>
              <w:bottom w:val="single" w:color="000000" w:sz="4" w:space="0"/>
              <w:right w:val="single" w:color="000000" w:sz="4" w:space="0"/>
            </w:tcBorders>
            <w:vAlign w:val="center"/>
          </w:tcPr>
          <w:p w14:paraId="39E60B05">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个</w:t>
            </w:r>
          </w:p>
        </w:tc>
        <w:tc>
          <w:tcPr>
            <w:tcW w:w="1699" w:type="dxa"/>
            <w:tcBorders>
              <w:top w:val="single" w:color="000000" w:sz="4" w:space="0"/>
              <w:left w:val="single" w:color="000000" w:sz="4" w:space="0"/>
              <w:bottom w:val="single" w:color="000000" w:sz="4" w:space="0"/>
              <w:right w:val="single" w:color="000000" w:sz="4" w:space="0"/>
            </w:tcBorders>
            <w:vAlign w:val="center"/>
          </w:tcPr>
          <w:p w14:paraId="091CE08B">
            <w:pPr>
              <w:kinsoku w:val="0"/>
              <w:overflowPunct w:val="0"/>
              <w:autoSpaceDE w:val="0"/>
              <w:autoSpaceDN w:val="0"/>
              <w:adjustRightInd w:val="0"/>
              <w:jc w:val="center"/>
              <w:rPr>
                <w:color w:val="000000" w:themeColor="text1"/>
                <w:kern w:val="0"/>
                <w:szCs w:val="21"/>
              </w:rPr>
            </w:pPr>
            <w:r>
              <w:rPr>
                <w:color w:val="000000" w:themeColor="text1"/>
                <w:kern w:val="0"/>
                <w:szCs w:val="21"/>
              </w:rPr>
              <w:t>2</w:t>
            </w:r>
          </w:p>
        </w:tc>
      </w:tr>
      <w:tr w14:paraId="57D521B9">
        <w:tblPrEx>
          <w:tblCellMar>
            <w:top w:w="0" w:type="dxa"/>
            <w:left w:w="0" w:type="dxa"/>
            <w:bottom w:w="0" w:type="dxa"/>
            <w:right w:w="0" w:type="dxa"/>
          </w:tblCellMar>
        </w:tblPrEx>
        <w:trPr>
          <w:trHeight w:val="369"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621F721B">
            <w:pPr>
              <w:kinsoku w:val="0"/>
              <w:overflowPunct w:val="0"/>
              <w:autoSpaceDE w:val="0"/>
              <w:autoSpaceDN w:val="0"/>
              <w:adjustRightInd w:val="0"/>
              <w:jc w:val="center"/>
              <w:rPr>
                <w:rFonts w:eastAsiaTheme="minorEastAsia"/>
                <w:color w:val="000000" w:themeColor="text1"/>
                <w:kern w:val="0"/>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1C308954">
            <w:pPr>
              <w:kinsoku w:val="0"/>
              <w:overflowPunct w:val="0"/>
              <w:autoSpaceDE w:val="0"/>
              <w:autoSpaceDN w:val="0"/>
              <w:adjustRightInd w:val="0"/>
              <w:jc w:val="center"/>
              <w:rPr>
                <w:rFonts w:eastAsiaTheme="minorEastAsia"/>
                <w:color w:val="000000" w:themeColor="text1"/>
                <w:kern w:val="0"/>
                <w:szCs w:val="21"/>
              </w:rPr>
            </w:pPr>
          </w:p>
        </w:tc>
        <w:tc>
          <w:tcPr>
            <w:tcW w:w="683" w:type="dxa"/>
            <w:vMerge w:val="continue"/>
            <w:tcBorders>
              <w:top w:val="single" w:color="000000" w:sz="4" w:space="0"/>
              <w:left w:val="single" w:color="000000" w:sz="4" w:space="0"/>
              <w:bottom w:val="single" w:color="000000" w:sz="4" w:space="0"/>
              <w:right w:val="single" w:color="000000" w:sz="4" w:space="0"/>
            </w:tcBorders>
            <w:vAlign w:val="center"/>
          </w:tcPr>
          <w:p w14:paraId="48F0E8FC">
            <w:pPr>
              <w:kinsoku w:val="0"/>
              <w:overflowPunct w:val="0"/>
              <w:autoSpaceDE w:val="0"/>
              <w:autoSpaceDN w:val="0"/>
              <w:adjustRightInd w:val="0"/>
              <w:jc w:val="center"/>
              <w:rPr>
                <w:rFonts w:eastAsiaTheme="minorEastAsia"/>
                <w:color w:val="000000" w:themeColor="text1"/>
                <w:kern w:val="0"/>
                <w:szCs w:val="21"/>
              </w:rPr>
            </w:pPr>
          </w:p>
        </w:tc>
        <w:tc>
          <w:tcPr>
            <w:tcW w:w="4278" w:type="dxa"/>
            <w:tcBorders>
              <w:top w:val="single" w:color="000000" w:sz="4" w:space="0"/>
              <w:left w:val="single" w:color="000000" w:sz="4" w:space="0"/>
              <w:bottom w:val="single" w:color="000000" w:sz="4" w:space="0"/>
              <w:right w:val="single" w:color="000000" w:sz="4" w:space="0"/>
            </w:tcBorders>
            <w:vAlign w:val="center"/>
          </w:tcPr>
          <w:p w14:paraId="655CB4F7">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崩塌、滑坡、不稳定边坡</w:t>
            </w:r>
          </w:p>
        </w:tc>
        <w:tc>
          <w:tcPr>
            <w:tcW w:w="615" w:type="dxa"/>
            <w:tcBorders>
              <w:top w:val="single" w:color="000000" w:sz="4" w:space="0"/>
              <w:left w:val="single" w:color="000000" w:sz="4" w:space="0"/>
              <w:bottom w:val="single" w:color="000000" w:sz="4" w:space="0"/>
              <w:right w:val="single" w:color="000000" w:sz="4" w:space="0"/>
            </w:tcBorders>
            <w:vAlign w:val="center"/>
          </w:tcPr>
          <w:p w14:paraId="56308714">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处</w:t>
            </w:r>
          </w:p>
        </w:tc>
        <w:tc>
          <w:tcPr>
            <w:tcW w:w="1699" w:type="dxa"/>
            <w:tcBorders>
              <w:top w:val="single" w:color="000000" w:sz="4" w:space="0"/>
              <w:left w:val="single" w:color="000000" w:sz="4" w:space="0"/>
              <w:bottom w:val="single" w:color="000000" w:sz="4" w:space="0"/>
              <w:right w:val="single" w:color="000000" w:sz="4" w:space="0"/>
            </w:tcBorders>
            <w:vAlign w:val="center"/>
          </w:tcPr>
          <w:p w14:paraId="5C97C9D7">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7C483826">
        <w:tblPrEx>
          <w:tblCellMar>
            <w:top w:w="0" w:type="dxa"/>
            <w:left w:w="0" w:type="dxa"/>
            <w:bottom w:w="0" w:type="dxa"/>
            <w:right w:w="0" w:type="dxa"/>
          </w:tblCellMar>
        </w:tblPrEx>
        <w:trPr>
          <w:trHeight w:val="369"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7E4D0A0D">
            <w:pPr>
              <w:kinsoku w:val="0"/>
              <w:overflowPunct w:val="0"/>
              <w:autoSpaceDE w:val="0"/>
              <w:autoSpaceDN w:val="0"/>
              <w:adjustRightInd w:val="0"/>
              <w:jc w:val="center"/>
              <w:rPr>
                <w:rFonts w:eastAsiaTheme="minorEastAsia"/>
                <w:color w:val="000000" w:themeColor="text1"/>
                <w:kern w:val="0"/>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0ABA446D">
            <w:pPr>
              <w:kinsoku w:val="0"/>
              <w:overflowPunct w:val="0"/>
              <w:autoSpaceDE w:val="0"/>
              <w:autoSpaceDN w:val="0"/>
              <w:adjustRightInd w:val="0"/>
              <w:jc w:val="center"/>
              <w:rPr>
                <w:rFonts w:eastAsiaTheme="minorEastAsia"/>
                <w:color w:val="000000" w:themeColor="text1"/>
                <w:kern w:val="0"/>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76E4610D">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调查访问人数</w:t>
            </w:r>
          </w:p>
        </w:tc>
        <w:tc>
          <w:tcPr>
            <w:tcW w:w="615" w:type="dxa"/>
            <w:tcBorders>
              <w:top w:val="single" w:color="000000" w:sz="4" w:space="0"/>
              <w:left w:val="single" w:color="000000" w:sz="4" w:space="0"/>
              <w:bottom w:val="single" w:color="000000" w:sz="4" w:space="0"/>
              <w:right w:val="single" w:color="000000" w:sz="4" w:space="0"/>
            </w:tcBorders>
            <w:vAlign w:val="center"/>
          </w:tcPr>
          <w:p w14:paraId="2D77E480">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人</w:t>
            </w:r>
          </w:p>
        </w:tc>
        <w:tc>
          <w:tcPr>
            <w:tcW w:w="1699" w:type="dxa"/>
            <w:tcBorders>
              <w:top w:val="single" w:color="000000" w:sz="4" w:space="0"/>
              <w:left w:val="single" w:color="000000" w:sz="4" w:space="0"/>
              <w:bottom w:val="single" w:color="000000" w:sz="4" w:space="0"/>
              <w:right w:val="single" w:color="000000" w:sz="4" w:space="0"/>
            </w:tcBorders>
            <w:vAlign w:val="center"/>
          </w:tcPr>
          <w:p w14:paraId="7173D594">
            <w:pPr>
              <w:kinsoku w:val="0"/>
              <w:overflowPunct w:val="0"/>
              <w:autoSpaceDE w:val="0"/>
              <w:autoSpaceDN w:val="0"/>
              <w:adjustRightInd w:val="0"/>
              <w:jc w:val="center"/>
              <w:rPr>
                <w:color w:val="000000" w:themeColor="text1"/>
                <w:kern w:val="0"/>
                <w:szCs w:val="21"/>
              </w:rPr>
            </w:pPr>
            <w:r>
              <w:rPr>
                <w:color w:val="000000" w:themeColor="text1"/>
                <w:kern w:val="0"/>
                <w:szCs w:val="21"/>
              </w:rPr>
              <w:t>5</w:t>
            </w:r>
          </w:p>
        </w:tc>
      </w:tr>
      <w:tr w14:paraId="690C47C3">
        <w:tblPrEx>
          <w:tblCellMar>
            <w:top w:w="0" w:type="dxa"/>
            <w:left w:w="0" w:type="dxa"/>
            <w:bottom w:w="0" w:type="dxa"/>
            <w:right w:w="0" w:type="dxa"/>
          </w:tblCellMar>
        </w:tblPrEx>
        <w:trPr>
          <w:trHeight w:val="369" w:hRule="exact"/>
          <w:jc w:val="center"/>
        </w:trPr>
        <w:tc>
          <w:tcPr>
            <w:tcW w:w="623" w:type="dxa"/>
            <w:vMerge w:val="continue"/>
            <w:tcBorders>
              <w:top w:val="single" w:color="000000" w:sz="4" w:space="0"/>
              <w:left w:val="single" w:color="000000" w:sz="4" w:space="0"/>
              <w:bottom w:val="single" w:color="000000" w:sz="4" w:space="0"/>
              <w:right w:val="single" w:color="000000" w:sz="4" w:space="0"/>
            </w:tcBorders>
            <w:vAlign w:val="center"/>
          </w:tcPr>
          <w:p w14:paraId="7C626EB4">
            <w:pPr>
              <w:kinsoku w:val="0"/>
              <w:overflowPunct w:val="0"/>
              <w:autoSpaceDE w:val="0"/>
              <w:autoSpaceDN w:val="0"/>
              <w:adjustRightInd w:val="0"/>
              <w:jc w:val="center"/>
              <w:rPr>
                <w:rFonts w:eastAsiaTheme="minorEastAsia"/>
                <w:color w:val="000000" w:themeColor="text1"/>
                <w:kern w:val="0"/>
                <w:szCs w:val="21"/>
              </w:rPr>
            </w:pPr>
          </w:p>
        </w:tc>
        <w:tc>
          <w:tcPr>
            <w:tcW w:w="899" w:type="dxa"/>
            <w:vMerge w:val="continue"/>
            <w:tcBorders>
              <w:top w:val="single" w:color="000000" w:sz="4" w:space="0"/>
              <w:left w:val="single" w:color="000000" w:sz="4" w:space="0"/>
              <w:bottom w:val="single" w:color="000000" w:sz="4" w:space="0"/>
              <w:right w:val="single" w:color="000000" w:sz="4" w:space="0"/>
            </w:tcBorders>
            <w:vAlign w:val="center"/>
          </w:tcPr>
          <w:p w14:paraId="19AB3E1E">
            <w:pPr>
              <w:kinsoku w:val="0"/>
              <w:overflowPunct w:val="0"/>
              <w:autoSpaceDE w:val="0"/>
              <w:autoSpaceDN w:val="0"/>
              <w:adjustRightInd w:val="0"/>
              <w:jc w:val="center"/>
              <w:rPr>
                <w:rFonts w:eastAsiaTheme="minorEastAsia"/>
                <w:color w:val="000000" w:themeColor="text1"/>
                <w:kern w:val="0"/>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6B6E9B78">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拍照</w:t>
            </w:r>
          </w:p>
        </w:tc>
        <w:tc>
          <w:tcPr>
            <w:tcW w:w="615" w:type="dxa"/>
            <w:tcBorders>
              <w:top w:val="single" w:color="000000" w:sz="4" w:space="0"/>
              <w:left w:val="single" w:color="000000" w:sz="4" w:space="0"/>
              <w:bottom w:val="single" w:color="000000" w:sz="4" w:space="0"/>
              <w:right w:val="single" w:color="000000" w:sz="4" w:space="0"/>
            </w:tcBorders>
            <w:vAlign w:val="center"/>
          </w:tcPr>
          <w:p w14:paraId="7E8638B6">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张</w:t>
            </w:r>
          </w:p>
        </w:tc>
        <w:tc>
          <w:tcPr>
            <w:tcW w:w="1699" w:type="dxa"/>
            <w:tcBorders>
              <w:top w:val="single" w:color="000000" w:sz="4" w:space="0"/>
              <w:left w:val="single" w:color="000000" w:sz="4" w:space="0"/>
              <w:bottom w:val="single" w:color="000000" w:sz="4" w:space="0"/>
              <w:right w:val="single" w:color="000000" w:sz="4" w:space="0"/>
            </w:tcBorders>
            <w:vAlign w:val="center"/>
          </w:tcPr>
          <w:p w14:paraId="1A0CF38C">
            <w:pPr>
              <w:kinsoku w:val="0"/>
              <w:overflowPunct w:val="0"/>
              <w:autoSpaceDE w:val="0"/>
              <w:autoSpaceDN w:val="0"/>
              <w:adjustRightInd w:val="0"/>
              <w:jc w:val="center"/>
              <w:rPr>
                <w:color w:val="000000" w:themeColor="text1"/>
                <w:kern w:val="0"/>
                <w:szCs w:val="21"/>
              </w:rPr>
            </w:pPr>
            <w:r>
              <w:rPr>
                <w:color w:val="000000" w:themeColor="text1"/>
                <w:kern w:val="0"/>
                <w:szCs w:val="21"/>
              </w:rPr>
              <w:t>91</w:t>
            </w:r>
          </w:p>
        </w:tc>
      </w:tr>
      <w:tr w14:paraId="632FA03D">
        <w:tblPrEx>
          <w:tblCellMar>
            <w:top w:w="0" w:type="dxa"/>
            <w:left w:w="0" w:type="dxa"/>
            <w:bottom w:w="0" w:type="dxa"/>
            <w:right w:w="0" w:type="dxa"/>
          </w:tblCellMar>
        </w:tblPrEx>
        <w:trPr>
          <w:trHeight w:val="369" w:hRule="exact"/>
          <w:jc w:val="center"/>
        </w:trPr>
        <w:tc>
          <w:tcPr>
            <w:tcW w:w="623" w:type="dxa"/>
            <w:vMerge w:val="restart"/>
            <w:tcBorders>
              <w:top w:val="single" w:color="000000" w:sz="4" w:space="0"/>
              <w:left w:val="single" w:color="000000" w:sz="4" w:space="0"/>
              <w:right w:val="single" w:color="000000" w:sz="4" w:space="0"/>
            </w:tcBorders>
            <w:vAlign w:val="center"/>
          </w:tcPr>
          <w:p w14:paraId="3B5C27C0">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3</w:t>
            </w:r>
          </w:p>
        </w:tc>
        <w:tc>
          <w:tcPr>
            <w:tcW w:w="899" w:type="dxa"/>
            <w:vMerge w:val="restart"/>
            <w:tcBorders>
              <w:top w:val="single" w:color="000000" w:sz="4" w:space="0"/>
              <w:left w:val="single" w:color="000000" w:sz="4" w:space="0"/>
              <w:right w:val="single" w:color="000000" w:sz="4" w:space="0"/>
            </w:tcBorders>
            <w:vAlign w:val="center"/>
          </w:tcPr>
          <w:p w14:paraId="6FAC8831">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提交成果</w:t>
            </w: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2BBF5002">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矿山地质环境保护与土地复垦方案文字报告</w:t>
            </w:r>
          </w:p>
        </w:tc>
        <w:tc>
          <w:tcPr>
            <w:tcW w:w="615" w:type="dxa"/>
            <w:tcBorders>
              <w:top w:val="single" w:color="000000" w:sz="4" w:space="0"/>
              <w:left w:val="single" w:color="000000" w:sz="4" w:space="0"/>
              <w:bottom w:val="single" w:color="000000" w:sz="4" w:space="0"/>
              <w:right w:val="single" w:color="000000" w:sz="4" w:space="0"/>
            </w:tcBorders>
            <w:vAlign w:val="center"/>
          </w:tcPr>
          <w:p w14:paraId="120524B0">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31117D44">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603D4AE7">
        <w:tblPrEx>
          <w:tblCellMar>
            <w:top w:w="0" w:type="dxa"/>
            <w:left w:w="0" w:type="dxa"/>
            <w:bottom w:w="0" w:type="dxa"/>
            <w:right w:w="0" w:type="dxa"/>
          </w:tblCellMar>
        </w:tblPrEx>
        <w:trPr>
          <w:trHeight w:val="369" w:hRule="exact"/>
          <w:jc w:val="center"/>
        </w:trPr>
        <w:tc>
          <w:tcPr>
            <w:tcW w:w="623" w:type="dxa"/>
            <w:vMerge w:val="continue"/>
            <w:tcBorders>
              <w:left w:val="single" w:color="000000" w:sz="4" w:space="0"/>
              <w:right w:val="single" w:color="000000" w:sz="4" w:space="0"/>
            </w:tcBorders>
            <w:vAlign w:val="center"/>
          </w:tcPr>
          <w:p w14:paraId="4AB0ED0B">
            <w:pPr>
              <w:jc w:val="center"/>
              <w:rPr>
                <w:rFonts w:eastAsiaTheme="minorEastAsia"/>
                <w:color w:val="000000" w:themeColor="text1"/>
                <w:szCs w:val="21"/>
              </w:rPr>
            </w:pPr>
          </w:p>
        </w:tc>
        <w:tc>
          <w:tcPr>
            <w:tcW w:w="899" w:type="dxa"/>
            <w:vMerge w:val="continue"/>
            <w:tcBorders>
              <w:left w:val="single" w:color="000000" w:sz="4" w:space="0"/>
              <w:right w:val="single" w:color="000000" w:sz="4" w:space="0"/>
            </w:tcBorders>
            <w:vAlign w:val="center"/>
          </w:tcPr>
          <w:p w14:paraId="45E51016">
            <w:pPr>
              <w:jc w:val="center"/>
              <w:rPr>
                <w:rFonts w:eastAsiaTheme="minorEastAsia"/>
                <w:color w:val="000000" w:themeColor="text1"/>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2EF15017">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附图册</w:t>
            </w:r>
          </w:p>
        </w:tc>
        <w:tc>
          <w:tcPr>
            <w:tcW w:w="615" w:type="dxa"/>
            <w:tcBorders>
              <w:top w:val="single" w:color="000000" w:sz="4" w:space="0"/>
              <w:left w:val="single" w:color="000000" w:sz="4" w:space="0"/>
              <w:bottom w:val="single" w:color="000000" w:sz="4" w:space="0"/>
              <w:right w:val="single" w:color="000000" w:sz="4" w:space="0"/>
            </w:tcBorders>
            <w:vAlign w:val="center"/>
          </w:tcPr>
          <w:p w14:paraId="676018B6">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7135EF5F">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7A3DE4E3">
        <w:tblPrEx>
          <w:tblCellMar>
            <w:top w:w="0" w:type="dxa"/>
            <w:left w:w="0" w:type="dxa"/>
            <w:bottom w:w="0" w:type="dxa"/>
            <w:right w:w="0" w:type="dxa"/>
          </w:tblCellMar>
        </w:tblPrEx>
        <w:trPr>
          <w:trHeight w:val="369" w:hRule="exact"/>
          <w:jc w:val="center"/>
        </w:trPr>
        <w:tc>
          <w:tcPr>
            <w:tcW w:w="623" w:type="dxa"/>
            <w:vMerge w:val="continue"/>
            <w:tcBorders>
              <w:left w:val="single" w:color="000000" w:sz="4" w:space="0"/>
              <w:right w:val="single" w:color="000000" w:sz="4" w:space="0"/>
            </w:tcBorders>
            <w:vAlign w:val="center"/>
          </w:tcPr>
          <w:p w14:paraId="3C13D82D">
            <w:pPr>
              <w:jc w:val="center"/>
              <w:rPr>
                <w:rFonts w:eastAsiaTheme="minorEastAsia"/>
                <w:color w:val="000000" w:themeColor="text1"/>
                <w:szCs w:val="21"/>
              </w:rPr>
            </w:pPr>
          </w:p>
        </w:tc>
        <w:tc>
          <w:tcPr>
            <w:tcW w:w="899" w:type="dxa"/>
            <w:vMerge w:val="continue"/>
            <w:tcBorders>
              <w:left w:val="single" w:color="000000" w:sz="4" w:space="0"/>
              <w:right w:val="single" w:color="000000" w:sz="4" w:space="0"/>
            </w:tcBorders>
            <w:vAlign w:val="center"/>
          </w:tcPr>
          <w:p w14:paraId="126A57BE">
            <w:pPr>
              <w:jc w:val="center"/>
              <w:rPr>
                <w:rFonts w:eastAsiaTheme="minorEastAsia"/>
                <w:color w:val="000000" w:themeColor="text1"/>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1E284DA7">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估算书</w:t>
            </w:r>
          </w:p>
        </w:tc>
        <w:tc>
          <w:tcPr>
            <w:tcW w:w="615" w:type="dxa"/>
            <w:tcBorders>
              <w:top w:val="single" w:color="000000" w:sz="4" w:space="0"/>
              <w:left w:val="single" w:color="000000" w:sz="4" w:space="0"/>
              <w:bottom w:val="single" w:color="000000" w:sz="4" w:space="0"/>
              <w:right w:val="single" w:color="000000" w:sz="4" w:space="0"/>
            </w:tcBorders>
            <w:vAlign w:val="center"/>
          </w:tcPr>
          <w:p w14:paraId="026EF288">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3EF1C17C">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r w14:paraId="4B8026DD">
        <w:tblPrEx>
          <w:tblCellMar>
            <w:top w:w="0" w:type="dxa"/>
            <w:left w:w="0" w:type="dxa"/>
            <w:bottom w:w="0" w:type="dxa"/>
            <w:right w:w="0" w:type="dxa"/>
          </w:tblCellMar>
        </w:tblPrEx>
        <w:trPr>
          <w:trHeight w:val="369" w:hRule="exact"/>
          <w:jc w:val="center"/>
        </w:trPr>
        <w:tc>
          <w:tcPr>
            <w:tcW w:w="623" w:type="dxa"/>
            <w:vMerge w:val="continue"/>
            <w:tcBorders>
              <w:left w:val="single" w:color="000000" w:sz="4" w:space="0"/>
              <w:bottom w:val="single" w:color="000000" w:sz="4" w:space="0"/>
              <w:right w:val="single" w:color="000000" w:sz="4" w:space="0"/>
            </w:tcBorders>
            <w:vAlign w:val="center"/>
          </w:tcPr>
          <w:p w14:paraId="5DFDDEA0">
            <w:pPr>
              <w:jc w:val="center"/>
              <w:rPr>
                <w:rFonts w:eastAsiaTheme="minorEastAsia"/>
                <w:color w:val="000000" w:themeColor="text1"/>
                <w:szCs w:val="21"/>
              </w:rPr>
            </w:pPr>
          </w:p>
        </w:tc>
        <w:tc>
          <w:tcPr>
            <w:tcW w:w="899" w:type="dxa"/>
            <w:vMerge w:val="continue"/>
            <w:tcBorders>
              <w:left w:val="single" w:color="000000" w:sz="4" w:space="0"/>
              <w:bottom w:val="single" w:color="000000" w:sz="4" w:space="0"/>
              <w:right w:val="single" w:color="000000" w:sz="4" w:space="0"/>
            </w:tcBorders>
            <w:vAlign w:val="center"/>
          </w:tcPr>
          <w:p w14:paraId="672400F6">
            <w:pPr>
              <w:jc w:val="center"/>
              <w:rPr>
                <w:rFonts w:eastAsiaTheme="minorEastAsia"/>
                <w:color w:val="000000" w:themeColor="text1"/>
                <w:szCs w:val="21"/>
              </w:rPr>
            </w:pPr>
          </w:p>
        </w:tc>
        <w:tc>
          <w:tcPr>
            <w:tcW w:w="4961" w:type="dxa"/>
            <w:gridSpan w:val="2"/>
            <w:tcBorders>
              <w:top w:val="single" w:color="000000" w:sz="4" w:space="0"/>
              <w:left w:val="single" w:color="000000" w:sz="4" w:space="0"/>
              <w:bottom w:val="single" w:color="000000" w:sz="4" w:space="0"/>
              <w:right w:val="single" w:color="000000" w:sz="4" w:space="0"/>
            </w:tcBorders>
            <w:vAlign w:val="center"/>
          </w:tcPr>
          <w:p w14:paraId="6A41677A">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附件</w:t>
            </w:r>
          </w:p>
        </w:tc>
        <w:tc>
          <w:tcPr>
            <w:tcW w:w="615" w:type="dxa"/>
            <w:tcBorders>
              <w:top w:val="single" w:color="000000" w:sz="4" w:space="0"/>
              <w:left w:val="single" w:color="000000" w:sz="4" w:space="0"/>
              <w:bottom w:val="single" w:color="000000" w:sz="4" w:space="0"/>
              <w:right w:val="single" w:color="000000" w:sz="4" w:space="0"/>
            </w:tcBorders>
            <w:vAlign w:val="center"/>
          </w:tcPr>
          <w:p w14:paraId="0927153A">
            <w:pPr>
              <w:kinsoku w:val="0"/>
              <w:overflowPunct w:val="0"/>
              <w:autoSpaceDE w:val="0"/>
              <w:autoSpaceDN w:val="0"/>
              <w:adjustRightInd w:val="0"/>
              <w:jc w:val="center"/>
              <w:rPr>
                <w:rFonts w:eastAsiaTheme="minorEastAsia"/>
                <w:color w:val="000000" w:themeColor="text1"/>
                <w:kern w:val="0"/>
                <w:szCs w:val="21"/>
              </w:rPr>
            </w:pPr>
            <w:r>
              <w:rPr>
                <w:rFonts w:eastAsiaTheme="minorEastAsia"/>
                <w:color w:val="000000" w:themeColor="text1"/>
                <w:kern w:val="0"/>
                <w:szCs w:val="21"/>
              </w:rPr>
              <w:t>份</w:t>
            </w:r>
          </w:p>
        </w:tc>
        <w:tc>
          <w:tcPr>
            <w:tcW w:w="1699" w:type="dxa"/>
            <w:tcBorders>
              <w:top w:val="single" w:color="000000" w:sz="4" w:space="0"/>
              <w:left w:val="single" w:color="000000" w:sz="4" w:space="0"/>
              <w:bottom w:val="single" w:color="000000" w:sz="4" w:space="0"/>
              <w:right w:val="single" w:color="000000" w:sz="4" w:space="0"/>
            </w:tcBorders>
            <w:vAlign w:val="center"/>
          </w:tcPr>
          <w:p w14:paraId="26A500F8">
            <w:pPr>
              <w:kinsoku w:val="0"/>
              <w:overflowPunct w:val="0"/>
              <w:autoSpaceDE w:val="0"/>
              <w:autoSpaceDN w:val="0"/>
              <w:adjustRightInd w:val="0"/>
              <w:jc w:val="center"/>
              <w:rPr>
                <w:color w:val="000000" w:themeColor="text1"/>
                <w:kern w:val="0"/>
                <w:szCs w:val="21"/>
              </w:rPr>
            </w:pPr>
            <w:r>
              <w:rPr>
                <w:color w:val="000000" w:themeColor="text1"/>
                <w:kern w:val="0"/>
                <w:szCs w:val="21"/>
              </w:rPr>
              <w:t>1</w:t>
            </w:r>
          </w:p>
        </w:tc>
      </w:tr>
    </w:tbl>
    <w:p w14:paraId="5903A5CE">
      <w:pPr>
        <w:keepNext/>
        <w:keepLines/>
        <w:pageBreakBefore/>
        <w:tabs>
          <w:tab w:val="left" w:pos="284"/>
        </w:tabs>
        <w:spacing w:before="340" w:after="240" w:line="360" w:lineRule="auto"/>
        <w:jc w:val="center"/>
        <w:outlineLvl w:val="0"/>
        <w:rPr>
          <w:b/>
          <w:bCs/>
          <w:kern w:val="44"/>
          <w:sz w:val="32"/>
          <w:szCs w:val="32"/>
        </w:rPr>
      </w:pPr>
      <w:bookmarkStart w:id="36" w:name="_Toc481328137"/>
      <w:bookmarkStart w:id="37" w:name="_Toc43851613"/>
      <w:r>
        <w:rPr>
          <w:b/>
          <w:bCs/>
          <w:kern w:val="44"/>
          <w:sz w:val="32"/>
          <w:szCs w:val="32"/>
        </w:rPr>
        <w:t>第一章矿山基本情况</w:t>
      </w:r>
      <w:bookmarkEnd w:id="36"/>
      <w:bookmarkEnd w:id="37"/>
    </w:p>
    <w:p w14:paraId="2234A4C1">
      <w:pPr>
        <w:keepNext/>
        <w:keepLines/>
        <w:adjustRightInd w:val="0"/>
        <w:spacing w:beforeLines="50" w:afterLines="50" w:line="360" w:lineRule="auto"/>
        <w:jc w:val="left"/>
        <w:textAlignment w:val="baseline"/>
        <w:outlineLvl w:val="0"/>
        <w:rPr>
          <w:kern w:val="0"/>
          <w:sz w:val="30"/>
          <w:szCs w:val="30"/>
        </w:rPr>
      </w:pPr>
      <w:bookmarkStart w:id="38" w:name="_Toc43851614"/>
      <w:bookmarkStart w:id="39" w:name="_Toc481328138"/>
      <w:r>
        <w:rPr>
          <w:kern w:val="0"/>
          <w:sz w:val="30"/>
          <w:szCs w:val="30"/>
        </w:rPr>
        <w:t>一、矿山简介</w:t>
      </w:r>
      <w:bookmarkEnd w:id="38"/>
      <w:bookmarkEnd w:id="39"/>
    </w:p>
    <w:p w14:paraId="152451F5">
      <w:pPr>
        <w:pStyle w:val="5"/>
        <w:spacing w:beforeLines="50" w:afterLines="50" w:line="360" w:lineRule="auto"/>
        <w:rPr>
          <w:b w:val="0"/>
          <w:sz w:val="28"/>
          <w:szCs w:val="28"/>
        </w:rPr>
      </w:pPr>
      <w:bookmarkStart w:id="40" w:name="_Toc43851615"/>
      <w:r>
        <w:rPr>
          <w:b w:val="0"/>
          <w:sz w:val="28"/>
          <w:szCs w:val="28"/>
        </w:rPr>
        <w:t>（一）地理位置</w:t>
      </w:r>
      <w:bookmarkEnd w:id="40"/>
    </w:p>
    <w:p w14:paraId="14FA41A0">
      <w:pPr>
        <w:widowControl/>
        <w:spacing w:line="360" w:lineRule="auto"/>
        <w:ind w:firstLine="480" w:firstLineChars="200"/>
        <w:textAlignment w:val="baseline"/>
        <w:rPr>
          <w:sz w:val="24"/>
        </w:rPr>
      </w:pPr>
      <w:r>
        <w:rPr>
          <w:sz w:val="24"/>
        </w:rPr>
        <w:t>紫兰建材厂砖瓦用页岩矿位于广元市255°方向，直距约15km的宝轮镇境内，矿区中心点地理坐标：东经：105°38′38.7″，北纬：32°23′57.1″。矿区有便道通往宝轮镇及其周边城镇，交通运输较为方便（见交通位置图）。</w:t>
      </w:r>
    </w:p>
    <w:p w14:paraId="71B73680">
      <w:pPr>
        <w:jc w:val="center"/>
        <w:rPr>
          <w:rFonts w:eastAsiaTheme="minorEastAsia"/>
          <w:b/>
          <w:szCs w:val="21"/>
        </w:rPr>
      </w:pPr>
      <w:r>
        <w:rPr>
          <w:rFonts w:eastAsiaTheme="minorEastAsia"/>
          <w:b/>
          <w:szCs w:val="21"/>
        </w:rPr>
        <w:drawing>
          <wp:inline distT="0" distB="0" distL="0" distR="0">
            <wp:extent cx="5525770" cy="4142105"/>
            <wp:effectExtent l="0" t="0" r="0" b="0"/>
            <wp:docPr id="6" name="图片 6" descr="广元市交通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广元市交通图"/>
                    <pic:cNvPicPr>
                      <a:picLocks noChangeAspect="1" noChangeArrowheads="1"/>
                    </pic:cNvPicPr>
                  </pic:nvPicPr>
                  <pic:blipFill>
                    <a:blip r:embed="rId13" cstate="print">
                      <a:extLst>
                        <a:ext uri="{28A0092B-C50C-407E-A947-70E740481C1C}">
                          <a14:useLocalDpi xmlns:a14="http://schemas.microsoft.com/office/drawing/2010/main" val="0"/>
                        </a:ext>
                      </a:extLst>
                    </a:blip>
                    <a:srcRect l="2454" t="2868" r="8507" b="3534"/>
                    <a:stretch>
                      <a:fillRect/>
                    </a:stretch>
                  </pic:blipFill>
                  <pic:spPr>
                    <a:xfrm>
                      <a:off x="0" y="0"/>
                      <a:ext cx="5531059" cy="4146327"/>
                    </a:xfrm>
                    <a:prstGeom prst="rect">
                      <a:avLst/>
                    </a:prstGeom>
                    <a:noFill/>
                    <a:ln>
                      <a:noFill/>
                    </a:ln>
                  </pic:spPr>
                </pic:pic>
              </a:graphicData>
            </a:graphic>
          </wp:inline>
        </w:drawing>
      </w:r>
    </w:p>
    <w:p w14:paraId="0140B929">
      <w:pPr>
        <w:jc w:val="center"/>
        <w:rPr>
          <w:rFonts w:eastAsiaTheme="minorEastAsia"/>
          <w:b/>
          <w:szCs w:val="21"/>
        </w:rPr>
      </w:pPr>
      <w:r>
        <w:rPr>
          <w:rFonts w:eastAsiaTheme="minorEastAsia"/>
          <w:b/>
          <w:szCs w:val="21"/>
        </w:rPr>
        <w:t>图1-1  矿区交通位置图</w:t>
      </w:r>
    </w:p>
    <w:p w14:paraId="2A0D101D">
      <w:pPr>
        <w:pStyle w:val="5"/>
        <w:spacing w:beforeLines="50" w:afterLines="50" w:line="360" w:lineRule="auto"/>
        <w:rPr>
          <w:b w:val="0"/>
          <w:sz w:val="28"/>
          <w:szCs w:val="28"/>
        </w:rPr>
      </w:pPr>
      <w:bookmarkStart w:id="41" w:name="_Toc43851616"/>
      <w:r>
        <w:rPr>
          <w:b w:val="0"/>
          <w:sz w:val="28"/>
          <w:szCs w:val="28"/>
        </w:rPr>
        <w:t>（二）矿山概况</w:t>
      </w:r>
      <w:bookmarkEnd w:id="41"/>
    </w:p>
    <w:p w14:paraId="5969C1A8">
      <w:pPr>
        <w:spacing w:line="360" w:lineRule="auto"/>
        <w:ind w:firstLine="480" w:firstLineChars="200"/>
        <w:rPr>
          <w:sz w:val="24"/>
        </w:rPr>
      </w:pPr>
      <w:r>
        <w:rPr>
          <w:sz w:val="24"/>
        </w:rPr>
        <w:t>矿山名称：广元市利州区紫兰建材厂；</w:t>
      </w:r>
    </w:p>
    <w:p w14:paraId="50189713">
      <w:pPr>
        <w:spacing w:line="360" w:lineRule="auto"/>
        <w:ind w:firstLine="480" w:firstLineChars="200"/>
        <w:rPr>
          <w:sz w:val="24"/>
          <w:lang w:val="zh-CN"/>
        </w:rPr>
      </w:pPr>
      <w:r>
        <w:rPr>
          <w:sz w:val="24"/>
          <w:lang w:val="zh-CN"/>
        </w:rPr>
        <w:t>开采矿种：</w:t>
      </w:r>
      <w:r>
        <w:rPr>
          <w:sz w:val="24"/>
        </w:rPr>
        <w:t>砖瓦用页岩矿</w:t>
      </w:r>
      <w:r>
        <w:rPr>
          <w:sz w:val="24"/>
          <w:lang w:val="zh-CN"/>
        </w:rPr>
        <w:t>；</w:t>
      </w:r>
    </w:p>
    <w:p w14:paraId="18686CBC">
      <w:pPr>
        <w:spacing w:line="360" w:lineRule="auto"/>
        <w:ind w:firstLine="480" w:firstLineChars="200"/>
        <w:rPr>
          <w:sz w:val="24"/>
          <w:lang w:val="zh-CN"/>
        </w:rPr>
      </w:pPr>
      <w:r>
        <w:rPr>
          <w:sz w:val="24"/>
          <w:lang w:val="zh-CN"/>
        </w:rPr>
        <w:t>采矿权人：广元市利州区紫兰建材厂；</w:t>
      </w:r>
    </w:p>
    <w:p w14:paraId="0A3625A1">
      <w:pPr>
        <w:spacing w:line="360" w:lineRule="auto"/>
        <w:ind w:firstLine="480" w:firstLineChars="200"/>
        <w:rPr>
          <w:sz w:val="24"/>
          <w:lang w:val="zh-CN"/>
        </w:rPr>
      </w:pPr>
      <w:r>
        <w:rPr>
          <w:sz w:val="24"/>
          <w:lang w:val="zh-CN"/>
        </w:rPr>
        <w:t>采矿许可证号：C5108022009057130017749</w:t>
      </w:r>
    </w:p>
    <w:p w14:paraId="1BFA6096">
      <w:pPr>
        <w:spacing w:line="360" w:lineRule="auto"/>
        <w:ind w:firstLine="480" w:firstLineChars="200"/>
        <w:rPr>
          <w:sz w:val="24"/>
          <w:lang w:val="zh-CN"/>
        </w:rPr>
      </w:pPr>
      <w:r>
        <w:rPr>
          <w:sz w:val="24"/>
          <w:lang w:val="zh-CN"/>
        </w:rPr>
        <w:t>经济类型：私营合伙企业；</w:t>
      </w:r>
    </w:p>
    <w:p w14:paraId="2607ECFE">
      <w:pPr>
        <w:spacing w:line="360" w:lineRule="auto"/>
        <w:ind w:firstLine="480" w:firstLineChars="200"/>
        <w:rPr>
          <w:sz w:val="24"/>
          <w:lang w:val="zh-CN"/>
        </w:rPr>
      </w:pPr>
      <w:r>
        <w:rPr>
          <w:sz w:val="24"/>
          <w:lang w:val="zh-CN"/>
        </w:rPr>
        <w:t>采矿权设范围：本矿山矿区面积为0.0206km</w:t>
      </w:r>
      <w:r>
        <w:rPr>
          <w:sz w:val="24"/>
          <w:vertAlign w:val="superscript"/>
          <w:lang w:val="zh-CN"/>
        </w:rPr>
        <w:t>2</w:t>
      </w:r>
      <w:r>
        <w:rPr>
          <w:sz w:val="24"/>
          <w:lang w:val="zh-CN"/>
        </w:rPr>
        <w:t>，矿区位于四川省广元市利州区宝轮镇紫兰社区；</w:t>
      </w:r>
    </w:p>
    <w:p w14:paraId="2621F1CE">
      <w:pPr>
        <w:spacing w:line="360" w:lineRule="auto"/>
        <w:ind w:firstLine="480" w:firstLineChars="200"/>
        <w:rPr>
          <w:sz w:val="24"/>
          <w:lang w:val="zh-CN"/>
        </w:rPr>
      </w:pPr>
      <w:r>
        <w:rPr>
          <w:sz w:val="24"/>
          <w:lang w:val="zh-CN"/>
        </w:rPr>
        <w:t>矿山开采规模：4.0万t/a；</w:t>
      </w:r>
    </w:p>
    <w:p w14:paraId="754E1ADE">
      <w:pPr>
        <w:spacing w:line="360" w:lineRule="auto"/>
        <w:ind w:firstLine="480" w:firstLineChars="200"/>
        <w:rPr>
          <w:sz w:val="24"/>
          <w:lang w:val="zh-CN"/>
        </w:rPr>
      </w:pPr>
      <w:r>
        <w:rPr>
          <w:sz w:val="24"/>
          <w:lang w:val="zh-CN"/>
        </w:rPr>
        <w:t>矿山开采方式：露天开采；</w:t>
      </w:r>
    </w:p>
    <w:p w14:paraId="64EA61CA">
      <w:pPr>
        <w:spacing w:line="360" w:lineRule="auto"/>
        <w:ind w:firstLine="480" w:firstLineChars="200"/>
        <w:rPr>
          <w:sz w:val="24"/>
          <w:lang w:val="zh-CN"/>
        </w:rPr>
      </w:pPr>
      <w:r>
        <w:rPr>
          <w:sz w:val="24"/>
          <w:lang w:val="zh-CN"/>
        </w:rPr>
        <w:t>矿山设计标高：+565～+535m；</w:t>
      </w:r>
    </w:p>
    <w:p w14:paraId="2304B40A">
      <w:pPr>
        <w:autoSpaceDE w:val="0"/>
        <w:autoSpaceDN w:val="0"/>
        <w:adjustRightInd w:val="0"/>
        <w:spacing w:line="360" w:lineRule="auto"/>
        <w:ind w:firstLine="480"/>
        <w:rPr>
          <w:rFonts w:eastAsiaTheme="minorEastAsia"/>
          <w:sz w:val="24"/>
          <w:lang w:val="en-GB"/>
        </w:rPr>
      </w:pPr>
      <w:r>
        <w:rPr>
          <w:sz w:val="24"/>
          <w:lang w:val="zh-CN"/>
        </w:rPr>
        <w:t>广元市利州区紫兰建材厂</w:t>
      </w:r>
      <w:r>
        <w:rPr>
          <w:rFonts w:eastAsiaTheme="minorEastAsia"/>
          <w:sz w:val="24"/>
        </w:rPr>
        <w:t>地面场地包括：工业广场和边坡区部分组成。</w:t>
      </w:r>
    </w:p>
    <w:p w14:paraId="3ACAAA92">
      <w:pPr>
        <w:jc w:val="center"/>
        <w:rPr>
          <w:sz w:val="24"/>
          <w:shd w:val="pct15" w:color="auto" w:fill="FFFFFF"/>
          <w:lang w:val="en-GB"/>
        </w:rPr>
      </w:pPr>
      <w:r>
        <w:rPr>
          <w:sz w:val="24"/>
          <w:shd w:val="pct15" w:color="auto" w:fill="FFFFFF"/>
        </w:rPr>
        <w:drawing>
          <wp:inline distT="0" distB="0" distL="0" distR="0">
            <wp:extent cx="5708015" cy="5033010"/>
            <wp:effectExtent l="0" t="0" r="0" b="0"/>
            <wp:docPr id="7" name="图片 7" descr="C:\Users\123\Desktop\00宝轮总平面布置图插图\00宝轮总平面布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23\Desktop\00宝轮总平面布置图插图\00宝轮总平面布置图.JPG"/>
                    <pic:cNvPicPr>
                      <a:picLocks noChangeAspect="1" noChangeArrowheads="1"/>
                    </pic:cNvPicPr>
                  </pic:nvPicPr>
                  <pic:blipFill>
                    <a:blip r:embed="rId14" cstate="print">
                      <a:extLst>
                        <a:ext uri="{28A0092B-C50C-407E-A947-70E740481C1C}">
                          <a14:useLocalDpi xmlns:a14="http://schemas.microsoft.com/office/drawing/2010/main" val="0"/>
                        </a:ext>
                      </a:extLst>
                    </a:blip>
                    <a:srcRect r="4993"/>
                    <a:stretch>
                      <a:fillRect/>
                    </a:stretch>
                  </pic:blipFill>
                  <pic:spPr>
                    <a:xfrm>
                      <a:off x="0" y="0"/>
                      <a:ext cx="5711930" cy="5036079"/>
                    </a:xfrm>
                    <a:prstGeom prst="rect">
                      <a:avLst/>
                    </a:prstGeom>
                    <a:noFill/>
                    <a:ln>
                      <a:noFill/>
                    </a:ln>
                  </pic:spPr>
                </pic:pic>
              </a:graphicData>
            </a:graphic>
          </wp:inline>
        </w:drawing>
      </w:r>
    </w:p>
    <w:p w14:paraId="618A6448">
      <w:pPr>
        <w:jc w:val="center"/>
        <w:rPr>
          <w:rFonts w:eastAsiaTheme="minorEastAsia"/>
          <w:b/>
          <w:szCs w:val="21"/>
        </w:rPr>
      </w:pPr>
      <w:r>
        <w:rPr>
          <w:rFonts w:eastAsiaTheme="minorEastAsia"/>
          <w:b/>
          <w:szCs w:val="21"/>
        </w:rPr>
        <w:t>图1-2  矿山总平面布置图</w:t>
      </w:r>
    </w:p>
    <w:p w14:paraId="6D262467">
      <w:pPr>
        <w:keepNext/>
        <w:keepLines/>
        <w:adjustRightInd w:val="0"/>
        <w:spacing w:beforeLines="50" w:afterLines="50" w:line="360" w:lineRule="auto"/>
        <w:jc w:val="left"/>
        <w:textAlignment w:val="baseline"/>
        <w:outlineLvl w:val="0"/>
        <w:rPr>
          <w:kern w:val="0"/>
          <w:sz w:val="30"/>
          <w:szCs w:val="30"/>
        </w:rPr>
      </w:pPr>
      <w:bookmarkStart w:id="42" w:name="_Toc43851617"/>
      <w:bookmarkStart w:id="43" w:name="_Toc481328139"/>
      <w:r>
        <w:rPr>
          <w:kern w:val="0"/>
          <w:sz w:val="30"/>
          <w:szCs w:val="30"/>
        </w:rPr>
        <w:t>二、矿区范围及拐点坐标</w:t>
      </w:r>
      <w:bookmarkEnd w:id="42"/>
      <w:bookmarkEnd w:id="43"/>
    </w:p>
    <w:p w14:paraId="6D02D1FE">
      <w:pPr>
        <w:spacing w:line="360" w:lineRule="auto"/>
        <w:ind w:firstLine="480" w:firstLineChars="200"/>
        <w:rPr>
          <w:sz w:val="24"/>
          <w:lang w:val="zh-CN"/>
        </w:rPr>
      </w:pPr>
      <w:r>
        <w:rPr>
          <w:sz w:val="24"/>
          <w:lang w:val="zh-CN"/>
        </w:rPr>
        <w:t>广元市利州区紫兰建材厂开采矿种为砖瓦用页岩，开采方式为露天开采，生产规模为4.0万吨/年，矿区面积0.0206km</w:t>
      </w:r>
      <w:r>
        <w:rPr>
          <w:sz w:val="24"/>
          <w:vertAlign w:val="superscript"/>
          <w:lang w:val="zh-CN"/>
        </w:rPr>
        <w:t>2</w:t>
      </w:r>
      <w:r>
        <w:rPr>
          <w:sz w:val="24"/>
          <w:lang w:val="zh-CN"/>
        </w:rPr>
        <w:t>，开采深度为+565～+535m，矿区范围由4个拐点圈定（详细坐标拐点见表1-1）。</w:t>
      </w:r>
    </w:p>
    <w:p w14:paraId="68E14F29">
      <w:pPr>
        <w:jc w:val="center"/>
        <w:rPr>
          <w:rFonts w:eastAsiaTheme="minorEastAsia"/>
          <w:b/>
          <w:szCs w:val="21"/>
        </w:rPr>
      </w:pPr>
      <w:r>
        <w:rPr>
          <w:rFonts w:eastAsiaTheme="minorEastAsia"/>
          <w:b/>
          <w:szCs w:val="21"/>
        </w:rPr>
        <w:t>表1-1矿区范围拐点坐标表</w:t>
      </w:r>
    </w:p>
    <w:tbl>
      <w:tblPr>
        <w:tblStyle w:val="29"/>
        <w:tblW w:w="7082" w:type="dxa"/>
        <w:jc w:val="center"/>
        <w:tblLayout w:type="autofit"/>
        <w:tblCellMar>
          <w:top w:w="0" w:type="dxa"/>
          <w:left w:w="108" w:type="dxa"/>
          <w:bottom w:w="0" w:type="dxa"/>
          <w:right w:w="108" w:type="dxa"/>
        </w:tblCellMar>
      </w:tblPr>
      <w:tblGrid>
        <w:gridCol w:w="1720"/>
        <w:gridCol w:w="2681"/>
        <w:gridCol w:w="2681"/>
      </w:tblGrid>
      <w:tr w14:paraId="04557216">
        <w:tblPrEx>
          <w:tblCellMar>
            <w:top w:w="0" w:type="dxa"/>
            <w:left w:w="108" w:type="dxa"/>
            <w:bottom w:w="0" w:type="dxa"/>
            <w:right w:w="108" w:type="dxa"/>
          </w:tblCellMar>
        </w:tblPrEx>
        <w:trPr>
          <w:trHeight w:val="237" w:hRule="atLeast"/>
          <w:jc w:val="center"/>
        </w:trPr>
        <w:tc>
          <w:tcPr>
            <w:tcW w:w="7082" w:type="dxa"/>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48693D28">
            <w:pPr>
              <w:widowControl/>
              <w:jc w:val="center"/>
              <w:rPr>
                <w:color w:val="000000"/>
                <w:kern w:val="0"/>
                <w:szCs w:val="21"/>
              </w:rPr>
            </w:pPr>
            <w:bookmarkStart w:id="44" w:name="_Toc481328142"/>
            <w:r>
              <w:rPr>
                <w:color w:val="000000"/>
                <w:kern w:val="0"/>
                <w:szCs w:val="21"/>
              </w:rPr>
              <w:t>西安80坐标</w:t>
            </w:r>
          </w:p>
        </w:tc>
      </w:tr>
      <w:tr w14:paraId="68077992">
        <w:tblPrEx>
          <w:tblCellMar>
            <w:top w:w="0" w:type="dxa"/>
            <w:left w:w="108" w:type="dxa"/>
            <w:bottom w:w="0" w:type="dxa"/>
            <w:right w:w="108" w:type="dxa"/>
          </w:tblCellMar>
        </w:tblPrEx>
        <w:trPr>
          <w:trHeight w:val="226" w:hRule="atLeast"/>
          <w:jc w:val="center"/>
        </w:trPr>
        <w:tc>
          <w:tcPr>
            <w:tcW w:w="1720" w:type="dxa"/>
            <w:tcBorders>
              <w:top w:val="nil"/>
              <w:left w:val="single" w:color="auto" w:sz="4" w:space="0"/>
              <w:bottom w:val="single" w:color="auto" w:sz="4" w:space="0"/>
              <w:right w:val="single" w:color="auto" w:sz="4" w:space="0"/>
            </w:tcBorders>
            <w:shd w:val="clear" w:color="auto" w:fill="auto"/>
            <w:noWrap/>
            <w:vAlign w:val="center"/>
          </w:tcPr>
          <w:p w14:paraId="779DA256">
            <w:pPr>
              <w:widowControl/>
              <w:jc w:val="center"/>
              <w:rPr>
                <w:color w:val="000000"/>
                <w:kern w:val="0"/>
                <w:szCs w:val="21"/>
              </w:rPr>
            </w:pPr>
            <w:r>
              <w:rPr>
                <w:color w:val="000000"/>
                <w:kern w:val="0"/>
                <w:szCs w:val="21"/>
              </w:rPr>
              <w:t>拐点号</w:t>
            </w:r>
          </w:p>
        </w:tc>
        <w:tc>
          <w:tcPr>
            <w:tcW w:w="2681" w:type="dxa"/>
            <w:tcBorders>
              <w:top w:val="nil"/>
              <w:left w:val="nil"/>
              <w:bottom w:val="single" w:color="auto" w:sz="4" w:space="0"/>
              <w:right w:val="single" w:color="auto" w:sz="4" w:space="0"/>
            </w:tcBorders>
            <w:shd w:val="clear" w:color="auto" w:fill="auto"/>
            <w:noWrap/>
            <w:vAlign w:val="center"/>
          </w:tcPr>
          <w:p w14:paraId="4389B569">
            <w:pPr>
              <w:widowControl/>
              <w:jc w:val="center"/>
              <w:rPr>
                <w:color w:val="000000"/>
                <w:kern w:val="0"/>
                <w:szCs w:val="21"/>
              </w:rPr>
            </w:pPr>
            <w:r>
              <w:rPr>
                <w:color w:val="000000"/>
                <w:kern w:val="0"/>
                <w:szCs w:val="21"/>
              </w:rPr>
              <w:t>X</w:t>
            </w:r>
          </w:p>
        </w:tc>
        <w:tc>
          <w:tcPr>
            <w:tcW w:w="2681" w:type="dxa"/>
            <w:tcBorders>
              <w:top w:val="nil"/>
              <w:left w:val="nil"/>
              <w:bottom w:val="single" w:color="auto" w:sz="4" w:space="0"/>
              <w:right w:val="single" w:color="auto" w:sz="4" w:space="0"/>
            </w:tcBorders>
            <w:shd w:val="clear" w:color="auto" w:fill="auto"/>
            <w:noWrap/>
            <w:vAlign w:val="center"/>
          </w:tcPr>
          <w:p w14:paraId="3E2F8111">
            <w:pPr>
              <w:widowControl/>
              <w:jc w:val="center"/>
              <w:rPr>
                <w:color w:val="000000"/>
                <w:kern w:val="0"/>
                <w:szCs w:val="21"/>
              </w:rPr>
            </w:pPr>
            <w:r>
              <w:rPr>
                <w:color w:val="000000"/>
                <w:kern w:val="0"/>
                <w:szCs w:val="21"/>
              </w:rPr>
              <w:t>Y</w:t>
            </w:r>
          </w:p>
        </w:tc>
      </w:tr>
      <w:tr w14:paraId="144623DD">
        <w:tblPrEx>
          <w:tblCellMar>
            <w:top w:w="0" w:type="dxa"/>
            <w:left w:w="108" w:type="dxa"/>
            <w:bottom w:w="0" w:type="dxa"/>
            <w:right w:w="108" w:type="dxa"/>
          </w:tblCellMar>
        </w:tblPrEx>
        <w:trPr>
          <w:trHeight w:val="226" w:hRule="atLeast"/>
          <w:jc w:val="center"/>
        </w:trPr>
        <w:tc>
          <w:tcPr>
            <w:tcW w:w="1720" w:type="dxa"/>
            <w:tcBorders>
              <w:top w:val="nil"/>
              <w:left w:val="single" w:color="auto" w:sz="4" w:space="0"/>
              <w:bottom w:val="single" w:color="auto" w:sz="4" w:space="0"/>
              <w:right w:val="single" w:color="auto" w:sz="4" w:space="0"/>
            </w:tcBorders>
            <w:shd w:val="clear" w:color="auto" w:fill="auto"/>
            <w:noWrap/>
            <w:vAlign w:val="center"/>
          </w:tcPr>
          <w:p w14:paraId="1CFB1633">
            <w:pPr>
              <w:widowControl/>
              <w:jc w:val="center"/>
              <w:rPr>
                <w:color w:val="000000"/>
                <w:kern w:val="0"/>
                <w:szCs w:val="21"/>
              </w:rPr>
            </w:pPr>
            <w:r>
              <w:rPr>
                <w:color w:val="000000"/>
                <w:kern w:val="0"/>
                <w:szCs w:val="21"/>
              </w:rPr>
              <w:t>1</w:t>
            </w:r>
          </w:p>
        </w:tc>
        <w:tc>
          <w:tcPr>
            <w:tcW w:w="2681" w:type="dxa"/>
            <w:tcBorders>
              <w:top w:val="nil"/>
              <w:left w:val="nil"/>
              <w:bottom w:val="single" w:color="auto" w:sz="4" w:space="0"/>
              <w:right w:val="single" w:color="auto" w:sz="4" w:space="0"/>
            </w:tcBorders>
            <w:shd w:val="clear" w:color="auto" w:fill="auto"/>
            <w:noWrap/>
          </w:tcPr>
          <w:p w14:paraId="6ED6EAE5">
            <w:pPr>
              <w:jc w:val="center"/>
            </w:pPr>
            <w:r>
              <w:t>3586364.52</w:t>
            </w:r>
          </w:p>
        </w:tc>
        <w:tc>
          <w:tcPr>
            <w:tcW w:w="2681" w:type="dxa"/>
            <w:tcBorders>
              <w:top w:val="nil"/>
              <w:left w:val="nil"/>
              <w:bottom w:val="single" w:color="auto" w:sz="4" w:space="0"/>
              <w:right w:val="single" w:color="auto" w:sz="4" w:space="0"/>
            </w:tcBorders>
            <w:shd w:val="clear" w:color="auto" w:fill="auto"/>
            <w:noWrap/>
          </w:tcPr>
          <w:p w14:paraId="3327D5F8">
            <w:pPr>
              <w:jc w:val="center"/>
            </w:pPr>
            <w:r>
              <w:t>35560574.35</w:t>
            </w:r>
          </w:p>
        </w:tc>
      </w:tr>
      <w:tr w14:paraId="056F4EDE">
        <w:tblPrEx>
          <w:tblCellMar>
            <w:top w:w="0" w:type="dxa"/>
            <w:left w:w="108" w:type="dxa"/>
            <w:bottom w:w="0" w:type="dxa"/>
            <w:right w:w="108" w:type="dxa"/>
          </w:tblCellMar>
        </w:tblPrEx>
        <w:trPr>
          <w:trHeight w:val="226" w:hRule="atLeast"/>
          <w:jc w:val="center"/>
        </w:trPr>
        <w:tc>
          <w:tcPr>
            <w:tcW w:w="1720" w:type="dxa"/>
            <w:tcBorders>
              <w:top w:val="nil"/>
              <w:left w:val="single" w:color="auto" w:sz="4" w:space="0"/>
              <w:bottom w:val="single" w:color="auto" w:sz="4" w:space="0"/>
              <w:right w:val="single" w:color="auto" w:sz="4" w:space="0"/>
            </w:tcBorders>
            <w:shd w:val="clear" w:color="auto" w:fill="auto"/>
            <w:noWrap/>
            <w:vAlign w:val="center"/>
          </w:tcPr>
          <w:p w14:paraId="502E6F9F">
            <w:pPr>
              <w:widowControl/>
              <w:jc w:val="center"/>
              <w:rPr>
                <w:color w:val="000000"/>
                <w:kern w:val="0"/>
                <w:szCs w:val="21"/>
              </w:rPr>
            </w:pPr>
            <w:r>
              <w:rPr>
                <w:color w:val="000000"/>
                <w:kern w:val="0"/>
                <w:szCs w:val="21"/>
              </w:rPr>
              <w:t>2</w:t>
            </w:r>
          </w:p>
        </w:tc>
        <w:tc>
          <w:tcPr>
            <w:tcW w:w="2681" w:type="dxa"/>
            <w:tcBorders>
              <w:top w:val="nil"/>
              <w:left w:val="nil"/>
              <w:bottom w:val="single" w:color="auto" w:sz="4" w:space="0"/>
              <w:right w:val="single" w:color="auto" w:sz="4" w:space="0"/>
            </w:tcBorders>
            <w:shd w:val="clear" w:color="auto" w:fill="auto"/>
            <w:noWrap/>
          </w:tcPr>
          <w:p w14:paraId="0DFE29CA">
            <w:pPr>
              <w:jc w:val="center"/>
            </w:pPr>
            <w:r>
              <w:t>3586304.52</w:t>
            </w:r>
          </w:p>
        </w:tc>
        <w:tc>
          <w:tcPr>
            <w:tcW w:w="2681" w:type="dxa"/>
            <w:tcBorders>
              <w:top w:val="nil"/>
              <w:left w:val="nil"/>
              <w:bottom w:val="single" w:color="auto" w:sz="4" w:space="0"/>
              <w:right w:val="single" w:color="auto" w:sz="4" w:space="0"/>
            </w:tcBorders>
            <w:shd w:val="clear" w:color="auto" w:fill="auto"/>
            <w:noWrap/>
          </w:tcPr>
          <w:p w14:paraId="69A25D37">
            <w:pPr>
              <w:jc w:val="center"/>
            </w:pPr>
            <w:r>
              <w:t>35560630.35</w:t>
            </w:r>
          </w:p>
        </w:tc>
      </w:tr>
      <w:tr w14:paraId="1D232B24">
        <w:tblPrEx>
          <w:tblCellMar>
            <w:top w:w="0" w:type="dxa"/>
            <w:left w:w="108" w:type="dxa"/>
            <w:bottom w:w="0" w:type="dxa"/>
            <w:right w:w="108" w:type="dxa"/>
          </w:tblCellMar>
        </w:tblPrEx>
        <w:trPr>
          <w:trHeight w:val="226" w:hRule="atLeast"/>
          <w:jc w:val="center"/>
        </w:trPr>
        <w:tc>
          <w:tcPr>
            <w:tcW w:w="1720" w:type="dxa"/>
            <w:tcBorders>
              <w:top w:val="nil"/>
              <w:left w:val="single" w:color="auto" w:sz="4" w:space="0"/>
              <w:bottom w:val="single" w:color="auto" w:sz="4" w:space="0"/>
              <w:right w:val="single" w:color="auto" w:sz="4" w:space="0"/>
            </w:tcBorders>
            <w:shd w:val="clear" w:color="auto" w:fill="auto"/>
            <w:noWrap/>
            <w:vAlign w:val="center"/>
          </w:tcPr>
          <w:p w14:paraId="64FD22E8">
            <w:pPr>
              <w:widowControl/>
              <w:jc w:val="center"/>
              <w:rPr>
                <w:color w:val="000000"/>
                <w:kern w:val="0"/>
                <w:szCs w:val="21"/>
              </w:rPr>
            </w:pPr>
            <w:r>
              <w:rPr>
                <w:color w:val="000000"/>
                <w:kern w:val="0"/>
                <w:szCs w:val="21"/>
              </w:rPr>
              <w:t>3</w:t>
            </w:r>
          </w:p>
        </w:tc>
        <w:tc>
          <w:tcPr>
            <w:tcW w:w="2681" w:type="dxa"/>
            <w:tcBorders>
              <w:top w:val="nil"/>
              <w:left w:val="nil"/>
              <w:bottom w:val="single" w:color="auto" w:sz="4" w:space="0"/>
              <w:right w:val="single" w:color="auto" w:sz="4" w:space="0"/>
            </w:tcBorders>
            <w:shd w:val="clear" w:color="auto" w:fill="auto"/>
            <w:noWrap/>
          </w:tcPr>
          <w:p w14:paraId="0290FBBD">
            <w:pPr>
              <w:jc w:val="center"/>
            </w:pPr>
            <w:r>
              <w:t>3586162.52</w:t>
            </w:r>
          </w:p>
        </w:tc>
        <w:tc>
          <w:tcPr>
            <w:tcW w:w="2681" w:type="dxa"/>
            <w:tcBorders>
              <w:top w:val="nil"/>
              <w:left w:val="nil"/>
              <w:bottom w:val="single" w:color="auto" w:sz="4" w:space="0"/>
              <w:right w:val="single" w:color="auto" w:sz="4" w:space="0"/>
            </w:tcBorders>
            <w:shd w:val="clear" w:color="auto" w:fill="auto"/>
            <w:noWrap/>
          </w:tcPr>
          <w:p w14:paraId="3FDB4D6B">
            <w:pPr>
              <w:jc w:val="center"/>
            </w:pPr>
            <w:r>
              <w:t>35560486.35</w:t>
            </w:r>
          </w:p>
        </w:tc>
      </w:tr>
      <w:tr w14:paraId="6A5ED2FC">
        <w:tblPrEx>
          <w:tblCellMar>
            <w:top w:w="0" w:type="dxa"/>
            <w:left w:w="108" w:type="dxa"/>
            <w:bottom w:w="0" w:type="dxa"/>
            <w:right w:w="108" w:type="dxa"/>
          </w:tblCellMar>
        </w:tblPrEx>
        <w:trPr>
          <w:trHeight w:val="226" w:hRule="atLeast"/>
          <w:jc w:val="center"/>
        </w:trPr>
        <w:tc>
          <w:tcPr>
            <w:tcW w:w="1720" w:type="dxa"/>
            <w:tcBorders>
              <w:top w:val="nil"/>
              <w:left w:val="single" w:color="auto" w:sz="4" w:space="0"/>
              <w:bottom w:val="single" w:color="auto" w:sz="4" w:space="0"/>
              <w:right w:val="single" w:color="auto" w:sz="4" w:space="0"/>
            </w:tcBorders>
            <w:shd w:val="clear" w:color="auto" w:fill="auto"/>
            <w:noWrap/>
            <w:vAlign w:val="center"/>
          </w:tcPr>
          <w:p w14:paraId="35054AF0">
            <w:pPr>
              <w:widowControl/>
              <w:jc w:val="center"/>
              <w:rPr>
                <w:color w:val="000000"/>
                <w:kern w:val="0"/>
                <w:szCs w:val="21"/>
              </w:rPr>
            </w:pPr>
            <w:r>
              <w:rPr>
                <w:color w:val="000000"/>
                <w:kern w:val="0"/>
                <w:szCs w:val="21"/>
              </w:rPr>
              <w:t>4</w:t>
            </w:r>
          </w:p>
        </w:tc>
        <w:tc>
          <w:tcPr>
            <w:tcW w:w="2681" w:type="dxa"/>
            <w:tcBorders>
              <w:top w:val="nil"/>
              <w:left w:val="nil"/>
              <w:bottom w:val="single" w:color="auto" w:sz="4" w:space="0"/>
              <w:right w:val="single" w:color="auto" w:sz="4" w:space="0"/>
            </w:tcBorders>
            <w:shd w:val="clear" w:color="auto" w:fill="auto"/>
            <w:noWrap/>
          </w:tcPr>
          <w:p w14:paraId="4B714F85">
            <w:pPr>
              <w:jc w:val="center"/>
            </w:pPr>
            <w:r>
              <w:t>3586332.52</w:t>
            </w:r>
          </w:p>
        </w:tc>
        <w:tc>
          <w:tcPr>
            <w:tcW w:w="2681" w:type="dxa"/>
            <w:tcBorders>
              <w:top w:val="nil"/>
              <w:left w:val="nil"/>
              <w:bottom w:val="single" w:color="auto" w:sz="4" w:space="0"/>
              <w:right w:val="single" w:color="auto" w:sz="4" w:space="0"/>
            </w:tcBorders>
            <w:shd w:val="clear" w:color="auto" w:fill="auto"/>
            <w:noWrap/>
          </w:tcPr>
          <w:p w14:paraId="6B2C96F2">
            <w:pPr>
              <w:jc w:val="center"/>
            </w:pPr>
            <w:r>
              <w:t>35560438.35</w:t>
            </w:r>
          </w:p>
        </w:tc>
      </w:tr>
      <w:tr w14:paraId="66C62BF1">
        <w:tblPrEx>
          <w:tblCellMar>
            <w:top w:w="0" w:type="dxa"/>
            <w:left w:w="108" w:type="dxa"/>
            <w:bottom w:w="0" w:type="dxa"/>
            <w:right w:w="108" w:type="dxa"/>
          </w:tblCellMar>
        </w:tblPrEx>
        <w:trPr>
          <w:trHeight w:val="226" w:hRule="atLeast"/>
          <w:jc w:val="center"/>
        </w:trPr>
        <w:tc>
          <w:tcPr>
            <w:tcW w:w="7082" w:type="dxa"/>
            <w:gridSpan w:val="3"/>
            <w:tcBorders>
              <w:top w:val="single" w:color="auto" w:sz="4" w:space="0"/>
              <w:left w:val="single" w:color="auto" w:sz="4" w:space="0"/>
              <w:bottom w:val="single" w:color="auto" w:sz="4" w:space="0"/>
              <w:right w:val="single" w:color="auto" w:sz="4" w:space="0"/>
            </w:tcBorders>
            <w:shd w:val="clear" w:color="auto" w:fill="auto"/>
            <w:vAlign w:val="center"/>
          </w:tcPr>
          <w:p w14:paraId="3975B3E7">
            <w:pPr>
              <w:widowControl/>
              <w:jc w:val="center"/>
              <w:rPr>
                <w:color w:val="000000"/>
                <w:kern w:val="0"/>
                <w:szCs w:val="21"/>
              </w:rPr>
            </w:pPr>
            <w:r>
              <w:rPr>
                <w:color w:val="000000"/>
                <w:kern w:val="0"/>
                <w:szCs w:val="21"/>
              </w:rPr>
              <w:t>矿区面积：0.0206平方公里；开采标高：+545m至500m。</w:t>
            </w:r>
          </w:p>
        </w:tc>
      </w:tr>
    </w:tbl>
    <w:p w14:paraId="436A979E">
      <w:pPr>
        <w:spacing w:line="360" w:lineRule="auto"/>
        <w:ind w:firstLine="632" w:firstLineChars="300"/>
        <w:jc w:val="left"/>
        <w:rPr>
          <w:b/>
          <w:szCs w:val="21"/>
          <w:lang w:val="zh-CN"/>
        </w:rPr>
      </w:pPr>
      <w:r>
        <w:rPr>
          <w:b/>
          <w:szCs w:val="21"/>
          <w:lang w:val="zh-CN"/>
        </w:rPr>
        <w:t>本矿无矿权争议，不存在矿权纠纷。</w:t>
      </w:r>
    </w:p>
    <w:p w14:paraId="07DE5CC8">
      <w:pPr>
        <w:keepNext/>
        <w:keepLines/>
        <w:adjustRightInd w:val="0"/>
        <w:spacing w:beforeLines="50" w:afterLines="50" w:line="360" w:lineRule="auto"/>
        <w:jc w:val="left"/>
        <w:textAlignment w:val="baseline"/>
        <w:outlineLvl w:val="0"/>
        <w:rPr>
          <w:kern w:val="0"/>
          <w:sz w:val="30"/>
          <w:szCs w:val="30"/>
        </w:rPr>
      </w:pPr>
      <w:bookmarkStart w:id="45" w:name="_Toc43851618"/>
      <w:r>
        <w:rPr>
          <w:kern w:val="0"/>
          <w:sz w:val="30"/>
          <w:szCs w:val="30"/>
        </w:rPr>
        <w:t>三、矿山开发利用方案概述</w:t>
      </w:r>
      <w:bookmarkEnd w:id="44"/>
      <w:bookmarkEnd w:id="45"/>
    </w:p>
    <w:p w14:paraId="344F91F5">
      <w:pPr>
        <w:spacing w:line="360" w:lineRule="auto"/>
        <w:ind w:firstLine="480" w:firstLineChars="200"/>
        <w:rPr>
          <w:sz w:val="24"/>
          <w:lang w:val="zh-CN"/>
        </w:rPr>
      </w:pPr>
      <w:r>
        <w:rPr>
          <w:sz w:val="24"/>
          <w:lang w:val="zh-CN"/>
        </w:rPr>
        <w:t>根据</w:t>
      </w:r>
      <w:r>
        <w:rPr>
          <w:rFonts w:eastAsiaTheme="minorEastAsia"/>
          <w:kern w:val="28"/>
          <w:sz w:val="24"/>
        </w:rPr>
        <w:t>四川省地质矿产勘查开发局化探队</w:t>
      </w:r>
      <w:r>
        <w:rPr>
          <w:sz w:val="24"/>
          <w:lang w:val="zh-CN"/>
        </w:rPr>
        <w:t>2015年3月编制的《</w:t>
      </w:r>
      <w:r>
        <w:rPr>
          <w:rFonts w:eastAsiaTheme="minorEastAsia"/>
          <w:kern w:val="28"/>
          <w:sz w:val="24"/>
        </w:rPr>
        <w:t>广元市利州区紫兰建材厂砖瓦用页岩矿矿产资源开发利用方案</w:t>
      </w:r>
      <w:r>
        <w:rPr>
          <w:sz w:val="24"/>
          <w:lang w:val="zh-CN"/>
        </w:rPr>
        <w:t>》，其方案主要内容概述为：</w:t>
      </w:r>
    </w:p>
    <w:p w14:paraId="1ADA06CF">
      <w:pPr>
        <w:pStyle w:val="5"/>
        <w:spacing w:beforeLines="50" w:afterLines="50" w:line="360" w:lineRule="auto"/>
        <w:rPr>
          <w:b w:val="0"/>
          <w:sz w:val="28"/>
          <w:szCs w:val="28"/>
        </w:rPr>
      </w:pPr>
      <w:bookmarkStart w:id="46" w:name="_Toc43851619"/>
      <w:r>
        <w:rPr>
          <w:b w:val="0"/>
          <w:sz w:val="28"/>
          <w:szCs w:val="28"/>
        </w:rPr>
        <w:t>（一）矿山矿权范围及开采方式</w:t>
      </w:r>
      <w:bookmarkEnd w:id="46"/>
    </w:p>
    <w:p w14:paraId="08E11840">
      <w:pPr>
        <w:pStyle w:val="43"/>
        <w:numPr>
          <w:ilvl w:val="0"/>
          <w:numId w:val="1"/>
        </w:numPr>
        <w:spacing w:line="360" w:lineRule="auto"/>
        <w:ind w:firstLineChars="0"/>
        <w:rPr>
          <w:sz w:val="24"/>
          <w:lang w:val="zh-CN"/>
        </w:rPr>
      </w:pPr>
      <w:r>
        <w:rPr>
          <w:sz w:val="24"/>
          <w:lang w:val="zh-CN"/>
        </w:rPr>
        <w:t>矿权范围</w:t>
      </w:r>
    </w:p>
    <w:p w14:paraId="3D451511">
      <w:pPr>
        <w:spacing w:line="360" w:lineRule="auto"/>
        <w:ind w:firstLine="480" w:firstLineChars="200"/>
        <w:rPr>
          <w:sz w:val="24"/>
          <w:lang w:val="zh-CN"/>
        </w:rPr>
      </w:pPr>
      <w:r>
        <w:rPr>
          <w:rFonts w:eastAsiaTheme="minorEastAsia"/>
          <w:kern w:val="28"/>
          <w:sz w:val="24"/>
        </w:rPr>
        <w:t>紫兰建材厂砖瓦用页岩矿位于广元市255°方向，直距约15km的宝轮镇境内，矿区中心点地理坐标：东经：105°38′38.7″，北纬：32°23′57.1″</w:t>
      </w:r>
      <w:r>
        <w:rPr>
          <w:sz w:val="24"/>
          <w:lang w:val="zh-CN"/>
        </w:rPr>
        <w:t>。矿区面积0.0206km</w:t>
      </w:r>
      <w:r>
        <w:rPr>
          <w:sz w:val="24"/>
          <w:vertAlign w:val="superscript"/>
          <w:lang w:val="zh-CN"/>
        </w:rPr>
        <w:t>2</w:t>
      </w:r>
      <w:r>
        <w:rPr>
          <w:sz w:val="24"/>
          <w:lang w:val="zh-CN"/>
        </w:rPr>
        <w:t>，开采深度为+565m～+535m。</w:t>
      </w:r>
    </w:p>
    <w:p w14:paraId="1E1A8EBE">
      <w:pPr>
        <w:pStyle w:val="43"/>
        <w:numPr>
          <w:ilvl w:val="0"/>
          <w:numId w:val="1"/>
        </w:numPr>
        <w:spacing w:line="360" w:lineRule="auto"/>
        <w:ind w:firstLineChars="0"/>
        <w:rPr>
          <w:sz w:val="24"/>
          <w:lang w:val="zh-CN"/>
        </w:rPr>
      </w:pPr>
      <w:r>
        <w:rPr>
          <w:sz w:val="24"/>
          <w:lang w:val="zh-CN"/>
        </w:rPr>
        <w:t>开采方式</w:t>
      </w:r>
    </w:p>
    <w:p w14:paraId="4FA69CE6">
      <w:pPr>
        <w:spacing w:line="360" w:lineRule="auto"/>
        <w:ind w:firstLine="480" w:firstLineChars="200"/>
        <w:rPr>
          <w:sz w:val="24"/>
        </w:rPr>
      </w:pPr>
      <w:r>
        <w:rPr>
          <w:sz w:val="24"/>
        </w:rPr>
        <w:t>该区页岩矿产出露面积广，厚度稳定。矿山仅开采该矿体地表浅部，矿山开采技术条件简单，适宜采用露天开采。</w:t>
      </w:r>
    </w:p>
    <w:p w14:paraId="12D6C4DF">
      <w:pPr>
        <w:pStyle w:val="5"/>
        <w:spacing w:beforeLines="50" w:afterLines="50" w:line="360" w:lineRule="auto"/>
        <w:rPr>
          <w:b w:val="0"/>
          <w:sz w:val="28"/>
          <w:szCs w:val="28"/>
        </w:rPr>
      </w:pPr>
      <w:bookmarkStart w:id="47" w:name="_Toc43851620"/>
      <w:r>
        <w:rPr>
          <w:b w:val="0"/>
          <w:sz w:val="28"/>
          <w:szCs w:val="28"/>
        </w:rPr>
        <w:t>（二）矿山储量、年产量及服务年限</w:t>
      </w:r>
      <w:bookmarkEnd w:id="47"/>
    </w:p>
    <w:p w14:paraId="2FB4676B">
      <w:pPr>
        <w:adjustRightInd w:val="0"/>
        <w:snapToGrid w:val="0"/>
        <w:spacing w:line="360" w:lineRule="auto"/>
        <w:ind w:firstLine="480" w:firstLineChars="200"/>
        <w:rPr>
          <w:rFonts w:eastAsiaTheme="minorEastAsia"/>
          <w:kern w:val="28"/>
          <w:sz w:val="24"/>
        </w:rPr>
      </w:pPr>
      <w:r>
        <w:rPr>
          <w:rFonts w:eastAsiaTheme="minorEastAsia"/>
          <w:sz w:val="24"/>
        </w:rPr>
        <w:t>根据矿区实际生产情况，本项目区已于2018年停产，停产时间为采矿证到期时间（2018年5月20日）。本方案为业主为落实四川省自然资源厅相关文件精神和履行复垦责任人义务而补做，因此，本矿山已没有服务文件和手续支撑，矿山服务意义随着采矿证到期而自然废止。</w:t>
      </w:r>
    </w:p>
    <w:p w14:paraId="3B1075E1">
      <w:pPr>
        <w:pStyle w:val="5"/>
        <w:spacing w:beforeLines="50" w:afterLines="50" w:line="360" w:lineRule="auto"/>
        <w:rPr>
          <w:b w:val="0"/>
          <w:sz w:val="28"/>
          <w:szCs w:val="28"/>
        </w:rPr>
      </w:pPr>
      <w:bookmarkStart w:id="48" w:name="_Toc43851621"/>
      <w:r>
        <w:rPr>
          <w:b w:val="0"/>
          <w:sz w:val="28"/>
          <w:szCs w:val="28"/>
        </w:rPr>
        <w:t>（三）矿山工程布局</w:t>
      </w:r>
      <w:bookmarkEnd w:id="48"/>
    </w:p>
    <w:p w14:paraId="38722FFB">
      <w:pPr>
        <w:spacing w:line="360" w:lineRule="auto"/>
        <w:ind w:firstLine="600" w:firstLineChars="250"/>
        <w:rPr>
          <w:sz w:val="24"/>
        </w:rPr>
      </w:pPr>
      <w:r>
        <w:rPr>
          <w:sz w:val="24"/>
        </w:rPr>
        <w:t>本项目矿山主要工程设施包括：工业广场和边坡区。</w:t>
      </w:r>
    </w:p>
    <w:p w14:paraId="0B7A1F8F">
      <w:pPr>
        <w:pStyle w:val="43"/>
        <w:numPr>
          <w:ilvl w:val="0"/>
          <w:numId w:val="2"/>
        </w:numPr>
        <w:spacing w:line="360" w:lineRule="auto"/>
        <w:ind w:firstLineChars="0"/>
        <w:rPr>
          <w:sz w:val="24"/>
          <w:lang w:val="zh-CN"/>
        </w:rPr>
      </w:pPr>
      <w:r>
        <w:rPr>
          <w:sz w:val="24"/>
          <w:lang w:val="zh-CN"/>
        </w:rPr>
        <w:t>工业广场</w:t>
      </w:r>
    </w:p>
    <w:p w14:paraId="360BB364">
      <w:pPr>
        <w:spacing w:line="360" w:lineRule="auto"/>
        <w:ind w:firstLine="480" w:firstLineChars="200"/>
        <w:rPr>
          <w:sz w:val="24"/>
        </w:rPr>
      </w:pPr>
      <w:r>
        <w:rPr>
          <w:sz w:val="24"/>
          <w:lang w:val="zh-CN"/>
        </w:rPr>
        <w:t>工业广场面积约为1.8545hm</w:t>
      </w:r>
      <w:r>
        <w:rPr>
          <w:sz w:val="24"/>
          <w:vertAlign w:val="superscript"/>
          <w:lang w:val="zh-CN"/>
        </w:rPr>
        <w:t>2</w:t>
      </w:r>
      <w:r>
        <w:rPr>
          <w:sz w:val="24"/>
          <w:lang w:val="zh-CN"/>
        </w:rPr>
        <w:t>，业主对持有矿权内矿产不进行开采，制砖原材料来源于周边公司和矿山废料，业主以低价买进用废料来制砖，外购回来后堆放于工业广场西北部，</w:t>
      </w:r>
      <w:r>
        <w:rPr>
          <w:sz w:val="24"/>
        </w:rPr>
        <w:t>工业广场东侧主要为原材料的处理和加工区。本区内包含包括破碎车间，制砖车间。本区内设施场地结构主要为彩钢结构，少部分地面为水泥硬化地面。项目区机砖成品通过乡村道路运出。</w:t>
      </w:r>
    </w:p>
    <w:p w14:paraId="56CBE16A">
      <w:pPr>
        <w:spacing w:line="360" w:lineRule="auto"/>
        <w:ind w:firstLine="480" w:firstLineChars="200"/>
        <w:rPr>
          <w:sz w:val="24"/>
        </w:rPr>
      </w:pPr>
      <w:r>
        <w:rPr>
          <w:sz w:val="24"/>
        </w:rPr>
        <w:t>2、边坡区</w:t>
      </w:r>
    </w:p>
    <w:p w14:paraId="6030C47E">
      <w:pPr>
        <w:spacing w:line="360" w:lineRule="auto"/>
        <w:ind w:firstLine="480" w:firstLineChars="200"/>
        <w:rPr>
          <w:sz w:val="24"/>
        </w:rPr>
      </w:pPr>
      <w:r>
        <w:rPr>
          <w:sz w:val="24"/>
        </w:rPr>
        <w:t>边坡区位于工业广场西侧，占地面积约</w:t>
      </w:r>
      <w:r>
        <w:rPr>
          <w:sz w:val="24"/>
          <w:lang w:val="zh-CN"/>
        </w:rPr>
        <w:t>0.5603hm</w:t>
      </w:r>
      <w:r>
        <w:rPr>
          <w:sz w:val="24"/>
          <w:vertAlign w:val="superscript"/>
          <w:lang w:val="zh-CN"/>
        </w:rPr>
        <w:t>2</w:t>
      </w:r>
      <w:r>
        <w:rPr>
          <w:sz w:val="24"/>
          <w:lang w:val="zh-CN"/>
        </w:rPr>
        <w:t>，边坡区坡度约60°，高度为6-8m。</w:t>
      </w:r>
    </w:p>
    <w:p w14:paraId="45446755">
      <w:pPr>
        <w:pStyle w:val="5"/>
        <w:spacing w:beforeLines="50" w:afterLines="50" w:line="360" w:lineRule="auto"/>
        <w:rPr>
          <w:b w:val="0"/>
          <w:sz w:val="28"/>
          <w:szCs w:val="28"/>
        </w:rPr>
      </w:pPr>
      <w:bookmarkStart w:id="49" w:name="_Toc43851622"/>
      <w:r>
        <w:rPr>
          <w:b w:val="0"/>
          <w:sz w:val="28"/>
          <w:szCs w:val="28"/>
        </w:rPr>
        <w:t>（四）矿山开拓运输方案</w:t>
      </w:r>
      <w:bookmarkEnd w:id="49"/>
    </w:p>
    <w:p w14:paraId="541570BD">
      <w:pPr>
        <w:spacing w:line="360" w:lineRule="auto"/>
        <w:ind w:firstLine="480" w:firstLineChars="200"/>
        <w:rPr>
          <w:sz w:val="24"/>
        </w:rPr>
      </w:pPr>
      <w:r>
        <w:rPr>
          <w:sz w:val="24"/>
        </w:rPr>
        <w:t>矿床从上至下分阶段采用台阶式采矿方法依次逐段开采，矿山开采标高为+565m～+535m，共划分为3个开采阶段（阶段高度均为10m），+565m～+555m阶段为首采阶段，依次为+555m平台、+545m平台、+535m平台，+535m平台为采场最终底部平台。各阶段内根据地形，大致沿北东～南西方向布置回采作业面，总体上从开采平台外侧向边坡一侧推进。</w:t>
      </w:r>
    </w:p>
    <w:p w14:paraId="3E4B5D42">
      <w:pPr>
        <w:spacing w:line="360" w:lineRule="auto"/>
        <w:ind w:firstLine="480" w:firstLineChars="200"/>
        <w:rPr>
          <w:sz w:val="24"/>
        </w:rPr>
      </w:pPr>
      <w:r>
        <w:rPr>
          <w:sz w:val="24"/>
        </w:rPr>
        <w:t>该矿为山坡露天矿，矿山建设规模小，矿区及附近地形较平缓，矿床宜于采用公路运输开拓方案。矿山采场555m、545m、535m水平共3个开采阶段平台，从采场下部的砖厂场地起，修筑矿山公路约80m（见附图一），直达555m水平首采平台，同时形成了其它平台开采的运输系统。其余各阶段边坡上留设安全平台，安全平台最小宽度3m。</w:t>
      </w:r>
    </w:p>
    <w:p w14:paraId="071944CA">
      <w:pPr>
        <w:spacing w:line="360" w:lineRule="auto"/>
        <w:ind w:firstLine="480" w:firstLineChars="200"/>
        <w:rPr>
          <w:sz w:val="24"/>
        </w:rPr>
      </w:pPr>
      <w:r>
        <w:rPr>
          <w:sz w:val="24"/>
        </w:rPr>
        <w:t>采场内应采用小型装载机装车，用汽车或拖拉机运输，外部用汽车运输。</w:t>
      </w:r>
    </w:p>
    <w:p w14:paraId="475AA70E">
      <w:pPr>
        <w:pStyle w:val="5"/>
        <w:spacing w:beforeLines="50" w:afterLines="50" w:line="360" w:lineRule="auto"/>
        <w:rPr>
          <w:b w:val="0"/>
          <w:sz w:val="28"/>
          <w:szCs w:val="28"/>
        </w:rPr>
      </w:pPr>
      <w:bookmarkStart w:id="50" w:name="_Toc43851623"/>
      <w:r>
        <w:rPr>
          <w:b w:val="0"/>
          <w:sz w:val="28"/>
          <w:szCs w:val="28"/>
        </w:rPr>
        <w:t>（五）矿山产品方案</w:t>
      </w:r>
      <w:bookmarkEnd w:id="50"/>
    </w:p>
    <w:p w14:paraId="03826E12">
      <w:pPr>
        <w:spacing w:line="360" w:lineRule="auto"/>
        <w:ind w:firstLine="630"/>
        <w:rPr>
          <w:sz w:val="24"/>
        </w:rPr>
      </w:pPr>
      <w:bookmarkStart w:id="51" w:name="_Toc500227827"/>
      <w:r>
        <w:rPr>
          <w:sz w:val="24"/>
        </w:rPr>
        <w:t>该矿以砖瓦用页岩原矿为产品，砖厂的最终产品方案为机制页岩砖、瓦。</w:t>
      </w:r>
    </w:p>
    <w:p w14:paraId="50809324">
      <w:pPr>
        <w:pStyle w:val="5"/>
        <w:spacing w:beforeLines="50" w:afterLines="50" w:line="360" w:lineRule="auto"/>
        <w:rPr>
          <w:b w:val="0"/>
          <w:sz w:val="28"/>
          <w:szCs w:val="28"/>
        </w:rPr>
      </w:pPr>
      <w:bookmarkStart w:id="52" w:name="_Toc43851624"/>
      <w:r>
        <w:rPr>
          <w:b w:val="0"/>
          <w:sz w:val="28"/>
          <w:szCs w:val="28"/>
        </w:rPr>
        <w:t>（六）矿山</w:t>
      </w:r>
      <w:bookmarkEnd w:id="51"/>
      <w:r>
        <w:rPr>
          <w:b w:val="0"/>
          <w:sz w:val="28"/>
          <w:szCs w:val="28"/>
        </w:rPr>
        <w:t>边坡管理</w:t>
      </w:r>
      <w:bookmarkEnd w:id="52"/>
    </w:p>
    <w:p w14:paraId="52C29868">
      <w:pPr>
        <w:spacing w:line="360" w:lineRule="auto"/>
        <w:ind w:firstLine="480" w:firstLineChars="200"/>
        <w:rPr>
          <w:color w:val="000000" w:themeColor="text1"/>
          <w:sz w:val="24"/>
        </w:rPr>
      </w:pPr>
      <w:r>
        <w:rPr>
          <w:color w:val="000000" w:themeColor="text1"/>
          <w:sz w:val="24"/>
        </w:rPr>
        <w:t>该矿边坡为稳固性较差的页岩，方案编制选取了边坡角30°和阶段坡面角36°。一般情况下，该矿采场边坡比较稳定。但开采过程中不应随意改变边坡的有关参数，主要是最终边坡角、阶段坡面角、阶段高度和安全平台宽度等。矿山对边坡应经常检查，边坡上有浮石危石时要及时清理。</w:t>
      </w:r>
    </w:p>
    <w:p w14:paraId="610F75B0">
      <w:pPr>
        <w:spacing w:line="360" w:lineRule="auto"/>
        <w:ind w:firstLine="480" w:firstLineChars="200"/>
        <w:rPr>
          <w:color w:val="000000" w:themeColor="text1"/>
          <w:sz w:val="24"/>
        </w:rPr>
      </w:pPr>
      <w:r>
        <w:rPr>
          <w:color w:val="000000" w:themeColor="text1"/>
          <w:sz w:val="24"/>
        </w:rPr>
        <w:t>因矿区北侧边坡方向与岩层倾向基本一致，边坡可能沿层面滑动，但由于开采区内面积较大，边坡滑动在其矿区内，对于厂房、村庄、居民、天然气管道等工程设施影响较小，所以危险性较小。</w:t>
      </w:r>
    </w:p>
    <w:p w14:paraId="50008BBC">
      <w:pPr>
        <w:pStyle w:val="5"/>
        <w:spacing w:beforeLines="50" w:afterLines="50" w:line="360" w:lineRule="auto"/>
        <w:rPr>
          <w:b w:val="0"/>
          <w:sz w:val="28"/>
          <w:szCs w:val="28"/>
        </w:rPr>
      </w:pPr>
      <w:bookmarkStart w:id="53" w:name="_Toc43851625"/>
      <w:r>
        <w:rPr>
          <w:b w:val="0"/>
          <w:sz w:val="28"/>
          <w:szCs w:val="28"/>
        </w:rPr>
        <w:t>（七）矿山排水</w:t>
      </w:r>
      <w:bookmarkEnd w:id="53"/>
    </w:p>
    <w:p w14:paraId="4B29D209">
      <w:pPr>
        <w:spacing w:line="360" w:lineRule="auto"/>
        <w:ind w:firstLine="480" w:firstLineChars="200"/>
        <w:rPr>
          <w:color w:val="000000" w:themeColor="text1"/>
          <w:sz w:val="24"/>
        </w:rPr>
      </w:pPr>
      <w:r>
        <w:rPr>
          <w:color w:val="000000" w:themeColor="text1"/>
          <w:sz w:val="24"/>
        </w:rPr>
        <w:t>为避免采场上部地表雨水进入采场，恶化开采条件，可于采场东侧首采阶段上部设置排水沟（沟底宽0.8m、高1.5m、顶部宽1.5m，截水沟两侧边坡45°），将上部地表水引致开采境界之外。采场内部各开采平台，从外沿向边坡保持5‰左右的坡度，场内雨水积水自流排出。</w:t>
      </w:r>
    </w:p>
    <w:p w14:paraId="175CE4E0">
      <w:pPr>
        <w:pStyle w:val="5"/>
        <w:spacing w:beforeLines="50" w:afterLines="50" w:line="360" w:lineRule="auto"/>
        <w:rPr>
          <w:b w:val="0"/>
          <w:sz w:val="28"/>
          <w:szCs w:val="28"/>
        </w:rPr>
      </w:pPr>
      <w:bookmarkStart w:id="54" w:name="_Toc43851626"/>
      <w:r>
        <w:rPr>
          <w:b w:val="0"/>
          <w:sz w:val="28"/>
          <w:szCs w:val="28"/>
        </w:rPr>
        <w:t>（八）露天开采境界</w:t>
      </w:r>
      <w:bookmarkEnd w:id="54"/>
    </w:p>
    <w:p w14:paraId="03772EEE">
      <w:pPr>
        <w:spacing w:line="360" w:lineRule="auto"/>
        <w:ind w:firstLine="480" w:firstLineChars="200"/>
        <w:jc w:val="left"/>
        <w:rPr>
          <w:sz w:val="24"/>
          <w:lang w:val="zh-CN"/>
        </w:rPr>
      </w:pPr>
      <w:r>
        <w:rPr>
          <w:sz w:val="24"/>
          <w:lang w:val="zh-CN"/>
        </w:rPr>
        <w:t>矿山设计开采范围是根据地形地貌特征、岩层产状和保证开采工作平台和底部平台的最小宽度，以矿权范围，开采标高范围之内为准。矿山开采采矿权划定范围内的页岩矿产，开采范围顶部标高+565m，最终底部平台标高+535m。</w:t>
      </w:r>
    </w:p>
    <w:p w14:paraId="0623A610">
      <w:pPr>
        <w:spacing w:line="360" w:lineRule="auto"/>
        <w:ind w:firstLine="480" w:firstLineChars="200"/>
        <w:jc w:val="left"/>
        <w:rPr>
          <w:sz w:val="24"/>
          <w:lang w:val="zh-CN"/>
        </w:rPr>
      </w:pPr>
      <w:r>
        <w:rPr>
          <w:sz w:val="24"/>
          <w:lang w:val="zh-CN"/>
        </w:rPr>
        <w:t>采场地表风化层均可利用，基本无剥离，境界圈定不考虑剥采比因素。矿山开采以小型机械作业，边坡岩性主要为页岩，采场以最终边坡角30°圈定开采境界。回采阶段开采至边坡位置时留设3m宽的安全平台。采场边坡要素如下：</w:t>
      </w:r>
    </w:p>
    <w:p w14:paraId="35B88780">
      <w:pPr>
        <w:spacing w:line="360" w:lineRule="auto"/>
        <w:ind w:firstLine="480" w:firstLineChars="200"/>
        <w:jc w:val="left"/>
        <w:rPr>
          <w:sz w:val="24"/>
          <w:lang w:val="zh-CN"/>
        </w:rPr>
      </w:pPr>
      <w:r>
        <w:rPr>
          <w:sz w:val="24"/>
          <w:lang w:val="zh-CN"/>
        </w:rPr>
        <w:t>采场边坡主要参数如下：</w:t>
      </w:r>
    </w:p>
    <w:p w14:paraId="1E1ECA63">
      <w:pPr>
        <w:spacing w:line="360" w:lineRule="auto"/>
        <w:ind w:firstLine="480" w:firstLineChars="200"/>
        <w:jc w:val="left"/>
        <w:rPr>
          <w:sz w:val="24"/>
          <w:lang w:val="zh-CN"/>
        </w:rPr>
      </w:pPr>
      <w:r>
        <w:rPr>
          <w:sz w:val="24"/>
          <w:lang w:val="zh-CN"/>
        </w:rPr>
        <w:t>阶段高度：10m（分4个2.5m高的小分段开采）；</w:t>
      </w:r>
    </w:p>
    <w:p w14:paraId="031976BA">
      <w:pPr>
        <w:spacing w:line="360" w:lineRule="auto"/>
        <w:ind w:firstLine="480" w:firstLineChars="200"/>
        <w:jc w:val="left"/>
        <w:rPr>
          <w:sz w:val="24"/>
          <w:lang w:val="zh-CN"/>
        </w:rPr>
      </w:pPr>
      <w:r>
        <w:rPr>
          <w:sz w:val="24"/>
          <w:lang w:val="zh-CN"/>
        </w:rPr>
        <w:t>安全平台宽度：3m；</w:t>
      </w:r>
    </w:p>
    <w:p w14:paraId="4D7E74CF">
      <w:pPr>
        <w:spacing w:line="360" w:lineRule="auto"/>
        <w:ind w:firstLine="480" w:firstLineChars="200"/>
        <w:jc w:val="left"/>
        <w:rPr>
          <w:sz w:val="24"/>
          <w:lang w:val="zh-CN"/>
        </w:rPr>
      </w:pPr>
      <w:r>
        <w:rPr>
          <w:sz w:val="24"/>
          <w:lang w:val="zh-CN"/>
        </w:rPr>
        <w:t>最终边坡角：30°（设计），实际由于不合理的开采导致东南面及南面边坡角局部＞44°达65°左右，而北面局部边坡角40°；</w:t>
      </w:r>
    </w:p>
    <w:p w14:paraId="704DDB91">
      <w:pPr>
        <w:spacing w:line="360" w:lineRule="auto"/>
        <w:ind w:firstLine="480" w:firstLineChars="200"/>
        <w:jc w:val="left"/>
        <w:rPr>
          <w:sz w:val="24"/>
          <w:lang w:val="zh-CN"/>
        </w:rPr>
      </w:pPr>
      <w:r>
        <w:rPr>
          <w:sz w:val="24"/>
          <w:lang w:val="zh-CN"/>
        </w:rPr>
        <w:t>边坡最大高度：30m；</w:t>
      </w:r>
    </w:p>
    <w:p w14:paraId="6C90CCCA">
      <w:pPr>
        <w:spacing w:line="360" w:lineRule="auto"/>
        <w:ind w:firstLine="480" w:firstLineChars="200"/>
        <w:jc w:val="left"/>
        <w:rPr>
          <w:sz w:val="24"/>
          <w:lang w:val="zh-CN"/>
        </w:rPr>
      </w:pPr>
      <w:r>
        <w:rPr>
          <w:sz w:val="24"/>
          <w:lang w:val="zh-CN"/>
        </w:rPr>
        <w:t>工作阶段坡面角36°；</w:t>
      </w:r>
    </w:p>
    <w:p w14:paraId="28A3B7BE">
      <w:pPr>
        <w:spacing w:line="360" w:lineRule="auto"/>
        <w:ind w:firstLine="480" w:firstLineChars="200"/>
        <w:jc w:val="left"/>
        <w:rPr>
          <w:sz w:val="24"/>
          <w:lang w:val="zh-CN"/>
        </w:rPr>
      </w:pPr>
      <w:r>
        <w:rPr>
          <w:sz w:val="24"/>
          <w:lang w:val="zh-CN"/>
        </w:rPr>
        <w:t>最小工作平台宽度：25m；</w:t>
      </w:r>
    </w:p>
    <w:p w14:paraId="5045D50B">
      <w:pPr>
        <w:spacing w:line="360" w:lineRule="auto"/>
        <w:ind w:firstLine="480" w:firstLineChars="200"/>
        <w:jc w:val="left"/>
        <w:rPr>
          <w:rFonts w:eastAsiaTheme="minorEastAsia"/>
          <w:sz w:val="24"/>
          <w:lang w:val="zh-CN"/>
        </w:rPr>
      </w:pPr>
      <w:r>
        <w:rPr>
          <w:sz w:val="24"/>
          <w:lang w:val="zh-CN"/>
        </w:rPr>
        <w:t>底部平台最小宽度：＞30m。</w:t>
      </w:r>
    </w:p>
    <w:p w14:paraId="7066F9B3">
      <w:pPr>
        <w:keepNext/>
        <w:keepLines/>
        <w:adjustRightInd w:val="0"/>
        <w:spacing w:beforeLines="50" w:afterLines="50" w:line="360" w:lineRule="auto"/>
        <w:jc w:val="left"/>
        <w:textAlignment w:val="baseline"/>
        <w:outlineLvl w:val="0"/>
        <w:rPr>
          <w:kern w:val="0"/>
          <w:sz w:val="30"/>
          <w:szCs w:val="30"/>
        </w:rPr>
      </w:pPr>
      <w:bookmarkStart w:id="55" w:name="_Toc43851627"/>
      <w:r>
        <w:rPr>
          <w:kern w:val="0"/>
          <w:sz w:val="30"/>
          <w:szCs w:val="30"/>
        </w:rPr>
        <w:t>四、矿山开采历史、现状</w:t>
      </w:r>
      <w:bookmarkEnd w:id="55"/>
    </w:p>
    <w:p w14:paraId="39DFC64F">
      <w:pPr>
        <w:spacing w:line="360" w:lineRule="auto"/>
        <w:ind w:firstLine="630"/>
        <w:rPr>
          <w:sz w:val="24"/>
        </w:rPr>
      </w:pPr>
      <w:r>
        <w:rPr>
          <w:sz w:val="24"/>
        </w:rPr>
        <w:t>紫兰建材厂砖瓦用页岩矿采矿权于2009年首次获得并开始生产，所采页岩矿矿石供广元市利州区及周边砖瓦厂作原料。矿山为岩层倾角30°，采高为30m的危险性小、安全生产有保障的砖瓦用页岩矿山；亦属生产建设规模级别为小型的露天开采矿山。采用挖掘机直接开挖，机械铲装作业。矿山目前拥有挖掘机、装载机和汽车等矿山设备。企业生产机构设置齐全，各项规章制度健全，全矿劳动定员配备、选用的开采方式、开采装备水平基本合理。</w:t>
      </w:r>
    </w:p>
    <w:p w14:paraId="54F5E5FD">
      <w:pPr>
        <w:spacing w:line="360" w:lineRule="auto"/>
        <w:ind w:firstLine="630"/>
        <w:rPr>
          <w:sz w:val="24"/>
        </w:rPr>
      </w:pPr>
      <w:r>
        <w:rPr>
          <w:sz w:val="24"/>
        </w:rPr>
        <w:t>矿山现有采场呈北东～南西分布，长约130m，宽约96m，目前采场边坡平均高度达12m，边坡角约40°。矿山企业现阶段主要从矿区范围西侧从底部分段进行采矿，未按照开发利用方案从上至下分阶段进行采掘矿石。紫兰建材厂砖瓦用页岩矿岩层倾角为30°，地表坡度角15°～30°，坡度较缓。矿山现有采场开采范围小，形成的采场边坡角不大，且开采高度亦小，采场岩体完整性破坏轻微，但部分地段存在安全隐患，矿山部门应引起重视，加强采矿安全管理，严格按照矿产资源开发利用方案从上至下分阶段组织施工。</w:t>
      </w:r>
    </w:p>
    <w:p w14:paraId="7E99A732">
      <w:pPr>
        <w:spacing w:line="360" w:lineRule="auto"/>
        <w:ind w:firstLine="630"/>
        <w:rPr>
          <w:sz w:val="24"/>
        </w:rPr>
        <w:sectPr>
          <w:footerReference r:id="rId7" w:type="default"/>
          <w:pgSz w:w="11906" w:h="16838"/>
          <w:pgMar w:top="1440" w:right="1800" w:bottom="1440" w:left="1800" w:header="851" w:footer="992" w:gutter="0"/>
          <w:pgNumType w:start="1"/>
          <w:cols w:space="425" w:num="1"/>
          <w:docGrid w:type="lines" w:linePitch="312" w:charSpace="0"/>
        </w:sectPr>
      </w:pPr>
      <w:r>
        <w:rPr>
          <w:sz w:val="24"/>
        </w:rPr>
        <w:t>据本次野外实地调查，近两年来矿山未对矿区范围内页岩矿进行开采，由于广元地区经济建设高速发展，新建铁路、公路等建筑物开山劈岭所产生的符合建筑用制砖原料均可为附近砖厂提供所需，本矿山企业采掘页岩矿生产成本相对较高，权衡对比之下，对外买料制作机制页岩砖相对企业自身投资采掘矿石的生产成本较低，该企业近两年以来均在其邻近制砖用原料供应市场买料进行生产。由此，该企业近几年未对其所属页岩矿山进行采掘。</w:t>
      </w:r>
    </w:p>
    <w:p w14:paraId="1F0AFC6F">
      <w:pPr>
        <w:keepNext/>
        <w:keepLines/>
        <w:pageBreakBefore/>
        <w:tabs>
          <w:tab w:val="left" w:pos="284"/>
        </w:tabs>
        <w:spacing w:before="340" w:after="240" w:line="360" w:lineRule="auto"/>
        <w:jc w:val="center"/>
        <w:outlineLvl w:val="0"/>
        <w:rPr>
          <w:b/>
          <w:bCs/>
          <w:kern w:val="44"/>
          <w:sz w:val="32"/>
          <w:szCs w:val="32"/>
        </w:rPr>
      </w:pPr>
      <w:bookmarkStart w:id="56" w:name="_Toc43851628"/>
      <w:r>
        <w:rPr>
          <w:b/>
          <w:bCs/>
          <w:kern w:val="44"/>
          <w:sz w:val="32"/>
          <w:szCs w:val="32"/>
        </w:rPr>
        <w:t>第二章矿山基本信息</w:t>
      </w:r>
      <w:bookmarkEnd w:id="56"/>
    </w:p>
    <w:p w14:paraId="61B2DFF1">
      <w:pPr>
        <w:keepNext/>
        <w:keepLines/>
        <w:adjustRightInd w:val="0"/>
        <w:spacing w:beforeLines="50" w:afterLines="50" w:line="360" w:lineRule="auto"/>
        <w:jc w:val="left"/>
        <w:textAlignment w:val="baseline"/>
        <w:outlineLvl w:val="0"/>
        <w:rPr>
          <w:kern w:val="0"/>
          <w:sz w:val="30"/>
          <w:szCs w:val="30"/>
        </w:rPr>
      </w:pPr>
      <w:bookmarkStart w:id="57" w:name="_Toc43851629"/>
      <w:r>
        <w:rPr>
          <w:kern w:val="0"/>
          <w:sz w:val="30"/>
          <w:szCs w:val="30"/>
        </w:rPr>
        <w:t>一、矿区自然地理</w:t>
      </w:r>
      <w:bookmarkEnd w:id="57"/>
    </w:p>
    <w:p w14:paraId="493E19CE">
      <w:pPr>
        <w:pStyle w:val="5"/>
        <w:spacing w:beforeLines="50" w:afterLines="50" w:line="360" w:lineRule="auto"/>
        <w:rPr>
          <w:b w:val="0"/>
          <w:sz w:val="28"/>
          <w:szCs w:val="28"/>
        </w:rPr>
      </w:pPr>
      <w:bookmarkStart w:id="58" w:name="_Toc43851630"/>
      <w:r>
        <w:rPr>
          <w:b w:val="0"/>
          <w:sz w:val="28"/>
          <w:szCs w:val="28"/>
        </w:rPr>
        <w:t>（一）气象</w:t>
      </w:r>
      <w:bookmarkEnd w:id="58"/>
    </w:p>
    <w:p w14:paraId="1DB267E9">
      <w:pPr>
        <w:shd w:val="clear" w:color="auto" w:fill="FFFFFF"/>
        <w:spacing w:line="360" w:lineRule="auto"/>
        <w:ind w:firstLine="480" w:firstLineChars="200"/>
        <w:rPr>
          <w:sz w:val="24"/>
        </w:rPr>
      </w:pPr>
      <w:r>
        <w:rPr>
          <w:sz w:val="24"/>
        </w:rPr>
        <w:t>区内属亚热带湿润季风气候，冬寒夏热、四季分明，冬季多风，历年气温-5.7～37.0℃，年平均气温16.2℃，平均降水量973.3mm，最大1247.3mm，最小580.9mm，雨量多集中于6～9月，占年降雨量75%左右，平均无霜期约260天。光热资源丰富，热量集中在4至9月，能满足多种农作物生产。雨量充沛，年均降雨量698毫米，年内降雨量集中在5至10月，占全年降雨量的85%以上。形成了冬干、春旱、夏洪、秋涝的一般现象，一般不会形成冻土。</w:t>
      </w:r>
    </w:p>
    <w:p w14:paraId="7EFBF71C">
      <w:pPr>
        <w:pStyle w:val="5"/>
        <w:spacing w:beforeLines="50" w:afterLines="50" w:line="360" w:lineRule="auto"/>
        <w:rPr>
          <w:b w:val="0"/>
          <w:sz w:val="28"/>
          <w:szCs w:val="28"/>
        </w:rPr>
      </w:pPr>
      <w:bookmarkStart w:id="59" w:name="_Toc43851631"/>
      <w:r>
        <w:rPr>
          <w:b w:val="0"/>
          <w:sz w:val="28"/>
          <w:szCs w:val="28"/>
        </w:rPr>
        <w:t>（二）水文</w:t>
      </w:r>
      <w:bookmarkEnd w:id="59"/>
    </w:p>
    <w:p w14:paraId="63B41126">
      <w:pPr>
        <w:spacing w:line="360" w:lineRule="auto"/>
        <w:ind w:firstLine="480" w:firstLineChars="200"/>
        <w:rPr>
          <w:sz w:val="24"/>
        </w:rPr>
      </w:pPr>
      <w:r>
        <w:rPr>
          <w:sz w:val="24"/>
        </w:rPr>
        <w:t>区内属低山丘陵区，地形以斜坡为主，坡度一般15～30°，地形有利于地表水的排泄。区内水源主要靠大气降水补给，由于岩层倾角较缓，加之地表多为泥岩、页岩类，不利于地表水的渗透，地下水富水性中等—贫乏。矿区范围位于斜坡之上，高于当地溪沟最高洪水位，矿山北东方向为白龙江，周边有几处小型水塘，水位高差均小于5m，对未来矿山生产不会造成较大影响。因此，矿山水文地质条件属简单类型。。由于地表主要岩性为页岩及泥岩类，其富水性差，不利于地表水的渗透，是良好的隔水层，大气降水下渗量少，绝大部分沿地表部斜坡迅速排泄。矿区内地下水类型主要为裂隙水，受大气降水补给沿层间裂隙径流，以泉的形式排出。</w:t>
      </w:r>
    </w:p>
    <w:p w14:paraId="058DF2E4">
      <w:pPr>
        <w:pStyle w:val="5"/>
        <w:spacing w:beforeLines="50" w:afterLines="50" w:line="360" w:lineRule="auto"/>
        <w:rPr>
          <w:b w:val="0"/>
          <w:sz w:val="28"/>
          <w:szCs w:val="28"/>
        </w:rPr>
      </w:pPr>
      <w:bookmarkStart w:id="60" w:name="_Toc43851632"/>
      <w:r>
        <w:rPr>
          <w:b w:val="0"/>
          <w:sz w:val="28"/>
          <w:szCs w:val="28"/>
        </w:rPr>
        <w:t>（三）地形地貌</w:t>
      </w:r>
      <w:bookmarkEnd w:id="60"/>
    </w:p>
    <w:p w14:paraId="41F7337E">
      <w:pPr>
        <w:pStyle w:val="74"/>
        <w:spacing w:line="360" w:lineRule="auto"/>
        <w:ind w:firstLine="480"/>
        <w:jc w:val="left"/>
        <w:rPr>
          <w:sz w:val="24"/>
        </w:rPr>
      </w:pPr>
      <w:bookmarkStart w:id="61" w:name="_Toc186915351"/>
      <w:r>
        <w:rPr>
          <w:sz w:val="24"/>
        </w:rPr>
        <w:t>矿区地处四川盆地西北缘丘陵地带，地势较为平缓，海拔标高一般560m左右。矿区内地形坡度15°～20°，坡度较缓。植被覆盖率低，有少许灌木、柏树及杂草。</w:t>
      </w:r>
    </w:p>
    <w:p w14:paraId="22A7BAD4">
      <w:pPr>
        <w:pStyle w:val="74"/>
        <w:spacing w:line="360" w:lineRule="auto"/>
        <w:ind w:firstLine="679" w:firstLineChars="283"/>
        <w:rPr>
          <w:sz w:val="24"/>
        </w:rPr>
      </w:pPr>
      <w:r>
        <w:rPr>
          <w:sz w:val="24"/>
        </w:rPr>
        <w:drawing>
          <wp:inline distT="0" distB="0" distL="0" distR="0">
            <wp:extent cx="4260850" cy="3074035"/>
            <wp:effectExtent l="0" t="0" r="0" b="0"/>
            <wp:docPr id="9" name="图片 9" descr="C:\Users\123\Desktop\宝轮\宝轮砖厂野外照片\IMG_20200611_10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23\Desktop\宝轮\宝轮砖厂野外照片\IMG_20200611_101520.jpg"/>
                    <pic:cNvPicPr>
                      <a:picLocks noChangeAspect="1" noChangeArrowheads="1"/>
                    </pic:cNvPicPr>
                  </pic:nvPicPr>
                  <pic:blipFill>
                    <a:blip r:embed="rId15" cstate="print">
                      <a:extLst>
                        <a:ext uri="{28A0092B-C50C-407E-A947-70E740481C1C}">
                          <a14:useLocalDpi xmlns:a14="http://schemas.microsoft.com/office/drawing/2010/main" val="0"/>
                        </a:ext>
                      </a:extLst>
                    </a:blip>
                    <a:srcRect t="7989" r="4306"/>
                    <a:stretch>
                      <a:fillRect/>
                    </a:stretch>
                  </pic:blipFill>
                  <pic:spPr>
                    <a:xfrm>
                      <a:off x="0" y="0"/>
                      <a:ext cx="4281100" cy="3088310"/>
                    </a:xfrm>
                    <a:prstGeom prst="rect">
                      <a:avLst/>
                    </a:prstGeom>
                    <a:noFill/>
                    <a:ln>
                      <a:noFill/>
                    </a:ln>
                  </pic:spPr>
                </pic:pic>
              </a:graphicData>
            </a:graphic>
          </wp:inline>
        </w:drawing>
      </w:r>
    </w:p>
    <w:p w14:paraId="4070DF07">
      <w:pPr>
        <w:pStyle w:val="74"/>
        <w:spacing w:line="360" w:lineRule="auto"/>
        <w:ind w:firstLine="422"/>
        <w:jc w:val="center"/>
        <w:rPr>
          <w:rFonts w:eastAsiaTheme="minorEastAsia"/>
          <w:b/>
          <w:sz w:val="21"/>
          <w:szCs w:val="21"/>
        </w:rPr>
      </w:pPr>
      <w:r>
        <w:rPr>
          <w:rFonts w:eastAsiaTheme="minorEastAsia"/>
          <w:b/>
          <w:sz w:val="21"/>
          <w:szCs w:val="21"/>
        </w:rPr>
        <w:t>图2-1  矿区地形地貌照片</w:t>
      </w:r>
    </w:p>
    <w:bookmarkEnd w:id="61"/>
    <w:p w14:paraId="65BFE704">
      <w:pPr>
        <w:pStyle w:val="5"/>
        <w:spacing w:beforeLines="50" w:afterLines="50" w:line="360" w:lineRule="auto"/>
        <w:rPr>
          <w:b w:val="0"/>
          <w:sz w:val="28"/>
          <w:szCs w:val="28"/>
        </w:rPr>
      </w:pPr>
      <w:bookmarkStart w:id="62" w:name="_Toc43851633"/>
      <w:r>
        <w:rPr>
          <w:b w:val="0"/>
          <w:sz w:val="28"/>
          <w:szCs w:val="28"/>
        </w:rPr>
        <w:t>（四）植被</w:t>
      </w:r>
      <w:bookmarkEnd w:id="62"/>
    </w:p>
    <w:p w14:paraId="6CAC9C8F">
      <w:pPr>
        <w:pStyle w:val="74"/>
        <w:spacing w:line="360" w:lineRule="auto"/>
        <w:ind w:firstLine="480"/>
        <w:rPr>
          <w:sz w:val="24"/>
        </w:rPr>
      </w:pPr>
      <w:r>
        <w:rPr>
          <w:sz w:val="24"/>
        </w:rPr>
        <w:t>区内植被以灌木、乔木为主，覆盖率约70%。植被属亚热带中部常绿阔叶林，主要树种有马尾松、铁皮松、柏树等优势树种，有枫香、樟树、油桐等阔叶植物，有马桑、黄荆、红籽、山茶子等灌木，有芭茅、黄茅、丝草、蒿等草本植物，图2-6。区内耕地旱地种植有农作物，种植小麦为主。少部分河谷低洼地带沙土中种植以玉米、水稻、大豆、红薯等粮食作物。</w:t>
      </w:r>
    </w:p>
    <w:p w14:paraId="017BDDEC">
      <w:pPr>
        <w:pStyle w:val="74"/>
        <w:spacing w:line="360" w:lineRule="auto"/>
        <w:ind w:firstLine="0" w:firstLineChars="0"/>
        <w:jc w:val="center"/>
        <w:rPr>
          <w:sz w:val="24"/>
        </w:rPr>
      </w:pPr>
      <w:r>
        <w:rPr>
          <w:sz w:val="24"/>
        </w:rPr>
        <w:drawing>
          <wp:inline distT="0" distB="0" distL="0" distR="0">
            <wp:extent cx="4356100" cy="2777490"/>
            <wp:effectExtent l="0" t="0" r="0" b="0"/>
            <wp:docPr id="10" name="图片 10" descr="C:\Users\123\Desktop\宝轮\宝轮砖厂野外照片\IMG_20200611_10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123\Desktop\宝轮\宝轮砖厂野外照片\IMG_20200611_100810.jpg"/>
                    <pic:cNvPicPr>
                      <a:picLocks noChangeAspect="1" noChangeArrowheads="1"/>
                    </pic:cNvPicPr>
                  </pic:nvPicPr>
                  <pic:blipFill>
                    <a:blip r:embed="rId16" cstate="print">
                      <a:extLst>
                        <a:ext uri="{28A0092B-C50C-407E-A947-70E740481C1C}">
                          <a14:useLocalDpi xmlns:a14="http://schemas.microsoft.com/office/drawing/2010/main" val="0"/>
                        </a:ext>
                      </a:extLst>
                    </a:blip>
                    <a:srcRect t="921" r="36481" b="45091"/>
                    <a:stretch>
                      <a:fillRect/>
                    </a:stretch>
                  </pic:blipFill>
                  <pic:spPr>
                    <a:xfrm>
                      <a:off x="0" y="0"/>
                      <a:ext cx="4364125" cy="2782918"/>
                    </a:xfrm>
                    <a:prstGeom prst="rect">
                      <a:avLst/>
                    </a:prstGeom>
                    <a:noFill/>
                    <a:ln>
                      <a:noFill/>
                    </a:ln>
                  </pic:spPr>
                </pic:pic>
              </a:graphicData>
            </a:graphic>
          </wp:inline>
        </w:drawing>
      </w:r>
    </w:p>
    <w:p w14:paraId="35E3C951">
      <w:pPr>
        <w:pStyle w:val="74"/>
        <w:spacing w:line="360" w:lineRule="auto"/>
        <w:ind w:firstLine="422"/>
        <w:jc w:val="center"/>
        <w:rPr>
          <w:rFonts w:eastAsiaTheme="minorEastAsia"/>
          <w:b/>
          <w:sz w:val="21"/>
          <w:szCs w:val="21"/>
        </w:rPr>
      </w:pPr>
      <w:r>
        <w:rPr>
          <w:rFonts w:eastAsiaTheme="minorEastAsia"/>
          <w:b/>
          <w:sz w:val="21"/>
          <w:szCs w:val="21"/>
        </w:rPr>
        <w:t>图2-2矿区及周边植被种类情况</w:t>
      </w:r>
    </w:p>
    <w:p w14:paraId="35A0C3DE">
      <w:pPr>
        <w:pStyle w:val="5"/>
        <w:spacing w:beforeLines="50" w:afterLines="50" w:line="360" w:lineRule="auto"/>
        <w:rPr>
          <w:b w:val="0"/>
          <w:sz w:val="28"/>
          <w:szCs w:val="28"/>
        </w:rPr>
      </w:pPr>
      <w:bookmarkStart w:id="63" w:name="_Toc43851634"/>
      <w:r>
        <w:rPr>
          <w:b w:val="0"/>
          <w:sz w:val="28"/>
          <w:szCs w:val="28"/>
        </w:rPr>
        <w:t>（五）土壤</w:t>
      </w:r>
      <w:bookmarkEnd w:id="63"/>
    </w:p>
    <w:p w14:paraId="15099A2E">
      <w:pPr>
        <w:spacing w:line="360" w:lineRule="auto"/>
        <w:ind w:firstLine="480" w:firstLineChars="200"/>
        <w:rPr>
          <w:sz w:val="24"/>
          <w:lang w:val="zh-CN"/>
        </w:rPr>
      </w:pPr>
      <w:r>
        <w:rPr>
          <w:sz w:val="24"/>
          <w:lang w:val="zh-CN"/>
        </w:rPr>
        <w:t>区内表土主要以粘土、亚砂土为主，土壤类型为黄壤。耕地有效土层厚度为0.50m，林地表土层厚度为0.50-1.00m。成土母质为三叠系、二叠系、志留系、寒武系等地层的灰岩、白云质灰岩、砂页岩和板岩风化的残坡积物。表土有机质含量高，但下层急剧降低。土壤表层呈暗棕色，下层为黄棕色。酸性反应，PH值5.5～6.5，</w:t>
      </w:r>
      <w:r>
        <w:rPr>
          <w:sz w:val="24"/>
        </w:rPr>
        <w:t>容重1.42g/cm</w:t>
      </w:r>
      <w:r>
        <w:rPr>
          <w:sz w:val="24"/>
          <w:vertAlign w:val="superscript"/>
        </w:rPr>
        <w:t>3</w:t>
      </w:r>
      <w:r>
        <w:rPr>
          <w:sz w:val="24"/>
        </w:rPr>
        <w:t>，有机质1.2%，全氮含量约为0.05%，全磷为0.06%，速效磷5mg/kg，速效钾355mg/kg。土壤的养分含量不高，肥力一般。</w:t>
      </w:r>
      <w:r>
        <w:rPr>
          <w:sz w:val="24"/>
          <w:lang w:val="zh-CN"/>
        </w:rPr>
        <w:t>为重壤到轻粘土，团粒结构。</w:t>
      </w:r>
    </w:p>
    <w:p w14:paraId="5C049922">
      <w:pPr>
        <w:spacing w:line="360" w:lineRule="auto"/>
        <w:jc w:val="center"/>
        <w:rPr>
          <w:sz w:val="24"/>
        </w:rPr>
      </w:pPr>
      <w:r>
        <w:rPr>
          <w:sz w:val="24"/>
        </w:rPr>
        <w:drawing>
          <wp:inline distT="0" distB="0" distL="0" distR="0">
            <wp:extent cx="4746625" cy="3303905"/>
            <wp:effectExtent l="0" t="0" r="0" b="0"/>
            <wp:docPr id="15" name="图片 15" descr="C:\Users\123\Desktop\宝轮\宝轮砖厂野外照片\IMG_20200611_10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123\Desktop\宝轮\宝轮砖厂野外照片\IMG_20200611_101111.jpg"/>
                    <pic:cNvPicPr>
                      <a:picLocks noChangeAspect="1" noChangeArrowheads="1"/>
                    </pic:cNvPicPr>
                  </pic:nvPicPr>
                  <pic:blipFill>
                    <a:blip r:embed="rId17" cstate="print">
                      <a:extLst>
                        <a:ext uri="{28A0092B-C50C-407E-A947-70E740481C1C}">
                          <a14:useLocalDpi xmlns:a14="http://schemas.microsoft.com/office/drawing/2010/main" val="0"/>
                        </a:ext>
                      </a:extLst>
                    </a:blip>
                    <a:srcRect l="54010" r="1309" b="58552"/>
                    <a:stretch>
                      <a:fillRect/>
                    </a:stretch>
                  </pic:blipFill>
                  <pic:spPr>
                    <a:xfrm>
                      <a:off x="0" y="0"/>
                      <a:ext cx="4750421" cy="3306155"/>
                    </a:xfrm>
                    <a:prstGeom prst="rect">
                      <a:avLst/>
                    </a:prstGeom>
                    <a:noFill/>
                    <a:ln>
                      <a:noFill/>
                    </a:ln>
                  </pic:spPr>
                </pic:pic>
              </a:graphicData>
            </a:graphic>
          </wp:inline>
        </w:drawing>
      </w:r>
    </w:p>
    <w:p w14:paraId="1C4E2465">
      <w:pPr>
        <w:jc w:val="center"/>
        <w:rPr>
          <w:color w:val="000000"/>
          <w:sz w:val="24"/>
        </w:rPr>
      </w:pPr>
      <w:r>
        <w:rPr>
          <w:rFonts w:eastAsiaTheme="minorEastAsia"/>
          <w:b/>
          <w:szCs w:val="21"/>
        </w:rPr>
        <w:t>图2-3项目区内土壤剖面</w:t>
      </w:r>
    </w:p>
    <w:p w14:paraId="0DAB13F7">
      <w:pPr>
        <w:keepNext/>
        <w:keepLines/>
        <w:adjustRightInd w:val="0"/>
        <w:spacing w:beforeLines="50" w:afterLines="50" w:line="360" w:lineRule="auto"/>
        <w:jc w:val="left"/>
        <w:textAlignment w:val="baseline"/>
        <w:outlineLvl w:val="0"/>
        <w:rPr>
          <w:kern w:val="0"/>
          <w:sz w:val="30"/>
          <w:szCs w:val="30"/>
        </w:rPr>
      </w:pPr>
      <w:bookmarkStart w:id="64" w:name="_Toc43851635"/>
      <w:r>
        <w:rPr>
          <w:kern w:val="0"/>
          <w:sz w:val="30"/>
          <w:szCs w:val="30"/>
        </w:rPr>
        <w:t>二、矿区地质环境背景</w:t>
      </w:r>
      <w:bookmarkEnd w:id="64"/>
    </w:p>
    <w:p w14:paraId="49A5F2C5">
      <w:pPr>
        <w:pStyle w:val="5"/>
        <w:spacing w:beforeLines="50" w:afterLines="50" w:line="360" w:lineRule="auto"/>
        <w:rPr>
          <w:b w:val="0"/>
          <w:sz w:val="28"/>
          <w:szCs w:val="28"/>
        </w:rPr>
      </w:pPr>
      <w:bookmarkStart w:id="65" w:name="_Toc454973471"/>
      <w:bookmarkStart w:id="66" w:name="_Toc481328166"/>
      <w:bookmarkStart w:id="67" w:name="_Toc43851636"/>
      <w:bookmarkStart w:id="68" w:name="_Toc480648146"/>
      <w:r>
        <w:rPr>
          <w:b w:val="0"/>
          <w:sz w:val="28"/>
          <w:szCs w:val="28"/>
        </w:rPr>
        <w:t>（一）</w:t>
      </w:r>
      <w:bookmarkEnd w:id="65"/>
      <w:r>
        <w:rPr>
          <w:b w:val="0"/>
          <w:sz w:val="28"/>
          <w:szCs w:val="28"/>
        </w:rPr>
        <w:t>地层岩性</w:t>
      </w:r>
      <w:bookmarkEnd w:id="66"/>
      <w:bookmarkEnd w:id="67"/>
      <w:bookmarkEnd w:id="68"/>
    </w:p>
    <w:p w14:paraId="49F10731">
      <w:pPr>
        <w:spacing w:line="360" w:lineRule="auto"/>
        <w:ind w:firstLine="480" w:firstLineChars="200"/>
        <w:rPr>
          <w:sz w:val="24"/>
        </w:rPr>
      </w:pPr>
      <w:r>
        <w:rPr>
          <w:sz w:val="24"/>
        </w:rPr>
        <w:t>矿区及其周边附近出露地层主要为第四系（Q）和中生界侏罗系中统沙溪庙组下段（J2s1）。</w:t>
      </w:r>
    </w:p>
    <w:p w14:paraId="0B7AC6F1">
      <w:pPr>
        <w:spacing w:line="360" w:lineRule="auto"/>
        <w:ind w:firstLine="480" w:firstLineChars="200"/>
        <w:rPr>
          <w:sz w:val="24"/>
        </w:rPr>
      </w:pPr>
      <w:r>
        <w:rPr>
          <w:sz w:val="24"/>
        </w:rPr>
        <w:t>1）第四系（Q）：主要为矿区附近斜坡地表的残坡积层，其中斜坡地表的残坡积层较松散，以粘土为主，含植物根系，厚度一般0.1～0.5m，最厚不超过1.0m，在矿层开采时剥离量较少。</w:t>
      </w:r>
    </w:p>
    <w:p w14:paraId="63ACB81F">
      <w:pPr>
        <w:spacing w:line="360" w:lineRule="auto"/>
        <w:ind w:firstLine="480" w:firstLineChars="200"/>
        <w:rPr>
          <w:sz w:val="24"/>
        </w:rPr>
      </w:pPr>
      <w:r>
        <w:rPr>
          <w:sz w:val="24"/>
        </w:rPr>
        <w:t>2）侏罗系中统沙溪庙组下段（J</w:t>
      </w:r>
      <w:r>
        <w:rPr>
          <w:sz w:val="24"/>
          <w:vertAlign w:val="subscript"/>
        </w:rPr>
        <w:t>2</w:t>
      </w:r>
      <w:r>
        <w:rPr>
          <w:sz w:val="24"/>
        </w:rPr>
        <w:t>s</w:t>
      </w:r>
      <w:r>
        <w:rPr>
          <w:sz w:val="24"/>
          <w:vertAlign w:val="superscript"/>
        </w:rPr>
        <w:t>1</w:t>
      </w:r>
      <w:r>
        <w:rPr>
          <w:sz w:val="24"/>
        </w:rPr>
        <w:t>）：岩性主要为浅紫色、浅紫红色页岩和泥岩夹泥质粉砂岩，厚度30～327m，其中页岩和泥岩可用于制砖，即为矿山开采利用的矿体。</w:t>
      </w:r>
    </w:p>
    <w:p w14:paraId="56C9ED66">
      <w:pPr>
        <w:pStyle w:val="5"/>
        <w:spacing w:beforeLines="50" w:afterLines="50" w:line="360" w:lineRule="auto"/>
        <w:rPr>
          <w:b w:val="0"/>
          <w:sz w:val="28"/>
          <w:szCs w:val="28"/>
        </w:rPr>
      </w:pPr>
      <w:bookmarkStart w:id="69" w:name="_Toc43851637"/>
      <w:r>
        <w:rPr>
          <w:b w:val="0"/>
          <w:sz w:val="28"/>
          <w:szCs w:val="28"/>
        </w:rPr>
        <w:t>（二）地质构造</w:t>
      </w:r>
      <w:bookmarkEnd w:id="69"/>
    </w:p>
    <w:p w14:paraId="4A7A4FCA">
      <w:pPr>
        <w:spacing w:line="360" w:lineRule="auto"/>
        <w:ind w:firstLine="480" w:firstLineChars="200"/>
        <w:rPr>
          <w:sz w:val="24"/>
        </w:rPr>
      </w:pPr>
      <w:bookmarkStart w:id="70" w:name="_Toc434929059"/>
      <w:r>
        <w:rPr>
          <w:sz w:val="24"/>
        </w:rPr>
        <w:t>工作区内构造简单，为单斜地层，区内页岩层位连续且较稳定。受区域内构造应力作用影响，页岩、泥岩中见少许细小裂隙及小褶曲现象。裂隙产状为30°</w:t>
      </w:r>
      <w:r>
        <w:rPr>
          <w:rFonts w:hint="eastAsia" w:ascii="宋体" w:hAnsi="宋体" w:cs="宋体"/>
          <w:sz w:val="24"/>
        </w:rPr>
        <w:t>∠</w:t>
      </w:r>
      <w:r>
        <w:rPr>
          <w:sz w:val="24"/>
        </w:rPr>
        <w:t>30°，其延伸长度1~2m，宽度约0.5~0.8cm，裂隙未贯穿页岩层。</w:t>
      </w:r>
    </w:p>
    <w:bookmarkEnd w:id="70"/>
    <w:p w14:paraId="6ACA9BF8">
      <w:pPr>
        <w:pStyle w:val="5"/>
        <w:spacing w:beforeLines="50" w:afterLines="50" w:line="360" w:lineRule="auto"/>
        <w:rPr>
          <w:b w:val="0"/>
          <w:sz w:val="28"/>
          <w:szCs w:val="28"/>
        </w:rPr>
      </w:pPr>
      <w:bookmarkStart w:id="71" w:name="_Toc43851638"/>
      <w:r>
        <w:rPr>
          <w:b w:val="0"/>
          <w:sz w:val="28"/>
          <w:szCs w:val="28"/>
        </w:rPr>
        <w:t>（三）水文地质</w:t>
      </w:r>
      <w:bookmarkEnd w:id="71"/>
    </w:p>
    <w:p w14:paraId="1C3C2B0A">
      <w:pPr>
        <w:spacing w:line="360" w:lineRule="auto"/>
        <w:ind w:firstLine="480" w:firstLineChars="200"/>
        <w:rPr>
          <w:sz w:val="24"/>
          <w:lang w:val="zh-CN"/>
        </w:rPr>
      </w:pPr>
      <w:r>
        <w:rPr>
          <w:sz w:val="24"/>
          <w:lang w:val="zh-CN"/>
        </w:rPr>
        <w:t>区内属低山丘陵区，地形以斜坡为主，坡度一般15～30°，有利于地表水的排泄。区内水源主要靠大气降水补给，由于岩层倾角较缓、地形坡度较大，加之地表多为泥岩、页岩类，不利于地表水的渗透，因此地下水较为贫乏。矿区范围位于斜坡之上，高于当地溪沟最高洪水位，矿山北东方向为白龙江，周边有几处小型水塘，水位高差均小于5m，对未来矿山生产不会造成较大影响。因此，区内水文地质条件现状简单。</w:t>
      </w:r>
    </w:p>
    <w:p w14:paraId="09F9453F">
      <w:pPr>
        <w:spacing w:line="360" w:lineRule="auto"/>
        <w:ind w:firstLine="480" w:firstLineChars="200"/>
        <w:rPr>
          <w:sz w:val="24"/>
          <w:lang w:val="zh-CN"/>
        </w:rPr>
      </w:pPr>
      <w:r>
        <w:rPr>
          <w:sz w:val="24"/>
          <w:lang w:val="zh-CN"/>
        </w:rPr>
        <w:t>矿区范围位于斜坡之上，高于当地溪沟最高洪水位，矿山北东方向为白龙江，周边有几处小型水塘，水位高差均小于5m。矿山为小规模露天开采，采矿工程活动主要为层位稳定的页岩，矿床系裂隙含水，富水性弱。矿石裸露于地表，补给水源仅限于大气降水，对未来矿山开采影响较小。</w:t>
      </w:r>
    </w:p>
    <w:p w14:paraId="0A43F39C">
      <w:pPr>
        <w:pStyle w:val="5"/>
        <w:spacing w:beforeLines="50" w:afterLines="50" w:line="360" w:lineRule="auto"/>
        <w:rPr>
          <w:b w:val="0"/>
          <w:sz w:val="28"/>
          <w:szCs w:val="28"/>
        </w:rPr>
      </w:pPr>
      <w:bookmarkStart w:id="72" w:name="_Toc43851639"/>
      <w:r>
        <w:rPr>
          <w:b w:val="0"/>
          <w:sz w:val="28"/>
          <w:szCs w:val="28"/>
        </w:rPr>
        <w:t>（四）工程地质</w:t>
      </w:r>
      <w:bookmarkEnd w:id="72"/>
    </w:p>
    <w:p w14:paraId="4F3FA52F">
      <w:pPr>
        <w:spacing w:line="360" w:lineRule="auto"/>
        <w:ind w:firstLine="480" w:firstLineChars="200"/>
        <w:rPr>
          <w:sz w:val="24"/>
        </w:rPr>
      </w:pPr>
      <w:r>
        <w:rPr>
          <w:sz w:val="24"/>
        </w:rPr>
        <w:t>该区工程地质分区属平缓褶皱中低山～丘陵较简单工程地质区，为内陆红色碎屑岩建造，断裂、褶皱不发育，不良工程地质问题少。区内岩石按物理力学特征可分为两个工程地质岩组。一是由砂岩构成的硬质工程地质岩组，分布于矿层底部，岩组呈层状，结构完整，稳定性较好；二是由泥岩及页岩构成的软质工程地质岩组，广泛分布于地表，结构松散，抗压强度低，是形成滑坡、泥石流的主要物源体。</w:t>
      </w:r>
    </w:p>
    <w:p w14:paraId="6C3C5FA7">
      <w:pPr>
        <w:spacing w:line="360" w:lineRule="auto"/>
        <w:ind w:firstLine="480" w:firstLineChars="200"/>
        <w:rPr>
          <w:sz w:val="24"/>
        </w:rPr>
      </w:pPr>
      <w:r>
        <w:rPr>
          <w:sz w:val="24"/>
        </w:rPr>
        <w:t>矿区现未发现滑坡、崩塌、泥石流等地质灾害迹象及不良工程地质现象，岩体现状稳定。区内工程地质现状简单。</w:t>
      </w:r>
    </w:p>
    <w:p w14:paraId="6E0F7BFD">
      <w:pPr>
        <w:pStyle w:val="5"/>
        <w:spacing w:beforeLines="50" w:afterLines="50" w:line="360" w:lineRule="auto"/>
        <w:rPr>
          <w:b w:val="0"/>
          <w:sz w:val="28"/>
          <w:szCs w:val="28"/>
        </w:rPr>
      </w:pPr>
      <w:bookmarkStart w:id="73" w:name="_Toc43851640"/>
      <w:r>
        <w:rPr>
          <w:b w:val="0"/>
          <w:sz w:val="28"/>
          <w:szCs w:val="28"/>
        </w:rPr>
        <w:t>（五）环境地质</w:t>
      </w:r>
      <w:bookmarkEnd w:id="73"/>
    </w:p>
    <w:p w14:paraId="1C7F69EE">
      <w:pPr>
        <w:spacing w:line="360" w:lineRule="auto"/>
        <w:ind w:firstLine="568" w:firstLineChars="222"/>
        <w:rPr>
          <w:spacing w:val="8"/>
          <w:sz w:val="24"/>
        </w:rPr>
      </w:pPr>
      <w:r>
        <w:rPr>
          <w:spacing w:val="8"/>
          <w:sz w:val="24"/>
        </w:rPr>
        <w:t>1、区域稳定性</w:t>
      </w:r>
    </w:p>
    <w:p w14:paraId="126A05F1">
      <w:pPr>
        <w:spacing w:line="360" w:lineRule="auto"/>
        <w:ind w:firstLine="630"/>
        <w:rPr>
          <w:sz w:val="24"/>
        </w:rPr>
      </w:pPr>
      <w:r>
        <w:rPr>
          <w:sz w:val="24"/>
        </w:rPr>
        <w:t>根据《中国地震动参数区划图》（GB18306-2001）的分类标准，区内地震动峰值加速度为0.10g，地震动反应谱特征周期为0.40s，新构造运动主要表现为整体及差异性间隙性上升，地壳的整体活动性不强，区域稳定性属稳定。</w:t>
      </w:r>
    </w:p>
    <w:p w14:paraId="1C06F386">
      <w:pPr>
        <w:widowControl/>
        <w:numPr>
          <w:ilvl w:val="0"/>
          <w:numId w:val="3"/>
        </w:numPr>
        <w:spacing w:line="360" w:lineRule="auto"/>
        <w:ind w:firstLine="568" w:firstLineChars="222"/>
        <w:jc w:val="left"/>
        <w:rPr>
          <w:spacing w:val="8"/>
          <w:sz w:val="24"/>
        </w:rPr>
      </w:pPr>
      <w:r>
        <w:rPr>
          <w:spacing w:val="8"/>
          <w:sz w:val="24"/>
        </w:rPr>
        <w:t>地质环境条件</w:t>
      </w:r>
    </w:p>
    <w:p w14:paraId="7A985D13">
      <w:pPr>
        <w:spacing w:line="360" w:lineRule="auto"/>
        <w:ind w:firstLine="630"/>
        <w:rPr>
          <w:sz w:val="24"/>
        </w:rPr>
      </w:pPr>
      <w:r>
        <w:rPr>
          <w:sz w:val="24"/>
        </w:rPr>
        <w:t>从地质环境现状观察，区内地质环境现状较好，地表无滑坡、泥石流、塌陷等灾害地质现象。矿区范围内主要为耕地、荒坡、林地，未来矿山生产不会对生态环境造成较大破坏，矿区附近有居民建筑，矿山开采至今未按照开发利用方案中建议的方法进行采矿作业，建议矿山今后的开采过程中严格按开发利用方案进行采矿并处理好矿石的堆放问题，避免产生滑坡、泥石流等地质灾害。注意矿区及周边的生态地质环境的保护和治理，坚持“在保护中开发，开发中保护”的原则。</w:t>
      </w:r>
    </w:p>
    <w:p w14:paraId="63B694F1">
      <w:pPr>
        <w:spacing w:line="360" w:lineRule="auto"/>
        <w:ind w:firstLine="630"/>
        <w:rPr>
          <w:sz w:val="24"/>
        </w:rPr>
      </w:pPr>
      <w:r>
        <w:rPr>
          <w:sz w:val="24"/>
        </w:rPr>
        <w:t>矿山开采页岩矿，废弃物极少。该矿山为露天开采，规模小型，采矿活动对环境影响较轻，矿区环境地质现状良好。</w:t>
      </w:r>
    </w:p>
    <w:p w14:paraId="09BB7712">
      <w:pPr>
        <w:pStyle w:val="5"/>
        <w:spacing w:beforeLines="50" w:afterLines="50" w:line="360" w:lineRule="auto"/>
        <w:rPr>
          <w:b w:val="0"/>
          <w:sz w:val="28"/>
          <w:szCs w:val="28"/>
        </w:rPr>
      </w:pPr>
      <w:bookmarkStart w:id="74" w:name="_Toc43851641"/>
      <w:r>
        <w:rPr>
          <w:b w:val="0"/>
          <w:sz w:val="28"/>
          <w:szCs w:val="28"/>
        </w:rPr>
        <w:t>（六）矿体地质特征</w:t>
      </w:r>
      <w:bookmarkEnd w:id="74"/>
    </w:p>
    <w:p w14:paraId="002340E6">
      <w:pPr>
        <w:spacing w:line="360" w:lineRule="auto"/>
        <w:ind w:firstLine="480"/>
        <w:rPr>
          <w:rFonts w:eastAsiaTheme="minorEastAsia"/>
          <w:sz w:val="24"/>
        </w:rPr>
      </w:pPr>
      <w:r>
        <w:rPr>
          <w:rFonts w:eastAsiaTheme="minorEastAsia"/>
          <w:sz w:val="24"/>
        </w:rPr>
        <w:t>矿区范围内主要矿体为侏罗系沙溪庙组下段（J</w:t>
      </w:r>
      <w:r>
        <w:rPr>
          <w:rFonts w:eastAsiaTheme="minorEastAsia"/>
          <w:sz w:val="24"/>
          <w:vertAlign w:val="subscript"/>
        </w:rPr>
        <w:t>2</w:t>
      </w:r>
      <w:r>
        <w:rPr>
          <w:rFonts w:eastAsiaTheme="minorEastAsia"/>
          <w:sz w:val="24"/>
        </w:rPr>
        <w:t>s</w:t>
      </w:r>
      <w:r>
        <w:rPr>
          <w:rFonts w:eastAsiaTheme="minorEastAsia"/>
          <w:sz w:val="24"/>
          <w:vertAlign w:val="superscript"/>
        </w:rPr>
        <w:t>1</w:t>
      </w:r>
      <w:r>
        <w:rPr>
          <w:rFonts w:eastAsiaTheme="minorEastAsia"/>
          <w:sz w:val="24"/>
        </w:rPr>
        <w:t>）浅紫色、浅紫红色页岩和泥岩夹泥质粉砂岩，厚度30～327m。</w:t>
      </w:r>
    </w:p>
    <w:p w14:paraId="68FDA730">
      <w:pPr>
        <w:spacing w:line="360" w:lineRule="auto"/>
        <w:ind w:firstLine="480"/>
        <w:rPr>
          <w:rFonts w:eastAsiaTheme="minorEastAsia"/>
          <w:sz w:val="24"/>
        </w:rPr>
      </w:pPr>
      <w:r>
        <w:rPr>
          <w:rFonts w:eastAsiaTheme="minorEastAsia"/>
          <w:sz w:val="24"/>
        </w:rPr>
        <w:t>粘土质页岩矿呈浅紫、浅紫红色，薄～中层状，成份以粘土质矿物为主，含少量粉砂质、泥质等，呈粉砂质、泥质结构。垂直向下，其岩层风化强度渐弱。根据风化程度简述于下：</w:t>
      </w:r>
    </w:p>
    <w:p w14:paraId="7BCF9575">
      <w:pPr>
        <w:spacing w:line="360" w:lineRule="auto"/>
        <w:ind w:firstLine="480"/>
        <w:rPr>
          <w:rFonts w:eastAsiaTheme="minorEastAsia"/>
          <w:sz w:val="24"/>
        </w:rPr>
      </w:pPr>
      <w:r>
        <w:rPr>
          <w:rFonts w:eastAsiaTheme="minorEastAsia"/>
          <w:sz w:val="24"/>
        </w:rPr>
        <w:t>1、全风化层：表层风化强烈、破碎，岩石原生结构基本已被破坏。且程度不均匀。多为风化粘土，局部含泥质页岩碎块。随深度增加页岩层较完整。厚度在0.5～1.5m。</w:t>
      </w:r>
    </w:p>
    <w:p w14:paraId="30046477">
      <w:pPr>
        <w:spacing w:line="360" w:lineRule="auto"/>
        <w:ind w:firstLine="480"/>
        <w:rPr>
          <w:rFonts w:eastAsiaTheme="minorEastAsia"/>
          <w:sz w:val="24"/>
        </w:rPr>
      </w:pPr>
      <w:r>
        <w:rPr>
          <w:rFonts w:eastAsiaTheme="minorEastAsia"/>
          <w:sz w:val="24"/>
        </w:rPr>
        <w:t>2、强风化岩层：风化较强，局部破碎，节理裂隙较发育。充填粘土和钙质物，上部岩石大部分原生结构被破坏，厚度1～3m。</w:t>
      </w:r>
    </w:p>
    <w:p w14:paraId="6F6359D1">
      <w:pPr>
        <w:spacing w:line="360" w:lineRule="auto"/>
        <w:ind w:firstLine="480"/>
        <w:rPr>
          <w:sz w:val="24"/>
        </w:rPr>
      </w:pPr>
      <w:r>
        <w:rPr>
          <w:rFonts w:eastAsiaTheme="minorEastAsia"/>
          <w:sz w:val="24"/>
        </w:rPr>
        <w:t>3、中风化、弱风化岩层：风化较弱，局部节理裂隙发育，且节理裂隙充填钙质物。厚度0.5～1.5m</w:t>
      </w:r>
      <w:r>
        <w:rPr>
          <w:sz w:val="24"/>
        </w:rPr>
        <w:t>。</w:t>
      </w:r>
    </w:p>
    <w:p w14:paraId="2E37E507">
      <w:pPr>
        <w:keepNext/>
        <w:keepLines/>
        <w:adjustRightInd w:val="0"/>
        <w:spacing w:beforeLines="50" w:afterLines="50" w:line="360" w:lineRule="auto"/>
        <w:jc w:val="left"/>
        <w:textAlignment w:val="baseline"/>
        <w:outlineLvl w:val="0"/>
        <w:rPr>
          <w:kern w:val="0"/>
          <w:sz w:val="30"/>
          <w:szCs w:val="30"/>
        </w:rPr>
      </w:pPr>
      <w:bookmarkStart w:id="75" w:name="_Toc43851642"/>
      <w:r>
        <w:rPr>
          <w:kern w:val="0"/>
          <w:sz w:val="30"/>
          <w:szCs w:val="30"/>
        </w:rPr>
        <w:t>三、矿区社会经济概况</w:t>
      </w:r>
      <w:bookmarkEnd w:id="75"/>
    </w:p>
    <w:p w14:paraId="15972A9D">
      <w:pPr>
        <w:widowControl/>
        <w:shd w:val="clear" w:color="auto" w:fill="FFFFFF"/>
        <w:spacing w:line="360" w:lineRule="auto"/>
        <w:ind w:firstLine="480"/>
        <w:jc w:val="left"/>
        <w:rPr>
          <w:rFonts w:eastAsiaTheme="minorEastAsia"/>
          <w:sz w:val="24"/>
        </w:rPr>
      </w:pPr>
      <w:r>
        <w:rPr>
          <w:rFonts w:eastAsiaTheme="minorEastAsia"/>
          <w:sz w:val="24"/>
        </w:rPr>
        <w:t>2019年，广元市城镇居民人均可支配收入33481元，比上年增加2889元，增长9.4%。人均生活消费支出21912元，增长9.1%；农村居民人均可支配收入13127元，比上年增加1273元，增长10.7%。人均生活消费支出11021元，增长10.9%。城乡居民人均收入比值由上年的2.58缩小为2.55。</w:t>
      </w:r>
    </w:p>
    <w:p w14:paraId="456AE918">
      <w:pPr>
        <w:widowControl/>
        <w:shd w:val="clear" w:color="auto" w:fill="FFFFFF"/>
        <w:spacing w:line="360" w:lineRule="auto"/>
        <w:ind w:firstLine="480"/>
        <w:jc w:val="left"/>
        <w:rPr>
          <w:rFonts w:eastAsiaTheme="minorEastAsia"/>
          <w:sz w:val="24"/>
        </w:rPr>
      </w:pPr>
      <w:r>
        <w:rPr>
          <w:rFonts w:eastAsiaTheme="minorEastAsia"/>
          <w:sz w:val="24"/>
        </w:rPr>
        <w:t>2019年，利州区全区实现地区生产总值（GDP）325.8亿元，比上年增长8.3%。第一产业增加值实现13.24亿元，增长3.2%。第二产业增加值实现150.63亿元，增长8.3%。第三产业增加值实现161.93亿元，增长8.6%。全区人均地区生产总值达到58492元，比去年增长8.1%。全年全体居民人均可支配收入27816元，增长9.4%。其中城镇居民可支配收入34130元，增长9.4%；农村居民人均可支配收入13558元，增长10.9%。</w:t>
      </w:r>
    </w:p>
    <w:p w14:paraId="4EE96A4B">
      <w:pPr>
        <w:widowControl/>
        <w:shd w:val="clear" w:color="auto" w:fill="FFFFFF"/>
        <w:spacing w:line="360" w:lineRule="auto"/>
        <w:ind w:firstLine="480"/>
        <w:jc w:val="left"/>
        <w:rPr>
          <w:rFonts w:eastAsiaTheme="minorEastAsia"/>
          <w:sz w:val="24"/>
        </w:rPr>
      </w:pPr>
      <w:r>
        <w:rPr>
          <w:rFonts w:eastAsiaTheme="minorEastAsia"/>
          <w:sz w:val="24"/>
        </w:rPr>
        <w:t>矿区周围居民均为汉族，人口较稠密，以农业为主，主产玉米、小麦、水稻，其次为黄豆、红薯、土豆，土特产有木耳、生姜、桐油等。工业欠发达，页岩矿的开发利用对当地经济发展起到了一定的促进作用。</w:t>
      </w:r>
    </w:p>
    <w:p w14:paraId="4A510021">
      <w:pPr>
        <w:keepNext/>
        <w:keepLines/>
        <w:adjustRightInd w:val="0"/>
        <w:spacing w:beforeLines="50" w:afterLines="50" w:line="360" w:lineRule="auto"/>
        <w:jc w:val="left"/>
        <w:textAlignment w:val="baseline"/>
        <w:outlineLvl w:val="0"/>
        <w:rPr>
          <w:kern w:val="0"/>
          <w:sz w:val="30"/>
          <w:szCs w:val="30"/>
        </w:rPr>
      </w:pPr>
      <w:bookmarkStart w:id="76" w:name="_Toc43851643"/>
      <w:r>
        <w:rPr>
          <w:kern w:val="0"/>
          <w:sz w:val="30"/>
          <w:szCs w:val="30"/>
        </w:rPr>
        <w:t>四、矿区土地利用现状</w:t>
      </w:r>
      <w:bookmarkEnd w:id="76"/>
    </w:p>
    <w:p w14:paraId="1547EDC3">
      <w:pPr>
        <w:spacing w:line="360" w:lineRule="auto"/>
        <w:ind w:firstLine="480" w:firstLineChars="200"/>
        <w:rPr>
          <w:sz w:val="24"/>
          <w:lang w:val="zh-CN"/>
        </w:rPr>
      </w:pPr>
      <w:r>
        <w:rPr>
          <w:sz w:val="24"/>
          <w:lang w:val="zh-CN"/>
        </w:rPr>
        <w:t>广元市利州区紫兰建材厂砖瓦用页岩矿矿区面积0.0206km</w:t>
      </w:r>
      <w:r>
        <w:rPr>
          <w:sz w:val="24"/>
          <w:vertAlign w:val="superscript"/>
          <w:lang w:val="zh-CN"/>
        </w:rPr>
        <w:t>2</w:t>
      </w:r>
      <w:r>
        <w:rPr>
          <w:sz w:val="24"/>
          <w:lang w:val="zh-CN"/>
        </w:rPr>
        <w:t>，对破坏前矿权范围内土地利用情况进行分类统计表明，矿区范围内土地利用现状为旱地、有林地、其他林地、其他草地、采矿用地和城镇住宅用地等。根据广元市当地自然资源主管部门提供的资料，矿权范围及临时用地范围不占用永久基本农田。各地类面积情况详见下表2-1。</w:t>
      </w:r>
    </w:p>
    <w:p w14:paraId="3A4D1ED1">
      <w:pPr>
        <w:spacing w:line="360" w:lineRule="auto"/>
        <w:ind w:firstLine="480" w:firstLineChars="200"/>
        <w:rPr>
          <w:sz w:val="24"/>
          <w:lang w:val="zh-CN"/>
        </w:rPr>
      </w:pPr>
    </w:p>
    <w:p w14:paraId="4C634368">
      <w:pPr>
        <w:spacing w:line="360" w:lineRule="auto"/>
        <w:ind w:firstLine="480" w:firstLineChars="200"/>
        <w:rPr>
          <w:sz w:val="24"/>
          <w:lang w:val="zh-CN"/>
        </w:rPr>
      </w:pPr>
    </w:p>
    <w:p w14:paraId="4C6E2CD9">
      <w:pPr>
        <w:spacing w:line="360" w:lineRule="auto"/>
        <w:ind w:firstLine="480" w:firstLineChars="200"/>
        <w:rPr>
          <w:sz w:val="24"/>
          <w:lang w:val="zh-CN"/>
        </w:rPr>
      </w:pPr>
    </w:p>
    <w:p w14:paraId="3B948FBD">
      <w:pPr>
        <w:spacing w:line="360" w:lineRule="auto"/>
        <w:ind w:firstLine="480" w:firstLineChars="200"/>
        <w:rPr>
          <w:sz w:val="24"/>
          <w:lang w:val="zh-CN"/>
        </w:rPr>
      </w:pPr>
    </w:p>
    <w:p w14:paraId="79FF550E">
      <w:pPr>
        <w:spacing w:line="360" w:lineRule="auto"/>
        <w:ind w:firstLine="480" w:firstLineChars="200"/>
        <w:rPr>
          <w:sz w:val="24"/>
          <w:lang w:val="zh-CN"/>
        </w:rPr>
      </w:pPr>
    </w:p>
    <w:p w14:paraId="3BD31E63">
      <w:pPr>
        <w:spacing w:line="360" w:lineRule="auto"/>
        <w:ind w:firstLine="480" w:firstLineChars="200"/>
        <w:rPr>
          <w:sz w:val="24"/>
          <w:lang w:val="zh-CN"/>
        </w:rPr>
      </w:pPr>
    </w:p>
    <w:p w14:paraId="1C6D0C5E">
      <w:pPr>
        <w:jc w:val="center"/>
        <w:rPr>
          <w:rFonts w:eastAsiaTheme="minorEastAsia"/>
          <w:b/>
          <w:szCs w:val="21"/>
        </w:rPr>
      </w:pPr>
      <w:r>
        <w:rPr>
          <w:rFonts w:eastAsiaTheme="minorEastAsia"/>
          <w:b/>
          <w:szCs w:val="21"/>
        </w:rPr>
        <w:t>表2-1  矿权范围内土地利用现状表</w:t>
      </w:r>
    </w:p>
    <w:tbl>
      <w:tblPr>
        <w:tblStyle w:val="29"/>
        <w:tblW w:w="8669" w:type="dxa"/>
        <w:jc w:val="center"/>
        <w:tblLayout w:type="autofit"/>
        <w:tblCellMar>
          <w:top w:w="0" w:type="dxa"/>
          <w:left w:w="108" w:type="dxa"/>
          <w:bottom w:w="0" w:type="dxa"/>
          <w:right w:w="108" w:type="dxa"/>
        </w:tblCellMar>
      </w:tblPr>
      <w:tblGrid>
        <w:gridCol w:w="426"/>
        <w:gridCol w:w="1851"/>
        <w:gridCol w:w="531"/>
        <w:gridCol w:w="1717"/>
        <w:gridCol w:w="1286"/>
        <w:gridCol w:w="1701"/>
        <w:gridCol w:w="1167"/>
      </w:tblGrid>
      <w:tr w14:paraId="08C4EEA6">
        <w:tblPrEx>
          <w:tblCellMar>
            <w:top w:w="0" w:type="dxa"/>
            <w:left w:w="108" w:type="dxa"/>
            <w:bottom w:w="0" w:type="dxa"/>
            <w:right w:w="108" w:type="dxa"/>
          </w:tblCellMar>
        </w:tblPrEx>
        <w:trPr>
          <w:trHeight w:val="419" w:hRule="atLeast"/>
          <w:jc w:val="center"/>
        </w:trPr>
        <w:tc>
          <w:tcPr>
            <w:tcW w:w="2273"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30BE125">
            <w:pPr>
              <w:widowControl/>
              <w:jc w:val="center"/>
              <w:rPr>
                <w:color w:val="000000"/>
                <w:kern w:val="0"/>
                <w:szCs w:val="21"/>
              </w:rPr>
            </w:pPr>
            <w:r>
              <w:rPr>
                <w:color w:val="000000"/>
                <w:kern w:val="0"/>
                <w:szCs w:val="21"/>
              </w:rPr>
              <w:t>一级地类</w:t>
            </w:r>
          </w:p>
        </w:tc>
        <w:tc>
          <w:tcPr>
            <w:tcW w:w="2242" w:type="dxa"/>
            <w:gridSpan w:val="2"/>
            <w:tcBorders>
              <w:top w:val="single" w:color="auto" w:sz="4" w:space="0"/>
              <w:left w:val="nil"/>
              <w:bottom w:val="single" w:color="auto" w:sz="4" w:space="0"/>
              <w:right w:val="single" w:color="auto" w:sz="4" w:space="0"/>
            </w:tcBorders>
            <w:shd w:val="clear" w:color="auto" w:fill="auto"/>
            <w:noWrap/>
            <w:vAlign w:val="center"/>
          </w:tcPr>
          <w:p w14:paraId="2E4D6B8D">
            <w:pPr>
              <w:widowControl/>
              <w:jc w:val="center"/>
              <w:rPr>
                <w:color w:val="000000"/>
                <w:kern w:val="0"/>
                <w:szCs w:val="21"/>
              </w:rPr>
            </w:pPr>
            <w:r>
              <w:rPr>
                <w:color w:val="000000"/>
                <w:kern w:val="0"/>
                <w:szCs w:val="21"/>
              </w:rPr>
              <w:t>二级地类</w:t>
            </w:r>
          </w:p>
        </w:tc>
        <w:tc>
          <w:tcPr>
            <w:tcW w:w="1286" w:type="dxa"/>
            <w:tcBorders>
              <w:top w:val="single" w:color="auto" w:sz="4" w:space="0"/>
              <w:left w:val="nil"/>
              <w:bottom w:val="single" w:color="auto" w:sz="4" w:space="0"/>
              <w:right w:val="single" w:color="auto" w:sz="4" w:space="0"/>
            </w:tcBorders>
            <w:shd w:val="clear" w:color="auto" w:fill="auto"/>
            <w:noWrap/>
            <w:vAlign w:val="center"/>
          </w:tcPr>
          <w:p w14:paraId="7C1F74B4">
            <w:pPr>
              <w:widowControl/>
              <w:jc w:val="center"/>
              <w:rPr>
                <w:color w:val="000000"/>
                <w:kern w:val="0"/>
                <w:szCs w:val="21"/>
              </w:rPr>
            </w:pPr>
            <w:r>
              <w:rPr>
                <w:color w:val="000000"/>
                <w:kern w:val="0"/>
                <w:szCs w:val="21"/>
              </w:rPr>
              <w:t>面积(hm</w:t>
            </w:r>
            <w:r>
              <w:rPr>
                <w:color w:val="000000"/>
                <w:kern w:val="0"/>
                <w:szCs w:val="21"/>
                <w:vertAlign w:val="superscript"/>
              </w:rPr>
              <w:t>2</w:t>
            </w:r>
            <w:r>
              <w:rPr>
                <w:color w:val="000000"/>
                <w:kern w:val="0"/>
                <w:szCs w:val="21"/>
              </w:rPr>
              <w:t>)</w:t>
            </w:r>
          </w:p>
        </w:tc>
        <w:tc>
          <w:tcPr>
            <w:tcW w:w="1701" w:type="dxa"/>
            <w:tcBorders>
              <w:top w:val="single" w:color="auto" w:sz="4" w:space="0"/>
              <w:left w:val="nil"/>
              <w:bottom w:val="single" w:color="auto" w:sz="4" w:space="0"/>
              <w:right w:val="single" w:color="auto" w:sz="4" w:space="0"/>
            </w:tcBorders>
            <w:shd w:val="clear" w:color="auto" w:fill="auto"/>
            <w:noWrap/>
            <w:vAlign w:val="center"/>
          </w:tcPr>
          <w:p w14:paraId="41BA404A">
            <w:pPr>
              <w:widowControl/>
              <w:jc w:val="center"/>
              <w:rPr>
                <w:color w:val="000000"/>
                <w:kern w:val="0"/>
                <w:szCs w:val="21"/>
              </w:rPr>
            </w:pPr>
            <w:r>
              <w:rPr>
                <w:color w:val="000000"/>
                <w:kern w:val="0"/>
                <w:szCs w:val="21"/>
              </w:rPr>
              <w:t>占总面积比例</w:t>
            </w:r>
          </w:p>
        </w:tc>
        <w:tc>
          <w:tcPr>
            <w:tcW w:w="1167" w:type="dxa"/>
            <w:tcBorders>
              <w:top w:val="single" w:color="auto" w:sz="4" w:space="0"/>
              <w:left w:val="nil"/>
              <w:bottom w:val="single" w:color="auto" w:sz="4" w:space="0"/>
              <w:right w:val="single" w:color="auto" w:sz="4" w:space="0"/>
            </w:tcBorders>
            <w:shd w:val="clear" w:color="auto" w:fill="auto"/>
            <w:noWrap/>
            <w:vAlign w:val="center"/>
          </w:tcPr>
          <w:p w14:paraId="6B4120BF">
            <w:pPr>
              <w:widowControl/>
              <w:jc w:val="center"/>
              <w:rPr>
                <w:color w:val="000000"/>
                <w:kern w:val="0"/>
                <w:szCs w:val="21"/>
              </w:rPr>
            </w:pPr>
            <w:r>
              <w:rPr>
                <w:color w:val="000000"/>
                <w:kern w:val="0"/>
                <w:szCs w:val="21"/>
              </w:rPr>
              <w:t>权属</w:t>
            </w:r>
          </w:p>
        </w:tc>
      </w:tr>
      <w:tr w14:paraId="4F6523F8">
        <w:tblPrEx>
          <w:tblCellMar>
            <w:top w:w="0" w:type="dxa"/>
            <w:left w:w="108" w:type="dxa"/>
            <w:bottom w:w="0" w:type="dxa"/>
            <w:right w:w="108" w:type="dxa"/>
          </w:tblCellMar>
        </w:tblPrEx>
        <w:trPr>
          <w:trHeight w:val="419" w:hRule="atLeast"/>
          <w:jc w:val="center"/>
        </w:trPr>
        <w:tc>
          <w:tcPr>
            <w:tcW w:w="421" w:type="dxa"/>
            <w:tcBorders>
              <w:top w:val="nil"/>
              <w:left w:val="single" w:color="auto" w:sz="4" w:space="0"/>
              <w:bottom w:val="single" w:color="auto" w:sz="4" w:space="0"/>
              <w:right w:val="single" w:color="auto" w:sz="4" w:space="0"/>
            </w:tcBorders>
            <w:shd w:val="clear" w:color="auto" w:fill="auto"/>
            <w:noWrap/>
            <w:vAlign w:val="center"/>
          </w:tcPr>
          <w:p w14:paraId="3BBED86D">
            <w:pPr>
              <w:widowControl/>
              <w:jc w:val="center"/>
              <w:rPr>
                <w:color w:val="000000"/>
                <w:kern w:val="0"/>
                <w:szCs w:val="21"/>
              </w:rPr>
            </w:pPr>
            <w:r>
              <w:rPr>
                <w:color w:val="000000"/>
                <w:kern w:val="0"/>
                <w:szCs w:val="21"/>
              </w:rPr>
              <w:t>01</w:t>
            </w:r>
          </w:p>
        </w:tc>
        <w:tc>
          <w:tcPr>
            <w:tcW w:w="1851" w:type="dxa"/>
            <w:tcBorders>
              <w:top w:val="nil"/>
              <w:left w:val="nil"/>
              <w:bottom w:val="single" w:color="auto" w:sz="4" w:space="0"/>
              <w:right w:val="single" w:color="auto" w:sz="4" w:space="0"/>
            </w:tcBorders>
            <w:shd w:val="clear" w:color="auto" w:fill="auto"/>
            <w:noWrap/>
            <w:vAlign w:val="center"/>
          </w:tcPr>
          <w:p w14:paraId="48C7FE71">
            <w:pPr>
              <w:widowControl/>
              <w:jc w:val="center"/>
              <w:rPr>
                <w:color w:val="000000"/>
                <w:kern w:val="0"/>
                <w:szCs w:val="21"/>
              </w:rPr>
            </w:pPr>
            <w:r>
              <w:rPr>
                <w:color w:val="000000"/>
                <w:kern w:val="0"/>
                <w:szCs w:val="21"/>
              </w:rPr>
              <w:t>耕地</w:t>
            </w:r>
          </w:p>
        </w:tc>
        <w:tc>
          <w:tcPr>
            <w:tcW w:w="525" w:type="dxa"/>
            <w:tcBorders>
              <w:top w:val="nil"/>
              <w:left w:val="nil"/>
              <w:bottom w:val="single" w:color="auto" w:sz="4" w:space="0"/>
              <w:right w:val="single" w:color="auto" w:sz="4" w:space="0"/>
            </w:tcBorders>
            <w:shd w:val="clear" w:color="auto" w:fill="auto"/>
            <w:noWrap/>
            <w:vAlign w:val="center"/>
          </w:tcPr>
          <w:p w14:paraId="29F11DB8">
            <w:pPr>
              <w:widowControl/>
              <w:jc w:val="center"/>
              <w:rPr>
                <w:color w:val="000000"/>
                <w:kern w:val="0"/>
                <w:szCs w:val="21"/>
              </w:rPr>
            </w:pPr>
            <w:r>
              <w:rPr>
                <w:color w:val="000000"/>
                <w:kern w:val="0"/>
                <w:szCs w:val="21"/>
              </w:rPr>
              <w:t>013</w:t>
            </w:r>
          </w:p>
        </w:tc>
        <w:tc>
          <w:tcPr>
            <w:tcW w:w="1717" w:type="dxa"/>
            <w:tcBorders>
              <w:top w:val="nil"/>
              <w:left w:val="nil"/>
              <w:bottom w:val="single" w:color="auto" w:sz="4" w:space="0"/>
              <w:right w:val="single" w:color="auto" w:sz="4" w:space="0"/>
            </w:tcBorders>
            <w:shd w:val="clear" w:color="auto" w:fill="auto"/>
            <w:noWrap/>
            <w:vAlign w:val="center"/>
          </w:tcPr>
          <w:p w14:paraId="2AD7B1BC">
            <w:pPr>
              <w:widowControl/>
              <w:jc w:val="center"/>
              <w:rPr>
                <w:color w:val="000000"/>
                <w:kern w:val="0"/>
                <w:szCs w:val="21"/>
              </w:rPr>
            </w:pPr>
            <w:r>
              <w:rPr>
                <w:color w:val="000000"/>
                <w:kern w:val="0"/>
                <w:szCs w:val="21"/>
              </w:rPr>
              <w:t>旱地</w:t>
            </w:r>
          </w:p>
        </w:tc>
        <w:tc>
          <w:tcPr>
            <w:tcW w:w="1286" w:type="dxa"/>
            <w:tcBorders>
              <w:top w:val="nil"/>
              <w:left w:val="nil"/>
              <w:bottom w:val="single" w:color="auto" w:sz="4" w:space="0"/>
              <w:right w:val="single" w:color="auto" w:sz="4" w:space="0"/>
            </w:tcBorders>
            <w:shd w:val="clear" w:color="auto" w:fill="auto"/>
            <w:noWrap/>
            <w:vAlign w:val="center"/>
          </w:tcPr>
          <w:p w14:paraId="628A3BAA">
            <w:pPr>
              <w:widowControl/>
              <w:jc w:val="center"/>
              <w:rPr>
                <w:color w:val="000000"/>
                <w:kern w:val="0"/>
                <w:szCs w:val="21"/>
              </w:rPr>
            </w:pPr>
            <w:r>
              <w:rPr>
                <w:color w:val="000000"/>
                <w:kern w:val="0"/>
                <w:szCs w:val="21"/>
              </w:rPr>
              <w:t>0.8305</w:t>
            </w:r>
          </w:p>
        </w:tc>
        <w:tc>
          <w:tcPr>
            <w:tcW w:w="1701" w:type="dxa"/>
            <w:tcBorders>
              <w:top w:val="nil"/>
              <w:left w:val="nil"/>
              <w:bottom w:val="single" w:color="auto" w:sz="4" w:space="0"/>
              <w:right w:val="single" w:color="auto" w:sz="4" w:space="0"/>
            </w:tcBorders>
            <w:shd w:val="clear" w:color="auto" w:fill="auto"/>
            <w:noWrap/>
            <w:vAlign w:val="center"/>
          </w:tcPr>
          <w:p w14:paraId="12D5CA7C">
            <w:pPr>
              <w:widowControl/>
              <w:jc w:val="center"/>
              <w:rPr>
                <w:color w:val="000000"/>
                <w:kern w:val="0"/>
                <w:szCs w:val="21"/>
              </w:rPr>
            </w:pPr>
            <w:r>
              <w:rPr>
                <w:color w:val="000000"/>
                <w:kern w:val="0"/>
                <w:szCs w:val="21"/>
              </w:rPr>
              <w:t>40.27%</w:t>
            </w:r>
          </w:p>
        </w:tc>
        <w:tc>
          <w:tcPr>
            <w:tcW w:w="1167" w:type="dxa"/>
            <w:vMerge w:val="restart"/>
            <w:tcBorders>
              <w:top w:val="nil"/>
              <w:left w:val="single" w:color="auto" w:sz="4" w:space="0"/>
              <w:bottom w:val="single" w:color="auto" w:sz="4" w:space="0"/>
              <w:right w:val="single" w:color="auto" w:sz="4" w:space="0"/>
            </w:tcBorders>
            <w:shd w:val="clear" w:color="auto" w:fill="auto"/>
            <w:vAlign w:val="center"/>
          </w:tcPr>
          <w:p w14:paraId="23E389FF">
            <w:pPr>
              <w:widowControl/>
              <w:jc w:val="center"/>
              <w:rPr>
                <w:color w:val="000000"/>
                <w:kern w:val="0"/>
                <w:szCs w:val="21"/>
              </w:rPr>
            </w:pPr>
            <w:r>
              <w:rPr>
                <w:color w:val="000000"/>
                <w:kern w:val="0"/>
                <w:szCs w:val="21"/>
              </w:rPr>
              <w:t>利州区宝轮镇社区</w:t>
            </w:r>
          </w:p>
        </w:tc>
      </w:tr>
      <w:tr w14:paraId="65B1DFA8">
        <w:tblPrEx>
          <w:tblCellMar>
            <w:top w:w="0" w:type="dxa"/>
            <w:left w:w="108" w:type="dxa"/>
            <w:bottom w:w="0" w:type="dxa"/>
            <w:right w:w="108" w:type="dxa"/>
          </w:tblCellMar>
        </w:tblPrEx>
        <w:trPr>
          <w:trHeight w:val="419" w:hRule="atLeast"/>
          <w:jc w:val="center"/>
        </w:trPr>
        <w:tc>
          <w:tcPr>
            <w:tcW w:w="421" w:type="dxa"/>
            <w:vMerge w:val="restart"/>
            <w:tcBorders>
              <w:top w:val="nil"/>
              <w:left w:val="single" w:color="auto" w:sz="4" w:space="0"/>
              <w:bottom w:val="single" w:color="000000" w:sz="4" w:space="0"/>
              <w:right w:val="single" w:color="auto" w:sz="4" w:space="0"/>
            </w:tcBorders>
            <w:shd w:val="clear" w:color="auto" w:fill="auto"/>
            <w:noWrap/>
            <w:vAlign w:val="center"/>
          </w:tcPr>
          <w:p w14:paraId="5CCB2C24">
            <w:pPr>
              <w:widowControl/>
              <w:jc w:val="center"/>
              <w:rPr>
                <w:color w:val="000000"/>
                <w:kern w:val="0"/>
                <w:szCs w:val="21"/>
              </w:rPr>
            </w:pPr>
            <w:r>
              <w:rPr>
                <w:color w:val="000000"/>
                <w:kern w:val="0"/>
                <w:szCs w:val="21"/>
              </w:rPr>
              <w:t>03</w:t>
            </w:r>
          </w:p>
        </w:tc>
        <w:tc>
          <w:tcPr>
            <w:tcW w:w="1851" w:type="dxa"/>
            <w:vMerge w:val="restart"/>
            <w:tcBorders>
              <w:top w:val="nil"/>
              <w:left w:val="single" w:color="auto" w:sz="4" w:space="0"/>
              <w:bottom w:val="single" w:color="000000" w:sz="4" w:space="0"/>
              <w:right w:val="single" w:color="auto" w:sz="4" w:space="0"/>
            </w:tcBorders>
            <w:shd w:val="clear" w:color="auto" w:fill="auto"/>
            <w:noWrap/>
            <w:vAlign w:val="center"/>
          </w:tcPr>
          <w:p w14:paraId="380643E4">
            <w:pPr>
              <w:widowControl/>
              <w:jc w:val="center"/>
              <w:rPr>
                <w:color w:val="000000"/>
                <w:kern w:val="0"/>
                <w:szCs w:val="21"/>
              </w:rPr>
            </w:pPr>
            <w:r>
              <w:rPr>
                <w:color w:val="000000"/>
                <w:kern w:val="0"/>
                <w:szCs w:val="21"/>
              </w:rPr>
              <w:t>林地</w:t>
            </w:r>
          </w:p>
        </w:tc>
        <w:tc>
          <w:tcPr>
            <w:tcW w:w="525" w:type="dxa"/>
            <w:tcBorders>
              <w:top w:val="nil"/>
              <w:left w:val="nil"/>
              <w:bottom w:val="single" w:color="auto" w:sz="4" w:space="0"/>
              <w:right w:val="single" w:color="auto" w:sz="4" w:space="0"/>
            </w:tcBorders>
            <w:shd w:val="clear" w:color="auto" w:fill="auto"/>
            <w:noWrap/>
            <w:vAlign w:val="center"/>
          </w:tcPr>
          <w:p w14:paraId="54A6544D">
            <w:pPr>
              <w:widowControl/>
              <w:jc w:val="center"/>
              <w:rPr>
                <w:color w:val="000000"/>
                <w:kern w:val="0"/>
                <w:szCs w:val="21"/>
              </w:rPr>
            </w:pPr>
            <w:r>
              <w:rPr>
                <w:color w:val="000000"/>
                <w:kern w:val="0"/>
                <w:szCs w:val="21"/>
              </w:rPr>
              <w:t>031</w:t>
            </w:r>
          </w:p>
        </w:tc>
        <w:tc>
          <w:tcPr>
            <w:tcW w:w="1717" w:type="dxa"/>
            <w:tcBorders>
              <w:top w:val="nil"/>
              <w:left w:val="nil"/>
              <w:bottom w:val="single" w:color="auto" w:sz="4" w:space="0"/>
              <w:right w:val="single" w:color="auto" w:sz="4" w:space="0"/>
            </w:tcBorders>
            <w:shd w:val="clear" w:color="auto" w:fill="auto"/>
            <w:noWrap/>
            <w:vAlign w:val="center"/>
          </w:tcPr>
          <w:p w14:paraId="1BECE069">
            <w:pPr>
              <w:widowControl/>
              <w:jc w:val="center"/>
              <w:rPr>
                <w:color w:val="000000"/>
                <w:kern w:val="0"/>
                <w:szCs w:val="21"/>
              </w:rPr>
            </w:pPr>
            <w:r>
              <w:rPr>
                <w:color w:val="000000"/>
                <w:kern w:val="0"/>
                <w:szCs w:val="21"/>
              </w:rPr>
              <w:t>有林地</w:t>
            </w:r>
          </w:p>
        </w:tc>
        <w:tc>
          <w:tcPr>
            <w:tcW w:w="1286" w:type="dxa"/>
            <w:tcBorders>
              <w:top w:val="nil"/>
              <w:left w:val="nil"/>
              <w:bottom w:val="single" w:color="auto" w:sz="4" w:space="0"/>
              <w:right w:val="single" w:color="auto" w:sz="4" w:space="0"/>
            </w:tcBorders>
            <w:shd w:val="clear" w:color="auto" w:fill="auto"/>
            <w:noWrap/>
            <w:vAlign w:val="center"/>
          </w:tcPr>
          <w:p w14:paraId="5373CDA6">
            <w:pPr>
              <w:widowControl/>
              <w:jc w:val="center"/>
              <w:rPr>
                <w:color w:val="000000"/>
                <w:kern w:val="0"/>
                <w:szCs w:val="21"/>
              </w:rPr>
            </w:pPr>
            <w:r>
              <w:rPr>
                <w:color w:val="000000"/>
                <w:kern w:val="0"/>
                <w:szCs w:val="21"/>
              </w:rPr>
              <w:t>0.1629</w:t>
            </w:r>
          </w:p>
        </w:tc>
        <w:tc>
          <w:tcPr>
            <w:tcW w:w="1701" w:type="dxa"/>
            <w:tcBorders>
              <w:top w:val="nil"/>
              <w:left w:val="nil"/>
              <w:bottom w:val="single" w:color="auto" w:sz="4" w:space="0"/>
              <w:right w:val="single" w:color="auto" w:sz="4" w:space="0"/>
            </w:tcBorders>
            <w:shd w:val="clear" w:color="auto" w:fill="auto"/>
            <w:noWrap/>
            <w:vAlign w:val="center"/>
          </w:tcPr>
          <w:p w14:paraId="37EAF33C">
            <w:pPr>
              <w:widowControl/>
              <w:jc w:val="center"/>
              <w:rPr>
                <w:color w:val="000000"/>
                <w:kern w:val="0"/>
                <w:szCs w:val="21"/>
              </w:rPr>
            </w:pPr>
            <w:r>
              <w:rPr>
                <w:color w:val="000000"/>
                <w:kern w:val="0"/>
                <w:szCs w:val="21"/>
              </w:rPr>
              <w:t>7.90%</w:t>
            </w:r>
          </w:p>
        </w:tc>
        <w:tc>
          <w:tcPr>
            <w:tcW w:w="1167" w:type="dxa"/>
            <w:vMerge w:val="continue"/>
            <w:tcBorders>
              <w:top w:val="nil"/>
              <w:left w:val="single" w:color="auto" w:sz="4" w:space="0"/>
              <w:bottom w:val="single" w:color="auto" w:sz="4" w:space="0"/>
              <w:right w:val="single" w:color="auto" w:sz="4" w:space="0"/>
            </w:tcBorders>
            <w:vAlign w:val="center"/>
          </w:tcPr>
          <w:p w14:paraId="79E1BF35">
            <w:pPr>
              <w:widowControl/>
              <w:jc w:val="left"/>
              <w:rPr>
                <w:color w:val="000000"/>
                <w:kern w:val="0"/>
                <w:szCs w:val="21"/>
              </w:rPr>
            </w:pPr>
          </w:p>
        </w:tc>
      </w:tr>
      <w:tr w14:paraId="6296C652">
        <w:tblPrEx>
          <w:tblCellMar>
            <w:top w:w="0" w:type="dxa"/>
            <w:left w:w="108" w:type="dxa"/>
            <w:bottom w:w="0" w:type="dxa"/>
            <w:right w:w="108" w:type="dxa"/>
          </w:tblCellMar>
        </w:tblPrEx>
        <w:trPr>
          <w:trHeight w:val="419" w:hRule="atLeast"/>
          <w:jc w:val="center"/>
        </w:trPr>
        <w:tc>
          <w:tcPr>
            <w:tcW w:w="421" w:type="dxa"/>
            <w:vMerge w:val="continue"/>
            <w:tcBorders>
              <w:top w:val="nil"/>
              <w:left w:val="single" w:color="auto" w:sz="4" w:space="0"/>
              <w:bottom w:val="single" w:color="000000" w:sz="4" w:space="0"/>
              <w:right w:val="single" w:color="auto" w:sz="4" w:space="0"/>
            </w:tcBorders>
            <w:vAlign w:val="center"/>
          </w:tcPr>
          <w:p w14:paraId="6419FB34">
            <w:pPr>
              <w:widowControl/>
              <w:jc w:val="left"/>
              <w:rPr>
                <w:color w:val="000000"/>
                <w:kern w:val="0"/>
                <w:szCs w:val="21"/>
              </w:rPr>
            </w:pPr>
          </w:p>
        </w:tc>
        <w:tc>
          <w:tcPr>
            <w:tcW w:w="1851" w:type="dxa"/>
            <w:vMerge w:val="continue"/>
            <w:tcBorders>
              <w:top w:val="nil"/>
              <w:left w:val="single" w:color="auto" w:sz="4" w:space="0"/>
              <w:bottom w:val="single" w:color="000000" w:sz="4" w:space="0"/>
              <w:right w:val="single" w:color="auto" w:sz="4" w:space="0"/>
            </w:tcBorders>
            <w:vAlign w:val="center"/>
          </w:tcPr>
          <w:p w14:paraId="005FB719">
            <w:pPr>
              <w:widowControl/>
              <w:jc w:val="left"/>
              <w:rPr>
                <w:color w:val="000000"/>
                <w:kern w:val="0"/>
                <w:szCs w:val="21"/>
              </w:rPr>
            </w:pPr>
          </w:p>
        </w:tc>
        <w:tc>
          <w:tcPr>
            <w:tcW w:w="525" w:type="dxa"/>
            <w:tcBorders>
              <w:top w:val="nil"/>
              <w:left w:val="nil"/>
              <w:bottom w:val="single" w:color="auto" w:sz="4" w:space="0"/>
              <w:right w:val="single" w:color="auto" w:sz="4" w:space="0"/>
            </w:tcBorders>
            <w:shd w:val="clear" w:color="auto" w:fill="auto"/>
            <w:noWrap/>
            <w:vAlign w:val="center"/>
          </w:tcPr>
          <w:p w14:paraId="7AC78EB2">
            <w:pPr>
              <w:widowControl/>
              <w:jc w:val="center"/>
              <w:rPr>
                <w:color w:val="000000"/>
                <w:kern w:val="0"/>
                <w:szCs w:val="21"/>
              </w:rPr>
            </w:pPr>
            <w:r>
              <w:rPr>
                <w:color w:val="000000"/>
                <w:kern w:val="0"/>
                <w:szCs w:val="21"/>
              </w:rPr>
              <w:t>033</w:t>
            </w:r>
          </w:p>
        </w:tc>
        <w:tc>
          <w:tcPr>
            <w:tcW w:w="1717" w:type="dxa"/>
            <w:tcBorders>
              <w:top w:val="nil"/>
              <w:left w:val="nil"/>
              <w:bottom w:val="single" w:color="auto" w:sz="4" w:space="0"/>
              <w:right w:val="single" w:color="auto" w:sz="4" w:space="0"/>
            </w:tcBorders>
            <w:shd w:val="clear" w:color="auto" w:fill="auto"/>
            <w:noWrap/>
            <w:vAlign w:val="center"/>
          </w:tcPr>
          <w:p w14:paraId="50532B16">
            <w:pPr>
              <w:widowControl/>
              <w:jc w:val="center"/>
              <w:rPr>
                <w:color w:val="000000"/>
                <w:kern w:val="0"/>
                <w:szCs w:val="21"/>
              </w:rPr>
            </w:pPr>
            <w:r>
              <w:rPr>
                <w:color w:val="000000"/>
                <w:kern w:val="0"/>
                <w:szCs w:val="21"/>
              </w:rPr>
              <w:t>其他林地</w:t>
            </w:r>
          </w:p>
        </w:tc>
        <w:tc>
          <w:tcPr>
            <w:tcW w:w="1286" w:type="dxa"/>
            <w:tcBorders>
              <w:top w:val="nil"/>
              <w:left w:val="nil"/>
              <w:bottom w:val="single" w:color="auto" w:sz="4" w:space="0"/>
              <w:right w:val="single" w:color="auto" w:sz="4" w:space="0"/>
            </w:tcBorders>
            <w:shd w:val="clear" w:color="auto" w:fill="auto"/>
            <w:noWrap/>
            <w:vAlign w:val="center"/>
          </w:tcPr>
          <w:p w14:paraId="468C314E">
            <w:pPr>
              <w:widowControl/>
              <w:jc w:val="center"/>
              <w:rPr>
                <w:color w:val="000000"/>
                <w:kern w:val="0"/>
                <w:szCs w:val="21"/>
              </w:rPr>
            </w:pPr>
            <w:r>
              <w:rPr>
                <w:color w:val="000000"/>
                <w:kern w:val="0"/>
                <w:szCs w:val="21"/>
              </w:rPr>
              <w:t>0.1619</w:t>
            </w:r>
          </w:p>
        </w:tc>
        <w:tc>
          <w:tcPr>
            <w:tcW w:w="1701" w:type="dxa"/>
            <w:tcBorders>
              <w:top w:val="nil"/>
              <w:left w:val="nil"/>
              <w:bottom w:val="single" w:color="auto" w:sz="4" w:space="0"/>
              <w:right w:val="single" w:color="auto" w:sz="4" w:space="0"/>
            </w:tcBorders>
            <w:shd w:val="clear" w:color="auto" w:fill="auto"/>
            <w:noWrap/>
            <w:vAlign w:val="center"/>
          </w:tcPr>
          <w:p w14:paraId="18F47C69">
            <w:pPr>
              <w:widowControl/>
              <w:jc w:val="center"/>
              <w:rPr>
                <w:color w:val="000000"/>
                <w:kern w:val="0"/>
                <w:szCs w:val="21"/>
              </w:rPr>
            </w:pPr>
            <w:r>
              <w:rPr>
                <w:color w:val="000000"/>
                <w:kern w:val="0"/>
                <w:szCs w:val="21"/>
              </w:rPr>
              <w:t>7.85%</w:t>
            </w:r>
          </w:p>
        </w:tc>
        <w:tc>
          <w:tcPr>
            <w:tcW w:w="1167" w:type="dxa"/>
            <w:vMerge w:val="continue"/>
            <w:tcBorders>
              <w:top w:val="nil"/>
              <w:left w:val="single" w:color="auto" w:sz="4" w:space="0"/>
              <w:bottom w:val="single" w:color="auto" w:sz="4" w:space="0"/>
              <w:right w:val="single" w:color="auto" w:sz="4" w:space="0"/>
            </w:tcBorders>
            <w:vAlign w:val="center"/>
          </w:tcPr>
          <w:p w14:paraId="1912FFF3">
            <w:pPr>
              <w:widowControl/>
              <w:jc w:val="left"/>
              <w:rPr>
                <w:color w:val="000000"/>
                <w:kern w:val="0"/>
                <w:szCs w:val="21"/>
              </w:rPr>
            </w:pPr>
          </w:p>
        </w:tc>
      </w:tr>
      <w:tr w14:paraId="5A3F290C">
        <w:tblPrEx>
          <w:tblCellMar>
            <w:top w:w="0" w:type="dxa"/>
            <w:left w:w="108" w:type="dxa"/>
            <w:bottom w:w="0" w:type="dxa"/>
            <w:right w:w="108" w:type="dxa"/>
          </w:tblCellMar>
        </w:tblPrEx>
        <w:trPr>
          <w:trHeight w:val="419" w:hRule="atLeast"/>
          <w:jc w:val="center"/>
        </w:trPr>
        <w:tc>
          <w:tcPr>
            <w:tcW w:w="421" w:type="dxa"/>
            <w:tcBorders>
              <w:top w:val="nil"/>
              <w:left w:val="single" w:color="auto" w:sz="4" w:space="0"/>
              <w:bottom w:val="single" w:color="auto" w:sz="4" w:space="0"/>
              <w:right w:val="single" w:color="auto" w:sz="4" w:space="0"/>
            </w:tcBorders>
            <w:shd w:val="clear" w:color="auto" w:fill="auto"/>
            <w:noWrap/>
            <w:vAlign w:val="center"/>
          </w:tcPr>
          <w:p w14:paraId="4575CC62">
            <w:pPr>
              <w:widowControl/>
              <w:jc w:val="center"/>
              <w:rPr>
                <w:color w:val="000000"/>
                <w:kern w:val="0"/>
                <w:szCs w:val="21"/>
              </w:rPr>
            </w:pPr>
            <w:r>
              <w:rPr>
                <w:color w:val="000000"/>
                <w:kern w:val="0"/>
                <w:szCs w:val="21"/>
              </w:rPr>
              <w:t>04</w:t>
            </w:r>
          </w:p>
        </w:tc>
        <w:tc>
          <w:tcPr>
            <w:tcW w:w="1851" w:type="dxa"/>
            <w:tcBorders>
              <w:top w:val="nil"/>
              <w:left w:val="nil"/>
              <w:bottom w:val="single" w:color="auto" w:sz="4" w:space="0"/>
              <w:right w:val="single" w:color="auto" w:sz="4" w:space="0"/>
            </w:tcBorders>
            <w:shd w:val="clear" w:color="auto" w:fill="auto"/>
            <w:noWrap/>
            <w:vAlign w:val="center"/>
          </w:tcPr>
          <w:p w14:paraId="254E18CF">
            <w:pPr>
              <w:widowControl/>
              <w:jc w:val="center"/>
              <w:rPr>
                <w:color w:val="000000"/>
                <w:kern w:val="0"/>
                <w:szCs w:val="21"/>
              </w:rPr>
            </w:pPr>
            <w:r>
              <w:rPr>
                <w:color w:val="000000"/>
                <w:kern w:val="0"/>
                <w:szCs w:val="21"/>
              </w:rPr>
              <w:t>草地</w:t>
            </w:r>
          </w:p>
        </w:tc>
        <w:tc>
          <w:tcPr>
            <w:tcW w:w="525" w:type="dxa"/>
            <w:tcBorders>
              <w:top w:val="nil"/>
              <w:left w:val="nil"/>
              <w:bottom w:val="single" w:color="auto" w:sz="4" w:space="0"/>
              <w:right w:val="single" w:color="auto" w:sz="4" w:space="0"/>
            </w:tcBorders>
            <w:shd w:val="clear" w:color="auto" w:fill="auto"/>
            <w:noWrap/>
            <w:vAlign w:val="center"/>
          </w:tcPr>
          <w:p w14:paraId="7296406C">
            <w:pPr>
              <w:widowControl/>
              <w:jc w:val="center"/>
              <w:rPr>
                <w:color w:val="000000"/>
                <w:kern w:val="0"/>
                <w:szCs w:val="21"/>
              </w:rPr>
            </w:pPr>
            <w:r>
              <w:rPr>
                <w:color w:val="000000"/>
                <w:kern w:val="0"/>
                <w:szCs w:val="21"/>
              </w:rPr>
              <w:t>043</w:t>
            </w:r>
          </w:p>
        </w:tc>
        <w:tc>
          <w:tcPr>
            <w:tcW w:w="1717" w:type="dxa"/>
            <w:tcBorders>
              <w:top w:val="nil"/>
              <w:left w:val="nil"/>
              <w:bottom w:val="single" w:color="auto" w:sz="4" w:space="0"/>
              <w:right w:val="single" w:color="auto" w:sz="4" w:space="0"/>
            </w:tcBorders>
            <w:shd w:val="clear" w:color="auto" w:fill="auto"/>
            <w:noWrap/>
            <w:vAlign w:val="center"/>
          </w:tcPr>
          <w:p w14:paraId="551DEB34">
            <w:pPr>
              <w:widowControl/>
              <w:jc w:val="center"/>
              <w:rPr>
                <w:color w:val="000000"/>
                <w:kern w:val="0"/>
                <w:szCs w:val="21"/>
              </w:rPr>
            </w:pPr>
            <w:r>
              <w:rPr>
                <w:color w:val="000000"/>
                <w:kern w:val="0"/>
                <w:szCs w:val="21"/>
              </w:rPr>
              <w:t>其他草地</w:t>
            </w:r>
          </w:p>
        </w:tc>
        <w:tc>
          <w:tcPr>
            <w:tcW w:w="1286" w:type="dxa"/>
            <w:tcBorders>
              <w:top w:val="nil"/>
              <w:left w:val="nil"/>
              <w:bottom w:val="single" w:color="auto" w:sz="4" w:space="0"/>
              <w:right w:val="single" w:color="auto" w:sz="4" w:space="0"/>
            </w:tcBorders>
            <w:shd w:val="clear" w:color="auto" w:fill="auto"/>
            <w:noWrap/>
            <w:vAlign w:val="center"/>
          </w:tcPr>
          <w:p w14:paraId="280D4BD6">
            <w:pPr>
              <w:widowControl/>
              <w:jc w:val="center"/>
              <w:rPr>
                <w:color w:val="000000"/>
                <w:kern w:val="0"/>
                <w:szCs w:val="21"/>
              </w:rPr>
            </w:pPr>
            <w:r>
              <w:rPr>
                <w:color w:val="000000"/>
                <w:kern w:val="0"/>
                <w:szCs w:val="21"/>
              </w:rPr>
              <w:t>0.0917</w:t>
            </w:r>
          </w:p>
        </w:tc>
        <w:tc>
          <w:tcPr>
            <w:tcW w:w="1701" w:type="dxa"/>
            <w:tcBorders>
              <w:top w:val="nil"/>
              <w:left w:val="nil"/>
              <w:bottom w:val="single" w:color="auto" w:sz="4" w:space="0"/>
              <w:right w:val="single" w:color="auto" w:sz="4" w:space="0"/>
            </w:tcBorders>
            <w:shd w:val="clear" w:color="auto" w:fill="auto"/>
            <w:noWrap/>
            <w:vAlign w:val="center"/>
          </w:tcPr>
          <w:p w14:paraId="1FF0A64A">
            <w:pPr>
              <w:widowControl/>
              <w:jc w:val="center"/>
              <w:rPr>
                <w:color w:val="000000"/>
                <w:kern w:val="0"/>
                <w:szCs w:val="21"/>
              </w:rPr>
            </w:pPr>
            <w:r>
              <w:rPr>
                <w:color w:val="000000"/>
                <w:kern w:val="0"/>
                <w:szCs w:val="21"/>
              </w:rPr>
              <w:t>4.45%</w:t>
            </w:r>
          </w:p>
        </w:tc>
        <w:tc>
          <w:tcPr>
            <w:tcW w:w="1167" w:type="dxa"/>
            <w:vMerge w:val="continue"/>
            <w:tcBorders>
              <w:top w:val="nil"/>
              <w:left w:val="single" w:color="auto" w:sz="4" w:space="0"/>
              <w:bottom w:val="single" w:color="auto" w:sz="4" w:space="0"/>
              <w:right w:val="single" w:color="auto" w:sz="4" w:space="0"/>
            </w:tcBorders>
            <w:vAlign w:val="center"/>
          </w:tcPr>
          <w:p w14:paraId="23DAE52B">
            <w:pPr>
              <w:widowControl/>
              <w:jc w:val="left"/>
              <w:rPr>
                <w:color w:val="000000"/>
                <w:kern w:val="0"/>
                <w:szCs w:val="21"/>
              </w:rPr>
            </w:pPr>
          </w:p>
        </w:tc>
      </w:tr>
      <w:tr w14:paraId="268F50B0">
        <w:tblPrEx>
          <w:tblCellMar>
            <w:top w:w="0" w:type="dxa"/>
            <w:left w:w="108" w:type="dxa"/>
            <w:bottom w:w="0" w:type="dxa"/>
            <w:right w:w="108" w:type="dxa"/>
          </w:tblCellMar>
        </w:tblPrEx>
        <w:trPr>
          <w:trHeight w:val="419" w:hRule="atLeast"/>
          <w:jc w:val="center"/>
        </w:trPr>
        <w:tc>
          <w:tcPr>
            <w:tcW w:w="421" w:type="dxa"/>
            <w:tcBorders>
              <w:top w:val="nil"/>
              <w:left w:val="single" w:color="auto" w:sz="4" w:space="0"/>
              <w:bottom w:val="single" w:color="auto" w:sz="4" w:space="0"/>
              <w:right w:val="single" w:color="auto" w:sz="4" w:space="0"/>
            </w:tcBorders>
            <w:shd w:val="clear" w:color="auto" w:fill="auto"/>
            <w:noWrap/>
            <w:vAlign w:val="center"/>
          </w:tcPr>
          <w:p w14:paraId="07DCE836">
            <w:pPr>
              <w:widowControl/>
              <w:jc w:val="center"/>
              <w:rPr>
                <w:color w:val="000000"/>
                <w:kern w:val="0"/>
                <w:szCs w:val="21"/>
              </w:rPr>
            </w:pPr>
            <w:r>
              <w:rPr>
                <w:color w:val="000000"/>
                <w:kern w:val="0"/>
                <w:szCs w:val="21"/>
              </w:rPr>
              <w:t>06</w:t>
            </w:r>
          </w:p>
        </w:tc>
        <w:tc>
          <w:tcPr>
            <w:tcW w:w="1851" w:type="dxa"/>
            <w:tcBorders>
              <w:top w:val="nil"/>
              <w:left w:val="nil"/>
              <w:bottom w:val="single" w:color="auto" w:sz="4" w:space="0"/>
              <w:right w:val="single" w:color="auto" w:sz="4" w:space="0"/>
            </w:tcBorders>
            <w:shd w:val="clear" w:color="auto" w:fill="auto"/>
            <w:noWrap/>
            <w:vAlign w:val="center"/>
          </w:tcPr>
          <w:p w14:paraId="56BC4953">
            <w:pPr>
              <w:widowControl/>
              <w:jc w:val="center"/>
              <w:rPr>
                <w:color w:val="000000"/>
                <w:kern w:val="0"/>
                <w:szCs w:val="21"/>
              </w:rPr>
            </w:pPr>
            <w:r>
              <w:rPr>
                <w:color w:val="000000"/>
                <w:kern w:val="0"/>
                <w:szCs w:val="21"/>
              </w:rPr>
              <w:t>工矿仓储用地</w:t>
            </w:r>
          </w:p>
        </w:tc>
        <w:tc>
          <w:tcPr>
            <w:tcW w:w="525" w:type="dxa"/>
            <w:tcBorders>
              <w:top w:val="nil"/>
              <w:left w:val="nil"/>
              <w:bottom w:val="single" w:color="auto" w:sz="4" w:space="0"/>
              <w:right w:val="single" w:color="auto" w:sz="4" w:space="0"/>
            </w:tcBorders>
            <w:shd w:val="clear" w:color="auto" w:fill="auto"/>
            <w:noWrap/>
            <w:vAlign w:val="center"/>
          </w:tcPr>
          <w:p w14:paraId="4D71C845">
            <w:pPr>
              <w:widowControl/>
              <w:jc w:val="center"/>
              <w:rPr>
                <w:color w:val="000000"/>
                <w:kern w:val="0"/>
                <w:szCs w:val="21"/>
              </w:rPr>
            </w:pPr>
            <w:r>
              <w:rPr>
                <w:color w:val="000000"/>
                <w:kern w:val="0"/>
                <w:szCs w:val="21"/>
              </w:rPr>
              <w:t>062</w:t>
            </w:r>
          </w:p>
        </w:tc>
        <w:tc>
          <w:tcPr>
            <w:tcW w:w="1717" w:type="dxa"/>
            <w:tcBorders>
              <w:top w:val="nil"/>
              <w:left w:val="nil"/>
              <w:bottom w:val="single" w:color="auto" w:sz="4" w:space="0"/>
              <w:right w:val="single" w:color="auto" w:sz="4" w:space="0"/>
            </w:tcBorders>
            <w:shd w:val="clear" w:color="auto" w:fill="auto"/>
            <w:noWrap/>
            <w:vAlign w:val="center"/>
          </w:tcPr>
          <w:p w14:paraId="2DAC3B59">
            <w:pPr>
              <w:widowControl/>
              <w:jc w:val="center"/>
              <w:rPr>
                <w:color w:val="000000"/>
                <w:kern w:val="0"/>
                <w:szCs w:val="21"/>
              </w:rPr>
            </w:pPr>
            <w:r>
              <w:rPr>
                <w:color w:val="000000"/>
                <w:kern w:val="0"/>
                <w:szCs w:val="21"/>
              </w:rPr>
              <w:t>采矿用地</w:t>
            </w:r>
          </w:p>
        </w:tc>
        <w:tc>
          <w:tcPr>
            <w:tcW w:w="1286" w:type="dxa"/>
            <w:tcBorders>
              <w:top w:val="nil"/>
              <w:left w:val="nil"/>
              <w:bottom w:val="single" w:color="auto" w:sz="4" w:space="0"/>
              <w:right w:val="single" w:color="auto" w:sz="4" w:space="0"/>
            </w:tcBorders>
            <w:shd w:val="clear" w:color="auto" w:fill="auto"/>
            <w:noWrap/>
            <w:vAlign w:val="center"/>
          </w:tcPr>
          <w:p w14:paraId="3AC13290">
            <w:pPr>
              <w:widowControl/>
              <w:jc w:val="center"/>
              <w:rPr>
                <w:color w:val="000000"/>
                <w:kern w:val="0"/>
                <w:szCs w:val="21"/>
              </w:rPr>
            </w:pPr>
            <w:r>
              <w:rPr>
                <w:color w:val="000000"/>
                <w:kern w:val="0"/>
                <w:szCs w:val="21"/>
              </w:rPr>
              <w:t>0.6749</w:t>
            </w:r>
          </w:p>
        </w:tc>
        <w:tc>
          <w:tcPr>
            <w:tcW w:w="1701" w:type="dxa"/>
            <w:tcBorders>
              <w:top w:val="nil"/>
              <w:left w:val="nil"/>
              <w:bottom w:val="single" w:color="auto" w:sz="4" w:space="0"/>
              <w:right w:val="single" w:color="auto" w:sz="4" w:space="0"/>
            </w:tcBorders>
            <w:shd w:val="clear" w:color="auto" w:fill="auto"/>
            <w:noWrap/>
            <w:vAlign w:val="center"/>
          </w:tcPr>
          <w:p w14:paraId="20A5571F">
            <w:pPr>
              <w:widowControl/>
              <w:jc w:val="center"/>
              <w:rPr>
                <w:color w:val="000000"/>
                <w:kern w:val="0"/>
                <w:szCs w:val="21"/>
              </w:rPr>
            </w:pPr>
            <w:r>
              <w:rPr>
                <w:color w:val="000000"/>
                <w:kern w:val="0"/>
                <w:szCs w:val="21"/>
              </w:rPr>
              <w:t>32.72%</w:t>
            </w:r>
          </w:p>
        </w:tc>
        <w:tc>
          <w:tcPr>
            <w:tcW w:w="1167" w:type="dxa"/>
            <w:vMerge w:val="continue"/>
            <w:tcBorders>
              <w:top w:val="nil"/>
              <w:left w:val="single" w:color="auto" w:sz="4" w:space="0"/>
              <w:bottom w:val="single" w:color="auto" w:sz="4" w:space="0"/>
              <w:right w:val="single" w:color="auto" w:sz="4" w:space="0"/>
            </w:tcBorders>
            <w:vAlign w:val="center"/>
          </w:tcPr>
          <w:p w14:paraId="1E27875C">
            <w:pPr>
              <w:widowControl/>
              <w:jc w:val="left"/>
              <w:rPr>
                <w:color w:val="000000"/>
                <w:kern w:val="0"/>
                <w:szCs w:val="21"/>
              </w:rPr>
            </w:pPr>
          </w:p>
        </w:tc>
      </w:tr>
      <w:tr w14:paraId="01AF1817">
        <w:tblPrEx>
          <w:tblCellMar>
            <w:top w:w="0" w:type="dxa"/>
            <w:left w:w="108" w:type="dxa"/>
            <w:bottom w:w="0" w:type="dxa"/>
            <w:right w:w="108" w:type="dxa"/>
          </w:tblCellMar>
        </w:tblPrEx>
        <w:trPr>
          <w:trHeight w:val="419" w:hRule="atLeast"/>
          <w:jc w:val="center"/>
        </w:trPr>
        <w:tc>
          <w:tcPr>
            <w:tcW w:w="421" w:type="dxa"/>
            <w:tcBorders>
              <w:top w:val="nil"/>
              <w:left w:val="single" w:color="auto" w:sz="4" w:space="0"/>
              <w:bottom w:val="nil"/>
              <w:right w:val="single" w:color="auto" w:sz="4" w:space="0"/>
            </w:tcBorders>
            <w:shd w:val="clear" w:color="auto" w:fill="auto"/>
            <w:noWrap/>
            <w:vAlign w:val="center"/>
          </w:tcPr>
          <w:p w14:paraId="6AE64816">
            <w:pPr>
              <w:widowControl/>
              <w:jc w:val="center"/>
              <w:rPr>
                <w:color w:val="000000"/>
                <w:kern w:val="0"/>
                <w:szCs w:val="21"/>
              </w:rPr>
            </w:pPr>
            <w:r>
              <w:rPr>
                <w:color w:val="000000"/>
                <w:kern w:val="0"/>
                <w:szCs w:val="21"/>
              </w:rPr>
              <w:t>07</w:t>
            </w:r>
          </w:p>
        </w:tc>
        <w:tc>
          <w:tcPr>
            <w:tcW w:w="1851" w:type="dxa"/>
            <w:tcBorders>
              <w:top w:val="nil"/>
              <w:left w:val="nil"/>
              <w:bottom w:val="nil"/>
              <w:right w:val="single" w:color="auto" w:sz="4" w:space="0"/>
            </w:tcBorders>
            <w:shd w:val="clear" w:color="auto" w:fill="auto"/>
            <w:noWrap/>
            <w:vAlign w:val="center"/>
          </w:tcPr>
          <w:p w14:paraId="73ED9075">
            <w:pPr>
              <w:widowControl/>
              <w:jc w:val="center"/>
              <w:rPr>
                <w:color w:val="000000"/>
                <w:kern w:val="0"/>
                <w:szCs w:val="21"/>
              </w:rPr>
            </w:pPr>
            <w:r>
              <w:rPr>
                <w:color w:val="000000"/>
                <w:kern w:val="0"/>
                <w:szCs w:val="21"/>
              </w:rPr>
              <w:t>住宅用地</w:t>
            </w:r>
          </w:p>
        </w:tc>
        <w:tc>
          <w:tcPr>
            <w:tcW w:w="525" w:type="dxa"/>
            <w:tcBorders>
              <w:top w:val="nil"/>
              <w:left w:val="nil"/>
              <w:bottom w:val="single" w:color="auto" w:sz="4" w:space="0"/>
              <w:right w:val="single" w:color="auto" w:sz="4" w:space="0"/>
            </w:tcBorders>
            <w:shd w:val="clear" w:color="auto" w:fill="auto"/>
            <w:noWrap/>
            <w:vAlign w:val="center"/>
          </w:tcPr>
          <w:p w14:paraId="676406E2">
            <w:pPr>
              <w:widowControl/>
              <w:jc w:val="center"/>
              <w:rPr>
                <w:color w:val="000000"/>
                <w:kern w:val="0"/>
                <w:szCs w:val="21"/>
              </w:rPr>
            </w:pPr>
            <w:r>
              <w:rPr>
                <w:color w:val="000000"/>
                <w:kern w:val="0"/>
                <w:szCs w:val="21"/>
              </w:rPr>
              <w:t>071</w:t>
            </w:r>
          </w:p>
        </w:tc>
        <w:tc>
          <w:tcPr>
            <w:tcW w:w="1717" w:type="dxa"/>
            <w:tcBorders>
              <w:top w:val="nil"/>
              <w:left w:val="nil"/>
              <w:bottom w:val="single" w:color="auto" w:sz="4" w:space="0"/>
              <w:right w:val="single" w:color="auto" w:sz="4" w:space="0"/>
            </w:tcBorders>
            <w:shd w:val="clear" w:color="auto" w:fill="auto"/>
            <w:noWrap/>
            <w:vAlign w:val="center"/>
          </w:tcPr>
          <w:p w14:paraId="58B8979A">
            <w:pPr>
              <w:widowControl/>
              <w:jc w:val="center"/>
              <w:rPr>
                <w:color w:val="000000"/>
                <w:kern w:val="0"/>
                <w:szCs w:val="21"/>
              </w:rPr>
            </w:pPr>
            <w:r>
              <w:rPr>
                <w:color w:val="000000"/>
                <w:kern w:val="0"/>
                <w:szCs w:val="21"/>
              </w:rPr>
              <w:t>城镇住宅用地</w:t>
            </w:r>
          </w:p>
        </w:tc>
        <w:tc>
          <w:tcPr>
            <w:tcW w:w="1286" w:type="dxa"/>
            <w:tcBorders>
              <w:top w:val="nil"/>
              <w:left w:val="nil"/>
              <w:bottom w:val="single" w:color="auto" w:sz="4" w:space="0"/>
              <w:right w:val="single" w:color="auto" w:sz="4" w:space="0"/>
            </w:tcBorders>
            <w:shd w:val="clear" w:color="auto" w:fill="auto"/>
            <w:noWrap/>
            <w:vAlign w:val="center"/>
          </w:tcPr>
          <w:p w14:paraId="0B78F47C">
            <w:pPr>
              <w:widowControl/>
              <w:jc w:val="center"/>
              <w:rPr>
                <w:color w:val="000000"/>
                <w:kern w:val="0"/>
                <w:szCs w:val="21"/>
              </w:rPr>
            </w:pPr>
            <w:r>
              <w:rPr>
                <w:color w:val="000000"/>
                <w:kern w:val="0"/>
                <w:szCs w:val="21"/>
              </w:rPr>
              <w:t>0.1405</w:t>
            </w:r>
          </w:p>
        </w:tc>
        <w:tc>
          <w:tcPr>
            <w:tcW w:w="1701" w:type="dxa"/>
            <w:tcBorders>
              <w:top w:val="nil"/>
              <w:left w:val="nil"/>
              <w:bottom w:val="single" w:color="auto" w:sz="4" w:space="0"/>
              <w:right w:val="single" w:color="auto" w:sz="4" w:space="0"/>
            </w:tcBorders>
            <w:shd w:val="clear" w:color="auto" w:fill="auto"/>
            <w:noWrap/>
            <w:vAlign w:val="center"/>
          </w:tcPr>
          <w:p w14:paraId="1A244410">
            <w:pPr>
              <w:widowControl/>
              <w:jc w:val="center"/>
              <w:rPr>
                <w:color w:val="000000"/>
                <w:kern w:val="0"/>
                <w:szCs w:val="21"/>
              </w:rPr>
            </w:pPr>
            <w:r>
              <w:rPr>
                <w:color w:val="000000"/>
                <w:kern w:val="0"/>
                <w:szCs w:val="21"/>
              </w:rPr>
              <w:t>6.81%</w:t>
            </w:r>
          </w:p>
        </w:tc>
        <w:tc>
          <w:tcPr>
            <w:tcW w:w="1167" w:type="dxa"/>
            <w:vMerge w:val="continue"/>
            <w:tcBorders>
              <w:top w:val="nil"/>
              <w:left w:val="single" w:color="auto" w:sz="4" w:space="0"/>
              <w:bottom w:val="single" w:color="auto" w:sz="4" w:space="0"/>
              <w:right w:val="single" w:color="auto" w:sz="4" w:space="0"/>
            </w:tcBorders>
            <w:vAlign w:val="center"/>
          </w:tcPr>
          <w:p w14:paraId="7763115F">
            <w:pPr>
              <w:widowControl/>
              <w:jc w:val="left"/>
              <w:rPr>
                <w:color w:val="000000"/>
                <w:kern w:val="0"/>
                <w:szCs w:val="21"/>
              </w:rPr>
            </w:pPr>
          </w:p>
        </w:tc>
      </w:tr>
      <w:tr w14:paraId="48F203F4">
        <w:tblPrEx>
          <w:tblCellMar>
            <w:top w:w="0" w:type="dxa"/>
            <w:left w:w="108" w:type="dxa"/>
            <w:bottom w:w="0" w:type="dxa"/>
            <w:right w:w="108" w:type="dxa"/>
          </w:tblCellMar>
        </w:tblPrEx>
        <w:trPr>
          <w:trHeight w:val="419" w:hRule="atLeast"/>
          <w:jc w:val="center"/>
        </w:trPr>
        <w:tc>
          <w:tcPr>
            <w:tcW w:w="4515"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095E170B">
            <w:pPr>
              <w:widowControl/>
              <w:jc w:val="center"/>
              <w:rPr>
                <w:color w:val="000000"/>
                <w:kern w:val="0"/>
                <w:szCs w:val="21"/>
              </w:rPr>
            </w:pPr>
            <w:r>
              <w:rPr>
                <w:color w:val="000000"/>
                <w:kern w:val="0"/>
                <w:szCs w:val="21"/>
              </w:rPr>
              <w:t>合计</w:t>
            </w:r>
          </w:p>
        </w:tc>
        <w:tc>
          <w:tcPr>
            <w:tcW w:w="1286" w:type="dxa"/>
            <w:tcBorders>
              <w:top w:val="nil"/>
              <w:left w:val="nil"/>
              <w:bottom w:val="single" w:color="auto" w:sz="4" w:space="0"/>
              <w:right w:val="single" w:color="auto" w:sz="4" w:space="0"/>
            </w:tcBorders>
            <w:shd w:val="clear" w:color="auto" w:fill="auto"/>
            <w:noWrap/>
            <w:vAlign w:val="center"/>
          </w:tcPr>
          <w:p w14:paraId="647F159E">
            <w:pPr>
              <w:widowControl/>
              <w:jc w:val="center"/>
              <w:rPr>
                <w:color w:val="000000"/>
                <w:kern w:val="0"/>
                <w:szCs w:val="21"/>
              </w:rPr>
            </w:pPr>
            <w:r>
              <w:rPr>
                <w:color w:val="000000"/>
                <w:kern w:val="0"/>
                <w:szCs w:val="21"/>
              </w:rPr>
              <w:t>2.0624</w:t>
            </w:r>
          </w:p>
        </w:tc>
        <w:tc>
          <w:tcPr>
            <w:tcW w:w="1701" w:type="dxa"/>
            <w:tcBorders>
              <w:top w:val="nil"/>
              <w:left w:val="nil"/>
              <w:bottom w:val="single" w:color="auto" w:sz="4" w:space="0"/>
              <w:right w:val="single" w:color="auto" w:sz="4" w:space="0"/>
            </w:tcBorders>
            <w:shd w:val="clear" w:color="auto" w:fill="auto"/>
            <w:noWrap/>
            <w:vAlign w:val="center"/>
          </w:tcPr>
          <w:p w14:paraId="4A229B14">
            <w:pPr>
              <w:widowControl/>
              <w:jc w:val="center"/>
              <w:rPr>
                <w:color w:val="000000"/>
                <w:kern w:val="0"/>
                <w:szCs w:val="21"/>
              </w:rPr>
            </w:pPr>
            <w:r>
              <w:rPr>
                <w:color w:val="000000"/>
                <w:kern w:val="0"/>
                <w:szCs w:val="21"/>
              </w:rPr>
              <w:t>100.00%</w:t>
            </w:r>
          </w:p>
        </w:tc>
        <w:tc>
          <w:tcPr>
            <w:tcW w:w="1167" w:type="dxa"/>
            <w:vMerge w:val="continue"/>
            <w:tcBorders>
              <w:top w:val="nil"/>
              <w:left w:val="single" w:color="auto" w:sz="4" w:space="0"/>
              <w:bottom w:val="single" w:color="auto" w:sz="4" w:space="0"/>
              <w:right w:val="single" w:color="auto" w:sz="4" w:space="0"/>
            </w:tcBorders>
            <w:vAlign w:val="center"/>
          </w:tcPr>
          <w:p w14:paraId="7A886387">
            <w:pPr>
              <w:widowControl/>
              <w:jc w:val="left"/>
              <w:rPr>
                <w:color w:val="000000"/>
                <w:kern w:val="0"/>
                <w:szCs w:val="21"/>
              </w:rPr>
            </w:pPr>
          </w:p>
        </w:tc>
      </w:tr>
    </w:tbl>
    <w:p w14:paraId="5FE5EFDD">
      <w:pPr>
        <w:pStyle w:val="3"/>
        <w:rPr>
          <w:b w:val="0"/>
          <w:bCs w:val="0"/>
          <w:kern w:val="0"/>
          <w:sz w:val="30"/>
          <w:szCs w:val="30"/>
        </w:rPr>
      </w:pPr>
      <w:bookmarkStart w:id="77" w:name="_Toc43851644"/>
      <w:r>
        <w:rPr>
          <w:b w:val="0"/>
          <w:bCs w:val="0"/>
          <w:kern w:val="0"/>
          <w:sz w:val="30"/>
          <w:szCs w:val="30"/>
        </w:rPr>
        <w:t>五、矿山及周边其他人类重大工程活动</w:t>
      </w:r>
      <w:bookmarkEnd w:id="77"/>
    </w:p>
    <w:p w14:paraId="5A8FF49F">
      <w:pPr>
        <w:spacing w:line="360" w:lineRule="auto"/>
        <w:ind w:firstLine="480" w:firstLineChars="200"/>
        <w:rPr>
          <w:sz w:val="24"/>
          <w:lang w:val="zh-CN"/>
        </w:rPr>
      </w:pPr>
      <w:r>
        <w:rPr>
          <w:sz w:val="24"/>
          <w:lang w:val="zh-CN"/>
        </w:rPr>
        <w:t>本矿山项目露天采场区域范围内无大的居民点，矿山附近无自然保护区及水源地，矿山周边不存在其他重大人工活动，主要为当地村民的农业活动。</w:t>
      </w:r>
    </w:p>
    <w:p w14:paraId="13A28BC0">
      <w:pPr>
        <w:keepNext/>
        <w:keepLines/>
        <w:adjustRightInd w:val="0"/>
        <w:spacing w:beforeLines="50" w:afterLines="50" w:line="360" w:lineRule="auto"/>
        <w:ind w:left="142"/>
        <w:jc w:val="left"/>
        <w:textAlignment w:val="baseline"/>
        <w:outlineLvl w:val="0"/>
        <w:rPr>
          <w:kern w:val="0"/>
          <w:sz w:val="30"/>
          <w:szCs w:val="30"/>
        </w:rPr>
      </w:pPr>
      <w:bookmarkStart w:id="78" w:name="_Toc43851645"/>
      <w:bookmarkStart w:id="79" w:name="_Toc481328176"/>
      <w:bookmarkStart w:id="80" w:name="_Toc480648154"/>
      <w:r>
        <w:rPr>
          <w:kern w:val="0"/>
          <w:sz w:val="30"/>
          <w:szCs w:val="30"/>
        </w:rPr>
        <w:t>六、矿山及周边矿山地质环境治理与土地复垦方案案例分析</w:t>
      </w:r>
      <w:bookmarkEnd w:id="78"/>
      <w:bookmarkEnd w:id="79"/>
      <w:bookmarkEnd w:id="80"/>
    </w:p>
    <w:p w14:paraId="671FF5C9">
      <w:pPr>
        <w:spacing w:line="360" w:lineRule="auto"/>
        <w:ind w:firstLine="480" w:firstLineChars="200"/>
        <w:rPr>
          <w:sz w:val="24"/>
          <w:lang w:val="zh-CN"/>
        </w:rPr>
      </w:pPr>
      <w:r>
        <w:rPr>
          <w:sz w:val="24"/>
          <w:lang w:val="zh-CN"/>
        </w:rPr>
        <w:t>该矿山项目周边暂无相关的矿山地质环境治理与土地复垦治理经验。</w:t>
      </w:r>
      <w:r>
        <w:rPr>
          <w:sz w:val="24"/>
          <w:lang w:val="zh-CN"/>
        </w:rPr>
        <w:br w:type="page"/>
      </w:r>
    </w:p>
    <w:p w14:paraId="217A266C">
      <w:pPr>
        <w:keepNext/>
        <w:keepLines/>
        <w:tabs>
          <w:tab w:val="left" w:pos="0"/>
        </w:tabs>
        <w:spacing w:before="340" w:after="240" w:line="360" w:lineRule="auto"/>
        <w:jc w:val="center"/>
        <w:outlineLvl w:val="0"/>
        <w:rPr>
          <w:b/>
          <w:bCs/>
          <w:kern w:val="44"/>
          <w:sz w:val="32"/>
          <w:szCs w:val="32"/>
        </w:rPr>
      </w:pPr>
      <w:bookmarkStart w:id="81" w:name="_Toc43851646"/>
      <w:bookmarkStart w:id="82" w:name="_Toc481328177"/>
      <w:bookmarkStart w:id="83" w:name="_Toc480537410"/>
      <w:bookmarkStart w:id="84" w:name="_Toc221800471"/>
      <w:bookmarkStart w:id="85" w:name="_Toc454973474"/>
      <w:bookmarkStart w:id="86" w:name="_Toc230935683"/>
      <w:bookmarkStart w:id="87" w:name="_Toc214715112"/>
      <w:bookmarkStart w:id="88" w:name="_Toc217881028"/>
      <w:r>
        <w:rPr>
          <w:b/>
          <w:bCs/>
          <w:kern w:val="44"/>
          <w:sz w:val="32"/>
          <w:szCs w:val="32"/>
        </w:rPr>
        <w:t>第三章矿山地质环境影响和土地损毁评估</w:t>
      </w:r>
      <w:bookmarkEnd w:id="81"/>
      <w:bookmarkEnd w:id="82"/>
      <w:bookmarkEnd w:id="83"/>
    </w:p>
    <w:bookmarkEnd w:id="84"/>
    <w:bookmarkEnd w:id="85"/>
    <w:bookmarkEnd w:id="86"/>
    <w:bookmarkEnd w:id="87"/>
    <w:bookmarkEnd w:id="88"/>
    <w:p w14:paraId="51B24977">
      <w:pPr>
        <w:keepNext/>
        <w:keepLines/>
        <w:adjustRightInd w:val="0"/>
        <w:spacing w:beforeLines="50" w:afterLines="50" w:line="360" w:lineRule="auto"/>
        <w:jc w:val="left"/>
        <w:textAlignment w:val="baseline"/>
        <w:outlineLvl w:val="0"/>
        <w:rPr>
          <w:kern w:val="0"/>
          <w:sz w:val="30"/>
          <w:szCs w:val="30"/>
        </w:rPr>
      </w:pPr>
      <w:bookmarkStart w:id="89" w:name="_Toc480537411"/>
      <w:bookmarkStart w:id="90" w:name="_Toc481328178"/>
      <w:bookmarkStart w:id="91" w:name="_Toc43851647"/>
      <w:r>
        <w:rPr>
          <w:kern w:val="0"/>
          <w:sz w:val="30"/>
          <w:szCs w:val="30"/>
        </w:rPr>
        <w:t>一、矿山地质环境与土地资源调查概述</w:t>
      </w:r>
      <w:bookmarkEnd w:id="89"/>
      <w:bookmarkEnd w:id="90"/>
      <w:bookmarkEnd w:id="91"/>
    </w:p>
    <w:p w14:paraId="2DCE6038">
      <w:pPr>
        <w:spacing w:line="360" w:lineRule="auto"/>
        <w:ind w:firstLine="480" w:firstLineChars="200"/>
        <w:rPr>
          <w:sz w:val="24"/>
          <w:lang w:val="zh-CN"/>
        </w:rPr>
      </w:pPr>
      <w:r>
        <w:rPr>
          <w:sz w:val="24"/>
          <w:lang w:val="zh-CN"/>
        </w:rPr>
        <w:t>2020年4月上旬广元市利州区紫兰建材厂委托</w:t>
      </w:r>
      <w:r>
        <w:rPr>
          <w:sz w:val="24"/>
        </w:rPr>
        <w:t>广元林晨工程咨询服务有限公司</w:t>
      </w:r>
      <w:r>
        <w:rPr>
          <w:sz w:val="24"/>
          <w:lang w:val="zh-CN"/>
        </w:rPr>
        <w:t>对广元市利州区紫兰建材厂砖瓦用页岩矿进行《矿山地质环境保护与土地复垦方案》编制工作。2020年4月中旬</w:t>
      </w:r>
      <w:r>
        <w:rPr>
          <w:sz w:val="24"/>
        </w:rPr>
        <w:t>广元林晨工程咨询服务有限公司</w:t>
      </w:r>
      <w:r>
        <w:rPr>
          <w:sz w:val="24"/>
          <w:lang w:val="zh-CN"/>
        </w:rPr>
        <w:t>组织3名员工到广元市利州区紫兰建材厂砖瓦用页岩矿现场进行实地勘查。根据实地勘查，矿山为露天开采，开采矿种为砖瓦用页岩岩矿，开采规模为4.0万t/a，开采深度为+565～+535m。</w:t>
      </w:r>
    </w:p>
    <w:p w14:paraId="72FBEE8A">
      <w:pPr>
        <w:spacing w:line="360" w:lineRule="auto"/>
        <w:ind w:firstLine="480" w:firstLineChars="200"/>
        <w:rPr>
          <w:sz w:val="24"/>
          <w:lang w:val="zh-CN"/>
        </w:rPr>
      </w:pPr>
      <w:r>
        <w:rPr>
          <w:sz w:val="24"/>
          <w:lang w:val="zh-CN"/>
        </w:rPr>
        <w:t>通过到矿山收集到的《</w:t>
      </w:r>
      <w:r>
        <w:rPr>
          <w:rFonts w:eastAsiaTheme="minorEastAsia"/>
          <w:kern w:val="28"/>
          <w:sz w:val="24"/>
        </w:rPr>
        <w:t>广元市利州区紫兰建材厂砖瓦用页岩矿资源/储量核实报告</w:t>
      </w:r>
      <w:r>
        <w:rPr>
          <w:sz w:val="24"/>
          <w:lang w:val="zh-CN"/>
        </w:rPr>
        <w:t>》、</w:t>
      </w:r>
      <w:r>
        <w:rPr>
          <w:rFonts w:eastAsiaTheme="minorEastAsia"/>
          <w:kern w:val="28"/>
          <w:sz w:val="24"/>
        </w:rPr>
        <w:t>《广元市利州区紫兰建材厂砖瓦用页岩矿矿产资源开发利用方案》</w:t>
      </w:r>
      <w:r>
        <w:rPr>
          <w:sz w:val="24"/>
          <w:lang w:val="zh-CN"/>
        </w:rPr>
        <w:t>等相关纸质和电子资料，确定了矿山地质环境影响的大致范围，通过周边调查走访，确定评估区内目前无崩塌、滑坡、泥石流、地面塌陷等地质灾害现象。</w:t>
      </w:r>
    </w:p>
    <w:p w14:paraId="0950494A">
      <w:pPr>
        <w:spacing w:line="360" w:lineRule="auto"/>
        <w:ind w:firstLine="480" w:firstLineChars="200"/>
        <w:rPr>
          <w:sz w:val="24"/>
          <w:lang w:val="zh-CN"/>
        </w:rPr>
      </w:pPr>
      <w:r>
        <w:rPr>
          <w:sz w:val="24"/>
          <w:lang w:val="zh-CN"/>
        </w:rPr>
        <w:t>根据现场调查及矿山开发利用方案确定矿山开采结束后的最终复垦区范围。复垦区面积为2.4148hm</w:t>
      </w:r>
      <w:r>
        <w:rPr>
          <w:sz w:val="24"/>
          <w:vertAlign w:val="superscript"/>
          <w:lang w:val="zh-CN"/>
        </w:rPr>
        <w:t>2</w:t>
      </w:r>
      <w:r>
        <w:rPr>
          <w:sz w:val="24"/>
          <w:lang w:val="zh-CN"/>
        </w:rPr>
        <w:t>。具体土地资源占用情况见下表。（表3-1）</w:t>
      </w:r>
    </w:p>
    <w:p w14:paraId="18F20E68">
      <w:pPr>
        <w:jc w:val="center"/>
        <w:rPr>
          <w:rFonts w:eastAsiaTheme="minorEastAsia"/>
          <w:b/>
          <w:szCs w:val="21"/>
        </w:rPr>
      </w:pPr>
      <w:r>
        <w:rPr>
          <w:rFonts w:eastAsiaTheme="minorEastAsia"/>
          <w:b/>
          <w:szCs w:val="21"/>
        </w:rPr>
        <w:t>表3-1  复垦区土地利用现状表</w:t>
      </w:r>
    </w:p>
    <w:tbl>
      <w:tblPr>
        <w:tblStyle w:val="29"/>
        <w:tblW w:w="9221" w:type="dxa"/>
        <w:jc w:val="center"/>
        <w:tblLayout w:type="autofit"/>
        <w:tblCellMar>
          <w:top w:w="0" w:type="dxa"/>
          <w:left w:w="108" w:type="dxa"/>
          <w:bottom w:w="0" w:type="dxa"/>
          <w:right w:w="108" w:type="dxa"/>
        </w:tblCellMar>
      </w:tblPr>
      <w:tblGrid>
        <w:gridCol w:w="742"/>
        <w:gridCol w:w="721"/>
        <w:gridCol w:w="1079"/>
        <w:gridCol w:w="1111"/>
        <w:gridCol w:w="1236"/>
        <w:gridCol w:w="1749"/>
        <w:gridCol w:w="1753"/>
        <w:gridCol w:w="830"/>
      </w:tblGrid>
      <w:tr w14:paraId="73C9F51C">
        <w:tblPrEx>
          <w:tblCellMar>
            <w:top w:w="0" w:type="dxa"/>
            <w:left w:w="108" w:type="dxa"/>
            <w:bottom w:w="0" w:type="dxa"/>
            <w:right w:w="108" w:type="dxa"/>
          </w:tblCellMar>
        </w:tblPrEx>
        <w:trPr>
          <w:trHeight w:val="297" w:hRule="atLeast"/>
          <w:jc w:val="center"/>
        </w:trPr>
        <w:tc>
          <w:tcPr>
            <w:tcW w:w="742"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987BED3">
            <w:pPr>
              <w:widowControl/>
              <w:jc w:val="center"/>
              <w:rPr>
                <w:color w:val="000000"/>
                <w:kern w:val="0"/>
                <w:szCs w:val="21"/>
              </w:rPr>
            </w:pPr>
            <w:bookmarkStart w:id="92" w:name="_Toc480537412"/>
            <w:bookmarkStart w:id="93" w:name="_Toc481328181"/>
            <w:r>
              <w:rPr>
                <w:color w:val="000000"/>
                <w:kern w:val="0"/>
                <w:szCs w:val="21"/>
              </w:rPr>
              <w:t>损毁对象</w:t>
            </w:r>
          </w:p>
        </w:tc>
        <w:tc>
          <w:tcPr>
            <w:tcW w:w="72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E41AD77">
            <w:pPr>
              <w:widowControl/>
              <w:jc w:val="center"/>
              <w:rPr>
                <w:color w:val="000000"/>
                <w:kern w:val="0"/>
                <w:szCs w:val="21"/>
              </w:rPr>
            </w:pPr>
            <w:r>
              <w:rPr>
                <w:color w:val="000000"/>
                <w:kern w:val="0"/>
                <w:szCs w:val="21"/>
              </w:rPr>
              <w:t>损毁</w:t>
            </w:r>
            <w:r>
              <w:rPr>
                <w:color w:val="000000"/>
                <w:kern w:val="0"/>
                <w:szCs w:val="21"/>
              </w:rPr>
              <w:br w:type="textWrapping"/>
            </w:r>
            <w:r>
              <w:rPr>
                <w:color w:val="000000"/>
                <w:kern w:val="0"/>
                <w:szCs w:val="21"/>
              </w:rPr>
              <w:t>程度</w:t>
            </w:r>
          </w:p>
        </w:tc>
        <w:tc>
          <w:tcPr>
            <w:tcW w:w="7758" w:type="dxa"/>
            <w:gridSpan w:val="6"/>
            <w:tcBorders>
              <w:top w:val="single" w:color="auto" w:sz="4" w:space="0"/>
              <w:left w:val="nil"/>
              <w:bottom w:val="single" w:color="auto" w:sz="4" w:space="0"/>
              <w:right w:val="single" w:color="000000" w:sz="4" w:space="0"/>
            </w:tcBorders>
            <w:shd w:val="clear" w:color="auto" w:fill="auto"/>
            <w:noWrap/>
            <w:vAlign w:val="center"/>
          </w:tcPr>
          <w:p w14:paraId="77B8EB84">
            <w:pPr>
              <w:widowControl/>
              <w:jc w:val="center"/>
              <w:rPr>
                <w:color w:val="000000"/>
                <w:kern w:val="0"/>
                <w:szCs w:val="21"/>
              </w:rPr>
            </w:pPr>
            <w:r>
              <w:rPr>
                <w:color w:val="000000"/>
                <w:kern w:val="0"/>
                <w:szCs w:val="21"/>
              </w:rPr>
              <w:t>地类及面积（hm</w:t>
            </w:r>
            <w:r>
              <w:rPr>
                <w:color w:val="000000"/>
                <w:kern w:val="0"/>
                <w:szCs w:val="21"/>
                <w:vertAlign w:val="superscript"/>
              </w:rPr>
              <w:t>2</w:t>
            </w:r>
            <w:r>
              <w:rPr>
                <w:color w:val="000000"/>
                <w:kern w:val="0"/>
                <w:szCs w:val="21"/>
              </w:rPr>
              <w:t>）</w:t>
            </w:r>
          </w:p>
        </w:tc>
      </w:tr>
      <w:tr w14:paraId="3A7F0311">
        <w:tblPrEx>
          <w:tblCellMar>
            <w:top w:w="0" w:type="dxa"/>
            <w:left w:w="108" w:type="dxa"/>
            <w:bottom w:w="0" w:type="dxa"/>
            <w:right w:w="108" w:type="dxa"/>
          </w:tblCellMar>
        </w:tblPrEx>
        <w:trPr>
          <w:trHeight w:val="297" w:hRule="atLeast"/>
          <w:jc w:val="center"/>
        </w:trPr>
        <w:tc>
          <w:tcPr>
            <w:tcW w:w="742" w:type="dxa"/>
            <w:vMerge w:val="continue"/>
            <w:tcBorders>
              <w:top w:val="single" w:color="auto" w:sz="4" w:space="0"/>
              <w:left w:val="single" w:color="auto" w:sz="4" w:space="0"/>
              <w:bottom w:val="single" w:color="auto" w:sz="4" w:space="0"/>
              <w:right w:val="single" w:color="auto" w:sz="4" w:space="0"/>
            </w:tcBorders>
            <w:vAlign w:val="center"/>
          </w:tcPr>
          <w:p w14:paraId="46E3A5BF">
            <w:pPr>
              <w:widowControl/>
              <w:jc w:val="left"/>
              <w:rPr>
                <w:color w:val="000000"/>
                <w:kern w:val="0"/>
                <w:szCs w:val="21"/>
              </w:rPr>
            </w:pPr>
          </w:p>
        </w:tc>
        <w:tc>
          <w:tcPr>
            <w:tcW w:w="721" w:type="dxa"/>
            <w:vMerge w:val="continue"/>
            <w:tcBorders>
              <w:top w:val="single" w:color="auto" w:sz="4" w:space="0"/>
              <w:left w:val="single" w:color="auto" w:sz="4" w:space="0"/>
              <w:bottom w:val="single" w:color="auto" w:sz="4" w:space="0"/>
              <w:right w:val="single" w:color="auto" w:sz="4" w:space="0"/>
            </w:tcBorders>
            <w:vAlign w:val="center"/>
          </w:tcPr>
          <w:p w14:paraId="7E7D88B0">
            <w:pPr>
              <w:widowControl/>
              <w:jc w:val="left"/>
              <w:rPr>
                <w:color w:val="000000"/>
                <w:kern w:val="0"/>
                <w:szCs w:val="21"/>
              </w:rPr>
            </w:pPr>
          </w:p>
        </w:tc>
        <w:tc>
          <w:tcPr>
            <w:tcW w:w="1079" w:type="dxa"/>
            <w:tcBorders>
              <w:top w:val="nil"/>
              <w:left w:val="nil"/>
              <w:bottom w:val="single" w:color="auto" w:sz="4" w:space="0"/>
              <w:right w:val="single" w:color="auto" w:sz="4" w:space="0"/>
            </w:tcBorders>
            <w:shd w:val="clear" w:color="auto" w:fill="auto"/>
            <w:noWrap/>
            <w:vAlign w:val="center"/>
          </w:tcPr>
          <w:p w14:paraId="5E658EFA">
            <w:pPr>
              <w:widowControl/>
              <w:jc w:val="center"/>
              <w:rPr>
                <w:color w:val="000000"/>
                <w:kern w:val="0"/>
                <w:szCs w:val="21"/>
              </w:rPr>
            </w:pPr>
            <w:r>
              <w:rPr>
                <w:color w:val="000000"/>
                <w:kern w:val="0"/>
                <w:szCs w:val="21"/>
              </w:rPr>
              <w:t>耕地（01）</w:t>
            </w:r>
          </w:p>
        </w:tc>
        <w:tc>
          <w:tcPr>
            <w:tcW w:w="2347" w:type="dxa"/>
            <w:gridSpan w:val="2"/>
            <w:tcBorders>
              <w:top w:val="single" w:color="auto" w:sz="4" w:space="0"/>
              <w:left w:val="nil"/>
              <w:bottom w:val="single" w:color="auto" w:sz="4" w:space="0"/>
              <w:right w:val="single" w:color="000000" w:sz="4" w:space="0"/>
            </w:tcBorders>
            <w:shd w:val="clear" w:color="auto" w:fill="auto"/>
            <w:noWrap/>
            <w:vAlign w:val="center"/>
          </w:tcPr>
          <w:p w14:paraId="29084A46">
            <w:pPr>
              <w:widowControl/>
              <w:jc w:val="center"/>
              <w:rPr>
                <w:color w:val="000000"/>
                <w:kern w:val="0"/>
                <w:szCs w:val="21"/>
              </w:rPr>
            </w:pPr>
            <w:r>
              <w:rPr>
                <w:color w:val="000000"/>
                <w:kern w:val="0"/>
                <w:szCs w:val="21"/>
              </w:rPr>
              <w:t>林地（03）</w:t>
            </w:r>
          </w:p>
        </w:tc>
        <w:tc>
          <w:tcPr>
            <w:tcW w:w="1749" w:type="dxa"/>
            <w:tcBorders>
              <w:top w:val="nil"/>
              <w:left w:val="nil"/>
              <w:bottom w:val="single" w:color="auto" w:sz="4" w:space="0"/>
              <w:right w:val="single" w:color="auto" w:sz="4" w:space="0"/>
            </w:tcBorders>
            <w:shd w:val="clear" w:color="auto" w:fill="auto"/>
            <w:noWrap/>
            <w:vAlign w:val="center"/>
          </w:tcPr>
          <w:p w14:paraId="0D77C958">
            <w:pPr>
              <w:widowControl/>
              <w:jc w:val="center"/>
              <w:rPr>
                <w:color w:val="000000"/>
                <w:kern w:val="0"/>
                <w:szCs w:val="21"/>
              </w:rPr>
            </w:pPr>
            <w:r>
              <w:rPr>
                <w:color w:val="000000"/>
                <w:kern w:val="0"/>
                <w:szCs w:val="21"/>
              </w:rPr>
              <w:t>工矿仓储用地（06）</w:t>
            </w:r>
          </w:p>
        </w:tc>
        <w:tc>
          <w:tcPr>
            <w:tcW w:w="1753" w:type="dxa"/>
            <w:tcBorders>
              <w:top w:val="nil"/>
              <w:left w:val="nil"/>
              <w:bottom w:val="single" w:color="auto" w:sz="4" w:space="0"/>
              <w:right w:val="single" w:color="auto" w:sz="4" w:space="0"/>
            </w:tcBorders>
            <w:shd w:val="clear" w:color="auto" w:fill="auto"/>
            <w:noWrap/>
            <w:vAlign w:val="center"/>
          </w:tcPr>
          <w:p w14:paraId="3C9BBF11">
            <w:pPr>
              <w:widowControl/>
              <w:jc w:val="center"/>
              <w:rPr>
                <w:color w:val="000000"/>
                <w:kern w:val="0"/>
                <w:szCs w:val="21"/>
              </w:rPr>
            </w:pPr>
            <w:r>
              <w:rPr>
                <w:color w:val="000000"/>
                <w:kern w:val="0"/>
                <w:szCs w:val="21"/>
              </w:rPr>
              <w:t>住宅用地（07）</w:t>
            </w:r>
          </w:p>
        </w:tc>
        <w:tc>
          <w:tcPr>
            <w:tcW w:w="830" w:type="dxa"/>
            <w:vMerge w:val="restart"/>
            <w:tcBorders>
              <w:top w:val="nil"/>
              <w:left w:val="single" w:color="auto" w:sz="4" w:space="0"/>
              <w:bottom w:val="single" w:color="auto" w:sz="4" w:space="0"/>
              <w:right w:val="single" w:color="auto" w:sz="4" w:space="0"/>
            </w:tcBorders>
            <w:shd w:val="clear" w:color="auto" w:fill="auto"/>
            <w:noWrap/>
            <w:vAlign w:val="center"/>
          </w:tcPr>
          <w:p w14:paraId="224BF9FE">
            <w:pPr>
              <w:widowControl/>
              <w:jc w:val="center"/>
              <w:rPr>
                <w:color w:val="000000"/>
                <w:kern w:val="0"/>
                <w:szCs w:val="21"/>
              </w:rPr>
            </w:pPr>
            <w:r>
              <w:rPr>
                <w:color w:val="000000"/>
                <w:kern w:val="0"/>
                <w:szCs w:val="21"/>
              </w:rPr>
              <w:t>合计</w:t>
            </w:r>
          </w:p>
        </w:tc>
      </w:tr>
      <w:tr w14:paraId="4644E8CC">
        <w:tblPrEx>
          <w:tblCellMar>
            <w:top w:w="0" w:type="dxa"/>
            <w:left w:w="108" w:type="dxa"/>
            <w:bottom w:w="0" w:type="dxa"/>
            <w:right w:w="108" w:type="dxa"/>
          </w:tblCellMar>
        </w:tblPrEx>
        <w:trPr>
          <w:trHeight w:val="297" w:hRule="atLeast"/>
          <w:jc w:val="center"/>
        </w:trPr>
        <w:tc>
          <w:tcPr>
            <w:tcW w:w="742" w:type="dxa"/>
            <w:vMerge w:val="continue"/>
            <w:tcBorders>
              <w:top w:val="single" w:color="auto" w:sz="4" w:space="0"/>
              <w:left w:val="single" w:color="auto" w:sz="4" w:space="0"/>
              <w:bottom w:val="single" w:color="auto" w:sz="4" w:space="0"/>
              <w:right w:val="single" w:color="auto" w:sz="4" w:space="0"/>
            </w:tcBorders>
            <w:vAlign w:val="center"/>
          </w:tcPr>
          <w:p w14:paraId="425F3EBD">
            <w:pPr>
              <w:widowControl/>
              <w:jc w:val="left"/>
              <w:rPr>
                <w:color w:val="000000"/>
                <w:kern w:val="0"/>
                <w:szCs w:val="21"/>
              </w:rPr>
            </w:pPr>
          </w:p>
        </w:tc>
        <w:tc>
          <w:tcPr>
            <w:tcW w:w="721" w:type="dxa"/>
            <w:vMerge w:val="continue"/>
            <w:tcBorders>
              <w:top w:val="single" w:color="auto" w:sz="4" w:space="0"/>
              <w:left w:val="single" w:color="auto" w:sz="4" w:space="0"/>
              <w:bottom w:val="single" w:color="auto" w:sz="4" w:space="0"/>
              <w:right w:val="single" w:color="auto" w:sz="4" w:space="0"/>
            </w:tcBorders>
            <w:vAlign w:val="center"/>
          </w:tcPr>
          <w:p w14:paraId="0338CD77">
            <w:pPr>
              <w:widowControl/>
              <w:jc w:val="left"/>
              <w:rPr>
                <w:color w:val="000000"/>
                <w:kern w:val="0"/>
                <w:szCs w:val="21"/>
              </w:rPr>
            </w:pPr>
          </w:p>
        </w:tc>
        <w:tc>
          <w:tcPr>
            <w:tcW w:w="1079" w:type="dxa"/>
            <w:tcBorders>
              <w:top w:val="nil"/>
              <w:left w:val="nil"/>
              <w:bottom w:val="single" w:color="auto" w:sz="4" w:space="0"/>
              <w:right w:val="single" w:color="auto" w:sz="4" w:space="0"/>
            </w:tcBorders>
            <w:shd w:val="clear" w:color="auto" w:fill="auto"/>
            <w:noWrap/>
            <w:vAlign w:val="center"/>
          </w:tcPr>
          <w:p w14:paraId="0B16145B">
            <w:pPr>
              <w:widowControl/>
              <w:jc w:val="center"/>
              <w:rPr>
                <w:color w:val="000000"/>
                <w:kern w:val="0"/>
                <w:szCs w:val="21"/>
              </w:rPr>
            </w:pPr>
            <w:r>
              <w:rPr>
                <w:color w:val="000000"/>
                <w:kern w:val="0"/>
                <w:szCs w:val="21"/>
              </w:rPr>
              <w:t>旱地（013）</w:t>
            </w:r>
          </w:p>
        </w:tc>
        <w:tc>
          <w:tcPr>
            <w:tcW w:w="1111" w:type="dxa"/>
            <w:tcBorders>
              <w:top w:val="nil"/>
              <w:left w:val="nil"/>
              <w:bottom w:val="single" w:color="auto" w:sz="4" w:space="0"/>
              <w:right w:val="single" w:color="auto" w:sz="4" w:space="0"/>
            </w:tcBorders>
            <w:shd w:val="clear" w:color="auto" w:fill="auto"/>
            <w:vAlign w:val="center"/>
          </w:tcPr>
          <w:p w14:paraId="7F511AD6">
            <w:pPr>
              <w:widowControl/>
              <w:jc w:val="center"/>
              <w:rPr>
                <w:color w:val="000000"/>
                <w:kern w:val="0"/>
                <w:szCs w:val="21"/>
              </w:rPr>
            </w:pPr>
            <w:r>
              <w:rPr>
                <w:color w:val="000000"/>
                <w:kern w:val="0"/>
                <w:szCs w:val="21"/>
              </w:rPr>
              <w:t>有林地（031）</w:t>
            </w:r>
          </w:p>
        </w:tc>
        <w:tc>
          <w:tcPr>
            <w:tcW w:w="1236" w:type="dxa"/>
            <w:tcBorders>
              <w:top w:val="nil"/>
              <w:left w:val="nil"/>
              <w:bottom w:val="single" w:color="auto" w:sz="4" w:space="0"/>
              <w:right w:val="single" w:color="auto" w:sz="4" w:space="0"/>
            </w:tcBorders>
            <w:shd w:val="clear" w:color="auto" w:fill="auto"/>
            <w:vAlign w:val="center"/>
          </w:tcPr>
          <w:p w14:paraId="595E9802">
            <w:pPr>
              <w:widowControl/>
              <w:jc w:val="center"/>
              <w:rPr>
                <w:color w:val="000000"/>
                <w:kern w:val="0"/>
                <w:szCs w:val="21"/>
              </w:rPr>
            </w:pPr>
            <w:r>
              <w:rPr>
                <w:color w:val="000000"/>
                <w:kern w:val="0"/>
                <w:szCs w:val="21"/>
              </w:rPr>
              <w:t>其他林地（033）</w:t>
            </w:r>
          </w:p>
        </w:tc>
        <w:tc>
          <w:tcPr>
            <w:tcW w:w="1749" w:type="dxa"/>
            <w:tcBorders>
              <w:top w:val="nil"/>
              <w:left w:val="nil"/>
              <w:bottom w:val="single" w:color="auto" w:sz="4" w:space="0"/>
              <w:right w:val="single" w:color="auto" w:sz="4" w:space="0"/>
            </w:tcBorders>
            <w:shd w:val="clear" w:color="auto" w:fill="auto"/>
            <w:noWrap/>
            <w:vAlign w:val="center"/>
          </w:tcPr>
          <w:p w14:paraId="485F9FD0">
            <w:pPr>
              <w:widowControl/>
              <w:jc w:val="center"/>
              <w:rPr>
                <w:color w:val="000000"/>
                <w:kern w:val="0"/>
                <w:szCs w:val="21"/>
              </w:rPr>
            </w:pPr>
            <w:r>
              <w:rPr>
                <w:color w:val="000000"/>
                <w:kern w:val="0"/>
                <w:szCs w:val="21"/>
              </w:rPr>
              <w:t>采矿用地（062）</w:t>
            </w:r>
          </w:p>
        </w:tc>
        <w:tc>
          <w:tcPr>
            <w:tcW w:w="1753" w:type="dxa"/>
            <w:tcBorders>
              <w:top w:val="nil"/>
              <w:left w:val="nil"/>
              <w:bottom w:val="single" w:color="auto" w:sz="4" w:space="0"/>
              <w:right w:val="single" w:color="auto" w:sz="4" w:space="0"/>
            </w:tcBorders>
            <w:shd w:val="clear" w:color="auto" w:fill="auto"/>
            <w:vAlign w:val="center"/>
          </w:tcPr>
          <w:p w14:paraId="48CE9AF9">
            <w:pPr>
              <w:widowControl/>
              <w:jc w:val="center"/>
              <w:rPr>
                <w:color w:val="000000"/>
                <w:kern w:val="0"/>
                <w:szCs w:val="21"/>
              </w:rPr>
            </w:pPr>
            <w:r>
              <w:rPr>
                <w:color w:val="000000"/>
                <w:kern w:val="0"/>
                <w:szCs w:val="21"/>
              </w:rPr>
              <w:t>城镇住宅用地（071）</w:t>
            </w:r>
          </w:p>
        </w:tc>
        <w:tc>
          <w:tcPr>
            <w:tcW w:w="830" w:type="dxa"/>
            <w:vMerge w:val="continue"/>
            <w:tcBorders>
              <w:top w:val="nil"/>
              <w:left w:val="single" w:color="auto" w:sz="4" w:space="0"/>
              <w:bottom w:val="single" w:color="auto" w:sz="4" w:space="0"/>
              <w:right w:val="single" w:color="auto" w:sz="4" w:space="0"/>
            </w:tcBorders>
            <w:vAlign w:val="center"/>
          </w:tcPr>
          <w:p w14:paraId="493049AF">
            <w:pPr>
              <w:widowControl/>
              <w:jc w:val="left"/>
              <w:rPr>
                <w:color w:val="000000"/>
                <w:kern w:val="0"/>
                <w:szCs w:val="21"/>
              </w:rPr>
            </w:pPr>
          </w:p>
        </w:tc>
      </w:tr>
      <w:tr w14:paraId="07015832">
        <w:tblPrEx>
          <w:tblCellMar>
            <w:top w:w="0" w:type="dxa"/>
            <w:left w:w="108" w:type="dxa"/>
            <w:bottom w:w="0" w:type="dxa"/>
            <w:right w:w="108" w:type="dxa"/>
          </w:tblCellMar>
        </w:tblPrEx>
        <w:trPr>
          <w:trHeight w:val="297" w:hRule="atLeast"/>
          <w:jc w:val="center"/>
        </w:trPr>
        <w:tc>
          <w:tcPr>
            <w:tcW w:w="742" w:type="dxa"/>
            <w:tcBorders>
              <w:top w:val="nil"/>
              <w:left w:val="single" w:color="auto" w:sz="4" w:space="0"/>
              <w:bottom w:val="single" w:color="auto" w:sz="4" w:space="0"/>
              <w:right w:val="single" w:color="auto" w:sz="4" w:space="0"/>
            </w:tcBorders>
            <w:shd w:val="clear" w:color="auto" w:fill="auto"/>
            <w:vAlign w:val="center"/>
          </w:tcPr>
          <w:p w14:paraId="1C929A10">
            <w:pPr>
              <w:widowControl/>
              <w:jc w:val="center"/>
              <w:rPr>
                <w:color w:val="000000"/>
                <w:kern w:val="0"/>
                <w:szCs w:val="21"/>
              </w:rPr>
            </w:pPr>
            <w:r>
              <w:rPr>
                <w:color w:val="000000"/>
                <w:kern w:val="0"/>
                <w:szCs w:val="21"/>
              </w:rPr>
              <w:t>工业广场</w:t>
            </w:r>
          </w:p>
        </w:tc>
        <w:tc>
          <w:tcPr>
            <w:tcW w:w="721" w:type="dxa"/>
            <w:tcBorders>
              <w:top w:val="nil"/>
              <w:left w:val="nil"/>
              <w:bottom w:val="single" w:color="auto" w:sz="4" w:space="0"/>
              <w:right w:val="single" w:color="auto" w:sz="4" w:space="0"/>
            </w:tcBorders>
            <w:shd w:val="clear" w:color="auto" w:fill="auto"/>
            <w:noWrap/>
            <w:vAlign w:val="center"/>
          </w:tcPr>
          <w:p w14:paraId="473ABEF6">
            <w:pPr>
              <w:widowControl/>
              <w:jc w:val="center"/>
              <w:rPr>
                <w:color w:val="000000"/>
                <w:kern w:val="0"/>
                <w:szCs w:val="21"/>
              </w:rPr>
            </w:pPr>
            <w:r>
              <w:rPr>
                <w:color w:val="000000"/>
                <w:kern w:val="0"/>
                <w:szCs w:val="21"/>
              </w:rPr>
              <w:t>重度</w:t>
            </w:r>
          </w:p>
        </w:tc>
        <w:tc>
          <w:tcPr>
            <w:tcW w:w="1079" w:type="dxa"/>
            <w:tcBorders>
              <w:top w:val="nil"/>
              <w:left w:val="nil"/>
              <w:bottom w:val="single" w:color="auto" w:sz="4" w:space="0"/>
              <w:right w:val="single" w:color="auto" w:sz="4" w:space="0"/>
            </w:tcBorders>
            <w:shd w:val="clear" w:color="auto" w:fill="auto"/>
            <w:noWrap/>
            <w:vAlign w:val="center"/>
          </w:tcPr>
          <w:p w14:paraId="3650E1CB">
            <w:pPr>
              <w:widowControl/>
              <w:jc w:val="center"/>
              <w:rPr>
                <w:color w:val="000000"/>
                <w:kern w:val="0"/>
                <w:szCs w:val="21"/>
              </w:rPr>
            </w:pPr>
            <w:r>
              <w:rPr>
                <w:color w:val="000000"/>
                <w:kern w:val="0"/>
                <w:szCs w:val="21"/>
              </w:rPr>
              <w:t>0.5604</w:t>
            </w:r>
          </w:p>
        </w:tc>
        <w:tc>
          <w:tcPr>
            <w:tcW w:w="1111" w:type="dxa"/>
            <w:tcBorders>
              <w:top w:val="nil"/>
              <w:left w:val="nil"/>
              <w:bottom w:val="single" w:color="auto" w:sz="4" w:space="0"/>
              <w:right w:val="single" w:color="auto" w:sz="4" w:space="0"/>
            </w:tcBorders>
            <w:shd w:val="clear" w:color="auto" w:fill="auto"/>
            <w:noWrap/>
            <w:vAlign w:val="center"/>
          </w:tcPr>
          <w:p w14:paraId="350B876C">
            <w:pPr>
              <w:widowControl/>
              <w:jc w:val="center"/>
              <w:rPr>
                <w:color w:val="000000"/>
                <w:kern w:val="0"/>
                <w:szCs w:val="21"/>
              </w:rPr>
            </w:pPr>
            <w:r>
              <w:rPr>
                <w:color w:val="000000"/>
                <w:kern w:val="0"/>
                <w:szCs w:val="21"/>
              </w:rPr>
              <w:t>0.0677</w:t>
            </w:r>
          </w:p>
        </w:tc>
        <w:tc>
          <w:tcPr>
            <w:tcW w:w="1236" w:type="dxa"/>
            <w:tcBorders>
              <w:top w:val="nil"/>
              <w:left w:val="nil"/>
              <w:bottom w:val="single" w:color="auto" w:sz="4" w:space="0"/>
              <w:right w:val="single" w:color="auto" w:sz="4" w:space="0"/>
            </w:tcBorders>
            <w:shd w:val="clear" w:color="auto" w:fill="auto"/>
            <w:noWrap/>
            <w:vAlign w:val="center"/>
          </w:tcPr>
          <w:p w14:paraId="7728B7EA">
            <w:pPr>
              <w:widowControl/>
              <w:jc w:val="center"/>
              <w:rPr>
                <w:color w:val="000000"/>
                <w:kern w:val="0"/>
                <w:szCs w:val="21"/>
              </w:rPr>
            </w:pPr>
            <w:r>
              <w:rPr>
                <w:color w:val="000000"/>
                <w:kern w:val="0"/>
                <w:szCs w:val="21"/>
              </w:rPr>
              <w:t>0.1711</w:t>
            </w:r>
          </w:p>
        </w:tc>
        <w:tc>
          <w:tcPr>
            <w:tcW w:w="1749" w:type="dxa"/>
            <w:tcBorders>
              <w:top w:val="nil"/>
              <w:left w:val="nil"/>
              <w:bottom w:val="single" w:color="auto" w:sz="4" w:space="0"/>
              <w:right w:val="single" w:color="auto" w:sz="4" w:space="0"/>
            </w:tcBorders>
            <w:shd w:val="clear" w:color="auto" w:fill="auto"/>
            <w:noWrap/>
            <w:vAlign w:val="center"/>
          </w:tcPr>
          <w:p w14:paraId="4B501534">
            <w:pPr>
              <w:widowControl/>
              <w:jc w:val="center"/>
              <w:rPr>
                <w:color w:val="000000"/>
                <w:kern w:val="0"/>
                <w:szCs w:val="21"/>
              </w:rPr>
            </w:pPr>
            <w:r>
              <w:rPr>
                <w:color w:val="000000"/>
                <w:kern w:val="0"/>
                <w:szCs w:val="21"/>
              </w:rPr>
              <w:t>0.7991</w:t>
            </w:r>
          </w:p>
        </w:tc>
        <w:tc>
          <w:tcPr>
            <w:tcW w:w="1753" w:type="dxa"/>
            <w:tcBorders>
              <w:top w:val="nil"/>
              <w:left w:val="nil"/>
              <w:bottom w:val="single" w:color="auto" w:sz="4" w:space="0"/>
              <w:right w:val="single" w:color="auto" w:sz="4" w:space="0"/>
            </w:tcBorders>
            <w:shd w:val="clear" w:color="auto" w:fill="auto"/>
            <w:noWrap/>
            <w:vAlign w:val="center"/>
          </w:tcPr>
          <w:p w14:paraId="5738B471">
            <w:pPr>
              <w:widowControl/>
              <w:jc w:val="center"/>
              <w:rPr>
                <w:color w:val="000000"/>
                <w:kern w:val="0"/>
                <w:szCs w:val="21"/>
              </w:rPr>
            </w:pPr>
            <w:r>
              <w:rPr>
                <w:color w:val="000000"/>
                <w:kern w:val="0"/>
                <w:szCs w:val="21"/>
              </w:rPr>
              <w:t>0.2562</w:t>
            </w:r>
          </w:p>
        </w:tc>
        <w:tc>
          <w:tcPr>
            <w:tcW w:w="830" w:type="dxa"/>
            <w:tcBorders>
              <w:top w:val="nil"/>
              <w:left w:val="nil"/>
              <w:bottom w:val="single" w:color="auto" w:sz="4" w:space="0"/>
              <w:right w:val="single" w:color="auto" w:sz="4" w:space="0"/>
            </w:tcBorders>
            <w:shd w:val="clear" w:color="auto" w:fill="auto"/>
            <w:noWrap/>
            <w:vAlign w:val="center"/>
          </w:tcPr>
          <w:p w14:paraId="428DC5CB">
            <w:pPr>
              <w:widowControl/>
              <w:jc w:val="center"/>
              <w:rPr>
                <w:color w:val="000000"/>
                <w:kern w:val="0"/>
                <w:szCs w:val="21"/>
              </w:rPr>
            </w:pPr>
            <w:r>
              <w:rPr>
                <w:color w:val="000000"/>
                <w:kern w:val="0"/>
                <w:szCs w:val="21"/>
              </w:rPr>
              <w:t>1.8545</w:t>
            </w:r>
          </w:p>
        </w:tc>
      </w:tr>
      <w:tr w14:paraId="3D878E26">
        <w:tblPrEx>
          <w:tblCellMar>
            <w:top w:w="0" w:type="dxa"/>
            <w:left w:w="108" w:type="dxa"/>
            <w:bottom w:w="0" w:type="dxa"/>
            <w:right w:w="108" w:type="dxa"/>
          </w:tblCellMar>
        </w:tblPrEx>
        <w:trPr>
          <w:trHeight w:val="297" w:hRule="atLeast"/>
          <w:jc w:val="center"/>
        </w:trPr>
        <w:tc>
          <w:tcPr>
            <w:tcW w:w="742" w:type="dxa"/>
            <w:tcBorders>
              <w:top w:val="nil"/>
              <w:left w:val="single" w:color="auto" w:sz="4" w:space="0"/>
              <w:bottom w:val="single" w:color="auto" w:sz="4" w:space="0"/>
              <w:right w:val="single" w:color="auto" w:sz="4" w:space="0"/>
            </w:tcBorders>
            <w:shd w:val="clear" w:color="auto" w:fill="auto"/>
            <w:vAlign w:val="center"/>
          </w:tcPr>
          <w:p w14:paraId="44D0C344">
            <w:pPr>
              <w:widowControl/>
              <w:jc w:val="center"/>
              <w:rPr>
                <w:color w:val="000000"/>
                <w:kern w:val="0"/>
                <w:szCs w:val="21"/>
              </w:rPr>
            </w:pPr>
            <w:r>
              <w:rPr>
                <w:color w:val="000000"/>
                <w:kern w:val="0"/>
                <w:szCs w:val="21"/>
              </w:rPr>
              <w:t>边坡区</w:t>
            </w:r>
          </w:p>
        </w:tc>
        <w:tc>
          <w:tcPr>
            <w:tcW w:w="721" w:type="dxa"/>
            <w:tcBorders>
              <w:top w:val="nil"/>
              <w:left w:val="nil"/>
              <w:bottom w:val="single" w:color="auto" w:sz="4" w:space="0"/>
              <w:right w:val="single" w:color="auto" w:sz="4" w:space="0"/>
            </w:tcBorders>
            <w:shd w:val="clear" w:color="auto" w:fill="auto"/>
            <w:noWrap/>
            <w:vAlign w:val="center"/>
          </w:tcPr>
          <w:p w14:paraId="6648FC91">
            <w:pPr>
              <w:widowControl/>
              <w:jc w:val="center"/>
              <w:rPr>
                <w:color w:val="000000"/>
                <w:kern w:val="0"/>
                <w:szCs w:val="21"/>
              </w:rPr>
            </w:pPr>
            <w:r>
              <w:rPr>
                <w:color w:val="000000"/>
                <w:kern w:val="0"/>
                <w:szCs w:val="21"/>
              </w:rPr>
              <w:t>重度</w:t>
            </w:r>
          </w:p>
        </w:tc>
        <w:tc>
          <w:tcPr>
            <w:tcW w:w="1079" w:type="dxa"/>
            <w:tcBorders>
              <w:top w:val="nil"/>
              <w:left w:val="nil"/>
              <w:bottom w:val="single" w:color="auto" w:sz="4" w:space="0"/>
              <w:right w:val="single" w:color="auto" w:sz="4" w:space="0"/>
            </w:tcBorders>
            <w:shd w:val="clear" w:color="auto" w:fill="auto"/>
            <w:noWrap/>
            <w:vAlign w:val="center"/>
          </w:tcPr>
          <w:p w14:paraId="63EFCEFA">
            <w:pPr>
              <w:widowControl/>
              <w:jc w:val="center"/>
              <w:rPr>
                <w:color w:val="000000"/>
                <w:kern w:val="0"/>
                <w:szCs w:val="21"/>
              </w:rPr>
            </w:pPr>
            <w:r>
              <w:rPr>
                <w:color w:val="000000"/>
                <w:kern w:val="0"/>
                <w:szCs w:val="21"/>
              </w:rPr>
              <w:t>0.2989</w:t>
            </w:r>
          </w:p>
        </w:tc>
        <w:tc>
          <w:tcPr>
            <w:tcW w:w="1111" w:type="dxa"/>
            <w:tcBorders>
              <w:top w:val="nil"/>
              <w:left w:val="nil"/>
              <w:bottom w:val="single" w:color="auto" w:sz="4" w:space="0"/>
              <w:right w:val="single" w:color="auto" w:sz="4" w:space="0"/>
            </w:tcBorders>
            <w:shd w:val="clear" w:color="auto" w:fill="auto"/>
            <w:noWrap/>
            <w:vAlign w:val="center"/>
          </w:tcPr>
          <w:p w14:paraId="4FC91239">
            <w:pPr>
              <w:widowControl/>
              <w:jc w:val="center"/>
              <w:rPr>
                <w:color w:val="000000"/>
                <w:kern w:val="0"/>
                <w:szCs w:val="21"/>
              </w:rPr>
            </w:pPr>
            <w:r>
              <w:rPr>
                <w:color w:val="000000"/>
                <w:kern w:val="0"/>
                <w:szCs w:val="21"/>
              </w:rPr>
              <w:t>0.0322</w:t>
            </w:r>
          </w:p>
        </w:tc>
        <w:tc>
          <w:tcPr>
            <w:tcW w:w="1236" w:type="dxa"/>
            <w:tcBorders>
              <w:top w:val="nil"/>
              <w:left w:val="nil"/>
              <w:bottom w:val="single" w:color="auto" w:sz="4" w:space="0"/>
              <w:right w:val="single" w:color="auto" w:sz="4" w:space="0"/>
            </w:tcBorders>
            <w:shd w:val="clear" w:color="auto" w:fill="auto"/>
            <w:noWrap/>
            <w:vAlign w:val="center"/>
          </w:tcPr>
          <w:p w14:paraId="3F173BDA">
            <w:pPr>
              <w:widowControl/>
              <w:jc w:val="center"/>
              <w:rPr>
                <w:color w:val="000000"/>
                <w:kern w:val="0"/>
                <w:szCs w:val="21"/>
              </w:rPr>
            </w:pPr>
            <w:r>
              <w:rPr>
                <w:color w:val="000000"/>
                <w:kern w:val="0"/>
                <w:szCs w:val="21"/>
              </w:rPr>
              <w:t>0.2251</w:t>
            </w:r>
          </w:p>
        </w:tc>
        <w:tc>
          <w:tcPr>
            <w:tcW w:w="1749" w:type="dxa"/>
            <w:tcBorders>
              <w:top w:val="nil"/>
              <w:left w:val="nil"/>
              <w:bottom w:val="single" w:color="auto" w:sz="4" w:space="0"/>
              <w:right w:val="single" w:color="auto" w:sz="4" w:space="0"/>
            </w:tcBorders>
            <w:shd w:val="clear" w:color="auto" w:fill="auto"/>
            <w:noWrap/>
            <w:vAlign w:val="center"/>
          </w:tcPr>
          <w:p w14:paraId="4BD9C240">
            <w:pPr>
              <w:widowControl/>
              <w:jc w:val="center"/>
              <w:rPr>
                <w:color w:val="000000"/>
                <w:kern w:val="0"/>
                <w:szCs w:val="21"/>
              </w:rPr>
            </w:pPr>
            <w:r>
              <w:rPr>
                <w:color w:val="000000"/>
                <w:kern w:val="0"/>
                <w:szCs w:val="21"/>
              </w:rPr>
              <w:t>0.0006</w:t>
            </w:r>
          </w:p>
        </w:tc>
        <w:tc>
          <w:tcPr>
            <w:tcW w:w="1753" w:type="dxa"/>
            <w:tcBorders>
              <w:top w:val="nil"/>
              <w:left w:val="nil"/>
              <w:bottom w:val="single" w:color="auto" w:sz="4" w:space="0"/>
              <w:right w:val="single" w:color="auto" w:sz="4" w:space="0"/>
            </w:tcBorders>
            <w:shd w:val="clear" w:color="auto" w:fill="auto"/>
            <w:noWrap/>
            <w:vAlign w:val="center"/>
          </w:tcPr>
          <w:p w14:paraId="2AE6698B">
            <w:pPr>
              <w:widowControl/>
              <w:jc w:val="center"/>
              <w:rPr>
                <w:color w:val="000000"/>
                <w:kern w:val="0"/>
                <w:szCs w:val="21"/>
              </w:rPr>
            </w:pPr>
            <w:r>
              <w:rPr>
                <w:color w:val="000000"/>
                <w:kern w:val="0"/>
                <w:szCs w:val="21"/>
              </w:rPr>
              <w:t>0.0035</w:t>
            </w:r>
          </w:p>
        </w:tc>
        <w:tc>
          <w:tcPr>
            <w:tcW w:w="830" w:type="dxa"/>
            <w:tcBorders>
              <w:top w:val="nil"/>
              <w:left w:val="nil"/>
              <w:bottom w:val="single" w:color="auto" w:sz="4" w:space="0"/>
              <w:right w:val="single" w:color="auto" w:sz="4" w:space="0"/>
            </w:tcBorders>
            <w:shd w:val="clear" w:color="auto" w:fill="auto"/>
            <w:noWrap/>
            <w:vAlign w:val="center"/>
          </w:tcPr>
          <w:p w14:paraId="1F407963">
            <w:pPr>
              <w:widowControl/>
              <w:jc w:val="center"/>
              <w:rPr>
                <w:color w:val="000000"/>
                <w:kern w:val="0"/>
                <w:szCs w:val="21"/>
              </w:rPr>
            </w:pPr>
            <w:r>
              <w:rPr>
                <w:color w:val="000000"/>
                <w:kern w:val="0"/>
                <w:szCs w:val="21"/>
              </w:rPr>
              <w:t>0.5603</w:t>
            </w:r>
          </w:p>
        </w:tc>
      </w:tr>
      <w:tr w14:paraId="7694A0B2">
        <w:tblPrEx>
          <w:tblCellMar>
            <w:top w:w="0" w:type="dxa"/>
            <w:left w:w="108" w:type="dxa"/>
            <w:bottom w:w="0" w:type="dxa"/>
            <w:right w:w="108" w:type="dxa"/>
          </w:tblCellMar>
        </w:tblPrEx>
        <w:trPr>
          <w:trHeight w:val="297" w:hRule="atLeast"/>
          <w:jc w:val="center"/>
        </w:trPr>
        <w:tc>
          <w:tcPr>
            <w:tcW w:w="1463"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AE42F4D">
            <w:pPr>
              <w:widowControl/>
              <w:jc w:val="center"/>
              <w:rPr>
                <w:color w:val="000000"/>
                <w:kern w:val="0"/>
                <w:szCs w:val="21"/>
              </w:rPr>
            </w:pPr>
            <w:r>
              <w:rPr>
                <w:color w:val="000000"/>
                <w:kern w:val="0"/>
                <w:szCs w:val="21"/>
              </w:rPr>
              <w:t>合计</w:t>
            </w:r>
          </w:p>
        </w:tc>
        <w:tc>
          <w:tcPr>
            <w:tcW w:w="1079" w:type="dxa"/>
            <w:tcBorders>
              <w:top w:val="nil"/>
              <w:left w:val="nil"/>
              <w:bottom w:val="single" w:color="auto" w:sz="4" w:space="0"/>
              <w:right w:val="single" w:color="auto" w:sz="4" w:space="0"/>
            </w:tcBorders>
            <w:shd w:val="clear" w:color="auto" w:fill="auto"/>
            <w:noWrap/>
            <w:vAlign w:val="center"/>
          </w:tcPr>
          <w:p w14:paraId="1AE291C6">
            <w:pPr>
              <w:widowControl/>
              <w:jc w:val="center"/>
              <w:rPr>
                <w:color w:val="000000"/>
                <w:kern w:val="0"/>
                <w:szCs w:val="21"/>
              </w:rPr>
            </w:pPr>
            <w:r>
              <w:rPr>
                <w:color w:val="000000"/>
                <w:kern w:val="0"/>
                <w:szCs w:val="21"/>
              </w:rPr>
              <w:t>0.8593</w:t>
            </w:r>
          </w:p>
        </w:tc>
        <w:tc>
          <w:tcPr>
            <w:tcW w:w="1111" w:type="dxa"/>
            <w:tcBorders>
              <w:top w:val="nil"/>
              <w:left w:val="nil"/>
              <w:bottom w:val="single" w:color="auto" w:sz="4" w:space="0"/>
              <w:right w:val="single" w:color="auto" w:sz="4" w:space="0"/>
            </w:tcBorders>
            <w:shd w:val="clear" w:color="auto" w:fill="auto"/>
            <w:noWrap/>
            <w:vAlign w:val="center"/>
          </w:tcPr>
          <w:p w14:paraId="5623A79A">
            <w:pPr>
              <w:widowControl/>
              <w:jc w:val="center"/>
              <w:rPr>
                <w:color w:val="000000"/>
                <w:kern w:val="0"/>
                <w:szCs w:val="21"/>
              </w:rPr>
            </w:pPr>
            <w:r>
              <w:rPr>
                <w:color w:val="000000"/>
                <w:kern w:val="0"/>
                <w:szCs w:val="21"/>
              </w:rPr>
              <w:t>0.0999</w:t>
            </w:r>
          </w:p>
        </w:tc>
        <w:tc>
          <w:tcPr>
            <w:tcW w:w="1236" w:type="dxa"/>
            <w:tcBorders>
              <w:top w:val="nil"/>
              <w:left w:val="nil"/>
              <w:bottom w:val="single" w:color="auto" w:sz="4" w:space="0"/>
              <w:right w:val="single" w:color="auto" w:sz="4" w:space="0"/>
            </w:tcBorders>
            <w:shd w:val="clear" w:color="auto" w:fill="auto"/>
            <w:noWrap/>
            <w:vAlign w:val="center"/>
          </w:tcPr>
          <w:p w14:paraId="59136140">
            <w:pPr>
              <w:widowControl/>
              <w:jc w:val="center"/>
              <w:rPr>
                <w:color w:val="000000"/>
                <w:kern w:val="0"/>
                <w:szCs w:val="21"/>
              </w:rPr>
            </w:pPr>
            <w:r>
              <w:rPr>
                <w:color w:val="000000"/>
                <w:kern w:val="0"/>
                <w:szCs w:val="21"/>
              </w:rPr>
              <w:t>0.3962</w:t>
            </w:r>
          </w:p>
        </w:tc>
        <w:tc>
          <w:tcPr>
            <w:tcW w:w="1749" w:type="dxa"/>
            <w:tcBorders>
              <w:top w:val="nil"/>
              <w:left w:val="nil"/>
              <w:bottom w:val="single" w:color="auto" w:sz="4" w:space="0"/>
              <w:right w:val="single" w:color="auto" w:sz="4" w:space="0"/>
            </w:tcBorders>
            <w:shd w:val="clear" w:color="auto" w:fill="auto"/>
            <w:noWrap/>
            <w:vAlign w:val="center"/>
          </w:tcPr>
          <w:p w14:paraId="77FA3A25">
            <w:pPr>
              <w:widowControl/>
              <w:jc w:val="center"/>
              <w:rPr>
                <w:color w:val="000000"/>
                <w:kern w:val="0"/>
                <w:szCs w:val="21"/>
              </w:rPr>
            </w:pPr>
            <w:r>
              <w:rPr>
                <w:color w:val="000000"/>
                <w:kern w:val="0"/>
                <w:szCs w:val="21"/>
              </w:rPr>
              <w:t>0.7997</w:t>
            </w:r>
          </w:p>
        </w:tc>
        <w:tc>
          <w:tcPr>
            <w:tcW w:w="1753" w:type="dxa"/>
            <w:tcBorders>
              <w:top w:val="nil"/>
              <w:left w:val="nil"/>
              <w:bottom w:val="single" w:color="auto" w:sz="4" w:space="0"/>
              <w:right w:val="single" w:color="auto" w:sz="4" w:space="0"/>
            </w:tcBorders>
            <w:shd w:val="clear" w:color="auto" w:fill="auto"/>
            <w:noWrap/>
            <w:vAlign w:val="center"/>
          </w:tcPr>
          <w:p w14:paraId="2AE073A5">
            <w:pPr>
              <w:widowControl/>
              <w:jc w:val="center"/>
              <w:rPr>
                <w:color w:val="000000"/>
                <w:kern w:val="0"/>
                <w:szCs w:val="21"/>
              </w:rPr>
            </w:pPr>
            <w:r>
              <w:rPr>
                <w:color w:val="000000"/>
                <w:kern w:val="0"/>
                <w:szCs w:val="21"/>
              </w:rPr>
              <w:t>0.2597</w:t>
            </w:r>
          </w:p>
        </w:tc>
        <w:tc>
          <w:tcPr>
            <w:tcW w:w="830" w:type="dxa"/>
            <w:tcBorders>
              <w:top w:val="nil"/>
              <w:left w:val="nil"/>
              <w:bottom w:val="single" w:color="auto" w:sz="4" w:space="0"/>
              <w:right w:val="single" w:color="auto" w:sz="4" w:space="0"/>
            </w:tcBorders>
            <w:shd w:val="clear" w:color="auto" w:fill="auto"/>
            <w:noWrap/>
            <w:vAlign w:val="center"/>
          </w:tcPr>
          <w:p w14:paraId="66C45371">
            <w:pPr>
              <w:widowControl/>
              <w:jc w:val="center"/>
              <w:rPr>
                <w:color w:val="000000"/>
                <w:kern w:val="0"/>
                <w:szCs w:val="21"/>
              </w:rPr>
            </w:pPr>
            <w:r>
              <w:rPr>
                <w:color w:val="000000"/>
                <w:kern w:val="0"/>
                <w:szCs w:val="21"/>
              </w:rPr>
              <w:t>2.4148</w:t>
            </w:r>
          </w:p>
        </w:tc>
      </w:tr>
    </w:tbl>
    <w:p w14:paraId="7854EFF1">
      <w:pPr>
        <w:keepNext/>
        <w:keepLines/>
        <w:adjustRightInd w:val="0"/>
        <w:spacing w:beforeLines="50" w:afterLines="50" w:line="360" w:lineRule="auto"/>
        <w:jc w:val="left"/>
        <w:textAlignment w:val="baseline"/>
        <w:outlineLvl w:val="0"/>
        <w:rPr>
          <w:kern w:val="0"/>
          <w:sz w:val="30"/>
          <w:szCs w:val="30"/>
        </w:rPr>
      </w:pPr>
      <w:bookmarkStart w:id="94" w:name="_Toc43851648"/>
      <w:r>
        <w:rPr>
          <w:kern w:val="0"/>
          <w:sz w:val="30"/>
          <w:szCs w:val="30"/>
        </w:rPr>
        <w:t>二、矿山地质环境影响评估</w:t>
      </w:r>
      <w:bookmarkEnd w:id="92"/>
      <w:bookmarkEnd w:id="93"/>
      <w:bookmarkEnd w:id="94"/>
    </w:p>
    <w:p w14:paraId="5A07B226">
      <w:pPr>
        <w:pStyle w:val="5"/>
        <w:spacing w:beforeLines="50" w:afterLines="50" w:line="360" w:lineRule="auto"/>
        <w:rPr>
          <w:b w:val="0"/>
          <w:sz w:val="28"/>
          <w:szCs w:val="28"/>
        </w:rPr>
      </w:pPr>
      <w:bookmarkStart w:id="95" w:name="_Toc480537413"/>
      <w:bookmarkStart w:id="96" w:name="_Toc481328182"/>
      <w:bookmarkStart w:id="97" w:name="_Toc43851649"/>
      <w:r>
        <w:rPr>
          <w:b w:val="0"/>
          <w:sz w:val="28"/>
          <w:szCs w:val="28"/>
        </w:rPr>
        <w:t>（一）评估范围和评估级别</w:t>
      </w:r>
      <w:bookmarkEnd w:id="95"/>
      <w:bookmarkEnd w:id="96"/>
      <w:bookmarkEnd w:id="97"/>
    </w:p>
    <w:p w14:paraId="3ECB1031">
      <w:pPr>
        <w:spacing w:line="360" w:lineRule="auto"/>
        <w:ind w:firstLine="480" w:firstLineChars="200"/>
        <w:jc w:val="left"/>
        <w:rPr>
          <w:sz w:val="24"/>
        </w:rPr>
      </w:pPr>
      <w:r>
        <w:rPr>
          <w:sz w:val="24"/>
        </w:rPr>
        <w:t>1、评估范围</w:t>
      </w:r>
    </w:p>
    <w:p w14:paraId="1C90B029">
      <w:pPr>
        <w:spacing w:line="360" w:lineRule="auto"/>
        <w:ind w:firstLine="480" w:firstLineChars="200"/>
        <w:rPr>
          <w:sz w:val="24"/>
          <w:lang w:val="zh-CN"/>
        </w:rPr>
      </w:pPr>
      <w:r>
        <w:rPr>
          <w:sz w:val="24"/>
          <w:lang w:val="zh-CN"/>
        </w:rPr>
        <w:t>按照《矿山地质环境保护与恢复治理方案编制规范》（DZ/T0223-2011）的规定：矿山地质环境的评估范围包括拟开采区及采矿活动的影响区。</w:t>
      </w:r>
    </w:p>
    <w:p w14:paraId="356122FE">
      <w:pPr>
        <w:spacing w:line="360" w:lineRule="auto"/>
        <w:ind w:firstLine="480" w:firstLineChars="200"/>
        <w:rPr>
          <w:sz w:val="24"/>
          <w:lang w:val="zh-CN"/>
        </w:rPr>
      </w:pPr>
      <w:r>
        <w:rPr>
          <w:sz w:val="24"/>
          <w:lang w:val="zh-CN"/>
        </w:rPr>
        <w:t>根据广元市利州区紫兰建材厂砖瓦用页岩矿划定矿区范围和矿山开发利用方案及开采现状，确定矿山土地损毁面积为2.4148hm</w:t>
      </w:r>
      <w:r>
        <w:rPr>
          <w:sz w:val="24"/>
          <w:vertAlign w:val="superscript"/>
          <w:lang w:val="zh-CN"/>
        </w:rPr>
        <w:t>2</w:t>
      </w:r>
      <w:r>
        <w:rPr>
          <w:sz w:val="24"/>
          <w:lang w:val="zh-CN"/>
        </w:rPr>
        <w:t>。通过实地调查及对地质资料分析，</w:t>
      </w:r>
      <w:r>
        <w:rPr>
          <w:sz w:val="24"/>
        </w:rPr>
        <w:t>本次调查评估范围根据工业广场和周边地形地貌特点及地质环境条件，</w:t>
      </w:r>
      <w:r>
        <w:rPr>
          <w:sz w:val="24"/>
          <w:lang w:val="zh-CN"/>
        </w:rPr>
        <w:t>最终确定矿山地质环境影响范围0.0639km</w:t>
      </w:r>
      <w:r>
        <w:rPr>
          <w:sz w:val="24"/>
          <w:vertAlign w:val="superscript"/>
          <w:lang w:val="zh-CN"/>
        </w:rPr>
        <w:t>2</w:t>
      </w:r>
      <w:r>
        <w:rPr>
          <w:sz w:val="24"/>
          <w:lang w:val="zh-CN"/>
        </w:rPr>
        <w:t>，具体评估范围见矿山地质环境问题现状图。</w:t>
      </w:r>
    </w:p>
    <w:p w14:paraId="6D707D8A">
      <w:pPr>
        <w:pStyle w:val="12"/>
        <w:ind w:firstLine="480" w:firstLineChars="200"/>
        <w:jc w:val="left"/>
        <w:rPr>
          <w:rFonts w:ascii="Times New Roman" w:hAnsi="Times New Roman"/>
        </w:rPr>
      </w:pPr>
      <w:r>
        <w:rPr>
          <w:rFonts w:ascii="Times New Roman" w:hAnsi="Times New Roman"/>
        </w:rPr>
        <w:t>2、评估级别</w:t>
      </w:r>
    </w:p>
    <w:p w14:paraId="46F19B2D">
      <w:pPr>
        <w:spacing w:line="360" w:lineRule="auto"/>
        <w:ind w:firstLine="480" w:firstLineChars="200"/>
        <w:jc w:val="left"/>
        <w:rPr>
          <w:sz w:val="24"/>
        </w:rPr>
      </w:pPr>
      <w:r>
        <w:rPr>
          <w:sz w:val="24"/>
        </w:rPr>
        <w:t>根据《矿山地质环境保护与恢复治理方案编制规范》（DZ/T0223-2011），矿山环境影响评估精度应根据评估重要程度、矿山生产建设规模、矿山地质环境条件复杂程度等综合确定。</w:t>
      </w:r>
    </w:p>
    <w:p w14:paraId="5511EE67">
      <w:pPr>
        <w:pStyle w:val="12"/>
        <w:ind w:firstLine="480" w:firstLineChars="200"/>
        <w:jc w:val="left"/>
        <w:rPr>
          <w:rFonts w:ascii="Times New Roman" w:hAnsi="Times New Roman"/>
        </w:rPr>
      </w:pPr>
      <w:r>
        <w:rPr>
          <w:rFonts w:ascii="Times New Roman" w:hAnsi="Times New Roman"/>
        </w:rPr>
        <w:t>1）评估区重要程度</w:t>
      </w:r>
    </w:p>
    <w:p w14:paraId="30BF6B85">
      <w:pPr>
        <w:spacing w:line="360" w:lineRule="auto"/>
        <w:ind w:firstLine="480" w:firstLineChars="200"/>
        <w:rPr>
          <w:sz w:val="24"/>
        </w:rPr>
      </w:pPr>
      <w:r>
        <w:rPr>
          <w:sz w:val="24"/>
        </w:rPr>
        <w:t>评估区范围内没有，评估范围内无高速公路，无200~500人的居民集中居住区、一级公路、铁路、中型以上水利、电力工程或其他重要建筑设施，无国家级自然保护区和重要旅游景区，无重要水源地。</w:t>
      </w:r>
    </w:p>
    <w:p w14:paraId="188596CD">
      <w:pPr>
        <w:spacing w:line="360" w:lineRule="auto"/>
        <w:ind w:firstLine="480" w:firstLineChars="200"/>
        <w:rPr>
          <w:sz w:val="24"/>
        </w:rPr>
      </w:pPr>
      <w:r>
        <w:rPr>
          <w:sz w:val="24"/>
        </w:rPr>
        <w:t>根据《矿山地质环境保护与恢复治理方案编制规范》（DZ/T0223-2011）附录B《评估区重要程度分级表》（表3-2），确定评估区为较重要区。</w:t>
      </w:r>
    </w:p>
    <w:p w14:paraId="401103A6">
      <w:pPr>
        <w:jc w:val="center"/>
        <w:rPr>
          <w:rFonts w:eastAsiaTheme="minorEastAsia"/>
          <w:b/>
          <w:szCs w:val="21"/>
        </w:rPr>
      </w:pPr>
      <w:r>
        <w:rPr>
          <w:rFonts w:eastAsiaTheme="minorEastAsia"/>
          <w:b/>
          <w:szCs w:val="21"/>
        </w:rPr>
        <w:t>表3-2  评估区重要程度分级表</w:t>
      </w:r>
    </w:p>
    <w:tbl>
      <w:tblPr>
        <w:tblStyle w:val="29"/>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60"/>
        <w:gridCol w:w="2718"/>
        <w:gridCol w:w="2694"/>
      </w:tblGrid>
      <w:tr w14:paraId="662CF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060" w:type="dxa"/>
          </w:tcPr>
          <w:p w14:paraId="1535BE67">
            <w:pPr>
              <w:jc w:val="center"/>
            </w:pPr>
            <w:r>
              <w:t>重要区</w:t>
            </w:r>
          </w:p>
        </w:tc>
        <w:tc>
          <w:tcPr>
            <w:tcW w:w="2718" w:type="dxa"/>
          </w:tcPr>
          <w:p w14:paraId="2797D734">
            <w:pPr>
              <w:jc w:val="center"/>
            </w:pPr>
            <w:r>
              <w:t>较重要区</w:t>
            </w:r>
          </w:p>
        </w:tc>
        <w:tc>
          <w:tcPr>
            <w:tcW w:w="2694" w:type="dxa"/>
          </w:tcPr>
          <w:p w14:paraId="065D0A77">
            <w:pPr>
              <w:jc w:val="center"/>
            </w:pPr>
            <w:r>
              <w:t>一般区</w:t>
            </w:r>
          </w:p>
        </w:tc>
      </w:tr>
      <w:tr w14:paraId="6FEB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3060" w:type="dxa"/>
            <w:vAlign w:val="center"/>
          </w:tcPr>
          <w:p w14:paraId="31976114">
            <w:r>
              <w:t>分布有500人以上的居民集中居住区</w:t>
            </w:r>
          </w:p>
        </w:tc>
        <w:tc>
          <w:tcPr>
            <w:tcW w:w="2718" w:type="dxa"/>
            <w:vAlign w:val="center"/>
          </w:tcPr>
          <w:p w14:paraId="7B78F824">
            <w:r>
              <w:t>分布有200～500人的居民集中居住区</w:t>
            </w:r>
          </w:p>
        </w:tc>
        <w:tc>
          <w:tcPr>
            <w:tcW w:w="2694" w:type="dxa"/>
            <w:vAlign w:val="center"/>
          </w:tcPr>
          <w:p w14:paraId="2F23997B">
            <w:r>
              <w:t>居民居住分散，居民集中居住区人口在200人以下(√)</w:t>
            </w:r>
          </w:p>
        </w:tc>
      </w:tr>
      <w:tr w14:paraId="50207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trPr>
        <w:tc>
          <w:tcPr>
            <w:tcW w:w="3060" w:type="dxa"/>
            <w:vAlign w:val="center"/>
          </w:tcPr>
          <w:p w14:paraId="03E1E670">
            <w:r>
              <w:t>分布有高速公路、一级公路、铁路、中型以上水利、电力工程或其他重要建筑设施</w:t>
            </w:r>
          </w:p>
        </w:tc>
        <w:tc>
          <w:tcPr>
            <w:tcW w:w="2718" w:type="dxa"/>
            <w:vAlign w:val="center"/>
          </w:tcPr>
          <w:p w14:paraId="6821B88C">
            <w:r>
              <w:t>分布有二级公路、小型水利、电力工程或其他较重要建筑设施</w:t>
            </w:r>
          </w:p>
        </w:tc>
        <w:tc>
          <w:tcPr>
            <w:tcW w:w="2694" w:type="dxa"/>
            <w:vAlign w:val="center"/>
          </w:tcPr>
          <w:p w14:paraId="018F7F42">
            <w:r>
              <w:t>无重要交通要道或建筑设施(√)</w:t>
            </w:r>
          </w:p>
        </w:tc>
      </w:tr>
      <w:tr w14:paraId="3AE61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rPr>
        <w:tc>
          <w:tcPr>
            <w:tcW w:w="3060" w:type="dxa"/>
            <w:vAlign w:val="center"/>
          </w:tcPr>
          <w:p w14:paraId="301FBF70">
            <w:r>
              <w:t>矿区紧邻国家级自然保护区(含地质公园、风景名胜区等)或重要旅游景区(点)</w:t>
            </w:r>
          </w:p>
        </w:tc>
        <w:tc>
          <w:tcPr>
            <w:tcW w:w="2718" w:type="dxa"/>
            <w:vAlign w:val="center"/>
          </w:tcPr>
          <w:p w14:paraId="03FB56C4">
            <w:r>
              <w:t>紧邻省级、县级自然保护区或较重要旅游景区(点)</w:t>
            </w:r>
          </w:p>
        </w:tc>
        <w:tc>
          <w:tcPr>
            <w:tcW w:w="2694" w:type="dxa"/>
            <w:vAlign w:val="center"/>
          </w:tcPr>
          <w:p w14:paraId="72DB1108">
            <w:r>
              <w:t>远离各级自然保护区及旅游景区(点)(√)</w:t>
            </w:r>
          </w:p>
        </w:tc>
      </w:tr>
      <w:tr w14:paraId="148A2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3060" w:type="dxa"/>
            <w:vAlign w:val="center"/>
          </w:tcPr>
          <w:p w14:paraId="0429D5FB">
            <w:r>
              <w:t>有重要水源地</w:t>
            </w:r>
          </w:p>
        </w:tc>
        <w:tc>
          <w:tcPr>
            <w:tcW w:w="2718" w:type="dxa"/>
            <w:vAlign w:val="center"/>
          </w:tcPr>
          <w:p w14:paraId="10FCC46D">
            <w:r>
              <w:t>有较重要水源地</w:t>
            </w:r>
          </w:p>
        </w:tc>
        <w:tc>
          <w:tcPr>
            <w:tcW w:w="2694" w:type="dxa"/>
            <w:vAlign w:val="center"/>
          </w:tcPr>
          <w:p w14:paraId="062820BC">
            <w:r>
              <w:t>无较重要水源地(√)</w:t>
            </w:r>
          </w:p>
        </w:tc>
      </w:tr>
      <w:tr w14:paraId="23453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3060" w:type="dxa"/>
            <w:vAlign w:val="center"/>
          </w:tcPr>
          <w:p w14:paraId="6A644604">
            <w:r>
              <w:t>破坏耕地、园地。(√)</w:t>
            </w:r>
          </w:p>
        </w:tc>
        <w:tc>
          <w:tcPr>
            <w:tcW w:w="2718" w:type="dxa"/>
            <w:vAlign w:val="center"/>
          </w:tcPr>
          <w:p w14:paraId="0BC1C668">
            <w:r>
              <w:t>破坏林地、草地。</w:t>
            </w:r>
          </w:p>
        </w:tc>
        <w:tc>
          <w:tcPr>
            <w:tcW w:w="2694" w:type="dxa"/>
            <w:vAlign w:val="center"/>
          </w:tcPr>
          <w:p w14:paraId="057E4BBA">
            <w:r>
              <w:t>破坏其它类型土地。</w:t>
            </w:r>
          </w:p>
        </w:tc>
      </w:tr>
    </w:tbl>
    <w:p w14:paraId="1F70F37F">
      <w:pPr>
        <w:rPr>
          <w:bCs/>
          <w:sz w:val="18"/>
          <w:szCs w:val="18"/>
        </w:rPr>
      </w:pPr>
      <w:r>
        <w:rPr>
          <w:bCs/>
          <w:sz w:val="18"/>
          <w:szCs w:val="18"/>
        </w:rPr>
        <w:t>注：采取就上原则，只要有一条满足某一级别，应定为该级别。</w:t>
      </w:r>
    </w:p>
    <w:p w14:paraId="3EFA4BA4">
      <w:pPr>
        <w:spacing w:line="360" w:lineRule="auto"/>
        <w:ind w:firstLine="480" w:firstLineChars="200"/>
        <w:jc w:val="left"/>
        <w:rPr>
          <w:sz w:val="24"/>
        </w:rPr>
      </w:pPr>
      <w:r>
        <w:rPr>
          <w:sz w:val="24"/>
        </w:rPr>
        <w:t>2）矿山生产建设规模</w:t>
      </w:r>
    </w:p>
    <w:p w14:paraId="6F70EABB">
      <w:pPr>
        <w:spacing w:line="360" w:lineRule="auto"/>
        <w:ind w:firstLine="480" w:firstLineChars="200"/>
        <w:rPr>
          <w:sz w:val="24"/>
        </w:rPr>
      </w:pPr>
      <w:r>
        <w:rPr>
          <w:sz w:val="24"/>
          <w:lang w:val="zh-CN"/>
        </w:rPr>
        <w:t>广元市利州区紫兰建材厂砖瓦用页岩矿</w:t>
      </w:r>
      <w:r>
        <w:rPr>
          <w:sz w:val="24"/>
        </w:rPr>
        <w:t>为露天开采，生产规模为4.0万t/a。根据《矿山地质环境保护与恢复治理方案编制规范》（DZ/T0223-2011）附录D《矿山生产建设规模分类一览》（表3-3），确定矿山生产规模级别为小型。</w:t>
      </w:r>
    </w:p>
    <w:p w14:paraId="7A4BC20A">
      <w:pPr>
        <w:jc w:val="center"/>
        <w:rPr>
          <w:rFonts w:eastAsiaTheme="minorEastAsia"/>
          <w:b/>
          <w:szCs w:val="21"/>
        </w:rPr>
      </w:pPr>
    </w:p>
    <w:p w14:paraId="1A169FE1">
      <w:pPr>
        <w:jc w:val="center"/>
        <w:rPr>
          <w:rFonts w:eastAsiaTheme="minorEastAsia"/>
          <w:b/>
          <w:szCs w:val="21"/>
        </w:rPr>
      </w:pPr>
    </w:p>
    <w:p w14:paraId="36CE1EB9">
      <w:pPr>
        <w:jc w:val="center"/>
        <w:rPr>
          <w:rFonts w:eastAsiaTheme="minorEastAsia"/>
          <w:b/>
          <w:szCs w:val="21"/>
        </w:rPr>
      </w:pPr>
    </w:p>
    <w:p w14:paraId="7B7D48F7">
      <w:pPr>
        <w:jc w:val="center"/>
        <w:rPr>
          <w:rFonts w:eastAsiaTheme="minorEastAsia"/>
          <w:b/>
          <w:szCs w:val="21"/>
        </w:rPr>
      </w:pPr>
      <w:r>
        <w:rPr>
          <w:rFonts w:eastAsiaTheme="minorEastAsia"/>
          <w:b/>
          <w:szCs w:val="21"/>
        </w:rPr>
        <w:t>表3-3  矿山生产建设规模分类一览</w:t>
      </w:r>
    </w:p>
    <w:tbl>
      <w:tblPr>
        <w:tblStyle w:val="3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60"/>
        <w:gridCol w:w="1134"/>
        <w:gridCol w:w="1134"/>
        <w:gridCol w:w="1134"/>
        <w:gridCol w:w="1134"/>
        <w:gridCol w:w="1326"/>
      </w:tblGrid>
      <w:tr w14:paraId="3A91A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60" w:type="dxa"/>
            <w:vMerge w:val="restart"/>
            <w:vAlign w:val="center"/>
          </w:tcPr>
          <w:p w14:paraId="100D104C">
            <w:pPr>
              <w:jc w:val="center"/>
            </w:pPr>
            <w:r>
              <w:t>矿种级别</w:t>
            </w:r>
          </w:p>
        </w:tc>
        <w:tc>
          <w:tcPr>
            <w:tcW w:w="1134" w:type="dxa"/>
            <w:vMerge w:val="restart"/>
            <w:vAlign w:val="center"/>
          </w:tcPr>
          <w:p w14:paraId="49CAB740">
            <w:pPr>
              <w:jc w:val="center"/>
            </w:pPr>
            <w:r>
              <w:t>计量单位</w:t>
            </w:r>
          </w:p>
        </w:tc>
        <w:tc>
          <w:tcPr>
            <w:tcW w:w="3402" w:type="dxa"/>
            <w:gridSpan w:val="3"/>
            <w:vAlign w:val="center"/>
          </w:tcPr>
          <w:p w14:paraId="35B5B8C1">
            <w:pPr>
              <w:jc w:val="center"/>
            </w:pPr>
            <w:r>
              <w:t>年生产量</w:t>
            </w:r>
          </w:p>
        </w:tc>
        <w:tc>
          <w:tcPr>
            <w:tcW w:w="1326" w:type="dxa"/>
            <w:vMerge w:val="restart"/>
            <w:vAlign w:val="center"/>
          </w:tcPr>
          <w:p w14:paraId="7300A89B">
            <w:pPr>
              <w:jc w:val="center"/>
            </w:pPr>
            <w:r>
              <w:t>备注</w:t>
            </w:r>
          </w:p>
        </w:tc>
      </w:tr>
      <w:tr w14:paraId="73E7C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60" w:type="dxa"/>
            <w:vMerge w:val="continue"/>
            <w:vAlign w:val="center"/>
          </w:tcPr>
          <w:p w14:paraId="142C94C3">
            <w:pPr>
              <w:jc w:val="center"/>
            </w:pPr>
          </w:p>
        </w:tc>
        <w:tc>
          <w:tcPr>
            <w:tcW w:w="1134" w:type="dxa"/>
            <w:vMerge w:val="continue"/>
            <w:vAlign w:val="center"/>
          </w:tcPr>
          <w:p w14:paraId="49251094">
            <w:pPr>
              <w:jc w:val="center"/>
            </w:pPr>
          </w:p>
        </w:tc>
        <w:tc>
          <w:tcPr>
            <w:tcW w:w="1134" w:type="dxa"/>
            <w:vAlign w:val="center"/>
          </w:tcPr>
          <w:p w14:paraId="7EBDB34A">
            <w:pPr>
              <w:jc w:val="center"/>
            </w:pPr>
            <w:r>
              <w:t>大型</w:t>
            </w:r>
          </w:p>
        </w:tc>
        <w:tc>
          <w:tcPr>
            <w:tcW w:w="1134" w:type="dxa"/>
            <w:vAlign w:val="center"/>
          </w:tcPr>
          <w:p w14:paraId="38522743">
            <w:pPr>
              <w:jc w:val="center"/>
            </w:pPr>
            <w:r>
              <w:t>中型</w:t>
            </w:r>
          </w:p>
        </w:tc>
        <w:tc>
          <w:tcPr>
            <w:tcW w:w="1134" w:type="dxa"/>
            <w:vAlign w:val="center"/>
          </w:tcPr>
          <w:p w14:paraId="7BDC0210">
            <w:pPr>
              <w:jc w:val="center"/>
            </w:pPr>
            <w:r>
              <w:t>小型</w:t>
            </w:r>
          </w:p>
        </w:tc>
        <w:tc>
          <w:tcPr>
            <w:tcW w:w="1326" w:type="dxa"/>
            <w:vMerge w:val="continue"/>
            <w:vAlign w:val="center"/>
          </w:tcPr>
          <w:p w14:paraId="6A6D26EE">
            <w:pPr>
              <w:jc w:val="center"/>
            </w:pPr>
          </w:p>
        </w:tc>
      </w:tr>
      <w:tr w14:paraId="07AD6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60" w:type="dxa"/>
            <w:vAlign w:val="center"/>
          </w:tcPr>
          <w:p w14:paraId="65FF77C6">
            <w:pPr>
              <w:jc w:val="center"/>
            </w:pPr>
            <w:r>
              <w:t>砖瓦用页岩</w:t>
            </w:r>
          </w:p>
        </w:tc>
        <w:tc>
          <w:tcPr>
            <w:tcW w:w="1134" w:type="dxa"/>
            <w:vAlign w:val="center"/>
          </w:tcPr>
          <w:p w14:paraId="1A58D991">
            <w:pPr>
              <w:jc w:val="center"/>
            </w:pPr>
            <w:r>
              <w:t>万吨</w:t>
            </w:r>
          </w:p>
        </w:tc>
        <w:tc>
          <w:tcPr>
            <w:tcW w:w="1134" w:type="dxa"/>
            <w:vAlign w:val="center"/>
          </w:tcPr>
          <w:p w14:paraId="614BA025">
            <w:pPr>
              <w:jc w:val="center"/>
            </w:pPr>
            <w:r>
              <w:t>≥30</w:t>
            </w:r>
          </w:p>
        </w:tc>
        <w:tc>
          <w:tcPr>
            <w:tcW w:w="1134" w:type="dxa"/>
            <w:vAlign w:val="center"/>
          </w:tcPr>
          <w:p w14:paraId="6C14FE77">
            <w:pPr>
              <w:jc w:val="center"/>
            </w:pPr>
            <w:r>
              <w:t>30-5</w:t>
            </w:r>
          </w:p>
        </w:tc>
        <w:tc>
          <w:tcPr>
            <w:tcW w:w="1134" w:type="dxa"/>
            <w:vAlign w:val="center"/>
          </w:tcPr>
          <w:p w14:paraId="1E142724">
            <w:pPr>
              <w:jc w:val="center"/>
            </w:pPr>
            <w:r>
              <w:t>〈5</w:t>
            </w:r>
          </w:p>
        </w:tc>
        <w:tc>
          <w:tcPr>
            <w:tcW w:w="1326" w:type="dxa"/>
            <w:vAlign w:val="center"/>
          </w:tcPr>
          <w:p w14:paraId="2335EEE5">
            <w:pPr>
              <w:jc w:val="center"/>
            </w:pPr>
          </w:p>
        </w:tc>
      </w:tr>
    </w:tbl>
    <w:p w14:paraId="5A2470B6">
      <w:pPr>
        <w:spacing w:line="360" w:lineRule="auto"/>
        <w:ind w:firstLine="480" w:firstLineChars="200"/>
        <w:jc w:val="left"/>
        <w:rPr>
          <w:sz w:val="24"/>
        </w:rPr>
      </w:pPr>
      <w:r>
        <w:rPr>
          <w:sz w:val="24"/>
        </w:rPr>
        <w:t>3）矿山地质环境条件复杂程度</w:t>
      </w:r>
    </w:p>
    <w:p w14:paraId="7B95C56F">
      <w:pPr>
        <w:spacing w:line="360" w:lineRule="auto"/>
        <w:ind w:firstLine="480" w:firstLineChars="200"/>
        <w:jc w:val="left"/>
        <w:rPr>
          <w:sz w:val="24"/>
        </w:rPr>
      </w:pPr>
      <w:r>
        <w:rPr>
          <w:sz w:val="24"/>
        </w:rPr>
        <w:t>根据矿山提供的相关资料查得采场矿层位于地下水位之上，采场汇水面积小，与区域含水层联系不密切，采场正常涌水量小于3000m</w:t>
      </w:r>
      <w:r>
        <w:rPr>
          <w:sz w:val="24"/>
          <w:vertAlign w:val="superscript"/>
        </w:rPr>
        <w:t>3</w:t>
      </w:r>
      <w:r>
        <w:rPr>
          <w:sz w:val="24"/>
        </w:rPr>
        <w:t>/d，采矿活动和疏干排水不易导致矿区周围主要含水层破坏。目前自然斜坡较稳定。</w:t>
      </w:r>
    </w:p>
    <w:p w14:paraId="59FF467D">
      <w:pPr>
        <w:spacing w:line="360" w:lineRule="auto"/>
        <w:ind w:firstLine="480" w:firstLineChars="200"/>
        <w:jc w:val="left"/>
        <w:rPr>
          <w:sz w:val="24"/>
        </w:rPr>
      </w:pPr>
      <w:r>
        <w:rPr>
          <w:sz w:val="24"/>
        </w:rPr>
        <w:t>矿区为单斜构造，地质构造简单，断裂构造较不发育，对采场充水影响小。</w:t>
      </w:r>
    </w:p>
    <w:p w14:paraId="17600BD0">
      <w:pPr>
        <w:spacing w:line="360" w:lineRule="auto"/>
        <w:ind w:firstLine="480" w:firstLineChars="200"/>
        <w:jc w:val="left"/>
        <w:rPr>
          <w:sz w:val="24"/>
        </w:rPr>
      </w:pPr>
      <w:r>
        <w:rPr>
          <w:sz w:val="24"/>
        </w:rPr>
        <w:t>现状条件下矿山地质环境问题的类型少，危害小。</w:t>
      </w:r>
    </w:p>
    <w:p w14:paraId="1EF97562">
      <w:pPr>
        <w:spacing w:line="360" w:lineRule="auto"/>
        <w:ind w:firstLine="480" w:firstLineChars="200"/>
        <w:jc w:val="left"/>
        <w:rPr>
          <w:sz w:val="24"/>
        </w:rPr>
      </w:pPr>
      <w:r>
        <w:rPr>
          <w:sz w:val="24"/>
        </w:rPr>
        <w:t>矿区地貌单元类型单一，微地貌形态简单，地形较平缓，有利于自然排水，地形坡度一般小于20°，仅在边坡较陡，由于未开采，边坡较稳定，相对高差较大。</w:t>
      </w:r>
    </w:p>
    <w:p w14:paraId="0B4DD5A6">
      <w:pPr>
        <w:spacing w:line="360" w:lineRule="auto"/>
        <w:ind w:firstLine="480" w:firstLineChars="200"/>
        <w:jc w:val="left"/>
        <w:rPr>
          <w:sz w:val="24"/>
        </w:rPr>
      </w:pPr>
      <w:r>
        <w:rPr>
          <w:sz w:val="24"/>
        </w:rPr>
        <w:t>根据《矿山地质环境保护与恢复治理方案编制规范》（DZ/T0223－2011）附录C表C.2《露天开采矿山地质环境条件复杂程度分级表》(表3-4)，确定矿山地质环境条件复杂程度为简单。</w:t>
      </w:r>
    </w:p>
    <w:p w14:paraId="566976C4">
      <w:pPr>
        <w:jc w:val="center"/>
        <w:rPr>
          <w:rFonts w:eastAsiaTheme="minorEastAsia"/>
          <w:b/>
          <w:szCs w:val="21"/>
        </w:rPr>
      </w:pPr>
      <w:r>
        <w:rPr>
          <w:rFonts w:eastAsiaTheme="minorEastAsia"/>
          <w:b/>
          <w:szCs w:val="21"/>
        </w:rPr>
        <w:t>表3-4  露天开采矿山地质环境条件复杂程度分级表</w:t>
      </w:r>
    </w:p>
    <w:tbl>
      <w:tblPr>
        <w:tblStyle w:val="29"/>
        <w:tblW w:w="88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57"/>
        <w:gridCol w:w="2958"/>
        <w:gridCol w:w="2958"/>
      </w:tblGrid>
      <w:tr w14:paraId="5A186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blHeader/>
          <w:jc w:val="center"/>
        </w:trPr>
        <w:tc>
          <w:tcPr>
            <w:tcW w:w="2957" w:type="dxa"/>
            <w:tcBorders>
              <w:top w:val="single" w:color="auto" w:sz="4" w:space="0"/>
              <w:left w:val="single" w:color="auto" w:sz="4" w:space="0"/>
              <w:bottom w:val="single" w:color="auto" w:sz="4" w:space="0"/>
              <w:right w:val="single" w:color="auto" w:sz="4" w:space="0"/>
            </w:tcBorders>
            <w:vAlign w:val="center"/>
          </w:tcPr>
          <w:p w14:paraId="69E988F5">
            <w:pPr>
              <w:jc w:val="center"/>
            </w:pPr>
            <w:r>
              <w:t>复杂</w:t>
            </w:r>
          </w:p>
        </w:tc>
        <w:tc>
          <w:tcPr>
            <w:tcW w:w="2958" w:type="dxa"/>
            <w:tcBorders>
              <w:top w:val="single" w:color="auto" w:sz="4" w:space="0"/>
              <w:left w:val="single" w:color="auto" w:sz="4" w:space="0"/>
              <w:bottom w:val="single" w:color="auto" w:sz="4" w:space="0"/>
              <w:right w:val="single" w:color="auto" w:sz="4" w:space="0"/>
            </w:tcBorders>
            <w:vAlign w:val="center"/>
          </w:tcPr>
          <w:p w14:paraId="64CE38D1">
            <w:pPr>
              <w:jc w:val="center"/>
            </w:pPr>
            <w:r>
              <w:t>中等</w:t>
            </w:r>
          </w:p>
        </w:tc>
        <w:tc>
          <w:tcPr>
            <w:tcW w:w="2958" w:type="dxa"/>
            <w:tcBorders>
              <w:top w:val="single" w:color="auto" w:sz="4" w:space="0"/>
              <w:left w:val="single" w:color="auto" w:sz="4" w:space="0"/>
              <w:bottom w:val="single" w:color="auto" w:sz="4" w:space="0"/>
              <w:right w:val="single" w:color="auto" w:sz="4" w:space="0"/>
            </w:tcBorders>
            <w:vAlign w:val="center"/>
          </w:tcPr>
          <w:p w14:paraId="5D1EEF75">
            <w:pPr>
              <w:jc w:val="center"/>
            </w:pPr>
            <w:r>
              <w:t>简单</w:t>
            </w:r>
            <w:r>
              <w:rPr>
                <w:b/>
              </w:rPr>
              <w:t>（√）</w:t>
            </w:r>
          </w:p>
        </w:tc>
      </w:tr>
      <w:tr w14:paraId="05A2A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57" w:type="dxa"/>
            <w:tcBorders>
              <w:top w:val="single" w:color="auto" w:sz="4" w:space="0"/>
              <w:left w:val="single" w:color="auto" w:sz="4" w:space="0"/>
              <w:bottom w:val="single" w:color="auto" w:sz="4" w:space="0"/>
              <w:right w:val="single" w:color="auto" w:sz="4" w:space="0"/>
            </w:tcBorders>
          </w:tcPr>
          <w:p w14:paraId="295DE19D">
            <w:r>
              <w:t>采场矿层（体）位于地下水位以下，采场汇水面积大，采场进水边界条件复杂，与区域含水层或地表水联系密切，地下水补给、径流条件好，采场正常涌水量大于10000m</w:t>
            </w:r>
            <w:r>
              <w:rPr>
                <w:vertAlign w:val="superscript"/>
              </w:rPr>
              <w:t>3</w:t>
            </w:r>
            <w:r>
              <w:t>/d；采矿活动和疏干排水容易导致区域主要含水层破坏</w:t>
            </w:r>
          </w:p>
        </w:tc>
        <w:tc>
          <w:tcPr>
            <w:tcW w:w="2958" w:type="dxa"/>
            <w:tcBorders>
              <w:top w:val="single" w:color="auto" w:sz="4" w:space="0"/>
              <w:left w:val="single" w:color="auto" w:sz="4" w:space="0"/>
              <w:bottom w:val="single" w:color="auto" w:sz="4" w:space="0"/>
              <w:right w:val="single" w:color="auto" w:sz="4" w:space="0"/>
            </w:tcBorders>
          </w:tcPr>
          <w:p w14:paraId="379B93E9">
            <w:r>
              <w:t>采场矿层（体）局部位于地下水位以下，采场汇水面积较大，与区域含水层或地表水联系较密切，采场正常涌水量3000～10000m</w:t>
            </w:r>
            <w:r>
              <w:rPr>
                <w:vertAlign w:val="superscript"/>
              </w:rPr>
              <w:t>3</w:t>
            </w:r>
            <w:r>
              <w:t>/d；采矿和疏干排水比较容易导致矿区周围主要含水层影响或破坏</w:t>
            </w:r>
          </w:p>
        </w:tc>
        <w:tc>
          <w:tcPr>
            <w:tcW w:w="2958" w:type="dxa"/>
            <w:tcBorders>
              <w:top w:val="single" w:color="auto" w:sz="4" w:space="0"/>
              <w:left w:val="single" w:color="auto" w:sz="4" w:space="0"/>
              <w:bottom w:val="single" w:color="auto" w:sz="4" w:space="0"/>
              <w:right w:val="single" w:color="auto" w:sz="4" w:space="0"/>
            </w:tcBorders>
          </w:tcPr>
          <w:p w14:paraId="5A4E1132">
            <w:r>
              <w:t>采场矿层（体）位于地下水位以上，采场汇水面积小，与区域含水层、或地表水联系不密切，采场正常涌水量小于3000m</w:t>
            </w:r>
            <w:r>
              <w:rPr>
                <w:vertAlign w:val="superscript"/>
              </w:rPr>
              <w:t>3</w:t>
            </w:r>
            <w:r>
              <w:t>/d；采矿和疏干排水不易导致矿区周围主要含水层的影响或破坏</w:t>
            </w:r>
            <w:r>
              <w:rPr>
                <w:b/>
              </w:rPr>
              <w:t>（√）</w:t>
            </w:r>
          </w:p>
        </w:tc>
      </w:tr>
      <w:tr w14:paraId="34B50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57" w:type="dxa"/>
            <w:tcBorders>
              <w:top w:val="single" w:color="auto" w:sz="4" w:space="0"/>
              <w:left w:val="single" w:color="auto" w:sz="4" w:space="0"/>
              <w:bottom w:val="single" w:color="auto" w:sz="4" w:space="0"/>
              <w:right w:val="single" w:color="auto" w:sz="4" w:space="0"/>
            </w:tcBorders>
          </w:tcPr>
          <w:p w14:paraId="5A13A72C">
            <w:r>
              <w:t>矿床围岩岩体结构以碎裂结构、散体结构为主，软弱结构面、不良工程地质层发育，存在饱水软弱岩层或松散软弱岩层，含水砂层多，分布广，残坡积层、基岩风化破碎带厚度大于10m、稳固性差，采场岩石边坡风化破碎或土层松软，边坡外倾软弱结构面或危岩发育，易导致边坡失稳</w:t>
            </w:r>
          </w:p>
        </w:tc>
        <w:tc>
          <w:tcPr>
            <w:tcW w:w="2958" w:type="dxa"/>
            <w:tcBorders>
              <w:top w:val="single" w:color="auto" w:sz="4" w:space="0"/>
              <w:left w:val="single" w:color="auto" w:sz="4" w:space="0"/>
              <w:bottom w:val="single" w:color="auto" w:sz="4" w:space="0"/>
              <w:right w:val="single" w:color="auto" w:sz="4" w:space="0"/>
            </w:tcBorders>
          </w:tcPr>
          <w:p w14:paraId="0F623CA3">
            <w:r>
              <w:t>矿床围岩岩体结构以薄到厚层状结构为主，软弱结构面、不良工程地质层发育中等，存在饱水软弱岩层和含水砂层，残坡积层、基岩风化破碎带厚度5～10m、稳固性较差，采场边坡岩石风化较破碎，边坡存在外倾软弱结构面或危岩，局部可能产生边坡失稳</w:t>
            </w:r>
          </w:p>
        </w:tc>
        <w:tc>
          <w:tcPr>
            <w:tcW w:w="2958" w:type="dxa"/>
            <w:tcBorders>
              <w:top w:val="single" w:color="auto" w:sz="4" w:space="0"/>
              <w:left w:val="single" w:color="auto" w:sz="4" w:space="0"/>
              <w:bottom w:val="single" w:color="auto" w:sz="4" w:space="0"/>
              <w:right w:val="single" w:color="auto" w:sz="4" w:space="0"/>
            </w:tcBorders>
          </w:tcPr>
          <w:p w14:paraId="70A067DB">
            <w:r>
              <w:t>矿床围岩岩体结构以巨厚层状-块状整体结构为主，软弱结构面、不良工程地质层不发育，残坡积层、基岩风化破碎带厚度小于5m、稳固性较好，采场边坡岩石较完整到完整，土层薄，边坡基本不存在外倾软弱结构面或危岩，边坡较稳定</w:t>
            </w:r>
            <w:r>
              <w:rPr>
                <w:b/>
              </w:rPr>
              <w:t>（√）</w:t>
            </w:r>
          </w:p>
        </w:tc>
      </w:tr>
      <w:tr w14:paraId="4D643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57" w:type="dxa"/>
            <w:tcBorders>
              <w:top w:val="single" w:color="auto" w:sz="4" w:space="0"/>
              <w:left w:val="single" w:color="auto" w:sz="4" w:space="0"/>
              <w:bottom w:val="single" w:color="auto" w:sz="4" w:space="0"/>
              <w:right w:val="single" w:color="auto" w:sz="4" w:space="0"/>
            </w:tcBorders>
          </w:tcPr>
          <w:p w14:paraId="58502BE8">
            <w:r>
              <w:t>地质构造复杂。矿床围岩岩层产状变化大，断裂构造发育或有全新世活动断裂，导水断裂切割矿层（体）围岩、覆岩和主要含水层（带）或沟通地表水体，导水性强，对采场充水影响大</w:t>
            </w:r>
          </w:p>
        </w:tc>
        <w:tc>
          <w:tcPr>
            <w:tcW w:w="2958" w:type="dxa"/>
            <w:tcBorders>
              <w:top w:val="single" w:color="auto" w:sz="4" w:space="0"/>
              <w:left w:val="single" w:color="auto" w:sz="4" w:space="0"/>
              <w:bottom w:val="single" w:color="auto" w:sz="4" w:space="0"/>
              <w:right w:val="single" w:color="auto" w:sz="4" w:space="0"/>
            </w:tcBorders>
          </w:tcPr>
          <w:p w14:paraId="07D9C0A9">
            <w:r>
              <w:t>地质构造较复杂。矿床围岩岩层产状变化较大，断裂构造较发育，切割矿层（体）围岩、覆岩和含水层（带），导水性差，对采场充水影响较大</w:t>
            </w:r>
          </w:p>
        </w:tc>
        <w:tc>
          <w:tcPr>
            <w:tcW w:w="2958" w:type="dxa"/>
            <w:tcBorders>
              <w:top w:val="single" w:color="auto" w:sz="4" w:space="0"/>
              <w:left w:val="single" w:color="auto" w:sz="4" w:space="0"/>
              <w:bottom w:val="single" w:color="auto" w:sz="4" w:space="0"/>
              <w:right w:val="single" w:color="auto" w:sz="4" w:space="0"/>
            </w:tcBorders>
          </w:tcPr>
          <w:p w14:paraId="57DBD700">
            <w:r>
              <w:t>地质构造较简单。矿床围岩岩层产状变化小，断裂构造较不发育，断裂未切割矿层（体）围岩、覆岩，对采场充水影响小</w:t>
            </w:r>
            <w:r>
              <w:rPr>
                <w:b/>
              </w:rPr>
              <w:t>（√）</w:t>
            </w:r>
          </w:p>
        </w:tc>
      </w:tr>
      <w:tr w14:paraId="7679B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57" w:type="dxa"/>
            <w:tcBorders>
              <w:top w:val="single" w:color="auto" w:sz="4" w:space="0"/>
              <w:left w:val="single" w:color="auto" w:sz="4" w:space="0"/>
              <w:bottom w:val="single" w:color="auto" w:sz="4" w:space="0"/>
              <w:right w:val="single" w:color="auto" w:sz="4" w:space="0"/>
            </w:tcBorders>
          </w:tcPr>
          <w:p w14:paraId="6CA77FC7">
            <w:r>
              <w:t>现状条件下原生地质灾害发育，或矿山地质环境问题的类型多、危害大</w:t>
            </w:r>
          </w:p>
        </w:tc>
        <w:tc>
          <w:tcPr>
            <w:tcW w:w="2958" w:type="dxa"/>
            <w:tcBorders>
              <w:top w:val="single" w:color="auto" w:sz="4" w:space="0"/>
              <w:left w:val="single" w:color="auto" w:sz="4" w:space="0"/>
              <w:bottom w:val="single" w:color="auto" w:sz="4" w:space="0"/>
              <w:right w:val="single" w:color="auto" w:sz="4" w:space="0"/>
            </w:tcBorders>
          </w:tcPr>
          <w:p w14:paraId="3B832D31">
            <w:r>
              <w:t>现状条件下，矿山地质环境问题的类型较多、危害较大</w:t>
            </w:r>
          </w:p>
        </w:tc>
        <w:tc>
          <w:tcPr>
            <w:tcW w:w="2958" w:type="dxa"/>
            <w:tcBorders>
              <w:top w:val="single" w:color="auto" w:sz="4" w:space="0"/>
              <w:left w:val="single" w:color="auto" w:sz="4" w:space="0"/>
              <w:bottom w:val="single" w:color="auto" w:sz="4" w:space="0"/>
              <w:right w:val="single" w:color="auto" w:sz="4" w:space="0"/>
            </w:tcBorders>
          </w:tcPr>
          <w:p w14:paraId="2CD77011">
            <w:r>
              <w:t>现状条件下，矿山地质环境问题的类型少、危害小</w:t>
            </w:r>
            <w:r>
              <w:rPr>
                <w:b/>
              </w:rPr>
              <w:t>（√）</w:t>
            </w:r>
          </w:p>
        </w:tc>
      </w:tr>
      <w:tr w14:paraId="4322A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57" w:type="dxa"/>
            <w:tcBorders>
              <w:top w:val="single" w:color="auto" w:sz="4" w:space="0"/>
              <w:left w:val="single" w:color="auto" w:sz="4" w:space="0"/>
              <w:bottom w:val="single" w:color="auto" w:sz="4" w:space="0"/>
              <w:right w:val="single" w:color="auto" w:sz="4" w:space="0"/>
            </w:tcBorders>
          </w:tcPr>
          <w:p w14:paraId="4390F272">
            <w:r>
              <w:t>采场面积及采坑深度大，边坡不稳定，易产生地质灾害</w:t>
            </w:r>
          </w:p>
        </w:tc>
        <w:tc>
          <w:tcPr>
            <w:tcW w:w="2958" w:type="dxa"/>
            <w:tcBorders>
              <w:top w:val="single" w:color="auto" w:sz="4" w:space="0"/>
              <w:left w:val="single" w:color="auto" w:sz="4" w:space="0"/>
              <w:bottom w:val="single" w:color="auto" w:sz="4" w:space="0"/>
              <w:right w:val="single" w:color="auto" w:sz="4" w:space="0"/>
            </w:tcBorders>
          </w:tcPr>
          <w:p w14:paraId="7124E30E">
            <w:r>
              <w:t>采场面积采坑深度较大，边坡较不稳定，较易产生地质灾害</w:t>
            </w:r>
          </w:p>
        </w:tc>
        <w:tc>
          <w:tcPr>
            <w:tcW w:w="2958" w:type="dxa"/>
            <w:tcBorders>
              <w:top w:val="single" w:color="auto" w:sz="4" w:space="0"/>
              <w:left w:val="single" w:color="auto" w:sz="4" w:space="0"/>
              <w:bottom w:val="single" w:color="auto" w:sz="4" w:space="0"/>
              <w:right w:val="single" w:color="auto" w:sz="4" w:space="0"/>
            </w:tcBorders>
          </w:tcPr>
          <w:p w14:paraId="4BBEDDB4">
            <w:r>
              <w:t>采场面积及采坑深度小，边坡较稳定，不易产生地质灾害</w:t>
            </w:r>
            <w:r>
              <w:rPr>
                <w:b/>
              </w:rPr>
              <w:t>（√）</w:t>
            </w:r>
          </w:p>
        </w:tc>
      </w:tr>
      <w:tr w14:paraId="6DCDF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57" w:type="dxa"/>
            <w:tcBorders>
              <w:top w:val="single" w:color="auto" w:sz="4" w:space="0"/>
              <w:left w:val="single" w:color="auto" w:sz="4" w:space="0"/>
              <w:bottom w:val="single" w:color="auto" w:sz="4" w:space="0"/>
              <w:right w:val="single" w:color="auto" w:sz="4" w:space="0"/>
            </w:tcBorders>
          </w:tcPr>
          <w:p w14:paraId="17E0465C">
            <w:r>
              <w:t>地貌单元类型多，微地貌形态复杂，地形起伏变化大，不利于自然排水，地形坡度一般大于35°，相对高差大，高坡方向岩层倾向与采坑斜坡多为同向</w:t>
            </w:r>
          </w:p>
        </w:tc>
        <w:tc>
          <w:tcPr>
            <w:tcW w:w="2958" w:type="dxa"/>
            <w:tcBorders>
              <w:top w:val="single" w:color="auto" w:sz="4" w:space="0"/>
              <w:left w:val="single" w:color="auto" w:sz="4" w:space="0"/>
              <w:bottom w:val="single" w:color="auto" w:sz="4" w:space="0"/>
              <w:right w:val="single" w:color="auto" w:sz="4" w:space="0"/>
            </w:tcBorders>
          </w:tcPr>
          <w:p w14:paraId="1A198238">
            <w:r>
              <w:t>地貌单元类型较多，微地貌形态较复杂，地形起伏变化中等，自然排水条件一般，地形坡度一般20°～35°，相对高差较大，高坡方向岩层倾向与采坑斜坡多为斜交</w:t>
            </w:r>
          </w:p>
        </w:tc>
        <w:tc>
          <w:tcPr>
            <w:tcW w:w="2958" w:type="dxa"/>
            <w:tcBorders>
              <w:top w:val="single" w:color="auto" w:sz="4" w:space="0"/>
              <w:left w:val="single" w:color="auto" w:sz="4" w:space="0"/>
              <w:bottom w:val="single" w:color="auto" w:sz="4" w:space="0"/>
              <w:right w:val="single" w:color="auto" w:sz="4" w:space="0"/>
            </w:tcBorders>
          </w:tcPr>
          <w:p w14:paraId="574FB478">
            <w:r>
              <w:t>地貌单元类型单一，微地貌形态简单，地形较平缓，有利于自然排水，地形坡度一般小于20°，相对高差较小，高坡方向岩层倾向与采坑斜坡多为反向坡</w:t>
            </w:r>
            <w:r>
              <w:rPr>
                <w:b/>
              </w:rPr>
              <w:t>（√）</w:t>
            </w:r>
          </w:p>
        </w:tc>
      </w:tr>
    </w:tbl>
    <w:p w14:paraId="02942971">
      <w:pPr>
        <w:rPr>
          <w:bCs/>
          <w:sz w:val="18"/>
          <w:szCs w:val="18"/>
        </w:rPr>
      </w:pPr>
      <w:r>
        <w:rPr>
          <w:bCs/>
          <w:sz w:val="18"/>
          <w:szCs w:val="18"/>
        </w:rPr>
        <w:t>注：采取就上原则，只要有一条满足某一级别，应定为该级别。</w:t>
      </w:r>
    </w:p>
    <w:p w14:paraId="25E198C5">
      <w:pPr>
        <w:spacing w:line="360" w:lineRule="auto"/>
        <w:ind w:firstLine="480" w:firstLineChars="200"/>
        <w:rPr>
          <w:sz w:val="24"/>
        </w:rPr>
      </w:pPr>
      <w:r>
        <w:rPr>
          <w:sz w:val="24"/>
        </w:rPr>
        <w:t>综上所述，评估区为重要区，矿山建设规模属小型，矿山地质环境条件复杂程度为简单，按照《矿山地质环境保护与恢复治理方案编制规范》（DZ/T0223－2011）附录A《矿山地质环境影响评估分级表》，确定矿山环境影响评估级别为二级（见表3-5）。</w:t>
      </w:r>
    </w:p>
    <w:p w14:paraId="478F2FBD">
      <w:pPr>
        <w:jc w:val="center"/>
        <w:rPr>
          <w:rFonts w:eastAsiaTheme="minorEastAsia"/>
          <w:b/>
          <w:szCs w:val="21"/>
        </w:rPr>
      </w:pPr>
      <w:r>
        <w:rPr>
          <w:rFonts w:eastAsiaTheme="minorEastAsia"/>
          <w:b/>
          <w:szCs w:val="21"/>
        </w:rPr>
        <w:t>表3-5  矿山地质环境影响评估精度分级表</w:t>
      </w:r>
    </w:p>
    <w:tbl>
      <w:tblPr>
        <w:tblStyle w:val="2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6"/>
        <w:gridCol w:w="2162"/>
        <w:gridCol w:w="1458"/>
        <w:gridCol w:w="1458"/>
        <w:gridCol w:w="1458"/>
      </w:tblGrid>
      <w:tr w14:paraId="11D8F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restart"/>
            <w:vAlign w:val="center"/>
          </w:tcPr>
          <w:p w14:paraId="373881F4">
            <w:pPr>
              <w:jc w:val="center"/>
            </w:pPr>
            <w:r>
              <w:t>评估区重要程度</w:t>
            </w:r>
          </w:p>
        </w:tc>
        <w:tc>
          <w:tcPr>
            <w:tcW w:w="2162" w:type="dxa"/>
            <w:vMerge w:val="restart"/>
            <w:vAlign w:val="center"/>
          </w:tcPr>
          <w:p w14:paraId="1ED9A18F">
            <w:pPr>
              <w:jc w:val="center"/>
            </w:pPr>
            <w:r>
              <w:t>矿山生产建设规模</w:t>
            </w:r>
          </w:p>
        </w:tc>
        <w:tc>
          <w:tcPr>
            <w:tcW w:w="4374" w:type="dxa"/>
            <w:gridSpan w:val="3"/>
            <w:vAlign w:val="center"/>
          </w:tcPr>
          <w:p w14:paraId="75D158A1">
            <w:pPr>
              <w:jc w:val="center"/>
            </w:pPr>
            <w:r>
              <w:t>地质环境条件复杂程度</w:t>
            </w:r>
          </w:p>
        </w:tc>
      </w:tr>
      <w:tr w14:paraId="34F5C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continue"/>
            <w:vAlign w:val="center"/>
          </w:tcPr>
          <w:p w14:paraId="6D2E669D">
            <w:pPr>
              <w:jc w:val="center"/>
            </w:pPr>
          </w:p>
        </w:tc>
        <w:tc>
          <w:tcPr>
            <w:tcW w:w="2162" w:type="dxa"/>
            <w:vMerge w:val="continue"/>
            <w:vAlign w:val="center"/>
          </w:tcPr>
          <w:p w14:paraId="13C95830">
            <w:pPr>
              <w:jc w:val="center"/>
            </w:pPr>
          </w:p>
        </w:tc>
        <w:tc>
          <w:tcPr>
            <w:tcW w:w="1458" w:type="dxa"/>
            <w:vAlign w:val="center"/>
          </w:tcPr>
          <w:p w14:paraId="4FE67256">
            <w:pPr>
              <w:jc w:val="center"/>
            </w:pPr>
            <w:r>
              <w:t>复杂</w:t>
            </w:r>
          </w:p>
        </w:tc>
        <w:tc>
          <w:tcPr>
            <w:tcW w:w="1458" w:type="dxa"/>
            <w:vAlign w:val="center"/>
          </w:tcPr>
          <w:p w14:paraId="71929704">
            <w:pPr>
              <w:jc w:val="center"/>
            </w:pPr>
            <w:r>
              <w:t>中等</w:t>
            </w:r>
          </w:p>
        </w:tc>
        <w:tc>
          <w:tcPr>
            <w:tcW w:w="1458" w:type="dxa"/>
            <w:vAlign w:val="center"/>
          </w:tcPr>
          <w:p w14:paraId="1F48F667">
            <w:pPr>
              <w:jc w:val="center"/>
            </w:pPr>
            <w:r>
              <w:t>简单</w:t>
            </w:r>
            <w:r>
              <w:rPr>
                <w:b/>
              </w:rPr>
              <w:t>（√）</w:t>
            </w:r>
          </w:p>
        </w:tc>
      </w:tr>
      <w:tr w14:paraId="61D2B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restart"/>
            <w:vAlign w:val="center"/>
          </w:tcPr>
          <w:p w14:paraId="70E78D3D">
            <w:pPr>
              <w:jc w:val="center"/>
            </w:pPr>
            <w:r>
              <w:t>重要区</w:t>
            </w:r>
            <w:r>
              <w:rPr>
                <w:b/>
              </w:rPr>
              <w:t>（√）</w:t>
            </w:r>
          </w:p>
        </w:tc>
        <w:tc>
          <w:tcPr>
            <w:tcW w:w="2162" w:type="dxa"/>
            <w:vAlign w:val="center"/>
          </w:tcPr>
          <w:p w14:paraId="160D5FEB">
            <w:pPr>
              <w:jc w:val="center"/>
            </w:pPr>
            <w:r>
              <w:t>大型</w:t>
            </w:r>
          </w:p>
        </w:tc>
        <w:tc>
          <w:tcPr>
            <w:tcW w:w="1458" w:type="dxa"/>
            <w:vAlign w:val="center"/>
          </w:tcPr>
          <w:p w14:paraId="3CA2A069">
            <w:pPr>
              <w:jc w:val="center"/>
            </w:pPr>
            <w:r>
              <w:t>一级</w:t>
            </w:r>
          </w:p>
        </w:tc>
        <w:tc>
          <w:tcPr>
            <w:tcW w:w="1458" w:type="dxa"/>
            <w:vAlign w:val="center"/>
          </w:tcPr>
          <w:p w14:paraId="61A5E7BA">
            <w:pPr>
              <w:jc w:val="center"/>
            </w:pPr>
            <w:r>
              <w:t>一级</w:t>
            </w:r>
          </w:p>
        </w:tc>
        <w:tc>
          <w:tcPr>
            <w:tcW w:w="1458" w:type="dxa"/>
            <w:vAlign w:val="center"/>
          </w:tcPr>
          <w:p w14:paraId="10A20EB8">
            <w:pPr>
              <w:jc w:val="center"/>
            </w:pPr>
            <w:r>
              <w:t>一级</w:t>
            </w:r>
          </w:p>
        </w:tc>
      </w:tr>
      <w:tr w14:paraId="00AF8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continue"/>
            <w:vAlign w:val="center"/>
          </w:tcPr>
          <w:p w14:paraId="50D4AD25">
            <w:pPr>
              <w:jc w:val="center"/>
            </w:pPr>
          </w:p>
        </w:tc>
        <w:tc>
          <w:tcPr>
            <w:tcW w:w="2162" w:type="dxa"/>
            <w:vAlign w:val="center"/>
          </w:tcPr>
          <w:p w14:paraId="6410E0E4">
            <w:pPr>
              <w:jc w:val="center"/>
            </w:pPr>
            <w:r>
              <w:t>中型</w:t>
            </w:r>
          </w:p>
        </w:tc>
        <w:tc>
          <w:tcPr>
            <w:tcW w:w="1458" w:type="dxa"/>
            <w:vAlign w:val="center"/>
          </w:tcPr>
          <w:p w14:paraId="41D7B687">
            <w:pPr>
              <w:jc w:val="center"/>
            </w:pPr>
            <w:r>
              <w:t>一级</w:t>
            </w:r>
          </w:p>
        </w:tc>
        <w:tc>
          <w:tcPr>
            <w:tcW w:w="1458" w:type="dxa"/>
            <w:vAlign w:val="center"/>
          </w:tcPr>
          <w:p w14:paraId="46197C3B">
            <w:pPr>
              <w:jc w:val="center"/>
            </w:pPr>
            <w:r>
              <w:t>一级</w:t>
            </w:r>
          </w:p>
        </w:tc>
        <w:tc>
          <w:tcPr>
            <w:tcW w:w="1458" w:type="dxa"/>
            <w:vAlign w:val="center"/>
          </w:tcPr>
          <w:p w14:paraId="49A9A9B3">
            <w:pPr>
              <w:jc w:val="center"/>
            </w:pPr>
            <w:r>
              <w:t>一级</w:t>
            </w:r>
          </w:p>
        </w:tc>
      </w:tr>
      <w:tr w14:paraId="708AC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continue"/>
            <w:vAlign w:val="center"/>
          </w:tcPr>
          <w:p w14:paraId="5F5B5976">
            <w:pPr>
              <w:jc w:val="center"/>
            </w:pPr>
          </w:p>
        </w:tc>
        <w:tc>
          <w:tcPr>
            <w:tcW w:w="2162" w:type="dxa"/>
            <w:vAlign w:val="center"/>
          </w:tcPr>
          <w:p w14:paraId="56E8EE69">
            <w:pPr>
              <w:jc w:val="center"/>
            </w:pPr>
            <w:r>
              <w:t>小型</w:t>
            </w:r>
            <w:r>
              <w:rPr>
                <w:b/>
              </w:rPr>
              <w:t>（√）</w:t>
            </w:r>
          </w:p>
        </w:tc>
        <w:tc>
          <w:tcPr>
            <w:tcW w:w="1458" w:type="dxa"/>
            <w:vAlign w:val="center"/>
          </w:tcPr>
          <w:p w14:paraId="1F82ACDE">
            <w:pPr>
              <w:jc w:val="center"/>
            </w:pPr>
            <w:r>
              <w:t>一级</w:t>
            </w:r>
          </w:p>
        </w:tc>
        <w:tc>
          <w:tcPr>
            <w:tcW w:w="1458" w:type="dxa"/>
            <w:vAlign w:val="center"/>
          </w:tcPr>
          <w:p w14:paraId="2C91FC2E">
            <w:pPr>
              <w:jc w:val="center"/>
            </w:pPr>
            <w:r>
              <w:t>一级</w:t>
            </w:r>
          </w:p>
        </w:tc>
        <w:tc>
          <w:tcPr>
            <w:tcW w:w="1458" w:type="dxa"/>
            <w:vAlign w:val="center"/>
          </w:tcPr>
          <w:p w14:paraId="707F5A0E">
            <w:pPr>
              <w:jc w:val="center"/>
            </w:pPr>
            <w:r>
              <w:t>二级</w:t>
            </w:r>
            <w:r>
              <w:rPr>
                <w:b/>
              </w:rPr>
              <w:t>（√）</w:t>
            </w:r>
          </w:p>
        </w:tc>
      </w:tr>
      <w:tr w14:paraId="6ABDA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restart"/>
            <w:vAlign w:val="center"/>
          </w:tcPr>
          <w:p w14:paraId="44D4FD25">
            <w:pPr>
              <w:jc w:val="center"/>
            </w:pPr>
            <w:r>
              <w:t>较重要区</w:t>
            </w:r>
          </w:p>
        </w:tc>
        <w:tc>
          <w:tcPr>
            <w:tcW w:w="2162" w:type="dxa"/>
            <w:tcBorders>
              <w:top w:val="single" w:color="auto" w:sz="4" w:space="0"/>
              <w:left w:val="single" w:color="auto" w:sz="4" w:space="0"/>
              <w:bottom w:val="single" w:color="auto" w:sz="4" w:space="0"/>
              <w:right w:val="single" w:color="auto" w:sz="4" w:space="0"/>
            </w:tcBorders>
            <w:vAlign w:val="center"/>
          </w:tcPr>
          <w:p w14:paraId="129FFFA9">
            <w:pPr>
              <w:jc w:val="center"/>
            </w:pPr>
            <w:r>
              <w:t>大型</w:t>
            </w:r>
          </w:p>
        </w:tc>
        <w:tc>
          <w:tcPr>
            <w:tcW w:w="1458" w:type="dxa"/>
            <w:tcBorders>
              <w:top w:val="single" w:color="auto" w:sz="4" w:space="0"/>
              <w:left w:val="single" w:color="auto" w:sz="4" w:space="0"/>
              <w:bottom w:val="single" w:color="auto" w:sz="4" w:space="0"/>
              <w:right w:val="single" w:color="auto" w:sz="4" w:space="0"/>
            </w:tcBorders>
            <w:vAlign w:val="center"/>
          </w:tcPr>
          <w:p w14:paraId="1D4F5D84">
            <w:pPr>
              <w:jc w:val="center"/>
            </w:pPr>
            <w:r>
              <w:t>一级</w:t>
            </w:r>
          </w:p>
        </w:tc>
        <w:tc>
          <w:tcPr>
            <w:tcW w:w="1458" w:type="dxa"/>
            <w:tcBorders>
              <w:top w:val="single" w:color="auto" w:sz="4" w:space="0"/>
              <w:left w:val="single" w:color="auto" w:sz="4" w:space="0"/>
              <w:bottom w:val="single" w:color="auto" w:sz="4" w:space="0"/>
              <w:right w:val="single" w:color="auto" w:sz="4" w:space="0"/>
            </w:tcBorders>
            <w:vAlign w:val="center"/>
          </w:tcPr>
          <w:p w14:paraId="2C859CD5">
            <w:pPr>
              <w:jc w:val="center"/>
            </w:pPr>
            <w:r>
              <w:t>一级</w:t>
            </w:r>
          </w:p>
        </w:tc>
        <w:tc>
          <w:tcPr>
            <w:tcW w:w="1458" w:type="dxa"/>
            <w:tcBorders>
              <w:top w:val="single" w:color="auto" w:sz="4" w:space="0"/>
              <w:left w:val="single" w:color="auto" w:sz="4" w:space="0"/>
              <w:bottom w:val="single" w:color="auto" w:sz="4" w:space="0"/>
              <w:right w:val="single" w:color="auto" w:sz="4" w:space="0"/>
            </w:tcBorders>
            <w:vAlign w:val="center"/>
          </w:tcPr>
          <w:p w14:paraId="51131628">
            <w:pPr>
              <w:jc w:val="center"/>
            </w:pPr>
            <w:r>
              <w:t>一级</w:t>
            </w:r>
          </w:p>
        </w:tc>
      </w:tr>
      <w:tr w14:paraId="7979B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continue"/>
            <w:vAlign w:val="center"/>
          </w:tcPr>
          <w:p w14:paraId="033D7B43">
            <w:pPr>
              <w:jc w:val="center"/>
            </w:pPr>
          </w:p>
        </w:tc>
        <w:tc>
          <w:tcPr>
            <w:tcW w:w="2162" w:type="dxa"/>
            <w:tcBorders>
              <w:top w:val="single" w:color="auto" w:sz="4" w:space="0"/>
              <w:left w:val="single" w:color="auto" w:sz="4" w:space="0"/>
              <w:bottom w:val="single" w:color="auto" w:sz="4" w:space="0"/>
              <w:right w:val="single" w:color="auto" w:sz="4" w:space="0"/>
            </w:tcBorders>
            <w:vAlign w:val="center"/>
          </w:tcPr>
          <w:p w14:paraId="60011D97">
            <w:pPr>
              <w:jc w:val="center"/>
            </w:pPr>
            <w:r>
              <w:t>中型</w:t>
            </w:r>
          </w:p>
        </w:tc>
        <w:tc>
          <w:tcPr>
            <w:tcW w:w="1458" w:type="dxa"/>
            <w:tcBorders>
              <w:top w:val="single" w:color="auto" w:sz="4" w:space="0"/>
              <w:left w:val="single" w:color="auto" w:sz="4" w:space="0"/>
              <w:bottom w:val="single" w:color="auto" w:sz="4" w:space="0"/>
              <w:right w:val="single" w:color="auto" w:sz="4" w:space="0"/>
            </w:tcBorders>
            <w:vAlign w:val="center"/>
          </w:tcPr>
          <w:p w14:paraId="022147F8">
            <w:pPr>
              <w:jc w:val="center"/>
            </w:pPr>
            <w:r>
              <w:t>一级</w:t>
            </w:r>
          </w:p>
        </w:tc>
        <w:tc>
          <w:tcPr>
            <w:tcW w:w="1458" w:type="dxa"/>
            <w:tcBorders>
              <w:top w:val="single" w:color="auto" w:sz="4" w:space="0"/>
              <w:left w:val="single" w:color="auto" w:sz="4" w:space="0"/>
              <w:bottom w:val="single" w:color="auto" w:sz="4" w:space="0"/>
              <w:right w:val="single" w:color="auto" w:sz="4" w:space="0"/>
            </w:tcBorders>
            <w:vAlign w:val="center"/>
          </w:tcPr>
          <w:p w14:paraId="563CF5EB">
            <w:pPr>
              <w:jc w:val="center"/>
            </w:pPr>
            <w:r>
              <w:t>二级</w:t>
            </w:r>
          </w:p>
        </w:tc>
        <w:tc>
          <w:tcPr>
            <w:tcW w:w="1458" w:type="dxa"/>
            <w:tcBorders>
              <w:top w:val="single" w:color="auto" w:sz="4" w:space="0"/>
              <w:left w:val="single" w:color="auto" w:sz="4" w:space="0"/>
              <w:bottom w:val="single" w:color="auto" w:sz="4" w:space="0"/>
              <w:right w:val="single" w:color="auto" w:sz="4" w:space="0"/>
            </w:tcBorders>
            <w:vAlign w:val="center"/>
          </w:tcPr>
          <w:p w14:paraId="7102F102">
            <w:pPr>
              <w:jc w:val="center"/>
            </w:pPr>
            <w:r>
              <w:t>二级</w:t>
            </w:r>
          </w:p>
        </w:tc>
      </w:tr>
      <w:tr w14:paraId="09851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continue"/>
            <w:vAlign w:val="center"/>
          </w:tcPr>
          <w:p w14:paraId="095E63D9">
            <w:pPr>
              <w:jc w:val="center"/>
            </w:pPr>
          </w:p>
        </w:tc>
        <w:tc>
          <w:tcPr>
            <w:tcW w:w="2162" w:type="dxa"/>
            <w:tcBorders>
              <w:top w:val="single" w:color="auto" w:sz="4" w:space="0"/>
              <w:left w:val="single" w:color="auto" w:sz="4" w:space="0"/>
              <w:bottom w:val="single" w:color="auto" w:sz="4" w:space="0"/>
              <w:right w:val="single" w:color="auto" w:sz="4" w:space="0"/>
            </w:tcBorders>
            <w:vAlign w:val="center"/>
          </w:tcPr>
          <w:p w14:paraId="646FBAC1">
            <w:pPr>
              <w:jc w:val="center"/>
            </w:pPr>
            <w:r>
              <w:t>小型</w:t>
            </w:r>
          </w:p>
        </w:tc>
        <w:tc>
          <w:tcPr>
            <w:tcW w:w="1458" w:type="dxa"/>
            <w:tcBorders>
              <w:top w:val="single" w:color="auto" w:sz="4" w:space="0"/>
              <w:left w:val="single" w:color="auto" w:sz="4" w:space="0"/>
              <w:bottom w:val="single" w:color="auto" w:sz="4" w:space="0"/>
              <w:right w:val="single" w:color="auto" w:sz="4" w:space="0"/>
            </w:tcBorders>
            <w:vAlign w:val="center"/>
          </w:tcPr>
          <w:p w14:paraId="6182695B">
            <w:pPr>
              <w:jc w:val="center"/>
            </w:pPr>
            <w:r>
              <w:t>一级</w:t>
            </w:r>
          </w:p>
        </w:tc>
        <w:tc>
          <w:tcPr>
            <w:tcW w:w="1458" w:type="dxa"/>
            <w:tcBorders>
              <w:top w:val="single" w:color="auto" w:sz="4" w:space="0"/>
              <w:left w:val="single" w:color="auto" w:sz="4" w:space="0"/>
              <w:bottom w:val="single" w:color="auto" w:sz="4" w:space="0"/>
              <w:right w:val="single" w:color="auto" w:sz="4" w:space="0"/>
            </w:tcBorders>
            <w:vAlign w:val="center"/>
          </w:tcPr>
          <w:p w14:paraId="1DEE7AE8">
            <w:pPr>
              <w:jc w:val="center"/>
            </w:pPr>
            <w:r>
              <w:t>二级</w:t>
            </w:r>
          </w:p>
        </w:tc>
        <w:tc>
          <w:tcPr>
            <w:tcW w:w="1458" w:type="dxa"/>
            <w:tcBorders>
              <w:top w:val="single" w:color="auto" w:sz="4" w:space="0"/>
              <w:left w:val="single" w:color="auto" w:sz="4" w:space="0"/>
              <w:bottom w:val="single" w:color="auto" w:sz="4" w:space="0"/>
              <w:right w:val="single" w:color="auto" w:sz="4" w:space="0"/>
            </w:tcBorders>
            <w:vAlign w:val="center"/>
          </w:tcPr>
          <w:p w14:paraId="4C40C4D5">
            <w:pPr>
              <w:jc w:val="center"/>
            </w:pPr>
            <w:r>
              <w:t>三级</w:t>
            </w:r>
          </w:p>
        </w:tc>
      </w:tr>
      <w:tr w14:paraId="4A03E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restart"/>
            <w:vAlign w:val="center"/>
          </w:tcPr>
          <w:p w14:paraId="768CFCFE">
            <w:pPr>
              <w:jc w:val="center"/>
            </w:pPr>
            <w:r>
              <w:t>一般区</w:t>
            </w:r>
          </w:p>
        </w:tc>
        <w:tc>
          <w:tcPr>
            <w:tcW w:w="2162" w:type="dxa"/>
            <w:tcBorders>
              <w:top w:val="single" w:color="auto" w:sz="4" w:space="0"/>
              <w:left w:val="single" w:color="auto" w:sz="4" w:space="0"/>
              <w:bottom w:val="single" w:color="auto" w:sz="4" w:space="0"/>
              <w:right w:val="single" w:color="auto" w:sz="4" w:space="0"/>
            </w:tcBorders>
            <w:vAlign w:val="center"/>
          </w:tcPr>
          <w:p w14:paraId="4CB039FD">
            <w:pPr>
              <w:jc w:val="center"/>
            </w:pPr>
            <w:r>
              <w:t>大型</w:t>
            </w:r>
          </w:p>
        </w:tc>
        <w:tc>
          <w:tcPr>
            <w:tcW w:w="1458" w:type="dxa"/>
            <w:tcBorders>
              <w:top w:val="single" w:color="auto" w:sz="4" w:space="0"/>
              <w:left w:val="single" w:color="auto" w:sz="4" w:space="0"/>
              <w:bottom w:val="single" w:color="auto" w:sz="4" w:space="0"/>
              <w:right w:val="single" w:color="auto" w:sz="4" w:space="0"/>
            </w:tcBorders>
            <w:vAlign w:val="center"/>
          </w:tcPr>
          <w:p w14:paraId="25DB2B3D">
            <w:pPr>
              <w:jc w:val="center"/>
            </w:pPr>
            <w:r>
              <w:t>一级</w:t>
            </w:r>
          </w:p>
        </w:tc>
        <w:tc>
          <w:tcPr>
            <w:tcW w:w="1458" w:type="dxa"/>
            <w:tcBorders>
              <w:top w:val="single" w:color="auto" w:sz="4" w:space="0"/>
              <w:left w:val="single" w:color="auto" w:sz="4" w:space="0"/>
              <w:bottom w:val="single" w:color="auto" w:sz="4" w:space="0"/>
              <w:right w:val="single" w:color="auto" w:sz="4" w:space="0"/>
            </w:tcBorders>
            <w:vAlign w:val="center"/>
          </w:tcPr>
          <w:p w14:paraId="0D617601">
            <w:pPr>
              <w:jc w:val="center"/>
            </w:pPr>
            <w:r>
              <w:t>二级</w:t>
            </w:r>
          </w:p>
        </w:tc>
        <w:tc>
          <w:tcPr>
            <w:tcW w:w="1458" w:type="dxa"/>
            <w:tcBorders>
              <w:top w:val="single" w:color="auto" w:sz="4" w:space="0"/>
              <w:left w:val="single" w:color="auto" w:sz="4" w:space="0"/>
              <w:bottom w:val="single" w:color="auto" w:sz="4" w:space="0"/>
              <w:right w:val="single" w:color="auto" w:sz="4" w:space="0"/>
            </w:tcBorders>
            <w:vAlign w:val="center"/>
          </w:tcPr>
          <w:p w14:paraId="5E03C7C7">
            <w:pPr>
              <w:jc w:val="center"/>
            </w:pPr>
            <w:r>
              <w:t>二级</w:t>
            </w:r>
          </w:p>
        </w:tc>
      </w:tr>
      <w:tr w14:paraId="0BED0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continue"/>
            <w:vAlign w:val="center"/>
          </w:tcPr>
          <w:p w14:paraId="179E8624">
            <w:pPr>
              <w:jc w:val="center"/>
            </w:pPr>
          </w:p>
        </w:tc>
        <w:tc>
          <w:tcPr>
            <w:tcW w:w="2162" w:type="dxa"/>
            <w:tcBorders>
              <w:top w:val="single" w:color="auto" w:sz="4" w:space="0"/>
              <w:left w:val="single" w:color="auto" w:sz="4" w:space="0"/>
              <w:bottom w:val="single" w:color="auto" w:sz="4" w:space="0"/>
              <w:right w:val="single" w:color="auto" w:sz="4" w:space="0"/>
            </w:tcBorders>
            <w:vAlign w:val="center"/>
          </w:tcPr>
          <w:p w14:paraId="2F3FEC57">
            <w:pPr>
              <w:jc w:val="center"/>
            </w:pPr>
            <w:r>
              <w:t>中型</w:t>
            </w:r>
          </w:p>
        </w:tc>
        <w:tc>
          <w:tcPr>
            <w:tcW w:w="1458" w:type="dxa"/>
            <w:tcBorders>
              <w:top w:val="single" w:color="auto" w:sz="4" w:space="0"/>
              <w:left w:val="single" w:color="auto" w:sz="4" w:space="0"/>
              <w:bottom w:val="single" w:color="auto" w:sz="4" w:space="0"/>
              <w:right w:val="single" w:color="auto" w:sz="4" w:space="0"/>
            </w:tcBorders>
            <w:vAlign w:val="center"/>
          </w:tcPr>
          <w:p w14:paraId="3264787F">
            <w:pPr>
              <w:jc w:val="center"/>
            </w:pPr>
            <w:r>
              <w:t>一级</w:t>
            </w:r>
          </w:p>
        </w:tc>
        <w:tc>
          <w:tcPr>
            <w:tcW w:w="1458" w:type="dxa"/>
            <w:tcBorders>
              <w:top w:val="single" w:color="auto" w:sz="4" w:space="0"/>
              <w:left w:val="single" w:color="auto" w:sz="4" w:space="0"/>
              <w:bottom w:val="single" w:color="auto" w:sz="4" w:space="0"/>
              <w:right w:val="single" w:color="auto" w:sz="4" w:space="0"/>
            </w:tcBorders>
            <w:vAlign w:val="center"/>
          </w:tcPr>
          <w:p w14:paraId="7E5D9B9E">
            <w:pPr>
              <w:jc w:val="center"/>
            </w:pPr>
            <w:r>
              <w:t>二级</w:t>
            </w:r>
          </w:p>
        </w:tc>
        <w:tc>
          <w:tcPr>
            <w:tcW w:w="1458" w:type="dxa"/>
            <w:tcBorders>
              <w:top w:val="single" w:color="auto" w:sz="4" w:space="0"/>
              <w:left w:val="single" w:color="auto" w:sz="4" w:space="0"/>
              <w:bottom w:val="single" w:color="auto" w:sz="4" w:space="0"/>
              <w:right w:val="single" w:color="auto" w:sz="4" w:space="0"/>
            </w:tcBorders>
            <w:vAlign w:val="center"/>
          </w:tcPr>
          <w:p w14:paraId="457D26AC">
            <w:pPr>
              <w:jc w:val="center"/>
            </w:pPr>
            <w:r>
              <w:t>三级</w:t>
            </w:r>
          </w:p>
        </w:tc>
      </w:tr>
      <w:tr w14:paraId="33799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986" w:type="dxa"/>
            <w:vMerge w:val="continue"/>
            <w:vAlign w:val="center"/>
          </w:tcPr>
          <w:p w14:paraId="6E1A2CF7">
            <w:pPr>
              <w:jc w:val="center"/>
            </w:pPr>
          </w:p>
        </w:tc>
        <w:tc>
          <w:tcPr>
            <w:tcW w:w="2162" w:type="dxa"/>
            <w:tcBorders>
              <w:top w:val="single" w:color="auto" w:sz="4" w:space="0"/>
              <w:left w:val="single" w:color="auto" w:sz="4" w:space="0"/>
              <w:bottom w:val="single" w:color="auto" w:sz="4" w:space="0"/>
              <w:right w:val="single" w:color="auto" w:sz="4" w:space="0"/>
            </w:tcBorders>
            <w:vAlign w:val="center"/>
          </w:tcPr>
          <w:p w14:paraId="76218F49">
            <w:pPr>
              <w:jc w:val="center"/>
            </w:pPr>
            <w:r>
              <w:t>小型</w:t>
            </w:r>
          </w:p>
        </w:tc>
        <w:tc>
          <w:tcPr>
            <w:tcW w:w="1458" w:type="dxa"/>
            <w:tcBorders>
              <w:top w:val="single" w:color="auto" w:sz="4" w:space="0"/>
              <w:left w:val="single" w:color="auto" w:sz="4" w:space="0"/>
              <w:bottom w:val="single" w:color="auto" w:sz="4" w:space="0"/>
              <w:right w:val="single" w:color="auto" w:sz="4" w:space="0"/>
            </w:tcBorders>
            <w:vAlign w:val="center"/>
          </w:tcPr>
          <w:p w14:paraId="6053AF02">
            <w:pPr>
              <w:jc w:val="center"/>
            </w:pPr>
            <w:r>
              <w:t>二级</w:t>
            </w:r>
          </w:p>
        </w:tc>
        <w:tc>
          <w:tcPr>
            <w:tcW w:w="1458" w:type="dxa"/>
            <w:tcBorders>
              <w:top w:val="single" w:color="auto" w:sz="4" w:space="0"/>
              <w:left w:val="single" w:color="auto" w:sz="4" w:space="0"/>
              <w:bottom w:val="single" w:color="auto" w:sz="4" w:space="0"/>
              <w:right w:val="single" w:color="auto" w:sz="4" w:space="0"/>
            </w:tcBorders>
            <w:vAlign w:val="center"/>
          </w:tcPr>
          <w:p w14:paraId="322E75DB">
            <w:pPr>
              <w:jc w:val="center"/>
            </w:pPr>
            <w:r>
              <w:t>三级</w:t>
            </w:r>
          </w:p>
        </w:tc>
        <w:tc>
          <w:tcPr>
            <w:tcW w:w="1458" w:type="dxa"/>
            <w:tcBorders>
              <w:top w:val="single" w:color="auto" w:sz="4" w:space="0"/>
              <w:left w:val="single" w:color="auto" w:sz="4" w:space="0"/>
              <w:bottom w:val="single" w:color="auto" w:sz="4" w:space="0"/>
              <w:right w:val="single" w:color="auto" w:sz="4" w:space="0"/>
            </w:tcBorders>
            <w:vAlign w:val="center"/>
          </w:tcPr>
          <w:p w14:paraId="5A7CF032">
            <w:pPr>
              <w:jc w:val="center"/>
            </w:pPr>
            <w:r>
              <w:t>三级</w:t>
            </w:r>
          </w:p>
        </w:tc>
      </w:tr>
    </w:tbl>
    <w:p w14:paraId="5C9F0104">
      <w:pPr>
        <w:pStyle w:val="5"/>
        <w:spacing w:beforeLines="50" w:afterLines="50" w:line="360" w:lineRule="auto"/>
        <w:rPr>
          <w:b w:val="0"/>
          <w:sz w:val="28"/>
          <w:szCs w:val="28"/>
        </w:rPr>
      </w:pPr>
      <w:bookmarkStart w:id="98" w:name="_Toc43851650"/>
      <w:bookmarkStart w:id="99" w:name="_Toc481328183"/>
      <w:bookmarkStart w:id="100" w:name="_Toc480537414"/>
      <w:r>
        <w:rPr>
          <w:b w:val="0"/>
          <w:sz w:val="28"/>
          <w:szCs w:val="28"/>
        </w:rPr>
        <w:t>（二）矿山地质灾害现状分析与预测</w:t>
      </w:r>
      <w:bookmarkEnd w:id="98"/>
      <w:bookmarkEnd w:id="99"/>
      <w:bookmarkEnd w:id="100"/>
    </w:p>
    <w:p w14:paraId="14F32CD2">
      <w:pPr>
        <w:spacing w:line="360" w:lineRule="auto"/>
        <w:ind w:firstLine="480" w:firstLineChars="200"/>
        <w:jc w:val="left"/>
        <w:rPr>
          <w:sz w:val="24"/>
        </w:rPr>
      </w:pPr>
      <w:r>
        <w:rPr>
          <w:sz w:val="24"/>
        </w:rPr>
        <w:t>根据《矿山地质环境保护与恢复治理方案编制规范》（DZ/T00223-2011）附录E的有关规定，对本矿山的矿山地质环境影响现状及预测进行的评估如下。</w:t>
      </w:r>
    </w:p>
    <w:p w14:paraId="6F5EB1C2">
      <w:pPr>
        <w:pStyle w:val="43"/>
        <w:numPr>
          <w:ilvl w:val="0"/>
          <w:numId w:val="4"/>
        </w:numPr>
        <w:spacing w:line="360" w:lineRule="auto"/>
        <w:ind w:firstLineChars="0"/>
        <w:jc w:val="left"/>
        <w:rPr>
          <w:sz w:val="24"/>
        </w:rPr>
      </w:pPr>
      <w:r>
        <w:rPr>
          <w:sz w:val="24"/>
        </w:rPr>
        <w:t>矿山地质灾害现状分析</w:t>
      </w:r>
    </w:p>
    <w:p w14:paraId="7ABD61FE">
      <w:pPr>
        <w:spacing w:line="360" w:lineRule="auto"/>
        <w:ind w:firstLine="480" w:firstLineChars="200"/>
        <w:jc w:val="left"/>
        <w:rPr>
          <w:sz w:val="24"/>
        </w:rPr>
      </w:pPr>
      <w:r>
        <w:rPr>
          <w:sz w:val="24"/>
        </w:rPr>
        <w:t>矿区地处四川盆地西北缘丘陵地带，地势较为平缓，海拔标高一般560m左右。矿区内地形坡度15°～20°，坡度较缓。植被覆盖率低，有少许灌木、柏树及杂草，自然斜坡属基本稳定型。</w:t>
      </w:r>
    </w:p>
    <w:p w14:paraId="7262DC66">
      <w:pPr>
        <w:spacing w:line="360" w:lineRule="auto"/>
        <w:ind w:firstLine="480" w:firstLineChars="200"/>
        <w:jc w:val="left"/>
        <w:rPr>
          <w:sz w:val="24"/>
        </w:rPr>
      </w:pPr>
      <w:r>
        <w:rPr>
          <w:sz w:val="24"/>
        </w:rPr>
        <w:t>野外调查表明，现状条件下，评估区未见明显的地质灾害隐患，矿区地面斜坡基本稳定。</w:t>
      </w:r>
    </w:p>
    <w:p w14:paraId="558E5766">
      <w:pPr>
        <w:spacing w:line="360" w:lineRule="auto"/>
        <w:ind w:firstLine="480" w:firstLineChars="200"/>
        <w:jc w:val="left"/>
        <w:rPr>
          <w:sz w:val="24"/>
        </w:rPr>
      </w:pPr>
      <w:r>
        <w:rPr>
          <w:sz w:val="24"/>
        </w:rPr>
        <w:t>（1）工业广场</w:t>
      </w:r>
    </w:p>
    <w:p w14:paraId="51DF9341">
      <w:pPr>
        <w:spacing w:line="360" w:lineRule="auto"/>
        <w:ind w:firstLine="480" w:firstLineChars="200"/>
        <w:jc w:val="left"/>
        <w:rPr>
          <w:sz w:val="24"/>
        </w:rPr>
      </w:pPr>
      <w:r>
        <w:rPr>
          <w:sz w:val="24"/>
        </w:rPr>
        <w:t>本矿山工业场地区域地形坡度小，受崩塌、滑坡、泥石流等地质灾害的可能性小，目前该区受地质灾害影响程度较轻。</w:t>
      </w:r>
    </w:p>
    <w:p w14:paraId="550613B2">
      <w:pPr>
        <w:spacing w:line="360" w:lineRule="auto"/>
        <w:ind w:firstLine="480" w:firstLineChars="200"/>
        <w:jc w:val="left"/>
        <w:rPr>
          <w:sz w:val="24"/>
        </w:rPr>
      </w:pPr>
      <w:r>
        <w:rPr>
          <w:sz w:val="24"/>
        </w:rPr>
        <w:t>（2）边坡区</w:t>
      </w:r>
    </w:p>
    <w:p w14:paraId="46C10EFC">
      <w:pPr>
        <w:spacing w:line="360" w:lineRule="auto"/>
        <w:ind w:firstLine="480" w:firstLineChars="200"/>
        <w:jc w:val="left"/>
        <w:rPr>
          <w:sz w:val="24"/>
        </w:rPr>
      </w:pPr>
      <w:r>
        <w:rPr>
          <w:sz w:val="24"/>
        </w:rPr>
        <w:t>矿权范围内目前并未发现明显泥石流、地面塌陷、地裂缝等地质灾害发育现象，但采场边坡存在小规模落石情况，因此现状地质灾害危害程度一般，确定地质灾害影响程度现状评估为较轻。</w:t>
      </w:r>
    </w:p>
    <w:p w14:paraId="19CB421D">
      <w:pPr>
        <w:spacing w:line="360" w:lineRule="auto"/>
        <w:ind w:firstLine="480" w:firstLineChars="200"/>
        <w:jc w:val="left"/>
        <w:rPr>
          <w:sz w:val="24"/>
        </w:rPr>
      </w:pPr>
      <w:r>
        <w:rPr>
          <w:sz w:val="24"/>
        </w:rPr>
        <w:t>（3）评估区其它区域</w:t>
      </w:r>
    </w:p>
    <w:p w14:paraId="0716FEB4">
      <w:pPr>
        <w:spacing w:line="360" w:lineRule="auto"/>
        <w:ind w:firstLine="480" w:firstLineChars="200"/>
        <w:jc w:val="left"/>
        <w:rPr>
          <w:sz w:val="24"/>
        </w:rPr>
      </w:pPr>
      <w:r>
        <w:rPr>
          <w:sz w:val="24"/>
        </w:rPr>
        <w:t>评估区其它区域没有陡峭的岩土体和人工切坡等，地表未发现滑坡壁、滑坡裂缝等滑动现象，山坡上也没有大量堆积物，不具备产生崩塌、滑坡和泥石流的地质条件，地质灾害影响程度现状评估为较轻。</w:t>
      </w:r>
    </w:p>
    <w:p w14:paraId="13B04AD6">
      <w:pPr>
        <w:pStyle w:val="43"/>
        <w:numPr>
          <w:ilvl w:val="0"/>
          <w:numId w:val="4"/>
        </w:numPr>
        <w:spacing w:line="360" w:lineRule="auto"/>
        <w:ind w:firstLineChars="0"/>
        <w:jc w:val="left"/>
        <w:rPr>
          <w:sz w:val="24"/>
        </w:rPr>
      </w:pPr>
      <w:r>
        <w:rPr>
          <w:sz w:val="24"/>
        </w:rPr>
        <w:t>矿山活动可能引发的地质灾害预测评估</w:t>
      </w:r>
    </w:p>
    <w:p w14:paraId="67F28B11">
      <w:pPr>
        <w:spacing w:line="360" w:lineRule="auto"/>
        <w:ind w:firstLine="480" w:firstLineChars="200"/>
        <w:rPr>
          <w:sz w:val="24"/>
          <w:lang w:val="zh-CN"/>
        </w:rPr>
      </w:pPr>
      <w:r>
        <w:rPr>
          <w:sz w:val="24"/>
          <w:lang w:val="zh-CN"/>
        </w:rPr>
        <w:t>广元市利州区紫兰建材厂砖瓦用页岩矿主要为露天开采，但是在业主取得采矿许可证后由于各种原因，一直未生产，导致业主为了经营收入，一直在外方外购原材料进行制砖，矿区内一直处于未进行开采状态，预测后期也不进行开采。</w:t>
      </w:r>
    </w:p>
    <w:p w14:paraId="284B2CDE">
      <w:pPr>
        <w:spacing w:line="360" w:lineRule="auto"/>
        <w:ind w:firstLine="480" w:firstLineChars="200"/>
        <w:jc w:val="left"/>
        <w:rPr>
          <w:sz w:val="24"/>
        </w:rPr>
      </w:pPr>
      <w:r>
        <w:rPr>
          <w:sz w:val="24"/>
        </w:rPr>
        <w:t>（1）工业广场</w:t>
      </w:r>
    </w:p>
    <w:p w14:paraId="1223D4CA">
      <w:pPr>
        <w:spacing w:line="360" w:lineRule="auto"/>
        <w:ind w:firstLine="480" w:firstLineChars="200"/>
        <w:jc w:val="left"/>
        <w:rPr>
          <w:sz w:val="24"/>
        </w:rPr>
      </w:pPr>
      <w:r>
        <w:rPr>
          <w:sz w:val="24"/>
        </w:rPr>
        <w:t>工业场地区域地形坡度小，受崩塌、滑坡、泥石流等地质灾害的可能性小，该区受地质灾害影响程度较轻。故工业广场对地质灾害的影响程度较轻。</w:t>
      </w:r>
    </w:p>
    <w:p w14:paraId="06A2B1DE">
      <w:pPr>
        <w:spacing w:line="360" w:lineRule="auto"/>
        <w:ind w:firstLine="480" w:firstLineChars="200"/>
        <w:jc w:val="left"/>
        <w:rPr>
          <w:sz w:val="24"/>
        </w:rPr>
      </w:pPr>
      <w:r>
        <w:rPr>
          <w:sz w:val="24"/>
        </w:rPr>
        <w:t>（2）边坡区</w:t>
      </w:r>
    </w:p>
    <w:p w14:paraId="25F20E71">
      <w:pPr>
        <w:spacing w:line="360" w:lineRule="auto"/>
        <w:ind w:firstLine="480" w:firstLineChars="200"/>
        <w:jc w:val="left"/>
        <w:rPr>
          <w:sz w:val="24"/>
        </w:rPr>
      </w:pPr>
      <w:r>
        <w:rPr>
          <w:sz w:val="24"/>
        </w:rPr>
        <w:t>露天采场的最终边坡角均小于60°其有利于边坡的稳定。从岩层倾向来说，采场西侧为斜交坡，斜交坡的稳定性较好，但长期来看该露天边坡在雨水、重力作用下有一定可能诱发崩塌、滑坡等地质灾害。</w:t>
      </w:r>
    </w:p>
    <w:p w14:paraId="44EBD5B4">
      <w:pPr>
        <w:spacing w:line="360" w:lineRule="auto"/>
        <w:ind w:firstLine="480" w:firstLineChars="200"/>
        <w:jc w:val="left"/>
        <w:rPr>
          <w:sz w:val="24"/>
        </w:rPr>
      </w:pPr>
      <w:r>
        <w:rPr>
          <w:sz w:val="24"/>
        </w:rPr>
        <w:t>预测在今后的开采中露天边坡可能会发生小规模的崩塌或滑坡地质灾害，应及时对易发生崩塌或滑坡的松散岩土体进行清除。崩塌或滑坡发生的可能性为中等，危害程度为中等，危险性中等，影响较严重。</w:t>
      </w:r>
    </w:p>
    <w:p w14:paraId="26BF7855">
      <w:pPr>
        <w:spacing w:line="360" w:lineRule="auto"/>
        <w:ind w:firstLine="480" w:firstLineChars="200"/>
        <w:jc w:val="left"/>
        <w:rPr>
          <w:sz w:val="24"/>
        </w:rPr>
      </w:pPr>
      <w:r>
        <w:rPr>
          <w:sz w:val="24"/>
        </w:rPr>
        <w:t>（3）评估区其它区域</w:t>
      </w:r>
    </w:p>
    <w:p w14:paraId="17E37E24">
      <w:pPr>
        <w:spacing w:line="360" w:lineRule="auto"/>
        <w:ind w:firstLine="480" w:firstLineChars="200"/>
        <w:jc w:val="left"/>
        <w:rPr>
          <w:sz w:val="24"/>
          <w:highlight w:val="yellow"/>
        </w:rPr>
      </w:pPr>
      <w:r>
        <w:rPr>
          <w:sz w:val="24"/>
        </w:rPr>
        <w:t>评估区其它区域没有陡峭的岩土体和人工切坡等，地表未发现滑坡壁、滑坡裂缝等滑动现象，山坡上也没有大量堆积物，不具备产生崩塌、滑坡和泥石流的地质条件，地质灾害影响程度预测评估为较轻。</w:t>
      </w:r>
    </w:p>
    <w:p w14:paraId="1CCA2D9F">
      <w:pPr>
        <w:pStyle w:val="5"/>
        <w:spacing w:beforeLines="50" w:afterLines="50" w:line="360" w:lineRule="auto"/>
        <w:rPr>
          <w:b w:val="0"/>
          <w:sz w:val="28"/>
          <w:szCs w:val="28"/>
        </w:rPr>
      </w:pPr>
      <w:bookmarkStart w:id="101" w:name="_Toc43851651"/>
      <w:r>
        <w:rPr>
          <w:b w:val="0"/>
          <w:sz w:val="28"/>
          <w:szCs w:val="28"/>
        </w:rPr>
        <w:t>（三）矿区含水层破坏现状分析与预测</w:t>
      </w:r>
      <w:bookmarkEnd w:id="101"/>
    </w:p>
    <w:p w14:paraId="309299A7">
      <w:pPr>
        <w:spacing w:line="360" w:lineRule="auto"/>
        <w:ind w:firstLine="480" w:firstLineChars="200"/>
        <w:jc w:val="left"/>
        <w:rPr>
          <w:sz w:val="24"/>
        </w:rPr>
      </w:pPr>
      <w:r>
        <w:rPr>
          <w:sz w:val="24"/>
        </w:rPr>
        <w:t>由于矿山从建矿至今，一直未开采，所以对区内含水层未破坏，后期也不开采，而且根据矿山对外购原材料的处理工艺，仅仅为机械破碎后直接使用，期间生产未产生废水，未对地下水造成破坏，故矿山含水层破坏现状和预测影响均为较轻。</w:t>
      </w:r>
    </w:p>
    <w:p w14:paraId="3CC3D0EB">
      <w:pPr>
        <w:pStyle w:val="5"/>
        <w:spacing w:beforeLines="50" w:afterLines="50" w:line="360" w:lineRule="auto"/>
        <w:rPr>
          <w:b w:val="0"/>
          <w:sz w:val="28"/>
          <w:szCs w:val="28"/>
        </w:rPr>
      </w:pPr>
      <w:bookmarkStart w:id="102" w:name="_Toc43851652"/>
      <w:r>
        <w:rPr>
          <w:b w:val="0"/>
          <w:sz w:val="28"/>
          <w:szCs w:val="28"/>
        </w:rPr>
        <w:t>（四）矿区地形地貌景观（地质遗迹、人文景观）破坏现状分析与预测</w:t>
      </w:r>
      <w:bookmarkEnd w:id="102"/>
    </w:p>
    <w:p w14:paraId="734CE3FB">
      <w:pPr>
        <w:spacing w:line="360" w:lineRule="auto"/>
        <w:ind w:firstLine="480" w:firstLineChars="200"/>
        <w:jc w:val="left"/>
        <w:rPr>
          <w:sz w:val="24"/>
        </w:rPr>
      </w:pPr>
      <w:r>
        <w:rPr>
          <w:sz w:val="24"/>
        </w:rPr>
        <w:t>矿区不属旅游区、文物保护区、自然保护区、地质遗迹等。但材料堆放区、办公区、厂房区域对地形地貌景观破坏较大，其中材料堆放区大规模的土方移动使原生地形地形、地貌发生改变，但是预测后期业主将会使用材料堆积区内矿石，一直到使用完毕，届时，地形地貌将会恢复成原生地形，而压占损毁的植被类型无法恢复；工业广场对土地的压占，对地形地貌景观影响严重；边坡区进行挖损，破坏了土地的原始地类，对地形地貌景观影响严重，因此，现状和预测工业广场对地形地貌景观现状影响程度为严重。</w:t>
      </w:r>
    </w:p>
    <w:p w14:paraId="0FE6E51D">
      <w:pPr>
        <w:spacing w:line="360" w:lineRule="auto"/>
        <w:ind w:firstLine="480" w:firstLineChars="200"/>
        <w:jc w:val="left"/>
        <w:rPr>
          <w:sz w:val="24"/>
        </w:rPr>
      </w:pPr>
      <w:r>
        <w:rPr>
          <w:sz w:val="24"/>
        </w:rPr>
        <w:t>评估区其它区域，受采矿活动影响较轻，对地形地貌景观现状影响程度为较轻。</w:t>
      </w:r>
    </w:p>
    <w:p w14:paraId="4CD827C1">
      <w:pPr>
        <w:pStyle w:val="5"/>
        <w:spacing w:beforeLines="50" w:afterLines="50" w:line="360" w:lineRule="auto"/>
        <w:rPr>
          <w:b w:val="0"/>
          <w:sz w:val="28"/>
          <w:szCs w:val="28"/>
        </w:rPr>
      </w:pPr>
      <w:bookmarkStart w:id="103" w:name="_Toc43851653"/>
      <w:r>
        <w:rPr>
          <w:b w:val="0"/>
          <w:sz w:val="28"/>
          <w:szCs w:val="28"/>
        </w:rPr>
        <w:t>（五）矿区水土环境污染现状分析及预测</w:t>
      </w:r>
      <w:bookmarkEnd w:id="103"/>
    </w:p>
    <w:p w14:paraId="3A399127">
      <w:pPr>
        <w:spacing w:line="360" w:lineRule="auto"/>
        <w:ind w:firstLine="480" w:firstLineChars="200"/>
        <w:jc w:val="left"/>
        <w:rPr>
          <w:sz w:val="24"/>
          <w:lang w:val="zh-CN"/>
        </w:rPr>
      </w:pPr>
      <w:r>
        <w:rPr>
          <w:sz w:val="24"/>
          <w:lang w:val="zh-CN"/>
        </w:rPr>
        <w:t>采矿活动必然会对植被有一定的破坏，并造成水土流失。矿山所采矿石中无有害物质，对土壤污染较轻，水土流失仅限于开采区域、土壤剥离储存区域等局部范围，地表水、地下水基本不受污染。因此，</w:t>
      </w:r>
      <w:r>
        <w:rPr>
          <w:sz w:val="24"/>
        </w:rPr>
        <w:t>工业广场、边坡区</w:t>
      </w:r>
      <w:r>
        <w:rPr>
          <w:sz w:val="24"/>
          <w:lang w:val="zh-CN"/>
        </w:rPr>
        <w:t>等水土环境污染影响较轻。</w:t>
      </w:r>
    </w:p>
    <w:p w14:paraId="7E80A1DC">
      <w:pPr>
        <w:spacing w:line="360" w:lineRule="auto"/>
        <w:ind w:firstLine="480" w:firstLineChars="200"/>
        <w:jc w:val="left"/>
        <w:rPr>
          <w:sz w:val="24"/>
          <w:highlight w:val="yellow"/>
        </w:rPr>
      </w:pPr>
      <w:r>
        <w:rPr>
          <w:sz w:val="24"/>
        </w:rPr>
        <w:t>生产废水主要是矿用车辆清洗用水及车间冲洗水；生活污水主要是粪便污水和洗涤水，对周围的水资源造成的污染甚微，对</w:t>
      </w:r>
      <w:r>
        <w:rPr>
          <w:sz w:val="24"/>
          <w:lang w:val="zh-CN"/>
        </w:rPr>
        <w:t>水土环境污染影响较轻</w:t>
      </w:r>
      <w:r>
        <w:rPr>
          <w:sz w:val="24"/>
        </w:rPr>
        <w:t>。预测评估区其他区域对水土环境污染的影响程度较轻。</w:t>
      </w:r>
    </w:p>
    <w:p w14:paraId="557C2516">
      <w:pPr>
        <w:pStyle w:val="5"/>
        <w:spacing w:beforeLines="50" w:afterLines="50" w:line="360" w:lineRule="auto"/>
        <w:rPr>
          <w:b w:val="0"/>
          <w:bCs w:val="0"/>
          <w:sz w:val="28"/>
          <w:szCs w:val="28"/>
        </w:rPr>
      </w:pPr>
      <w:bookmarkStart w:id="104" w:name="_Toc481328187"/>
      <w:bookmarkStart w:id="105" w:name="_Toc43851654"/>
      <w:bookmarkStart w:id="106" w:name="_Toc353116165"/>
      <w:r>
        <w:rPr>
          <w:b w:val="0"/>
          <w:bCs w:val="0"/>
          <w:sz w:val="28"/>
          <w:szCs w:val="28"/>
        </w:rPr>
        <w:t>（六）矿山地质环境影响评估总述</w:t>
      </w:r>
      <w:bookmarkEnd w:id="104"/>
      <w:bookmarkEnd w:id="105"/>
      <w:bookmarkEnd w:id="106"/>
    </w:p>
    <w:p w14:paraId="19309F38">
      <w:pPr>
        <w:spacing w:line="360" w:lineRule="auto"/>
        <w:ind w:firstLine="480" w:firstLineChars="200"/>
        <w:rPr>
          <w:rFonts w:eastAsiaTheme="minorEastAsia"/>
          <w:sz w:val="24"/>
        </w:rPr>
      </w:pPr>
      <w:r>
        <w:rPr>
          <w:rFonts w:eastAsiaTheme="minorEastAsia"/>
          <w:sz w:val="24"/>
        </w:rPr>
        <w:t>1、现状分析总评</w:t>
      </w:r>
    </w:p>
    <w:p w14:paraId="46FE397D">
      <w:pPr>
        <w:spacing w:line="360" w:lineRule="auto"/>
        <w:ind w:firstLine="480" w:firstLineChars="200"/>
        <w:jc w:val="left"/>
        <w:rPr>
          <w:sz w:val="24"/>
          <w:lang w:val="zh-CN"/>
        </w:rPr>
      </w:pPr>
      <w:r>
        <w:rPr>
          <w:sz w:val="24"/>
          <w:lang w:val="zh-CN"/>
        </w:rPr>
        <w:t>通过以上对广元市利州区紫兰建材厂砖瓦用页岩矿水泥用石灰岩矿矿山地质环境四个方面的现状分析，按照就高不就低的原则，将矿山地质环境影响现状评估结果汇总见表3-6。</w:t>
      </w:r>
    </w:p>
    <w:p w14:paraId="3A2ECE3E">
      <w:pPr>
        <w:jc w:val="center"/>
        <w:rPr>
          <w:rFonts w:eastAsiaTheme="minorEastAsia"/>
          <w:b/>
          <w:szCs w:val="21"/>
        </w:rPr>
      </w:pPr>
      <w:r>
        <w:rPr>
          <w:rFonts w:eastAsiaTheme="minorEastAsia"/>
          <w:b/>
          <w:szCs w:val="21"/>
        </w:rPr>
        <w:t>表3-6  矿山地质环境影响现状评估汇总表</w:t>
      </w:r>
    </w:p>
    <w:tbl>
      <w:tblPr>
        <w:tblStyle w:val="29"/>
        <w:tblW w:w="8806" w:type="dxa"/>
        <w:jc w:val="center"/>
        <w:tblLayout w:type="autofit"/>
        <w:tblCellMar>
          <w:top w:w="0" w:type="dxa"/>
          <w:left w:w="108" w:type="dxa"/>
          <w:bottom w:w="0" w:type="dxa"/>
          <w:right w:w="108" w:type="dxa"/>
        </w:tblCellMar>
      </w:tblPr>
      <w:tblGrid>
        <w:gridCol w:w="498"/>
        <w:gridCol w:w="1476"/>
        <w:gridCol w:w="1227"/>
        <w:gridCol w:w="995"/>
        <w:gridCol w:w="829"/>
        <w:gridCol w:w="1526"/>
        <w:gridCol w:w="1326"/>
        <w:gridCol w:w="929"/>
      </w:tblGrid>
      <w:tr w14:paraId="1ACEC2BA">
        <w:tblPrEx>
          <w:tblCellMar>
            <w:top w:w="0" w:type="dxa"/>
            <w:left w:w="108" w:type="dxa"/>
            <w:bottom w:w="0" w:type="dxa"/>
            <w:right w:w="108" w:type="dxa"/>
          </w:tblCellMar>
        </w:tblPrEx>
        <w:trPr>
          <w:trHeight w:val="350" w:hRule="atLeast"/>
          <w:jc w:val="center"/>
        </w:trPr>
        <w:tc>
          <w:tcPr>
            <w:tcW w:w="49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04A75F7">
            <w:pPr>
              <w:widowControl/>
              <w:jc w:val="center"/>
              <w:rPr>
                <w:color w:val="000000"/>
                <w:kern w:val="0"/>
                <w:szCs w:val="21"/>
              </w:rPr>
            </w:pPr>
            <w:r>
              <w:rPr>
                <w:color w:val="000000"/>
                <w:kern w:val="0"/>
                <w:szCs w:val="21"/>
              </w:rPr>
              <w:t>序号</w:t>
            </w:r>
          </w:p>
        </w:tc>
        <w:tc>
          <w:tcPr>
            <w:tcW w:w="147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78B8364">
            <w:pPr>
              <w:widowControl/>
              <w:jc w:val="center"/>
              <w:rPr>
                <w:color w:val="000000"/>
                <w:kern w:val="0"/>
                <w:szCs w:val="21"/>
              </w:rPr>
            </w:pPr>
            <w:r>
              <w:rPr>
                <w:color w:val="000000"/>
                <w:kern w:val="0"/>
                <w:szCs w:val="21"/>
              </w:rPr>
              <w:t>评估对象</w:t>
            </w:r>
          </w:p>
        </w:tc>
        <w:tc>
          <w:tcPr>
            <w:tcW w:w="122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B0FAD3A">
            <w:pPr>
              <w:widowControl/>
              <w:jc w:val="center"/>
              <w:rPr>
                <w:color w:val="000000"/>
                <w:kern w:val="0"/>
                <w:szCs w:val="21"/>
              </w:rPr>
            </w:pPr>
            <w:r>
              <w:rPr>
                <w:color w:val="000000"/>
                <w:kern w:val="0"/>
                <w:szCs w:val="21"/>
              </w:rPr>
              <w:t>面积（hm</w:t>
            </w:r>
            <w:r>
              <w:rPr>
                <w:color w:val="000000"/>
                <w:kern w:val="0"/>
                <w:szCs w:val="21"/>
                <w:vertAlign w:val="superscript"/>
              </w:rPr>
              <w:t>2</w:t>
            </w:r>
            <w:r>
              <w:rPr>
                <w:color w:val="000000"/>
                <w:kern w:val="0"/>
                <w:szCs w:val="21"/>
              </w:rPr>
              <w:t>）</w:t>
            </w:r>
          </w:p>
        </w:tc>
        <w:tc>
          <w:tcPr>
            <w:tcW w:w="5605" w:type="dxa"/>
            <w:gridSpan w:val="5"/>
            <w:tcBorders>
              <w:top w:val="single" w:color="auto" w:sz="4" w:space="0"/>
              <w:left w:val="nil"/>
              <w:bottom w:val="single" w:color="auto" w:sz="4" w:space="0"/>
              <w:right w:val="single" w:color="auto" w:sz="4" w:space="0"/>
            </w:tcBorders>
            <w:shd w:val="clear" w:color="auto" w:fill="auto"/>
            <w:vAlign w:val="center"/>
          </w:tcPr>
          <w:p w14:paraId="0A3F7DA1">
            <w:pPr>
              <w:widowControl/>
              <w:jc w:val="center"/>
              <w:rPr>
                <w:color w:val="000000"/>
                <w:kern w:val="0"/>
                <w:szCs w:val="21"/>
              </w:rPr>
            </w:pPr>
            <w:r>
              <w:rPr>
                <w:color w:val="000000"/>
                <w:kern w:val="0"/>
                <w:szCs w:val="21"/>
              </w:rPr>
              <w:t>现状</w:t>
            </w:r>
          </w:p>
        </w:tc>
      </w:tr>
      <w:tr w14:paraId="3894C7F5">
        <w:tblPrEx>
          <w:tblCellMar>
            <w:top w:w="0" w:type="dxa"/>
            <w:left w:w="108" w:type="dxa"/>
            <w:bottom w:w="0" w:type="dxa"/>
            <w:right w:w="108" w:type="dxa"/>
          </w:tblCellMar>
        </w:tblPrEx>
        <w:trPr>
          <w:trHeight w:val="350" w:hRule="atLeast"/>
          <w:jc w:val="center"/>
        </w:trPr>
        <w:tc>
          <w:tcPr>
            <w:tcW w:w="498" w:type="dxa"/>
            <w:vMerge w:val="continue"/>
            <w:tcBorders>
              <w:top w:val="single" w:color="auto" w:sz="4" w:space="0"/>
              <w:left w:val="single" w:color="auto" w:sz="4" w:space="0"/>
              <w:bottom w:val="single" w:color="auto" w:sz="4" w:space="0"/>
              <w:right w:val="single" w:color="auto" w:sz="4" w:space="0"/>
            </w:tcBorders>
            <w:vAlign w:val="center"/>
          </w:tcPr>
          <w:p w14:paraId="65439203">
            <w:pPr>
              <w:widowControl/>
              <w:jc w:val="left"/>
              <w:rPr>
                <w:color w:val="000000"/>
                <w:kern w:val="0"/>
                <w:szCs w:val="21"/>
              </w:rPr>
            </w:pPr>
          </w:p>
        </w:tc>
        <w:tc>
          <w:tcPr>
            <w:tcW w:w="1476" w:type="dxa"/>
            <w:vMerge w:val="continue"/>
            <w:tcBorders>
              <w:top w:val="single" w:color="auto" w:sz="4" w:space="0"/>
              <w:left w:val="single" w:color="auto" w:sz="4" w:space="0"/>
              <w:bottom w:val="single" w:color="auto" w:sz="4" w:space="0"/>
              <w:right w:val="single" w:color="auto" w:sz="4" w:space="0"/>
            </w:tcBorders>
            <w:vAlign w:val="center"/>
          </w:tcPr>
          <w:p w14:paraId="341676ED">
            <w:pPr>
              <w:widowControl/>
              <w:jc w:val="left"/>
              <w:rPr>
                <w:color w:val="000000"/>
                <w:kern w:val="0"/>
                <w:szCs w:val="21"/>
              </w:rPr>
            </w:pPr>
          </w:p>
        </w:tc>
        <w:tc>
          <w:tcPr>
            <w:tcW w:w="1227" w:type="dxa"/>
            <w:vMerge w:val="continue"/>
            <w:tcBorders>
              <w:top w:val="single" w:color="auto" w:sz="4" w:space="0"/>
              <w:left w:val="single" w:color="auto" w:sz="4" w:space="0"/>
              <w:bottom w:val="single" w:color="auto" w:sz="4" w:space="0"/>
              <w:right w:val="single" w:color="auto" w:sz="4" w:space="0"/>
            </w:tcBorders>
            <w:vAlign w:val="center"/>
          </w:tcPr>
          <w:p w14:paraId="480E05F3">
            <w:pPr>
              <w:widowControl/>
              <w:jc w:val="left"/>
              <w:rPr>
                <w:color w:val="000000"/>
                <w:kern w:val="0"/>
                <w:szCs w:val="21"/>
              </w:rPr>
            </w:pPr>
          </w:p>
        </w:tc>
        <w:tc>
          <w:tcPr>
            <w:tcW w:w="995" w:type="dxa"/>
            <w:tcBorders>
              <w:top w:val="nil"/>
              <w:left w:val="nil"/>
              <w:bottom w:val="single" w:color="auto" w:sz="4" w:space="0"/>
              <w:right w:val="single" w:color="auto" w:sz="4" w:space="0"/>
            </w:tcBorders>
            <w:shd w:val="clear" w:color="auto" w:fill="auto"/>
            <w:vAlign w:val="center"/>
          </w:tcPr>
          <w:p w14:paraId="08C2DE77">
            <w:pPr>
              <w:widowControl/>
              <w:jc w:val="center"/>
              <w:rPr>
                <w:color w:val="000000"/>
                <w:kern w:val="0"/>
                <w:szCs w:val="21"/>
              </w:rPr>
            </w:pPr>
            <w:r>
              <w:rPr>
                <w:color w:val="000000"/>
                <w:kern w:val="0"/>
                <w:szCs w:val="21"/>
              </w:rPr>
              <w:t>地质灾害</w:t>
            </w:r>
          </w:p>
        </w:tc>
        <w:tc>
          <w:tcPr>
            <w:tcW w:w="829" w:type="dxa"/>
            <w:tcBorders>
              <w:top w:val="nil"/>
              <w:left w:val="nil"/>
              <w:bottom w:val="single" w:color="auto" w:sz="4" w:space="0"/>
              <w:right w:val="single" w:color="auto" w:sz="4" w:space="0"/>
            </w:tcBorders>
            <w:shd w:val="clear" w:color="auto" w:fill="auto"/>
            <w:vAlign w:val="center"/>
          </w:tcPr>
          <w:p w14:paraId="3CE4B579">
            <w:pPr>
              <w:widowControl/>
              <w:jc w:val="center"/>
              <w:rPr>
                <w:color w:val="000000"/>
                <w:kern w:val="0"/>
                <w:szCs w:val="21"/>
              </w:rPr>
            </w:pPr>
            <w:r>
              <w:rPr>
                <w:color w:val="000000"/>
                <w:kern w:val="0"/>
                <w:szCs w:val="21"/>
              </w:rPr>
              <w:t>含水层</w:t>
            </w:r>
          </w:p>
        </w:tc>
        <w:tc>
          <w:tcPr>
            <w:tcW w:w="1526" w:type="dxa"/>
            <w:tcBorders>
              <w:top w:val="nil"/>
              <w:left w:val="nil"/>
              <w:bottom w:val="single" w:color="auto" w:sz="4" w:space="0"/>
              <w:right w:val="single" w:color="auto" w:sz="4" w:space="0"/>
            </w:tcBorders>
            <w:shd w:val="clear" w:color="auto" w:fill="auto"/>
            <w:vAlign w:val="center"/>
          </w:tcPr>
          <w:p w14:paraId="1972F3DC">
            <w:pPr>
              <w:widowControl/>
              <w:jc w:val="center"/>
              <w:rPr>
                <w:color w:val="000000"/>
                <w:kern w:val="0"/>
                <w:szCs w:val="21"/>
              </w:rPr>
            </w:pPr>
            <w:r>
              <w:rPr>
                <w:color w:val="000000"/>
                <w:kern w:val="0"/>
                <w:szCs w:val="21"/>
              </w:rPr>
              <w:t>地形地貌景观</w:t>
            </w:r>
          </w:p>
        </w:tc>
        <w:tc>
          <w:tcPr>
            <w:tcW w:w="1326" w:type="dxa"/>
            <w:tcBorders>
              <w:top w:val="nil"/>
              <w:left w:val="nil"/>
              <w:bottom w:val="single" w:color="auto" w:sz="4" w:space="0"/>
              <w:right w:val="single" w:color="auto" w:sz="4" w:space="0"/>
            </w:tcBorders>
            <w:shd w:val="clear" w:color="auto" w:fill="auto"/>
            <w:vAlign w:val="center"/>
          </w:tcPr>
          <w:p w14:paraId="5F8FDA53">
            <w:pPr>
              <w:widowControl/>
              <w:jc w:val="center"/>
              <w:rPr>
                <w:color w:val="000000"/>
                <w:kern w:val="0"/>
                <w:szCs w:val="21"/>
              </w:rPr>
            </w:pPr>
            <w:r>
              <w:rPr>
                <w:color w:val="000000"/>
                <w:kern w:val="0"/>
                <w:szCs w:val="21"/>
              </w:rPr>
              <w:t>水土环境污染</w:t>
            </w:r>
          </w:p>
        </w:tc>
        <w:tc>
          <w:tcPr>
            <w:tcW w:w="929" w:type="dxa"/>
            <w:tcBorders>
              <w:top w:val="nil"/>
              <w:left w:val="nil"/>
              <w:bottom w:val="single" w:color="auto" w:sz="4" w:space="0"/>
              <w:right w:val="single" w:color="auto" w:sz="4" w:space="0"/>
            </w:tcBorders>
            <w:shd w:val="clear" w:color="auto" w:fill="auto"/>
            <w:vAlign w:val="center"/>
          </w:tcPr>
          <w:p w14:paraId="3443500E">
            <w:pPr>
              <w:widowControl/>
              <w:jc w:val="center"/>
              <w:rPr>
                <w:color w:val="000000"/>
                <w:kern w:val="0"/>
                <w:szCs w:val="21"/>
              </w:rPr>
            </w:pPr>
            <w:r>
              <w:rPr>
                <w:color w:val="000000"/>
                <w:kern w:val="0"/>
                <w:szCs w:val="21"/>
              </w:rPr>
              <w:t>总评</w:t>
            </w:r>
          </w:p>
        </w:tc>
      </w:tr>
      <w:tr w14:paraId="17A8B632">
        <w:tblPrEx>
          <w:tblCellMar>
            <w:top w:w="0" w:type="dxa"/>
            <w:left w:w="108" w:type="dxa"/>
            <w:bottom w:w="0" w:type="dxa"/>
            <w:right w:w="108" w:type="dxa"/>
          </w:tblCellMar>
        </w:tblPrEx>
        <w:trPr>
          <w:trHeight w:val="408" w:hRule="atLeast"/>
          <w:jc w:val="center"/>
        </w:trPr>
        <w:tc>
          <w:tcPr>
            <w:tcW w:w="498" w:type="dxa"/>
            <w:tcBorders>
              <w:top w:val="nil"/>
              <w:left w:val="single" w:color="auto" w:sz="4" w:space="0"/>
              <w:bottom w:val="single" w:color="auto" w:sz="4" w:space="0"/>
              <w:right w:val="single" w:color="auto" w:sz="4" w:space="0"/>
            </w:tcBorders>
            <w:shd w:val="clear" w:color="auto" w:fill="auto"/>
            <w:vAlign w:val="center"/>
          </w:tcPr>
          <w:p w14:paraId="3B487B03">
            <w:pPr>
              <w:widowControl/>
              <w:jc w:val="center"/>
              <w:rPr>
                <w:color w:val="000000"/>
                <w:kern w:val="0"/>
                <w:szCs w:val="21"/>
              </w:rPr>
            </w:pPr>
            <w:r>
              <w:rPr>
                <w:color w:val="000000"/>
                <w:kern w:val="0"/>
                <w:szCs w:val="21"/>
              </w:rPr>
              <w:t>1</w:t>
            </w:r>
          </w:p>
        </w:tc>
        <w:tc>
          <w:tcPr>
            <w:tcW w:w="1476" w:type="dxa"/>
            <w:tcBorders>
              <w:top w:val="nil"/>
              <w:left w:val="nil"/>
              <w:bottom w:val="single" w:color="auto" w:sz="4" w:space="0"/>
              <w:right w:val="single" w:color="auto" w:sz="4" w:space="0"/>
            </w:tcBorders>
            <w:shd w:val="clear" w:color="auto" w:fill="auto"/>
            <w:vAlign w:val="center"/>
          </w:tcPr>
          <w:p w14:paraId="70B9E722">
            <w:pPr>
              <w:widowControl/>
              <w:jc w:val="center"/>
              <w:rPr>
                <w:color w:val="000000"/>
                <w:kern w:val="0"/>
                <w:szCs w:val="21"/>
              </w:rPr>
            </w:pPr>
            <w:r>
              <w:rPr>
                <w:color w:val="000000"/>
                <w:kern w:val="0"/>
                <w:szCs w:val="21"/>
              </w:rPr>
              <w:t>工业广场</w:t>
            </w:r>
          </w:p>
        </w:tc>
        <w:tc>
          <w:tcPr>
            <w:tcW w:w="1227" w:type="dxa"/>
            <w:tcBorders>
              <w:top w:val="nil"/>
              <w:left w:val="nil"/>
              <w:bottom w:val="single" w:color="auto" w:sz="4" w:space="0"/>
              <w:right w:val="single" w:color="auto" w:sz="4" w:space="0"/>
            </w:tcBorders>
            <w:shd w:val="clear" w:color="auto" w:fill="auto"/>
            <w:vAlign w:val="center"/>
          </w:tcPr>
          <w:p w14:paraId="0C0FA67D">
            <w:pPr>
              <w:widowControl/>
              <w:jc w:val="center"/>
              <w:rPr>
                <w:color w:val="000000"/>
                <w:kern w:val="0"/>
                <w:szCs w:val="21"/>
              </w:rPr>
            </w:pPr>
            <w:r>
              <w:rPr>
                <w:color w:val="000000"/>
                <w:kern w:val="0"/>
                <w:szCs w:val="21"/>
              </w:rPr>
              <w:t>1.8545</w:t>
            </w:r>
          </w:p>
        </w:tc>
        <w:tc>
          <w:tcPr>
            <w:tcW w:w="995" w:type="dxa"/>
            <w:tcBorders>
              <w:top w:val="nil"/>
              <w:left w:val="nil"/>
              <w:bottom w:val="single" w:color="auto" w:sz="4" w:space="0"/>
              <w:right w:val="single" w:color="auto" w:sz="4" w:space="0"/>
            </w:tcBorders>
            <w:shd w:val="clear" w:color="auto" w:fill="auto"/>
            <w:vAlign w:val="center"/>
          </w:tcPr>
          <w:p w14:paraId="07FFFA9C">
            <w:pPr>
              <w:widowControl/>
              <w:jc w:val="center"/>
              <w:rPr>
                <w:color w:val="000000"/>
                <w:kern w:val="0"/>
                <w:szCs w:val="21"/>
              </w:rPr>
            </w:pPr>
            <w:r>
              <w:rPr>
                <w:color w:val="000000"/>
                <w:kern w:val="0"/>
                <w:szCs w:val="21"/>
              </w:rPr>
              <w:t>较轻</w:t>
            </w:r>
          </w:p>
        </w:tc>
        <w:tc>
          <w:tcPr>
            <w:tcW w:w="829" w:type="dxa"/>
            <w:tcBorders>
              <w:top w:val="nil"/>
              <w:left w:val="nil"/>
              <w:bottom w:val="single" w:color="auto" w:sz="4" w:space="0"/>
              <w:right w:val="single" w:color="auto" w:sz="4" w:space="0"/>
            </w:tcBorders>
            <w:shd w:val="clear" w:color="auto" w:fill="auto"/>
            <w:vAlign w:val="center"/>
          </w:tcPr>
          <w:p w14:paraId="58BD338A">
            <w:pPr>
              <w:widowControl/>
              <w:jc w:val="center"/>
              <w:rPr>
                <w:color w:val="000000"/>
                <w:kern w:val="0"/>
                <w:szCs w:val="21"/>
              </w:rPr>
            </w:pPr>
            <w:r>
              <w:rPr>
                <w:color w:val="000000"/>
                <w:kern w:val="0"/>
                <w:szCs w:val="21"/>
              </w:rPr>
              <w:t>较轻</w:t>
            </w:r>
          </w:p>
        </w:tc>
        <w:tc>
          <w:tcPr>
            <w:tcW w:w="1526" w:type="dxa"/>
            <w:tcBorders>
              <w:top w:val="nil"/>
              <w:left w:val="nil"/>
              <w:bottom w:val="single" w:color="auto" w:sz="4" w:space="0"/>
              <w:right w:val="single" w:color="auto" w:sz="4" w:space="0"/>
            </w:tcBorders>
            <w:shd w:val="clear" w:color="auto" w:fill="auto"/>
            <w:vAlign w:val="center"/>
          </w:tcPr>
          <w:p w14:paraId="0DC685DC">
            <w:pPr>
              <w:widowControl/>
              <w:jc w:val="center"/>
              <w:rPr>
                <w:color w:val="000000"/>
                <w:kern w:val="0"/>
                <w:szCs w:val="21"/>
              </w:rPr>
            </w:pPr>
            <w:r>
              <w:rPr>
                <w:color w:val="000000"/>
                <w:kern w:val="0"/>
                <w:szCs w:val="21"/>
              </w:rPr>
              <w:t>严重</w:t>
            </w:r>
          </w:p>
        </w:tc>
        <w:tc>
          <w:tcPr>
            <w:tcW w:w="1326" w:type="dxa"/>
            <w:tcBorders>
              <w:top w:val="nil"/>
              <w:left w:val="nil"/>
              <w:bottom w:val="single" w:color="auto" w:sz="4" w:space="0"/>
              <w:right w:val="single" w:color="auto" w:sz="4" w:space="0"/>
            </w:tcBorders>
            <w:shd w:val="clear" w:color="auto" w:fill="auto"/>
            <w:vAlign w:val="center"/>
          </w:tcPr>
          <w:p w14:paraId="76286F12">
            <w:pPr>
              <w:widowControl/>
              <w:jc w:val="center"/>
              <w:rPr>
                <w:color w:val="000000"/>
                <w:kern w:val="0"/>
                <w:szCs w:val="21"/>
              </w:rPr>
            </w:pPr>
            <w:r>
              <w:rPr>
                <w:color w:val="000000"/>
                <w:kern w:val="0"/>
                <w:szCs w:val="21"/>
              </w:rPr>
              <w:t>较轻</w:t>
            </w:r>
          </w:p>
        </w:tc>
        <w:tc>
          <w:tcPr>
            <w:tcW w:w="929" w:type="dxa"/>
            <w:tcBorders>
              <w:top w:val="nil"/>
              <w:left w:val="nil"/>
              <w:bottom w:val="single" w:color="auto" w:sz="4" w:space="0"/>
              <w:right w:val="single" w:color="auto" w:sz="4" w:space="0"/>
            </w:tcBorders>
            <w:shd w:val="clear" w:color="auto" w:fill="auto"/>
            <w:vAlign w:val="center"/>
          </w:tcPr>
          <w:p w14:paraId="4E1520EB">
            <w:pPr>
              <w:widowControl/>
              <w:jc w:val="center"/>
              <w:rPr>
                <w:color w:val="000000"/>
                <w:kern w:val="0"/>
                <w:szCs w:val="21"/>
              </w:rPr>
            </w:pPr>
            <w:r>
              <w:rPr>
                <w:color w:val="000000"/>
                <w:kern w:val="0"/>
                <w:szCs w:val="21"/>
              </w:rPr>
              <w:t>严重</w:t>
            </w:r>
          </w:p>
        </w:tc>
      </w:tr>
      <w:tr w14:paraId="0072CD6F">
        <w:tblPrEx>
          <w:tblCellMar>
            <w:top w:w="0" w:type="dxa"/>
            <w:left w:w="108" w:type="dxa"/>
            <w:bottom w:w="0" w:type="dxa"/>
            <w:right w:w="108" w:type="dxa"/>
          </w:tblCellMar>
        </w:tblPrEx>
        <w:trPr>
          <w:trHeight w:val="408" w:hRule="atLeast"/>
          <w:jc w:val="center"/>
        </w:trPr>
        <w:tc>
          <w:tcPr>
            <w:tcW w:w="498" w:type="dxa"/>
            <w:tcBorders>
              <w:top w:val="nil"/>
              <w:left w:val="single" w:color="auto" w:sz="4" w:space="0"/>
              <w:bottom w:val="single" w:color="auto" w:sz="4" w:space="0"/>
              <w:right w:val="single" w:color="auto" w:sz="4" w:space="0"/>
            </w:tcBorders>
            <w:shd w:val="clear" w:color="auto" w:fill="auto"/>
            <w:vAlign w:val="center"/>
          </w:tcPr>
          <w:p w14:paraId="4E5F03ED">
            <w:pPr>
              <w:widowControl/>
              <w:jc w:val="center"/>
              <w:rPr>
                <w:color w:val="000000"/>
                <w:kern w:val="0"/>
                <w:szCs w:val="21"/>
              </w:rPr>
            </w:pPr>
            <w:r>
              <w:rPr>
                <w:color w:val="000000"/>
                <w:kern w:val="0"/>
                <w:szCs w:val="21"/>
              </w:rPr>
              <w:t>2</w:t>
            </w:r>
          </w:p>
        </w:tc>
        <w:tc>
          <w:tcPr>
            <w:tcW w:w="1476" w:type="dxa"/>
            <w:tcBorders>
              <w:top w:val="nil"/>
              <w:left w:val="nil"/>
              <w:bottom w:val="single" w:color="auto" w:sz="4" w:space="0"/>
              <w:right w:val="single" w:color="auto" w:sz="4" w:space="0"/>
            </w:tcBorders>
            <w:shd w:val="clear" w:color="auto" w:fill="auto"/>
            <w:vAlign w:val="center"/>
          </w:tcPr>
          <w:p w14:paraId="1E085048">
            <w:pPr>
              <w:widowControl/>
              <w:jc w:val="center"/>
              <w:rPr>
                <w:color w:val="000000"/>
                <w:kern w:val="0"/>
                <w:szCs w:val="21"/>
              </w:rPr>
            </w:pPr>
            <w:r>
              <w:rPr>
                <w:color w:val="000000"/>
                <w:kern w:val="0"/>
                <w:szCs w:val="21"/>
              </w:rPr>
              <w:t>边坡区</w:t>
            </w:r>
          </w:p>
        </w:tc>
        <w:tc>
          <w:tcPr>
            <w:tcW w:w="1227" w:type="dxa"/>
            <w:tcBorders>
              <w:top w:val="nil"/>
              <w:left w:val="nil"/>
              <w:bottom w:val="single" w:color="auto" w:sz="4" w:space="0"/>
              <w:right w:val="single" w:color="auto" w:sz="4" w:space="0"/>
            </w:tcBorders>
            <w:shd w:val="clear" w:color="auto" w:fill="auto"/>
            <w:vAlign w:val="center"/>
          </w:tcPr>
          <w:p w14:paraId="1EDDFD66">
            <w:pPr>
              <w:widowControl/>
              <w:jc w:val="center"/>
              <w:rPr>
                <w:color w:val="000000"/>
                <w:kern w:val="0"/>
                <w:szCs w:val="21"/>
              </w:rPr>
            </w:pPr>
            <w:r>
              <w:rPr>
                <w:color w:val="000000"/>
                <w:kern w:val="0"/>
                <w:szCs w:val="21"/>
              </w:rPr>
              <w:t>0.5603</w:t>
            </w:r>
          </w:p>
        </w:tc>
        <w:tc>
          <w:tcPr>
            <w:tcW w:w="995" w:type="dxa"/>
            <w:tcBorders>
              <w:top w:val="nil"/>
              <w:left w:val="nil"/>
              <w:bottom w:val="single" w:color="auto" w:sz="4" w:space="0"/>
              <w:right w:val="single" w:color="auto" w:sz="4" w:space="0"/>
            </w:tcBorders>
            <w:shd w:val="clear" w:color="auto" w:fill="auto"/>
            <w:vAlign w:val="center"/>
          </w:tcPr>
          <w:p w14:paraId="2EFDF00C">
            <w:pPr>
              <w:widowControl/>
              <w:jc w:val="center"/>
              <w:rPr>
                <w:color w:val="000000"/>
                <w:kern w:val="0"/>
                <w:szCs w:val="21"/>
              </w:rPr>
            </w:pPr>
            <w:r>
              <w:rPr>
                <w:color w:val="000000"/>
                <w:kern w:val="0"/>
                <w:szCs w:val="21"/>
              </w:rPr>
              <w:t>较轻</w:t>
            </w:r>
          </w:p>
        </w:tc>
        <w:tc>
          <w:tcPr>
            <w:tcW w:w="829" w:type="dxa"/>
            <w:tcBorders>
              <w:top w:val="nil"/>
              <w:left w:val="nil"/>
              <w:bottom w:val="single" w:color="auto" w:sz="4" w:space="0"/>
              <w:right w:val="single" w:color="auto" w:sz="4" w:space="0"/>
            </w:tcBorders>
            <w:shd w:val="clear" w:color="auto" w:fill="auto"/>
            <w:vAlign w:val="center"/>
          </w:tcPr>
          <w:p w14:paraId="2D1B77CE">
            <w:pPr>
              <w:widowControl/>
              <w:jc w:val="center"/>
              <w:rPr>
                <w:color w:val="000000"/>
                <w:kern w:val="0"/>
                <w:szCs w:val="21"/>
              </w:rPr>
            </w:pPr>
            <w:r>
              <w:rPr>
                <w:color w:val="000000"/>
                <w:kern w:val="0"/>
                <w:szCs w:val="21"/>
              </w:rPr>
              <w:t>较轻</w:t>
            </w:r>
          </w:p>
        </w:tc>
        <w:tc>
          <w:tcPr>
            <w:tcW w:w="1526" w:type="dxa"/>
            <w:tcBorders>
              <w:top w:val="nil"/>
              <w:left w:val="nil"/>
              <w:bottom w:val="single" w:color="auto" w:sz="4" w:space="0"/>
              <w:right w:val="single" w:color="auto" w:sz="4" w:space="0"/>
            </w:tcBorders>
            <w:shd w:val="clear" w:color="auto" w:fill="auto"/>
            <w:vAlign w:val="center"/>
          </w:tcPr>
          <w:p w14:paraId="09EED873">
            <w:pPr>
              <w:widowControl/>
              <w:jc w:val="center"/>
              <w:rPr>
                <w:color w:val="000000"/>
                <w:kern w:val="0"/>
                <w:szCs w:val="21"/>
              </w:rPr>
            </w:pPr>
            <w:r>
              <w:rPr>
                <w:color w:val="000000"/>
                <w:kern w:val="0"/>
                <w:szCs w:val="21"/>
              </w:rPr>
              <w:t>严重</w:t>
            </w:r>
          </w:p>
        </w:tc>
        <w:tc>
          <w:tcPr>
            <w:tcW w:w="1326" w:type="dxa"/>
            <w:tcBorders>
              <w:top w:val="nil"/>
              <w:left w:val="nil"/>
              <w:bottom w:val="single" w:color="auto" w:sz="4" w:space="0"/>
              <w:right w:val="single" w:color="auto" w:sz="4" w:space="0"/>
            </w:tcBorders>
            <w:shd w:val="clear" w:color="auto" w:fill="auto"/>
            <w:vAlign w:val="center"/>
          </w:tcPr>
          <w:p w14:paraId="7E9DA4C7">
            <w:pPr>
              <w:widowControl/>
              <w:jc w:val="center"/>
              <w:rPr>
                <w:color w:val="000000"/>
                <w:kern w:val="0"/>
                <w:szCs w:val="21"/>
              </w:rPr>
            </w:pPr>
            <w:r>
              <w:rPr>
                <w:color w:val="000000"/>
                <w:kern w:val="0"/>
                <w:szCs w:val="21"/>
              </w:rPr>
              <w:t>较轻</w:t>
            </w:r>
          </w:p>
        </w:tc>
        <w:tc>
          <w:tcPr>
            <w:tcW w:w="929" w:type="dxa"/>
            <w:tcBorders>
              <w:top w:val="nil"/>
              <w:left w:val="nil"/>
              <w:bottom w:val="single" w:color="auto" w:sz="4" w:space="0"/>
              <w:right w:val="single" w:color="auto" w:sz="4" w:space="0"/>
            </w:tcBorders>
            <w:shd w:val="clear" w:color="auto" w:fill="auto"/>
            <w:vAlign w:val="center"/>
          </w:tcPr>
          <w:p w14:paraId="1EBE99FB">
            <w:pPr>
              <w:widowControl/>
              <w:jc w:val="center"/>
              <w:rPr>
                <w:color w:val="000000"/>
                <w:kern w:val="0"/>
                <w:szCs w:val="21"/>
              </w:rPr>
            </w:pPr>
            <w:r>
              <w:rPr>
                <w:color w:val="000000"/>
                <w:kern w:val="0"/>
                <w:szCs w:val="21"/>
              </w:rPr>
              <w:t>严重</w:t>
            </w:r>
          </w:p>
        </w:tc>
      </w:tr>
      <w:tr w14:paraId="19BF818B">
        <w:tblPrEx>
          <w:tblCellMar>
            <w:top w:w="0" w:type="dxa"/>
            <w:left w:w="108" w:type="dxa"/>
            <w:bottom w:w="0" w:type="dxa"/>
            <w:right w:w="108" w:type="dxa"/>
          </w:tblCellMar>
        </w:tblPrEx>
        <w:trPr>
          <w:trHeight w:val="408" w:hRule="atLeast"/>
          <w:jc w:val="center"/>
        </w:trPr>
        <w:tc>
          <w:tcPr>
            <w:tcW w:w="498" w:type="dxa"/>
            <w:tcBorders>
              <w:top w:val="nil"/>
              <w:left w:val="single" w:color="auto" w:sz="4" w:space="0"/>
              <w:bottom w:val="single" w:color="auto" w:sz="4" w:space="0"/>
              <w:right w:val="single" w:color="auto" w:sz="4" w:space="0"/>
            </w:tcBorders>
            <w:shd w:val="clear" w:color="auto" w:fill="auto"/>
            <w:vAlign w:val="center"/>
          </w:tcPr>
          <w:p w14:paraId="693C3C7C">
            <w:pPr>
              <w:widowControl/>
              <w:jc w:val="center"/>
              <w:rPr>
                <w:color w:val="000000"/>
                <w:kern w:val="0"/>
                <w:szCs w:val="21"/>
              </w:rPr>
            </w:pPr>
            <w:r>
              <w:rPr>
                <w:color w:val="000000"/>
                <w:kern w:val="0"/>
                <w:szCs w:val="21"/>
              </w:rPr>
              <w:t>3</w:t>
            </w:r>
          </w:p>
        </w:tc>
        <w:tc>
          <w:tcPr>
            <w:tcW w:w="1476" w:type="dxa"/>
            <w:tcBorders>
              <w:top w:val="nil"/>
              <w:left w:val="nil"/>
              <w:bottom w:val="single" w:color="auto" w:sz="4" w:space="0"/>
              <w:right w:val="single" w:color="auto" w:sz="4" w:space="0"/>
            </w:tcBorders>
            <w:shd w:val="clear" w:color="auto" w:fill="auto"/>
            <w:vAlign w:val="center"/>
          </w:tcPr>
          <w:p w14:paraId="473D0FE1">
            <w:pPr>
              <w:widowControl/>
              <w:jc w:val="center"/>
              <w:rPr>
                <w:color w:val="000000"/>
                <w:kern w:val="0"/>
                <w:szCs w:val="21"/>
              </w:rPr>
            </w:pPr>
            <w:r>
              <w:rPr>
                <w:color w:val="000000"/>
                <w:kern w:val="0"/>
                <w:szCs w:val="21"/>
              </w:rPr>
              <w:t>评估区其他区域</w:t>
            </w:r>
          </w:p>
        </w:tc>
        <w:tc>
          <w:tcPr>
            <w:tcW w:w="1227" w:type="dxa"/>
            <w:tcBorders>
              <w:top w:val="nil"/>
              <w:left w:val="nil"/>
              <w:bottom w:val="single" w:color="auto" w:sz="4" w:space="0"/>
              <w:right w:val="single" w:color="auto" w:sz="4" w:space="0"/>
            </w:tcBorders>
            <w:shd w:val="clear" w:color="auto" w:fill="auto"/>
            <w:vAlign w:val="center"/>
          </w:tcPr>
          <w:p w14:paraId="6FDF6671">
            <w:pPr>
              <w:widowControl/>
              <w:jc w:val="center"/>
              <w:rPr>
                <w:color w:val="000000"/>
                <w:kern w:val="0"/>
                <w:szCs w:val="21"/>
              </w:rPr>
            </w:pPr>
            <w:r>
              <w:rPr>
                <w:color w:val="000000"/>
                <w:kern w:val="0"/>
                <w:szCs w:val="21"/>
              </w:rPr>
              <w:t>3.9805</w:t>
            </w:r>
          </w:p>
        </w:tc>
        <w:tc>
          <w:tcPr>
            <w:tcW w:w="995" w:type="dxa"/>
            <w:tcBorders>
              <w:top w:val="nil"/>
              <w:left w:val="nil"/>
              <w:bottom w:val="single" w:color="auto" w:sz="4" w:space="0"/>
              <w:right w:val="single" w:color="auto" w:sz="4" w:space="0"/>
            </w:tcBorders>
            <w:shd w:val="clear" w:color="auto" w:fill="auto"/>
            <w:vAlign w:val="center"/>
          </w:tcPr>
          <w:p w14:paraId="2A234DD1">
            <w:pPr>
              <w:widowControl/>
              <w:jc w:val="center"/>
              <w:rPr>
                <w:color w:val="000000"/>
                <w:kern w:val="0"/>
                <w:szCs w:val="21"/>
              </w:rPr>
            </w:pPr>
            <w:r>
              <w:rPr>
                <w:color w:val="000000"/>
                <w:kern w:val="0"/>
                <w:szCs w:val="21"/>
              </w:rPr>
              <w:t>较轻</w:t>
            </w:r>
          </w:p>
        </w:tc>
        <w:tc>
          <w:tcPr>
            <w:tcW w:w="829" w:type="dxa"/>
            <w:tcBorders>
              <w:top w:val="nil"/>
              <w:left w:val="nil"/>
              <w:bottom w:val="single" w:color="auto" w:sz="4" w:space="0"/>
              <w:right w:val="single" w:color="auto" w:sz="4" w:space="0"/>
            </w:tcBorders>
            <w:shd w:val="clear" w:color="auto" w:fill="auto"/>
            <w:vAlign w:val="center"/>
          </w:tcPr>
          <w:p w14:paraId="0187F235">
            <w:pPr>
              <w:widowControl/>
              <w:jc w:val="center"/>
              <w:rPr>
                <w:color w:val="000000"/>
                <w:kern w:val="0"/>
                <w:szCs w:val="21"/>
              </w:rPr>
            </w:pPr>
            <w:r>
              <w:rPr>
                <w:color w:val="000000"/>
                <w:kern w:val="0"/>
                <w:szCs w:val="21"/>
              </w:rPr>
              <w:t>较轻</w:t>
            </w:r>
          </w:p>
        </w:tc>
        <w:tc>
          <w:tcPr>
            <w:tcW w:w="1526" w:type="dxa"/>
            <w:tcBorders>
              <w:top w:val="nil"/>
              <w:left w:val="nil"/>
              <w:bottom w:val="single" w:color="auto" w:sz="4" w:space="0"/>
              <w:right w:val="single" w:color="auto" w:sz="4" w:space="0"/>
            </w:tcBorders>
            <w:shd w:val="clear" w:color="auto" w:fill="auto"/>
            <w:vAlign w:val="center"/>
          </w:tcPr>
          <w:p w14:paraId="26E3F386">
            <w:pPr>
              <w:widowControl/>
              <w:jc w:val="center"/>
              <w:rPr>
                <w:color w:val="000000"/>
                <w:kern w:val="0"/>
                <w:szCs w:val="21"/>
              </w:rPr>
            </w:pPr>
            <w:r>
              <w:rPr>
                <w:color w:val="000000"/>
                <w:kern w:val="0"/>
                <w:szCs w:val="21"/>
              </w:rPr>
              <w:t>较轻</w:t>
            </w:r>
          </w:p>
        </w:tc>
        <w:tc>
          <w:tcPr>
            <w:tcW w:w="1326" w:type="dxa"/>
            <w:tcBorders>
              <w:top w:val="nil"/>
              <w:left w:val="nil"/>
              <w:bottom w:val="single" w:color="auto" w:sz="4" w:space="0"/>
              <w:right w:val="single" w:color="auto" w:sz="4" w:space="0"/>
            </w:tcBorders>
            <w:shd w:val="clear" w:color="auto" w:fill="auto"/>
            <w:vAlign w:val="center"/>
          </w:tcPr>
          <w:p w14:paraId="362DD6ED">
            <w:pPr>
              <w:widowControl/>
              <w:jc w:val="center"/>
              <w:rPr>
                <w:color w:val="000000"/>
                <w:kern w:val="0"/>
                <w:szCs w:val="21"/>
              </w:rPr>
            </w:pPr>
            <w:r>
              <w:rPr>
                <w:color w:val="000000"/>
                <w:kern w:val="0"/>
                <w:szCs w:val="21"/>
              </w:rPr>
              <w:t>较轻</w:t>
            </w:r>
          </w:p>
        </w:tc>
        <w:tc>
          <w:tcPr>
            <w:tcW w:w="929" w:type="dxa"/>
            <w:tcBorders>
              <w:top w:val="nil"/>
              <w:left w:val="nil"/>
              <w:bottom w:val="single" w:color="auto" w:sz="4" w:space="0"/>
              <w:right w:val="single" w:color="auto" w:sz="4" w:space="0"/>
            </w:tcBorders>
            <w:shd w:val="clear" w:color="auto" w:fill="auto"/>
            <w:vAlign w:val="center"/>
          </w:tcPr>
          <w:p w14:paraId="041B3865">
            <w:pPr>
              <w:widowControl/>
              <w:jc w:val="center"/>
              <w:rPr>
                <w:color w:val="000000"/>
                <w:kern w:val="0"/>
                <w:szCs w:val="21"/>
              </w:rPr>
            </w:pPr>
            <w:r>
              <w:rPr>
                <w:color w:val="000000"/>
                <w:kern w:val="0"/>
                <w:szCs w:val="21"/>
              </w:rPr>
              <w:t>较轻</w:t>
            </w:r>
          </w:p>
        </w:tc>
      </w:tr>
    </w:tbl>
    <w:p w14:paraId="5CF7455C">
      <w:pPr>
        <w:spacing w:line="360" w:lineRule="auto"/>
        <w:ind w:firstLine="480" w:firstLineChars="200"/>
        <w:rPr>
          <w:rFonts w:eastAsiaTheme="minorEastAsia"/>
          <w:sz w:val="24"/>
        </w:rPr>
      </w:pPr>
      <w:r>
        <w:rPr>
          <w:rFonts w:eastAsiaTheme="minorEastAsia"/>
          <w:sz w:val="24"/>
        </w:rPr>
        <w:t>2、预测评估总评</w:t>
      </w:r>
    </w:p>
    <w:p w14:paraId="63A47989">
      <w:pPr>
        <w:spacing w:line="360" w:lineRule="auto"/>
        <w:ind w:firstLine="480" w:firstLineChars="200"/>
        <w:jc w:val="left"/>
        <w:rPr>
          <w:rFonts w:eastAsiaTheme="minorEastAsia"/>
          <w:color w:val="000000"/>
          <w:sz w:val="24"/>
        </w:rPr>
      </w:pPr>
      <w:r>
        <w:rPr>
          <w:rFonts w:eastAsiaTheme="minorEastAsia"/>
          <w:color w:val="000000"/>
          <w:sz w:val="24"/>
        </w:rPr>
        <w:t>通过以上对</w:t>
      </w:r>
      <w:r>
        <w:rPr>
          <w:sz w:val="24"/>
          <w:lang w:val="zh-CN"/>
        </w:rPr>
        <w:t>广元市利州区紫兰建材厂砖瓦用页岩矿水泥用石灰岩矿</w:t>
      </w:r>
      <w:r>
        <w:rPr>
          <w:rFonts w:eastAsiaTheme="minorEastAsia"/>
          <w:color w:val="000000"/>
          <w:sz w:val="24"/>
        </w:rPr>
        <w:t>矿山地质环境四个方面的预测，按照就高不就低的原则，将矿山地质环境影响预测评估结果汇总，见表3-7。</w:t>
      </w:r>
    </w:p>
    <w:p w14:paraId="10A03856">
      <w:pPr>
        <w:jc w:val="center"/>
        <w:rPr>
          <w:rFonts w:eastAsiaTheme="minorEastAsia"/>
          <w:b/>
          <w:szCs w:val="21"/>
        </w:rPr>
      </w:pPr>
    </w:p>
    <w:p w14:paraId="08CC28ED">
      <w:pPr>
        <w:jc w:val="center"/>
        <w:rPr>
          <w:rFonts w:eastAsiaTheme="minorEastAsia"/>
          <w:b/>
          <w:szCs w:val="21"/>
        </w:rPr>
      </w:pPr>
      <w:r>
        <w:rPr>
          <w:rFonts w:eastAsiaTheme="minorEastAsia"/>
          <w:b/>
          <w:szCs w:val="21"/>
        </w:rPr>
        <w:t>表3-7矿山地质环境影响预测评估汇总表</w:t>
      </w:r>
    </w:p>
    <w:tbl>
      <w:tblPr>
        <w:tblStyle w:val="29"/>
        <w:tblW w:w="8804" w:type="dxa"/>
        <w:jc w:val="center"/>
        <w:tblLayout w:type="autofit"/>
        <w:tblCellMar>
          <w:top w:w="0" w:type="dxa"/>
          <w:left w:w="108" w:type="dxa"/>
          <w:bottom w:w="0" w:type="dxa"/>
          <w:right w:w="108" w:type="dxa"/>
        </w:tblCellMar>
      </w:tblPr>
      <w:tblGrid>
        <w:gridCol w:w="497"/>
        <w:gridCol w:w="1475"/>
        <w:gridCol w:w="1227"/>
        <w:gridCol w:w="995"/>
        <w:gridCol w:w="830"/>
        <w:gridCol w:w="1525"/>
        <w:gridCol w:w="1326"/>
        <w:gridCol w:w="929"/>
      </w:tblGrid>
      <w:tr w14:paraId="03D9FB31">
        <w:tblPrEx>
          <w:tblCellMar>
            <w:top w:w="0" w:type="dxa"/>
            <w:left w:w="108" w:type="dxa"/>
            <w:bottom w:w="0" w:type="dxa"/>
            <w:right w:w="108" w:type="dxa"/>
          </w:tblCellMar>
        </w:tblPrEx>
        <w:trPr>
          <w:trHeight w:val="232" w:hRule="atLeast"/>
          <w:jc w:val="center"/>
        </w:trPr>
        <w:tc>
          <w:tcPr>
            <w:tcW w:w="49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9E2BA76">
            <w:pPr>
              <w:widowControl/>
              <w:jc w:val="center"/>
              <w:rPr>
                <w:color w:val="000000"/>
                <w:kern w:val="0"/>
                <w:szCs w:val="21"/>
              </w:rPr>
            </w:pPr>
            <w:r>
              <w:rPr>
                <w:color w:val="000000"/>
                <w:kern w:val="0"/>
                <w:szCs w:val="21"/>
              </w:rPr>
              <w:t>序号</w:t>
            </w:r>
          </w:p>
        </w:tc>
        <w:tc>
          <w:tcPr>
            <w:tcW w:w="147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BEDB8C8">
            <w:pPr>
              <w:widowControl/>
              <w:jc w:val="center"/>
              <w:rPr>
                <w:color w:val="000000"/>
                <w:kern w:val="0"/>
                <w:szCs w:val="21"/>
              </w:rPr>
            </w:pPr>
            <w:r>
              <w:rPr>
                <w:color w:val="000000"/>
                <w:kern w:val="0"/>
                <w:szCs w:val="21"/>
              </w:rPr>
              <w:t>评估对象</w:t>
            </w:r>
          </w:p>
        </w:tc>
        <w:tc>
          <w:tcPr>
            <w:tcW w:w="122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75417A2">
            <w:pPr>
              <w:widowControl/>
              <w:jc w:val="center"/>
              <w:rPr>
                <w:color w:val="000000"/>
                <w:kern w:val="0"/>
                <w:szCs w:val="21"/>
              </w:rPr>
            </w:pPr>
            <w:r>
              <w:rPr>
                <w:color w:val="000000"/>
                <w:kern w:val="0"/>
                <w:szCs w:val="21"/>
              </w:rPr>
              <w:t>面积（hm</w:t>
            </w:r>
            <w:r>
              <w:rPr>
                <w:color w:val="000000"/>
                <w:kern w:val="0"/>
                <w:szCs w:val="21"/>
                <w:vertAlign w:val="superscript"/>
              </w:rPr>
              <w:t>2</w:t>
            </w:r>
            <w:r>
              <w:rPr>
                <w:color w:val="000000"/>
                <w:kern w:val="0"/>
                <w:szCs w:val="21"/>
              </w:rPr>
              <w:t>）</w:t>
            </w:r>
          </w:p>
        </w:tc>
        <w:tc>
          <w:tcPr>
            <w:tcW w:w="5605" w:type="dxa"/>
            <w:gridSpan w:val="5"/>
            <w:tcBorders>
              <w:top w:val="single" w:color="auto" w:sz="4" w:space="0"/>
              <w:left w:val="nil"/>
              <w:bottom w:val="single" w:color="auto" w:sz="4" w:space="0"/>
              <w:right w:val="single" w:color="auto" w:sz="4" w:space="0"/>
            </w:tcBorders>
            <w:shd w:val="clear" w:color="auto" w:fill="auto"/>
            <w:vAlign w:val="center"/>
          </w:tcPr>
          <w:p w14:paraId="3C876646">
            <w:pPr>
              <w:widowControl/>
              <w:jc w:val="center"/>
              <w:rPr>
                <w:color w:val="000000"/>
                <w:kern w:val="0"/>
                <w:szCs w:val="21"/>
              </w:rPr>
            </w:pPr>
            <w:r>
              <w:rPr>
                <w:color w:val="000000"/>
                <w:kern w:val="0"/>
                <w:szCs w:val="21"/>
              </w:rPr>
              <w:t>预测</w:t>
            </w:r>
          </w:p>
        </w:tc>
      </w:tr>
      <w:tr w14:paraId="42B85F2B">
        <w:tblPrEx>
          <w:tblCellMar>
            <w:top w:w="0" w:type="dxa"/>
            <w:left w:w="108" w:type="dxa"/>
            <w:bottom w:w="0" w:type="dxa"/>
            <w:right w:w="108" w:type="dxa"/>
          </w:tblCellMar>
        </w:tblPrEx>
        <w:trPr>
          <w:trHeight w:val="232" w:hRule="atLeast"/>
          <w:jc w:val="center"/>
        </w:trPr>
        <w:tc>
          <w:tcPr>
            <w:tcW w:w="497" w:type="dxa"/>
            <w:vMerge w:val="continue"/>
            <w:tcBorders>
              <w:top w:val="single" w:color="auto" w:sz="4" w:space="0"/>
              <w:left w:val="single" w:color="auto" w:sz="4" w:space="0"/>
              <w:bottom w:val="single" w:color="auto" w:sz="4" w:space="0"/>
              <w:right w:val="single" w:color="auto" w:sz="4" w:space="0"/>
            </w:tcBorders>
            <w:vAlign w:val="center"/>
          </w:tcPr>
          <w:p w14:paraId="0D1C53FC">
            <w:pPr>
              <w:widowControl/>
              <w:jc w:val="left"/>
              <w:rPr>
                <w:color w:val="000000"/>
                <w:kern w:val="0"/>
                <w:szCs w:val="21"/>
              </w:rPr>
            </w:pPr>
          </w:p>
        </w:tc>
        <w:tc>
          <w:tcPr>
            <w:tcW w:w="1475" w:type="dxa"/>
            <w:vMerge w:val="continue"/>
            <w:tcBorders>
              <w:top w:val="single" w:color="auto" w:sz="4" w:space="0"/>
              <w:left w:val="single" w:color="auto" w:sz="4" w:space="0"/>
              <w:bottom w:val="single" w:color="auto" w:sz="4" w:space="0"/>
              <w:right w:val="single" w:color="auto" w:sz="4" w:space="0"/>
            </w:tcBorders>
            <w:vAlign w:val="center"/>
          </w:tcPr>
          <w:p w14:paraId="6E77F6C8">
            <w:pPr>
              <w:widowControl/>
              <w:jc w:val="left"/>
              <w:rPr>
                <w:color w:val="000000"/>
                <w:kern w:val="0"/>
                <w:szCs w:val="21"/>
              </w:rPr>
            </w:pPr>
          </w:p>
        </w:tc>
        <w:tc>
          <w:tcPr>
            <w:tcW w:w="1227" w:type="dxa"/>
            <w:vMerge w:val="continue"/>
            <w:tcBorders>
              <w:top w:val="single" w:color="auto" w:sz="4" w:space="0"/>
              <w:left w:val="single" w:color="auto" w:sz="4" w:space="0"/>
              <w:bottom w:val="single" w:color="auto" w:sz="4" w:space="0"/>
              <w:right w:val="single" w:color="auto" w:sz="4" w:space="0"/>
            </w:tcBorders>
            <w:vAlign w:val="center"/>
          </w:tcPr>
          <w:p w14:paraId="53D6FD0E">
            <w:pPr>
              <w:widowControl/>
              <w:jc w:val="left"/>
              <w:rPr>
                <w:color w:val="000000"/>
                <w:kern w:val="0"/>
                <w:szCs w:val="21"/>
              </w:rPr>
            </w:pPr>
          </w:p>
        </w:tc>
        <w:tc>
          <w:tcPr>
            <w:tcW w:w="995" w:type="dxa"/>
            <w:tcBorders>
              <w:top w:val="nil"/>
              <w:left w:val="nil"/>
              <w:bottom w:val="single" w:color="auto" w:sz="4" w:space="0"/>
              <w:right w:val="single" w:color="auto" w:sz="4" w:space="0"/>
            </w:tcBorders>
            <w:shd w:val="clear" w:color="auto" w:fill="auto"/>
            <w:vAlign w:val="center"/>
          </w:tcPr>
          <w:p w14:paraId="5E89A07E">
            <w:pPr>
              <w:widowControl/>
              <w:jc w:val="center"/>
              <w:rPr>
                <w:color w:val="000000"/>
                <w:kern w:val="0"/>
                <w:szCs w:val="21"/>
              </w:rPr>
            </w:pPr>
            <w:r>
              <w:rPr>
                <w:color w:val="000000"/>
                <w:kern w:val="0"/>
                <w:szCs w:val="21"/>
              </w:rPr>
              <w:t>地质灾害</w:t>
            </w:r>
          </w:p>
        </w:tc>
        <w:tc>
          <w:tcPr>
            <w:tcW w:w="830" w:type="dxa"/>
            <w:tcBorders>
              <w:top w:val="nil"/>
              <w:left w:val="nil"/>
              <w:bottom w:val="single" w:color="auto" w:sz="4" w:space="0"/>
              <w:right w:val="single" w:color="auto" w:sz="4" w:space="0"/>
            </w:tcBorders>
            <w:shd w:val="clear" w:color="auto" w:fill="auto"/>
            <w:vAlign w:val="center"/>
          </w:tcPr>
          <w:p w14:paraId="3022769D">
            <w:pPr>
              <w:widowControl/>
              <w:jc w:val="center"/>
              <w:rPr>
                <w:color w:val="000000"/>
                <w:kern w:val="0"/>
                <w:szCs w:val="21"/>
              </w:rPr>
            </w:pPr>
            <w:r>
              <w:rPr>
                <w:color w:val="000000"/>
                <w:kern w:val="0"/>
                <w:szCs w:val="21"/>
              </w:rPr>
              <w:t>含水层</w:t>
            </w:r>
          </w:p>
        </w:tc>
        <w:tc>
          <w:tcPr>
            <w:tcW w:w="1525" w:type="dxa"/>
            <w:tcBorders>
              <w:top w:val="nil"/>
              <w:left w:val="nil"/>
              <w:bottom w:val="single" w:color="auto" w:sz="4" w:space="0"/>
              <w:right w:val="single" w:color="auto" w:sz="4" w:space="0"/>
            </w:tcBorders>
            <w:shd w:val="clear" w:color="auto" w:fill="auto"/>
            <w:vAlign w:val="center"/>
          </w:tcPr>
          <w:p w14:paraId="26615EFB">
            <w:pPr>
              <w:widowControl/>
              <w:jc w:val="center"/>
              <w:rPr>
                <w:color w:val="000000"/>
                <w:kern w:val="0"/>
                <w:szCs w:val="21"/>
              </w:rPr>
            </w:pPr>
            <w:r>
              <w:rPr>
                <w:color w:val="000000"/>
                <w:kern w:val="0"/>
                <w:szCs w:val="21"/>
              </w:rPr>
              <w:t>地形地貌景观</w:t>
            </w:r>
          </w:p>
        </w:tc>
        <w:tc>
          <w:tcPr>
            <w:tcW w:w="1326" w:type="dxa"/>
            <w:tcBorders>
              <w:top w:val="nil"/>
              <w:left w:val="nil"/>
              <w:bottom w:val="single" w:color="auto" w:sz="4" w:space="0"/>
              <w:right w:val="single" w:color="auto" w:sz="4" w:space="0"/>
            </w:tcBorders>
            <w:shd w:val="clear" w:color="auto" w:fill="auto"/>
            <w:vAlign w:val="center"/>
          </w:tcPr>
          <w:p w14:paraId="518D053D">
            <w:pPr>
              <w:widowControl/>
              <w:jc w:val="center"/>
              <w:rPr>
                <w:color w:val="000000"/>
                <w:kern w:val="0"/>
                <w:szCs w:val="21"/>
              </w:rPr>
            </w:pPr>
            <w:r>
              <w:rPr>
                <w:color w:val="000000"/>
                <w:kern w:val="0"/>
                <w:szCs w:val="21"/>
              </w:rPr>
              <w:t>水土环境污染</w:t>
            </w:r>
          </w:p>
        </w:tc>
        <w:tc>
          <w:tcPr>
            <w:tcW w:w="928" w:type="dxa"/>
            <w:tcBorders>
              <w:top w:val="nil"/>
              <w:left w:val="nil"/>
              <w:bottom w:val="single" w:color="auto" w:sz="4" w:space="0"/>
              <w:right w:val="single" w:color="auto" w:sz="4" w:space="0"/>
            </w:tcBorders>
            <w:shd w:val="clear" w:color="auto" w:fill="auto"/>
            <w:vAlign w:val="center"/>
          </w:tcPr>
          <w:p w14:paraId="7B0D70ED">
            <w:pPr>
              <w:widowControl/>
              <w:jc w:val="center"/>
              <w:rPr>
                <w:color w:val="000000"/>
                <w:kern w:val="0"/>
                <w:szCs w:val="21"/>
              </w:rPr>
            </w:pPr>
            <w:r>
              <w:rPr>
                <w:color w:val="000000"/>
                <w:kern w:val="0"/>
                <w:szCs w:val="21"/>
              </w:rPr>
              <w:t>总评</w:t>
            </w:r>
          </w:p>
        </w:tc>
      </w:tr>
      <w:tr w14:paraId="645F7F15">
        <w:tblPrEx>
          <w:tblCellMar>
            <w:top w:w="0" w:type="dxa"/>
            <w:left w:w="108" w:type="dxa"/>
            <w:bottom w:w="0" w:type="dxa"/>
            <w:right w:w="108" w:type="dxa"/>
          </w:tblCellMar>
        </w:tblPrEx>
        <w:trPr>
          <w:trHeight w:val="327" w:hRule="atLeast"/>
          <w:jc w:val="center"/>
        </w:trPr>
        <w:tc>
          <w:tcPr>
            <w:tcW w:w="497" w:type="dxa"/>
            <w:tcBorders>
              <w:top w:val="nil"/>
              <w:left w:val="single" w:color="auto" w:sz="4" w:space="0"/>
              <w:bottom w:val="single" w:color="auto" w:sz="4" w:space="0"/>
              <w:right w:val="single" w:color="auto" w:sz="4" w:space="0"/>
            </w:tcBorders>
            <w:shd w:val="clear" w:color="auto" w:fill="auto"/>
            <w:vAlign w:val="center"/>
          </w:tcPr>
          <w:p w14:paraId="4AE54DAA">
            <w:pPr>
              <w:widowControl/>
              <w:jc w:val="center"/>
              <w:rPr>
                <w:color w:val="000000"/>
                <w:kern w:val="0"/>
                <w:szCs w:val="21"/>
              </w:rPr>
            </w:pPr>
            <w:r>
              <w:rPr>
                <w:color w:val="000000"/>
                <w:kern w:val="0"/>
                <w:szCs w:val="21"/>
              </w:rPr>
              <w:t>1</w:t>
            </w:r>
          </w:p>
        </w:tc>
        <w:tc>
          <w:tcPr>
            <w:tcW w:w="1475" w:type="dxa"/>
            <w:tcBorders>
              <w:top w:val="nil"/>
              <w:left w:val="nil"/>
              <w:bottom w:val="single" w:color="auto" w:sz="4" w:space="0"/>
              <w:right w:val="single" w:color="auto" w:sz="4" w:space="0"/>
            </w:tcBorders>
            <w:shd w:val="clear" w:color="auto" w:fill="auto"/>
            <w:vAlign w:val="center"/>
          </w:tcPr>
          <w:p w14:paraId="4391CD13">
            <w:pPr>
              <w:widowControl/>
              <w:jc w:val="center"/>
              <w:rPr>
                <w:color w:val="000000"/>
                <w:kern w:val="0"/>
                <w:szCs w:val="21"/>
              </w:rPr>
            </w:pPr>
            <w:r>
              <w:rPr>
                <w:color w:val="000000"/>
                <w:kern w:val="0"/>
                <w:szCs w:val="21"/>
              </w:rPr>
              <w:t>工业广场</w:t>
            </w:r>
          </w:p>
        </w:tc>
        <w:tc>
          <w:tcPr>
            <w:tcW w:w="1227" w:type="dxa"/>
            <w:tcBorders>
              <w:top w:val="nil"/>
              <w:left w:val="nil"/>
              <w:bottom w:val="single" w:color="auto" w:sz="4" w:space="0"/>
              <w:right w:val="single" w:color="auto" w:sz="4" w:space="0"/>
            </w:tcBorders>
            <w:shd w:val="clear" w:color="auto" w:fill="auto"/>
            <w:vAlign w:val="center"/>
          </w:tcPr>
          <w:p w14:paraId="117CB34F">
            <w:pPr>
              <w:widowControl/>
              <w:jc w:val="center"/>
              <w:rPr>
                <w:color w:val="000000"/>
                <w:kern w:val="0"/>
                <w:szCs w:val="21"/>
              </w:rPr>
            </w:pPr>
            <w:r>
              <w:rPr>
                <w:color w:val="000000"/>
                <w:kern w:val="0"/>
                <w:szCs w:val="21"/>
              </w:rPr>
              <w:t>1.8545</w:t>
            </w:r>
          </w:p>
        </w:tc>
        <w:tc>
          <w:tcPr>
            <w:tcW w:w="995" w:type="dxa"/>
            <w:tcBorders>
              <w:top w:val="nil"/>
              <w:left w:val="nil"/>
              <w:bottom w:val="single" w:color="auto" w:sz="4" w:space="0"/>
              <w:right w:val="single" w:color="auto" w:sz="4" w:space="0"/>
            </w:tcBorders>
            <w:shd w:val="clear" w:color="auto" w:fill="auto"/>
            <w:vAlign w:val="center"/>
          </w:tcPr>
          <w:p w14:paraId="4D7541FB">
            <w:pPr>
              <w:widowControl/>
              <w:jc w:val="center"/>
              <w:rPr>
                <w:color w:val="000000"/>
                <w:kern w:val="0"/>
                <w:szCs w:val="21"/>
              </w:rPr>
            </w:pPr>
            <w:r>
              <w:rPr>
                <w:color w:val="000000"/>
                <w:kern w:val="0"/>
                <w:szCs w:val="21"/>
              </w:rPr>
              <w:t>较轻</w:t>
            </w:r>
          </w:p>
        </w:tc>
        <w:tc>
          <w:tcPr>
            <w:tcW w:w="830" w:type="dxa"/>
            <w:tcBorders>
              <w:top w:val="nil"/>
              <w:left w:val="nil"/>
              <w:bottom w:val="single" w:color="auto" w:sz="4" w:space="0"/>
              <w:right w:val="single" w:color="auto" w:sz="4" w:space="0"/>
            </w:tcBorders>
            <w:shd w:val="clear" w:color="auto" w:fill="auto"/>
            <w:vAlign w:val="center"/>
          </w:tcPr>
          <w:p w14:paraId="09C198FC">
            <w:pPr>
              <w:widowControl/>
              <w:jc w:val="center"/>
              <w:rPr>
                <w:color w:val="000000"/>
                <w:kern w:val="0"/>
                <w:szCs w:val="21"/>
              </w:rPr>
            </w:pPr>
            <w:r>
              <w:rPr>
                <w:color w:val="000000"/>
                <w:kern w:val="0"/>
                <w:szCs w:val="21"/>
              </w:rPr>
              <w:t>较轻</w:t>
            </w:r>
          </w:p>
        </w:tc>
        <w:tc>
          <w:tcPr>
            <w:tcW w:w="1525" w:type="dxa"/>
            <w:tcBorders>
              <w:top w:val="nil"/>
              <w:left w:val="nil"/>
              <w:bottom w:val="single" w:color="auto" w:sz="4" w:space="0"/>
              <w:right w:val="single" w:color="auto" w:sz="4" w:space="0"/>
            </w:tcBorders>
            <w:shd w:val="clear" w:color="auto" w:fill="auto"/>
            <w:vAlign w:val="center"/>
          </w:tcPr>
          <w:p w14:paraId="5F7A9742">
            <w:pPr>
              <w:widowControl/>
              <w:jc w:val="center"/>
              <w:rPr>
                <w:color w:val="000000"/>
                <w:kern w:val="0"/>
                <w:szCs w:val="21"/>
              </w:rPr>
            </w:pPr>
            <w:r>
              <w:rPr>
                <w:color w:val="000000"/>
                <w:kern w:val="0"/>
                <w:szCs w:val="21"/>
              </w:rPr>
              <w:t>严重</w:t>
            </w:r>
          </w:p>
        </w:tc>
        <w:tc>
          <w:tcPr>
            <w:tcW w:w="1326" w:type="dxa"/>
            <w:tcBorders>
              <w:top w:val="nil"/>
              <w:left w:val="nil"/>
              <w:bottom w:val="single" w:color="auto" w:sz="4" w:space="0"/>
              <w:right w:val="single" w:color="auto" w:sz="4" w:space="0"/>
            </w:tcBorders>
            <w:shd w:val="clear" w:color="auto" w:fill="auto"/>
            <w:vAlign w:val="center"/>
          </w:tcPr>
          <w:p w14:paraId="0B8CB816">
            <w:pPr>
              <w:widowControl/>
              <w:jc w:val="center"/>
              <w:rPr>
                <w:color w:val="000000"/>
                <w:kern w:val="0"/>
                <w:szCs w:val="21"/>
              </w:rPr>
            </w:pPr>
            <w:r>
              <w:rPr>
                <w:color w:val="000000"/>
                <w:kern w:val="0"/>
                <w:szCs w:val="21"/>
              </w:rPr>
              <w:t>较轻</w:t>
            </w:r>
          </w:p>
        </w:tc>
        <w:tc>
          <w:tcPr>
            <w:tcW w:w="928" w:type="dxa"/>
            <w:tcBorders>
              <w:top w:val="nil"/>
              <w:left w:val="nil"/>
              <w:bottom w:val="single" w:color="auto" w:sz="4" w:space="0"/>
              <w:right w:val="single" w:color="auto" w:sz="4" w:space="0"/>
            </w:tcBorders>
            <w:shd w:val="clear" w:color="auto" w:fill="auto"/>
            <w:vAlign w:val="center"/>
          </w:tcPr>
          <w:p w14:paraId="436A2430">
            <w:pPr>
              <w:widowControl/>
              <w:jc w:val="center"/>
              <w:rPr>
                <w:color w:val="000000"/>
                <w:kern w:val="0"/>
                <w:szCs w:val="21"/>
              </w:rPr>
            </w:pPr>
            <w:r>
              <w:rPr>
                <w:color w:val="000000"/>
                <w:kern w:val="0"/>
                <w:szCs w:val="21"/>
              </w:rPr>
              <w:t>严重</w:t>
            </w:r>
          </w:p>
        </w:tc>
      </w:tr>
      <w:tr w14:paraId="7C0000E4">
        <w:tblPrEx>
          <w:tblCellMar>
            <w:top w:w="0" w:type="dxa"/>
            <w:left w:w="108" w:type="dxa"/>
            <w:bottom w:w="0" w:type="dxa"/>
            <w:right w:w="108" w:type="dxa"/>
          </w:tblCellMar>
        </w:tblPrEx>
        <w:trPr>
          <w:trHeight w:val="327" w:hRule="atLeast"/>
          <w:jc w:val="center"/>
        </w:trPr>
        <w:tc>
          <w:tcPr>
            <w:tcW w:w="497" w:type="dxa"/>
            <w:tcBorders>
              <w:top w:val="nil"/>
              <w:left w:val="single" w:color="auto" w:sz="4" w:space="0"/>
              <w:bottom w:val="single" w:color="auto" w:sz="4" w:space="0"/>
              <w:right w:val="single" w:color="auto" w:sz="4" w:space="0"/>
            </w:tcBorders>
            <w:shd w:val="clear" w:color="auto" w:fill="auto"/>
            <w:vAlign w:val="center"/>
          </w:tcPr>
          <w:p w14:paraId="5D4EBF6B">
            <w:pPr>
              <w:widowControl/>
              <w:jc w:val="center"/>
              <w:rPr>
                <w:color w:val="000000"/>
                <w:kern w:val="0"/>
                <w:szCs w:val="21"/>
              </w:rPr>
            </w:pPr>
            <w:r>
              <w:rPr>
                <w:color w:val="000000"/>
                <w:kern w:val="0"/>
                <w:szCs w:val="21"/>
              </w:rPr>
              <w:t>2</w:t>
            </w:r>
          </w:p>
        </w:tc>
        <w:tc>
          <w:tcPr>
            <w:tcW w:w="1475" w:type="dxa"/>
            <w:tcBorders>
              <w:top w:val="nil"/>
              <w:left w:val="nil"/>
              <w:bottom w:val="single" w:color="auto" w:sz="4" w:space="0"/>
              <w:right w:val="single" w:color="auto" w:sz="4" w:space="0"/>
            </w:tcBorders>
            <w:shd w:val="clear" w:color="auto" w:fill="auto"/>
            <w:vAlign w:val="center"/>
          </w:tcPr>
          <w:p w14:paraId="37EB3C7E">
            <w:pPr>
              <w:widowControl/>
              <w:jc w:val="center"/>
              <w:rPr>
                <w:color w:val="000000"/>
                <w:kern w:val="0"/>
                <w:szCs w:val="21"/>
              </w:rPr>
            </w:pPr>
            <w:r>
              <w:rPr>
                <w:color w:val="000000"/>
                <w:kern w:val="0"/>
                <w:szCs w:val="21"/>
              </w:rPr>
              <w:t>边坡区</w:t>
            </w:r>
          </w:p>
        </w:tc>
        <w:tc>
          <w:tcPr>
            <w:tcW w:w="1227" w:type="dxa"/>
            <w:tcBorders>
              <w:top w:val="nil"/>
              <w:left w:val="nil"/>
              <w:bottom w:val="single" w:color="auto" w:sz="4" w:space="0"/>
              <w:right w:val="single" w:color="auto" w:sz="4" w:space="0"/>
            </w:tcBorders>
            <w:shd w:val="clear" w:color="auto" w:fill="auto"/>
            <w:vAlign w:val="center"/>
          </w:tcPr>
          <w:p w14:paraId="7F6EF5B4">
            <w:pPr>
              <w:widowControl/>
              <w:jc w:val="center"/>
              <w:rPr>
                <w:color w:val="000000"/>
                <w:kern w:val="0"/>
                <w:szCs w:val="21"/>
              </w:rPr>
            </w:pPr>
            <w:r>
              <w:rPr>
                <w:color w:val="000000"/>
                <w:kern w:val="0"/>
                <w:szCs w:val="21"/>
              </w:rPr>
              <w:t>0.5603</w:t>
            </w:r>
          </w:p>
        </w:tc>
        <w:tc>
          <w:tcPr>
            <w:tcW w:w="995" w:type="dxa"/>
            <w:tcBorders>
              <w:top w:val="nil"/>
              <w:left w:val="nil"/>
              <w:bottom w:val="single" w:color="auto" w:sz="4" w:space="0"/>
              <w:right w:val="single" w:color="auto" w:sz="4" w:space="0"/>
            </w:tcBorders>
            <w:shd w:val="clear" w:color="auto" w:fill="auto"/>
            <w:vAlign w:val="center"/>
          </w:tcPr>
          <w:p w14:paraId="1BD331E8">
            <w:pPr>
              <w:widowControl/>
              <w:jc w:val="center"/>
              <w:rPr>
                <w:color w:val="000000"/>
                <w:kern w:val="0"/>
                <w:szCs w:val="21"/>
              </w:rPr>
            </w:pPr>
            <w:r>
              <w:rPr>
                <w:color w:val="000000"/>
                <w:kern w:val="0"/>
                <w:szCs w:val="21"/>
              </w:rPr>
              <w:t>较严重</w:t>
            </w:r>
          </w:p>
        </w:tc>
        <w:tc>
          <w:tcPr>
            <w:tcW w:w="830" w:type="dxa"/>
            <w:tcBorders>
              <w:top w:val="nil"/>
              <w:left w:val="nil"/>
              <w:bottom w:val="single" w:color="auto" w:sz="4" w:space="0"/>
              <w:right w:val="single" w:color="auto" w:sz="4" w:space="0"/>
            </w:tcBorders>
            <w:shd w:val="clear" w:color="auto" w:fill="auto"/>
            <w:vAlign w:val="center"/>
          </w:tcPr>
          <w:p w14:paraId="41A1AB52">
            <w:pPr>
              <w:widowControl/>
              <w:jc w:val="center"/>
              <w:rPr>
                <w:color w:val="000000"/>
                <w:kern w:val="0"/>
                <w:szCs w:val="21"/>
              </w:rPr>
            </w:pPr>
            <w:r>
              <w:rPr>
                <w:color w:val="000000"/>
                <w:kern w:val="0"/>
                <w:szCs w:val="21"/>
              </w:rPr>
              <w:t>较轻</w:t>
            </w:r>
          </w:p>
        </w:tc>
        <w:tc>
          <w:tcPr>
            <w:tcW w:w="1525" w:type="dxa"/>
            <w:tcBorders>
              <w:top w:val="nil"/>
              <w:left w:val="nil"/>
              <w:bottom w:val="single" w:color="auto" w:sz="4" w:space="0"/>
              <w:right w:val="single" w:color="auto" w:sz="4" w:space="0"/>
            </w:tcBorders>
            <w:shd w:val="clear" w:color="auto" w:fill="auto"/>
            <w:vAlign w:val="center"/>
          </w:tcPr>
          <w:p w14:paraId="4222AF0E">
            <w:pPr>
              <w:widowControl/>
              <w:jc w:val="center"/>
              <w:rPr>
                <w:color w:val="000000"/>
                <w:kern w:val="0"/>
                <w:szCs w:val="21"/>
              </w:rPr>
            </w:pPr>
            <w:r>
              <w:rPr>
                <w:color w:val="000000"/>
                <w:kern w:val="0"/>
                <w:szCs w:val="21"/>
              </w:rPr>
              <w:t>严重</w:t>
            </w:r>
          </w:p>
        </w:tc>
        <w:tc>
          <w:tcPr>
            <w:tcW w:w="1326" w:type="dxa"/>
            <w:tcBorders>
              <w:top w:val="nil"/>
              <w:left w:val="nil"/>
              <w:bottom w:val="single" w:color="auto" w:sz="4" w:space="0"/>
              <w:right w:val="single" w:color="auto" w:sz="4" w:space="0"/>
            </w:tcBorders>
            <w:shd w:val="clear" w:color="auto" w:fill="auto"/>
            <w:vAlign w:val="center"/>
          </w:tcPr>
          <w:p w14:paraId="46A11B4C">
            <w:pPr>
              <w:widowControl/>
              <w:jc w:val="center"/>
              <w:rPr>
                <w:color w:val="000000"/>
                <w:kern w:val="0"/>
                <w:szCs w:val="21"/>
              </w:rPr>
            </w:pPr>
            <w:r>
              <w:rPr>
                <w:color w:val="000000"/>
                <w:kern w:val="0"/>
                <w:szCs w:val="21"/>
              </w:rPr>
              <w:t>较轻</w:t>
            </w:r>
          </w:p>
        </w:tc>
        <w:tc>
          <w:tcPr>
            <w:tcW w:w="928" w:type="dxa"/>
            <w:tcBorders>
              <w:top w:val="nil"/>
              <w:left w:val="nil"/>
              <w:bottom w:val="single" w:color="auto" w:sz="4" w:space="0"/>
              <w:right w:val="single" w:color="auto" w:sz="4" w:space="0"/>
            </w:tcBorders>
            <w:shd w:val="clear" w:color="auto" w:fill="auto"/>
            <w:vAlign w:val="center"/>
          </w:tcPr>
          <w:p w14:paraId="4E7AD8EC">
            <w:pPr>
              <w:widowControl/>
              <w:jc w:val="center"/>
              <w:rPr>
                <w:color w:val="000000"/>
                <w:kern w:val="0"/>
                <w:szCs w:val="21"/>
              </w:rPr>
            </w:pPr>
            <w:r>
              <w:rPr>
                <w:color w:val="000000"/>
                <w:kern w:val="0"/>
                <w:szCs w:val="21"/>
              </w:rPr>
              <w:t>严重</w:t>
            </w:r>
          </w:p>
        </w:tc>
      </w:tr>
      <w:tr w14:paraId="2CBD51B3">
        <w:tblPrEx>
          <w:tblCellMar>
            <w:top w:w="0" w:type="dxa"/>
            <w:left w:w="108" w:type="dxa"/>
            <w:bottom w:w="0" w:type="dxa"/>
            <w:right w:w="108" w:type="dxa"/>
          </w:tblCellMar>
        </w:tblPrEx>
        <w:trPr>
          <w:trHeight w:val="327" w:hRule="atLeast"/>
          <w:jc w:val="center"/>
        </w:trPr>
        <w:tc>
          <w:tcPr>
            <w:tcW w:w="497" w:type="dxa"/>
            <w:tcBorders>
              <w:top w:val="nil"/>
              <w:left w:val="single" w:color="auto" w:sz="4" w:space="0"/>
              <w:bottom w:val="single" w:color="auto" w:sz="4" w:space="0"/>
              <w:right w:val="single" w:color="auto" w:sz="4" w:space="0"/>
            </w:tcBorders>
            <w:shd w:val="clear" w:color="auto" w:fill="auto"/>
            <w:vAlign w:val="center"/>
          </w:tcPr>
          <w:p w14:paraId="6647BA52">
            <w:pPr>
              <w:widowControl/>
              <w:jc w:val="center"/>
              <w:rPr>
                <w:color w:val="000000"/>
                <w:kern w:val="0"/>
                <w:szCs w:val="21"/>
              </w:rPr>
            </w:pPr>
            <w:r>
              <w:rPr>
                <w:color w:val="000000"/>
                <w:kern w:val="0"/>
                <w:szCs w:val="21"/>
              </w:rPr>
              <w:t>3</w:t>
            </w:r>
          </w:p>
        </w:tc>
        <w:tc>
          <w:tcPr>
            <w:tcW w:w="1475" w:type="dxa"/>
            <w:tcBorders>
              <w:top w:val="nil"/>
              <w:left w:val="nil"/>
              <w:bottom w:val="single" w:color="auto" w:sz="4" w:space="0"/>
              <w:right w:val="single" w:color="auto" w:sz="4" w:space="0"/>
            </w:tcBorders>
            <w:shd w:val="clear" w:color="auto" w:fill="auto"/>
            <w:vAlign w:val="center"/>
          </w:tcPr>
          <w:p w14:paraId="080B0638">
            <w:pPr>
              <w:widowControl/>
              <w:jc w:val="center"/>
              <w:rPr>
                <w:color w:val="000000"/>
                <w:kern w:val="0"/>
                <w:szCs w:val="21"/>
              </w:rPr>
            </w:pPr>
            <w:r>
              <w:rPr>
                <w:color w:val="000000"/>
                <w:kern w:val="0"/>
                <w:szCs w:val="21"/>
              </w:rPr>
              <w:t>评估区其他区域</w:t>
            </w:r>
          </w:p>
        </w:tc>
        <w:tc>
          <w:tcPr>
            <w:tcW w:w="1227" w:type="dxa"/>
            <w:tcBorders>
              <w:top w:val="nil"/>
              <w:left w:val="nil"/>
              <w:bottom w:val="single" w:color="auto" w:sz="4" w:space="0"/>
              <w:right w:val="single" w:color="auto" w:sz="4" w:space="0"/>
            </w:tcBorders>
            <w:shd w:val="clear" w:color="auto" w:fill="auto"/>
            <w:vAlign w:val="center"/>
          </w:tcPr>
          <w:p w14:paraId="68859AC2">
            <w:pPr>
              <w:widowControl/>
              <w:jc w:val="center"/>
              <w:rPr>
                <w:color w:val="000000"/>
                <w:kern w:val="0"/>
                <w:szCs w:val="21"/>
              </w:rPr>
            </w:pPr>
            <w:r>
              <w:rPr>
                <w:color w:val="000000"/>
                <w:kern w:val="0"/>
                <w:szCs w:val="21"/>
              </w:rPr>
              <w:t>3.9805</w:t>
            </w:r>
          </w:p>
        </w:tc>
        <w:tc>
          <w:tcPr>
            <w:tcW w:w="995" w:type="dxa"/>
            <w:tcBorders>
              <w:top w:val="nil"/>
              <w:left w:val="nil"/>
              <w:bottom w:val="single" w:color="auto" w:sz="4" w:space="0"/>
              <w:right w:val="single" w:color="auto" w:sz="4" w:space="0"/>
            </w:tcBorders>
            <w:shd w:val="clear" w:color="auto" w:fill="auto"/>
            <w:vAlign w:val="center"/>
          </w:tcPr>
          <w:p w14:paraId="4BC331A8">
            <w:pPr>
              <w:widowControl/>
              <w:jc w:val="center"/>
              <w:rPr>
                <w:color w:val="000000"/>
                <w:kern w:val="0"/>
                <w:szCs w:val="21"/>
              </w:rPr>
            </w:pPr>
            <w:r>
              <w:rPr>
                <w:color w:val="000000"/>
                <w:kern w:val="0"/>
                <w:szCs w:val="21"/>
              </w:rPr>
              <w:t>较轻</w:t>
            </w:r>
          </w:p>
        </w:tc>
        <w:tc>
          <w:tcPr>
            <w:tcW w:w="830" w:type="dxa"/>
            <w:tcBorders>
              <w:top w:val="nil"/>
              <w:left w:val="nil"/>
              <w:bottom w:val="single" w:color="auto" w:sz="4" w:space="0"/>
              <w:right w:val="single" w:color="auto" w:sz="4" w:space="0"/>
            </w:tcBorders>
            <w:shd w:val="clear" w:color="auto" w:fill="auto"/>
            <w:vAlign w:val="center"/>
          </w:tcPr>
          <w:p w14:paraId="1C757756">
            <w:pPr>
              <w:widowControl/>
              <w:jc w:val="center"/>
              <w:rPr>
                <w:color w:val="000000"/>
                <w:kern w:val="0"/>
                <w:szCs w:val="21"/>
              </w:rPr>
            </w:pPr>
            <w:r>
              <w:rPr>
                <w:color w:val="000000"/>
                <w:kern w:val="0"/>
                <w:szCs w:val="21"/>
              </w:rPr>
              <w:t>较轻</w:t>
            </w:r>
          </w:p>
        </w:tc>
        <w:tc>
          <w:tcPr>
            <w:tcW w:w="1525" w:type="dxa"/>
            <w:tcBorders>
              <w:top w:val="nil"/>
              <w:left w:val="nil"/>
              <w:bottom w:val="single" w:color="auto" w:sz="4" w:space="0"/>
              <w:right w:val="single" w:color="auto" w:sz="4" w:space="0"/>
            </w:tcBorders>
            <w:shd w:val="clear" w:color="auto" w:fill="auto"/>
            <w:vAlign w:val="center"/>
          </w:tcPr>
          <w:p w14:paraId="51385AAA">
            <w:pPr>
              <w:widowControl/>
              <w:jc w:val="center"/>
              <w:rPr>
                <w:color w:val="000000"/>
                <w:kern w:val="0"/>
                <w:szCs w:val="21"/>
              </w:rPr>
            </w:pPr>
            <w:r>
              <w:rPr>
                <w:color w:val="000000"/>
                <w:kern w:val="0"/>
                <w:szCs w:val="21"/>
              </w:rPr>
              <w:t>较轻</w:t>
            </w:r>
          </w:p>
        </w:tc>
        <w:tc>
          <w:tcPr>
            <w:tcW w:w="1326" w:type="dxa"/>
            <w:tcBorders>
              <w:top w:val="nil"/>
              <w:left w:val="nil"/>
              <w:bottom w:val="single" w:color="auto" w:sz="4" w:space="0"/>
              <w:right w:val="single" w:color="auto" w:sz="4" w:space="0"/>
            </w:tcBorders>
            <w:shd w:val="clear" w:color="auto" w:fill="auto"/>
            <w:vAlign w:val="center"/>
          </w:tcPr>
          <w:p w14:paraId="3389849B">
            <w:pPr>
              <w:widowControl/>
              <w:jc w:val="center"/>
              <w:rPr>
                <w:color w:val="000000"/>
                <w:kern w:val="0"/>
                <w:szCs w:val="21"/>
              </w:rPr>
            </w:pPr>
            <w:r>
              <w:rPr>
                <w:color w:val="000000"/>
                <w:kern w:val="0"/>
                <w:szCs w:val="21"/>
              </w:rPr>
              <w:t>较轻</w:t>
            </w:r>
          </w:p>
        </w:tc>
        <w:tc>
          <w:tcPr>
            <w:tcW w:w="928" w:type="dxa"/>
            <w:tcBorders>
              <w:top w:val="nil"/>
              <w:left w:val="nil"/>
              <w:bottom w:val="single" w:color="auto" w:sz="4" w:space="0"/>
              <w:right w:val="single" w:color="auto" w:sz="4" w:space="0"/>
            </w:tcBorders>
            <w:shd w:val="clear" w:color="auto" w:fill="auto"/>
            <w:vAlign w:val="center"/>
          </w:tcPr>
          <w:p w14:paraId="35BF336B">
            <w:pPr>
              <w:widowControl/>
              <w:jc w:val="center"/>
              <w:rPr>
                <w:color w:val="000000"/>
                <w:kern w:val="0"/>
                <w:szCs w:val="21"/>
              </w:rPr>
            </w:pPr>
            <w:r>
              <w:rPr>
                <w:color w:val="000000"/>
                <w:kern w:val="0"/>
                <w:szCs w:val="21"/>
              </w:rPr>
              <w:t>较轻</w:t>
            </w:r>
          </w:p>
        </w:tc>
      </w:tr>
    </w:tbl>
    <w:p w14:paraId="26DEF878">
      <w:pPr>
        <w:keepNext/>
        <w:keepLines/>
        <w:adjustRightInd w:val="0"/>
        <w:spacing w:beforeLines="50" w:afterLines="50" w:line="360" w:lineRule="auto"/>
        <w:jc w:val="left"/>
        <w:textAlignment w:val="baseline"/>
        <w:outlineLvl w:val="1"/>
        <w:rPr>
          <w:kern w:val="0"/>
          <w:sz w:val="30"/>
          <w:szCs w:val="30"/>
        </w:rPr>
      </w:pPr>
      <w:bookmarkStart w:id="107" w:name="_Toc43851655"/>
      <w:r>
        <w:rPr>
          <w:kern w:val="0"/>
          <w:sz w:val="30"/>
          <w:szCs w:val="30"/>
        </w:rPr>
        <w:t>三、矿山土地损毁预测与评估</w:t>
      </w:r>
      <w:bookmarkEnd w:id="107"/>
    </w:p>
    <w:p w14:paraId="6DAE494B">
      <w:pPr>
        <w:pStyle w:val="5"/>
        <w:spacing w:beforeLines="50" w:afterLines="50" w:line="360" w:lineRule="auto"/>
        <w:rPr>
          <w:b w:val="0"/>
          <w:sz w:val="28"/>
          <w:szCs w:val="28"/>
        </w:rPr>
      </w:pPr>
      <w:bookmarkStart w:id="108" w:name="_Toc43851656"/>
      <w:r>
        <w:rPr>
          <w:b w:val="0"/>
          <w:sz w:val="28"/>
          <w:szCs w:val="28"/>
        </w:rPr>
        <w:t>（一）土地损毁环节与时序</w:t>
      </w:r>
      <w:bookmarkEnd w:id="108"/>
    </w:p>
    <w:p w14:paraId="1D6234B0">
      <w:pPr>
        <w:spacing w:line="360" w:lineRule="auto"/>
        <w:ind w:firstLine="480" w:firstLineChars="200"/>
        <w:rPr>
          <w:sz w:val="24"/>
          <w:lang w:val="zh-CN"/>
        </w:rPr>
      </w:pPr>
      <w:r>
        <w:rPr>
          <w:sz w:val="24"/>
          <w:lang w:val="zh-CN"/>
        </w:rPr>
        <w:t>根据前面对于项目生产工艺的描述，矿山开采方式为露天开采，目前项目工程对土地的损毁主要是边坡区对土地的挖损，工业广场建筑设施对土地的压占</w:t>
      </w:r>
      <w:r>
        <w:rPr>
          <w:bCs/>
          <w:sz w:val="24"/>
        </w:rPr>
        <w:t>。</w:t>
      </w:r>
      <w:r>
        <w:rPr>
          <w:sz w:val="24"/>
          <w:lang w:val="zh-CN"/>
        </w:rPr>
        <w:t>矿山生产损毁时序见表3-</w:t>
      </w:r>
      <w:r>
        <w:rPr>
          <w:sz w:val="24"/>
        </w:rPr>
        <w:t>8</w:t>
      </w:r>
      <w:r>
        <w:rPr>
          <w:sz w:val="24"/>
          <w:lang w:val="zh-CN"/>
        </w:rPr>
        <w:t>。</w:t>
      </w:r>
    </w:p>
    <w:p w14:paraId="3088C6C0">
      <w:pPr>
        <w:jc w:val="center"/>
        <w:rPr>
          <w:rFonts w:eastAsiaTheme="minorEastAsia"/>
          <w:b/>
          <w:szCs w:val="21"/>
        </w:rPr>
      </w:pPr>
      <w:r>
        <w:rPr>
          <w:rFonts w:eastAsiaTheme="minorEastAsia"/>
          <w:b/>
          <w:szCs w:val="21"/>
        </w:rPr>
        <w:t>表3-8矿区土地损毁时序表</w:t>
      </w:r>
    </w:p>
    <w:tbl>
      <w:tblPr>
        <w:tblStyle w:val="29"/>
        <w:tblW w:w="79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1546"/>
        <w:gridCol w:w="1611"/>
        <w:gridCol w:w="1290"/>
        <w:gridCol w:w="1033"/>
        <w:gridCol w:w="1701"/>
      </w:tblGrid>
      <w:tr w14:paraId="4C066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0" w:type="auto"/>
            <w:vAlign w:val="center"/>
          </w:tcPr>
          <w:p w14:paraId="285D3704">
            <w:pPr>
              <w:widowControl/>
              <w:jc w:val="center"/>
              <w:textAlignment w:val="center"/>
              <w:rPr>
                <w:kern w:val="0"/>
                <w:szCs w:val="21"/>
              </w:rPr>
            </w:pPr>
            <w:r>
              <w:rPr>
                <w:kern w:val="0"/>
                <w:szCs w:val="21"/>
              </w:rPr>
              <w:t>序号</w:t>
            </w:r>
          </w:p>
        </w:tc>
        <w:tc>
          <w:tcPr>
            <w:tcW w:w="0" w:type="auto"/>
            <w:vAlign w:val="center"/>
          </w:tcPr>
          <w:p w14:paraId="5ACCC9F5">
            <w:pPr>
              <w:widowControl/>
              <w:jc w:val="center"/>
              <w:textAlignment w:val="center"/>
              <w:rPr>
                <w:kern w:val="0"/>
                <w:szCs w:val="21"/>
              </w:rPr>
            </w:pPr>
            <w:r>
              <w:rPr>
                <w:kern w:val="0"/>
                <w:szCs w:val="21"/>
              </w:rPr>
              <w:t>设施及场地</w:t>
            </w:r>
          </w:p>
        </w:tc>
        <w:tc>
          <w:tcPr>
            <w:tcW w:w="0" w:type="auto"/>
            <w:vAlign w:val="center"/>
          </w:tcPr>
          <w:p w14:paraId="22470C77">
            <w:pPr>
              <w:widowControl/>
              <w:jc w:val="center"/>
              <w:textAlignment w:val="center"/>
              <w:rPr>
                <w:kern w:val="0"/>
                <w:szCs w:val="21"/>
              </w:rPr>
            </w:pPr>
            <w:r>
              <w:rPr>
                <w:kern w:val="0"/>
                <w:szCs w:val="21"/>
              </w:rPr>
              <w:t>损毁时间</w:t>
            </w:r>
          </w:p>
        </w:tc>
        <w:tc>
          <w:tcPr>
            <w:tcW w:w="0" w:type="auto"/>
            <w:vAlign w:val="center"/>
          </w:tcPr>
          <w:p w14:paraId="64F657C4">
            <w:pPr>
              <w:widowControl/>
              <w:jc w:val="center"/>
              <w:textAlignment w:val="center"/>
              <w:rPr>
                <w:kern w:val="0"/>
                <w:szCs w:val="21"/>
              </w:rPr>
            </w:pPr>
            <w:r>
              <w:rPr>
                <w:kern w:val="0"/>
                <w:szCs w:val="21"/>
              </w:rPr>
              <w:t>损毁方式</w:t>
            </w:r>
          </w:p>
        </w:tc>
        <w:tc>
          <w:tcPr>
            <w:tcW w:w="0" w:type="auto"/>
            <w:vAlign w:val="center"/>
          </w:tcPr>
          <w:p w14:paraId="71487890">
            <w:pPr>
              <w:widowControl/>
              <w:jc w:val="center"/>
              <w:textAlignment w:val="center"/>
              <w:rPr>
                <w:kern w:val="0"/>
                <w:szCs w:val="21"/>
              </w:rPr>
            </w:pPr>
            <w:r>
              <w:rPr>
                <w:kern w:val="0"/>
                <w:szCs w:val="21"/>
              </w:rPr>
              <w:t>现状</w:t>
            </w:r>
          </w:p>
        </w:tc>
        <w:tc>
          <w:tcPr>
            <w:tcW w:w="0" w:type="auto"/>
            <w:vAlign w:val="center"/>
          </w:tcPr>
          <w:p w14:paraId="41CD9B1D">
            <w:pPr>
              <w:widowControl/>
              <w:jc w:val="center"/>
              <w:textAlignment w:val="center"/>
              <w:rPr>
                <w:kern w:val="0"/>
                <w:szCs w:val="21"/>
              </w:rPr>
            </w:pPr>
            <w:r>
              <w:rPr>
                <w:kern w:val="0"/>
                <w:szCs w:val="21"/>
              </w:rPr>
              <w:t>面积（hm</w:t>
            </w:r>
            <w:r>
              <w:rPr>
                <w:kern w:val="0"/>
                <w:szCs w:val="21"/>
                <w:vertAlign w:val="superscript"/>
              </w:rPr>
              <w:t>2</w:t>
            </w:r>
            <w:r>
              <w:rPr>
                <w:kern w:val="0"/>
                <w:szCs w:val="21"/>
              </w:rPr>
              <w:t>）</w:t>
            </w:r>
          </w:p>
        </w:tc>
      </w:tr>
      <w:tr w14:paraId="4B51B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0" w:type="auto"/>
            <w:vAlign w:val="center"/>
          </w:tcPr>
          <w:p w14:paraId="109ABC82">
            <w:pPr>
              <w:widowControl/>
              <w:jc w:val="center"/>
              <w:textAlignment w:val="center"/>
              <w:rPr>
                <w:color w:val="000000" w:themeColor="text1"/>
                <w:kern w:val="0"/>
                <w:szCs w:val="21"/>
              </w:rPr>
            </w:pPr>
            <w:r>
              <w:rPr>
                <w:color w:val="000000" w:themeColor="text1"/>
                <w:kern w:val="0"/>
                <w:szCs w:val="21"/>
              </w:rPr>
              <w:t>1</w:t>
            </w:r>
          </w:p>
        </w:tc>
        <w:tc>
          <w:tcPr>
            <w:tcW w:w="0" w:type="auto"/>
            <w:vAlign w:val="center"/>
          </w:tcPr>
          <w:p w14:paraId="074D1FE9">
            <w:pPr>
              <w:widowControl/>
              <w:jc w:val="center"/>
              <w:rPr>
                <w:color w:val="000000" w:themeColor="text1"/>
                <w:kern w:val="0"/>
                <w:szCs w:val="21"/>
              </w:rPr>
            </w:pPr>
            <w:r>
              <w:rPr>
                <w:color w:val="000000" w:themeColor="text1"/>
                <w:kern w:val="0"/>
                <w:szCs w:val="21"/>
              </w:rPr>
              <w:t>工业广场</w:t>
            </w:r>
          </w:p>
        </w:tc>
        <w:tc>
          <w:tcPr>
            <w:tcW w:w="0" w:type="auto"/>
            <w:vAlign w:val="center"/>
          </w:tcPr>
          <w:p w14:paraId="3409850B">
            <w:pPr>
              <w:widowControl/>
              <w:jc w:val="center"/>
              <w:rPr>
                <w:color w:val="000000" w:themeColor="text1"/>
                <w:kern w:val="0"/>
                <w:szCs w:val="21"/>
              </w:rPr>
            </w:pPr>
            <w:r>
              <w:rPr>
                <w:color w:val="000000" w:themeColor="text1"/>
                <w:kern w:val="0"/>
                <w:szCs w:val="21"/>
              </w:rPr>
              <w:t>2020年以前</w:t>
            </w:r>
          </w:p>
        </w:tc>
        <w:tc>
          <w:tcPr>
            <w:tcW w:w="0" w:type="auto"/>
            <w:vAlign w:val="center"/>
          </w:tcPr>
          <w:p w14:paraId="3828927E">
            <w:pPr>
              <w:widowControl/>
              <w:jc w:val="center"/>
              <w:rPr>
                <w:color w:val="000000" w:themeColor="text1"/>
                <w:kern w:val="0"/>
                <w:szCs w:val="21"/>
              </w:rPr>
            </w:pPr>
            <w:r>
              <w:rPr>
                <w:color w:val="000000" w:themeColor="text1"/>
                <w:kern w:val="0"/>
                <w:szCs w:val="21"/>
              </w:rPr>
              <w:t>压占</w:t>
            </w:r>
          </w:p>
        </w:tc>
        <w:tc>
          <w:tcPr>
            <w:tcW w:w="0" w:type="auto"/>
            <w:vAlign w:val="center"/>
          </w:tcPr>
          <w:p w14:paraId="2A690CDF">
            <w:pPr>
              <w:widowControl/>
              <w:jc w:val="center"/>
              <w:rPr>
                <w:color w:val="000000" w:themeColor="text1"/>
                <w:kern w:val="0"/>
                <w:szCs w:val="21"/>
              </w:rPr>
            </w:pPr>
            <w:r>
              <w:rPr>
                <w:color w:val="000000" w:themeColor="text1"/>
                <w:kern w:val="0"/>
                <w:szCs w:val="21"/>
              </w:rPr>
              <w:t>已损毁</w:t>
            </w:r>
          </w:p>
        </w:tc>
        <w:tc>
          <w:tcPr>
            <w:tcW w:w="0" w:type="auto"/>
            <w:vAlign w:val="center"/>
          </w:tcPr>
          <w:p w14:paraId="42C85FC8">
            <w:pPr>
              <w:jc w:val="center"/>
              <w:rPr>
                <w:color w:val="000000"/>
                <w:sz w:val="20"/>
                <w:szCs w:val="20"/>
              </w:rPr>
            </w:pPr>
            <w:r>
              <w:rPr>
                <w:color w:val="000000"/>
                <w:sz w:val="20"/>
                <w:szCs w:val="20"/>
              </w:rPr>
              <w:t>1.8545</w:t>
            </w:r>
          </w:p>
        </w:tc>
      </w:tr>
      <w:tr w14:paraId="0058C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0" w:type="auto"/>
            <w:vAlign w:val="center"/>
          </w:tcPr>
          <w:p w14:paraId="0670B5AD">
            <w:pPr>
              <w:widowControl/>
              <w:jc w:val="center"/>
              <w:textAlignment w:val="center"/>
              <w:rPr>
                <w:color w:val="000000" w:themeColor="text1"/>
                <w:kern w:val="0"/>
                <w:szCs w:val="21"/>
              </w:rPr>
            </w:pPr>
            <w:r>
              <w:rPr>
                <w:color w:val="000000" w:themeColor="text1"/>
                <w:kern w:val="0"/>
                <w:szCs w:val="21"/>
              </w:rPr>
              <w:t>2</w:t>
            </w:r>
          </w:p>
        </w:tc>
        <w:tc>
          <w:tcPr>
            <w:tcW w:w="0" w:type="auto"/>
            <w:vAlign w:val="center"/>
          </w:tcPr>
          <w:p w14:paraId="695E9F7F">
            <w:pPr>
              <w:widowControl/>
              <w:jc w:val="center"/>
              <w:rPr>
                <w:color w:val="000000" w:themeColor="text1"/>
                <w:kern w:val="0"/>
                <w:szCs w:val="21"/>
              </w:rPr>
            </w:pPr>
            <w:r>
              <w:rPr>
                <w:color w:val="000000" w:themeColor="text1"/>
                <w:kern w:val="0"/>
                <w:szCs w:val="21"/>
              </w:rPr>
              <w:t>边坡区</w:t>
            </w:r>
          </w:p>
        </w:tc>
        <w:tc>
          <w:tcPr>
            <w:tcW w:w="0" w:type="auto"/>
            <w:vAlign w:val="center"/>
          </w:tcPr>
          <w:p w14:paraId="1C72AB4B">
            <w:pPr>
              <w:widowControl/>
              <w:jc w:val="center"/>
              <w:rPr>
                <w:color w:val="000000" w:themeColor="text1"/>
                <w:kern w:val="0"/>
                <w:szCs w:val="21"/>
              </w:rPr>
            </w:pPr>
            <w:r>
              <w:rPr>
                <w:color w:val="000000" w:themeColor="text1"/>
                <w:kern w:val="0"/>
                <w:szCs w:val="21"/>
              </w:rPr>
              <w:t>2020年以前</w:t>
            </w:r>
          </w:p>
        </w:tc>
        <w:tc>
          <w:tcPr>
            <w:tcW w:w="0" w:type="auto"/>
            <w:vAlign w:val="center"/>
          </w:tcPr>
          <w:p w14:paraId="14EDADF6">
            <w:pPr>
              <w:widowControl/>
              <w:jc w:val="center"/>
              <w:rPr>
                <w:color w:val="000000" w:themeColor="text1"/>
                <w:kern w:val="0"/>
                <w:szCs w:val="21"/>
              </w:rPr>
            </w:pPr>
            <w:r>
              <w:rPr>
                <w:color w:val="000000" w:themeColor="text1"/>
                <w:kern w:val="0"/>
                <w:szCs w:val="21"/>
              </w:rPr>
              <w:t>挖损</w:t>
            </w:r>
          </w:p>
        </w:tc>
        <w:tc>
          <w:tcPr>
            <w:tcW w:w="0" w:type="auto"/>
            <w:vAlign w:val="center"/>
          </w:tcPr>
          <w:p w14:paraId="7E101AC4">
            <w:pPr>
              <w:widowControl/>
              <w:jc w:val="center"/>
              <w:rPr>
                <w:color w:val="000000" w:themeColor="text1"/>
                <w:kern w:val="0"/>
                <w:szCs w:val="21"/>
              </w:rPr>
            </w:pPr>
            <w:r>
              <w:rPr>
                <w:color w:val="000000" w:themeColor="text1"/>
                <w:kern w:val="0"/>
                <w:szCs w:val="21"/>
              </w:rPr>
              <w:t>已损毁</w:t>
            </w:r>
          </w:p>
        </w:tc>
        <w:tc>
          <w:tcPr>
            <w:tcW w:w="0" w:type="auto"/>
            <w:vAlign w:val="center"/>
          </w:tcPr>
          <w:p w14:paraId="3FE8A775">
            <w:pPr>
              <w:jc w:val="center"/>
              <w:rPr>
                <w:color w:val="000000"/>
                <w:sz w:val="20"/>
                <w:szCs w:val="20"/>
              </w:rPr>
            </w:pPr>
            <w:r>
              <w:rPr>
                <w:color w:val="000000"/>
                <w:sz w:val="20"/>
                <w:szCs w:val="20"/>
              </w:rPr>
              <w:t>0.5603</w:t>
            </w:r>
          </w:p>
        </w:tc>
      </w:tr>
      <w:tr w14:paraId="01589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0" w:type="auto"/>
            <w:gridSpan w:val="5"/>
            <w:vAlign w:val="center"/>
          </w:tcPr>
          <w:p w14:paraId="14F05C21">
            <w:pPr>
              <w:widowControl/>
              <w:jc w:val="center"/>
              <w:rPr>
                <w:color w:val="000000" w:themeColor="text1"/>
                <w:kern w:val="0"/>
                <w:szCs w:val="21"/>
              </w:rPr>
            </w:pPr>
            <w:r>
              <w:rPr>
                <w:color w:val="000000" w:themeColor="text1"/>
                <w:kern w:val="0"/>
                <w:szCs w:val="21"/>
              </w:rPr>
              <w:t>合计</w:t>
            </w:r>
          </w:p>
        </w:tc>
        <w:tc>
          <w:tcPr>
            <w:tcW w:w="0" w:type="auto"/>
            <w:vAlign w:val="center"/>
          </w:tcPr>
          <w:p w14:paraId="717FDCEB">
            <w:pPr>
              <w:widowControl/>
              <w:jc w:val="center"/>
              <w:rPr>
                <w:color w:val="000000" w:themeColor="text1"/>
                <w:kern w:val="0"/>
                <w:szCs w:val="21"/>
              </w:rPr>
            </w:pPr>
            <w:r>
              <w:rPr>
                <w:color w:val="000000" w:themeColor="text1"/>
                <w:kern w:val="0"/>
                <w:szCs w:val="21"/>
              </w:rPr>
              <w:t>2.4148</w:t>
            </w:r>
          </w:p>
        </w:tc>
      </w:tr>
    </w:tbl>
    <w:p w14:paraId="53F468AF">
      <w:pPr>
        <w:pStyle w:val="5"/>
        <w:spacing w:beforeLines="50" w:afterLines="50" w:line="360" w:lineRule="auto"/>
        <w:rPr>
          <w:b w:val="0"/>
          <w:sz w:val="28"/>
          <w:szCs w:val="28"/>
        </w:rPr>
      </w:pPr>
      <w:bookmarkStart w:id="109" w:name="_Toc43851657"/>
      <w:bookmarkStart w:id="110" w:name="_Toc481328190"/>
      <w:r>
        <w:rPr>
          <w:b w:val="0"/>
          <w:sz w:val="28"/>
          <w:szCs w:val="28"/>
        </w:rPr>
        <w:t>（二）已损毁各类土地现状</w:t>
      </w:r>
      <w:bookmarkEnd w:id="109"/>
      <w:bookmarkEnd w:id="110"/>
    </w:p>
    <w:p w14:paraId="27C35D8C">
      <w:pPr>
        <w:spacing w:line="360" w:lineRule="auto"/>
        <w:ind w:firstLine="480" w:firstLineChars="200"/>
        <w:rPr>
          <w:sz w:val="24"/>
          <w:lang w:val="zh-CN"/>
        </w:rPr>
      </w:pPr>
      <w:r>
        <w:rPr>
          <w:sz w:val="24"/>
          <w:lang w:val="zh-CN"/>
        </w:rPr>
        <w:t>已损毁区为工业广场、边坡区的区域，工业广场损毁类型为压占，损毁程度为重度，边坡区损毁类型为挖损，损毁程度为重度。已损毁面积共2.4148hm</w:t>
      </w:r>
      <w:r>
        <w:rPr>
          <w:sz w:val="24"/>
          <w:vertAlign w:val="superscript"/>
          <w:lang w:val="zh-CN"/>
        </w:rPr>
        <w:t>2</w:t>
      </w:r>
      <w:r>
        <w:rPr>
          <w:sz w:val="24"/>
          <w:lang w:val="zh-CN"/>
        </w:rPr>
        <w:t>，</w:t>
      </w:r>
      <w:r>
        <w:rPr>
          <w:kern w:val="0"/>
          <w:sz w:val="24"/>
        </w:rPr>
        <w:t>地类包含旱地、有林地其他林地、采矿用地和城镇住宅用地。</w:t>
      </w:r>
      <w:r>
        <w:rPr>
          <w:sz w:val="24"/>
          <w:lang w:val="zh-CN"/>
        </w:rPr>
        <w:t>已损毁区土地利用类型、面积详见表3-</w:t>
      </w:r>
      <w:r>
        <w:rPr>
          <w:sz w:val="24"/>
        </w:rPr>
        <w:t>9</w:t>
      </w:r>
      <w:r>
        <w:rPr>
          <w:sz w:val="24"/>
          <w:lang w:val="zh-CN"/>
        </w:rPr>
        <w:t>。</w:t>
      </w:r>
    </w:p>
    <w:p w14:paraId="4790721A">
      <w:pPr>
        <w:jc w:val="center"/>
        <w:rPr>
          <w:rFonts w:eastAsiaTheme="minorEastAsia"/>
          <w:b/>
          <w:szCs w:val="21"/>
        </w:rPr>
      </w:pPr>
      <w:r>
        <w:rPr>
          <w:rFonts w:eastAsiaTheme="minorEastAsia"/>
          <w:b/>
          <w:szCs w:val="21"/>
        </w:rPr>
        <w:t>表3-9项目区已损毁土地情况统计表</w:t>
      </w:r>
    </w:p>
    <w:tbl>
      <w:tblPr>
        <w:tblStyle w:val="29"/>
        <w:tblW w:w="8919" w:type="dxa"/>
        <w:jc w:val="center"/>
        <w:tblLayout w:type="autofit"/>
        <w:tblCellMar>
          <w:top w:w="0" w:type="dxa"/>
          <w:left w:w="108" w:type="dxa"/>
          <w:bottom w:w="0" w:type="dxa"/>
          <w:right w:w="108" w:type="dxa"/>
        </w:tblCellMar>
      </w:tblPr>
      <w:tblGrid>
        <w:gridCol w:w="874"/>
        <w:gridCol w:w="699"/>
        <w:gridCol w:w="1065"/>
        <w:gridCol w:w="1065"/>
        <w:gridCol w:w="1128"/>
        <w:gridCol w:w="1597"/>
        <w:gridCol w:w="1601"/>
        <w:gridCol w:w="890"/>
      </w:tblGrid>
      <w:tr w14:paraId="53A22E80">
        <w:tblPrEx>
          <w:tblCellMar>
            <w:top w:w="0" w:type="dxa"/>
            <w:left w:w="108" w:type="dxa"/>
            <w:bottom w:w="0" w:type="dxa"/>
            <w:right w:w="108" w:type="dxa"/>
          </w:tblCellMar>
        </w:tblPrEx>
        <w:trPr>
          <w:trHeight w:val="199" w:hRule="atLeast"/>
          <w:jc w:val="center"/>
        </w:trPr>
        <w:tc>
          <w:tcPr>
            <w:tcW w:w="874"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2A405FE">
            <w:pPr>
              <w:widowControl/>
              <w:jc w:val="center"/>
              <w:rPr>
                <w:color w:val="000000"/>
                <w:kern w:val="0"/>
                <w:szCs w:val="21"/>
              </w:rPr>
            </w:pPr>
            <w:bookmarkStart w:id="111" w:name="_Toc481328191"/>
            <w:r>
              <w:rPr>
                <w:color w:val="000000"/>
                <w:kern w:val="0"/>
                <w:szCs w:val="21"/>
              </w:rPr>
              <w:t>损毁对象</w:t>
            </w:r>
          </w:p>
        </w:tc>
        <w:tc>
          <w:tcPr>
            <w:tcW w:w="69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8E3299B">
            <w:pPr>
              <w:widowControl/>
              <w:jc w:val="center"/>
              <w:rPr>
                <w:color w:val="000000"/>
                <w:kern w:val="0"/>
                <w:szCs w:val="21"/>
              </w:rPr>
            </w:pPr>
            <w:r>
              <w:rPr>
                <w:color w:val="000000"/>
                <w:kern w:val="0"/>
                <w:szCs w:val="21"/>
              </w:rPr>
              <w:t>损毁</w:t>
            </w:r>
            <w:r>
              <w:rPr>
                <w:color w:val="000000"/>
                <w:kern w:val="0"/>
                <w:szCs w:val="21"/>
              </w:rPr>
              <w:br w:type="textWrapping"/>
            </w:r>
            <w:r>
              <w:rPr>
                <w:color w:val="000000"/>
                <w:kern w:val="0"/>
                <w:szCs w:val="21"/>
              </w:rPr>
              <w:t>程度</w:t>
            </w:r>
          </w:p>
        </w:tc>
        <w:tc>
          <w:tcPr>
            <w:tcW w:w="7346" w:type="dxa"/>
            <w:gridSpan w:val="6"/>
            <w:tcBorders>
              <w:top w:val="single" w:color="auto" w:sz="4" w:space="0"/>
              <w:left w:val="nil"/>
              <w:bottom w:val="single" w:color="auto" w:sz="4" w:space="0"/>
              <w:right w:val="single" w:color="000000" w:sz="4" w:space="0"/>
            </w:tcBorders>
            <w:shd w:val="clear" w:color="auto" w:fill="auto"/>
            <w:noWrap/>
            <w:vAlign w:val="center"/>
          </w:tcPr>
          <w:p w14:paraId="2F2BCB9F">
            <w:pPr>
              <w:widowControl/>
              <w:jc w:val="center"/>
              <w:rPr>
                <w:color w:val="000000"/>
                <w:kern w:val="0"/>
                <w:szCs w:val="21"/>
              </w:rPr>
            </w:pPr>
            <w:r>
              <w:rPr>
                <w:color w:val="000000"/>
                <w:kern w:val="0"/>
                <w:szCs w:val="21"/>
              </w:rPr>
              <w:t>地类及面积（hm</w:t>
            </w:r>
            <w:r>
              <w:rPr>
                <w:color w:val="000000"/>
                <w:kern w:val="0"/>
                <w:szCs w:val="21"/>
                <w:vertAlign w:val="superscript"/>
              </w:rPr>
              <w:t>2</w:t>
            </w:r>
            <w:r>
              <w:rPr>
                <w:color w:val="000000"/>
                <w:kern w:val="0"/>
                <w:szCs w:val="21"/>
              </w:rPr>
              <w:t>）</w:t>
            </w:r>
          </w:p>
        </w:tc>
      </w:tr>
      <w:tr w14:paraId="568FBD1F">
        <w:tblPrEx>
          <w:tblCellMar>
            <w:top w:w="0" w:type="dxa"/>
            <w:left w:w="108" w:type="dxa"/>
            <w:bottom w:w="0" w:type="dxa"/>
            <w:right w:w="108" w:type="dxa"/>
          </w:tblCellMar>
        </w:tblPrEx>
        <w:trPr>
          <w:trHeight w:val="199"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6D4AA0E3">
            <w:pPr>
              <w:widowControl/>
              <w:jc w:val="left"/>
              <w:rPr>
                <w:color w:val="000000"/>
                <w:kern w:val="0"/>
                <w:szCs w:val="21"/>
              </w:rPr>
            </w:pPr>
          </w:p>
        </w:tc>
        <w:tc>
          <w:tcPr>
            <w:tcW w:w="699" w:type="dxa"/>
            <w:vMerge w:val="continue"/>
            <w:tcBorders>
              <w:top w:val="single" w:color="auto" w:sz="4" w:space="0"/>
              <w:left w:val="single" w:color="auto" w:sz="4" w:space="0"/>
              <w:bottom w:val="single" w:color="auto" w:sz="4" w:space="0"/>
              <w:right w:val="single" w:color="auto" w:sz="4" w:space="0"/>
            </w:tcBorders>
            <w:vAlign w:val="center"/>
          </w:tcPr>
          <w:p w14:paraId="13808153">
            <w:pPr>
              <w:widowControl/>
              <w:jc w:val="left"/>
              <w:rPr>
                <w:color w:val="000000"/>
                <w:kern w:val="0"/>
                <w:szCs w:val="21"/>
              </w:rPr>
            </w:pPr>
          </w:p>
        </w:tc>
        <w:tc>
          <w:tcPr>
            <w:tcW w:w="1065" w:type="dxa"/>
            <w:tcBorders>
              <w:top w:val="nil"/>
              <w:left w:val="nil"/>
              <w:bottom w:val="single" w:color="auto" w:sz="4" w:space="0"/>
              <w:right w:val="single" w:color="auto" w:sz="4" w:space="0"/>
            </w:tcBorders>
            <w:shd w:val="clear" w:color="auto" w:fill="auto"/>
            <w:noWrap/>
            <w:vAlign w:val="center"/>
          </w:tcPr>
          <w:p w14:paraId="5A9D83ED">
            <w:pPr>
              <w:widowControl/>
              <w:jc w:val="center"/>
              <w:rPr>
                <w:color w:val="000000"/>
                <w:kern w:val="0"/>
                <w:szCs w:val="21"/>
              </w:rPr>
            </w:pPr>
            <w:r>
              <w:rPr>
                <w:color w:val="000000"/>
                <w:kern w:val="0"/>
                <w:szCs w:val="21"/>
              </w:rPr>
              <w:t>耕地（01）</w:t>
            </w:r>
          </w:p>
        </w:tc>
        <w:tc>
          <w:tcPr>
            <w:tcW w:w="2193" w:type="dxa"/>
            <w:gridSpan w:val="2"/>
            <w:tcBorders>
              <w:top w:val="single" w:color="auto" w:sz="4" w:space="0"/>
              <w:left w:val="nil"/>
              <w:bottom w:val="single" w:color="auto" w:sz="4" w:space="0"/>
              <w:right w:val="single" w:color="000000" w:sz="4" w:space="0"/>
            </w:tcBorders>
            <w:shd w:val="clear" w:color="auto" w:fill="auto"/>
            <w:noWrap/>
            <w:vAlign w:val="center"/>
          </w:tcPr>
          <w:p w14:paraId="77C62AAC">
            <w:pPr>
              <w:widowControl/>
              <w:jc w:val="center"/>
              <w:rPr>
                <w:color w:val="000000"/>
                <w:kern w:val="0"/>
                <w:szCs w:val="21"/>
              </w:rPr>
            </w:pPr>
            <w:r>
              <w:rPr>
                <w:color w:val="000000"/>
                <w:kern w:val="0"/>
                <w:szCs w:val="21"/>
              </w:rPr>
              <w:t>林地（03）</w:t>
            </w:r>
          </w:p>
        </w:tc>
        <w:tc>
          <w:tcPr>
            <w:tcW w:w="1597" w:type="dxa"/>
            <w:tcBorders>
              <w:top w:val="nil"/>
              <w:left w:val="nil"/>
              <w:bottom w:val="single" w:color="auto" w:sz="4" w:space="0"/>
              <w:right w:val="single" w:color="auto" w:sz="4" w:space="0"/>
            </w:tcBorders>
            <w:shd w:val="clear" w:color="auto" w:fill="auto"/>
            <w:noWrap/>
            <w:vAlign w:val="center"/>
          </w:tcPr>
          <w:p w14:paraId="44D774FE">
            <w:pPr>
              <w:widowControl/>
              <w:jc w:val="center"/>
              <w:rPr>
                <w:color w:val="000000"/>
                <w:kern w:val="0"/>
                <w:szCs w:val="21"/>
              </w:rPr>
            </w:pPr>
            <w:r>
              <w:rPr>
                <w:color w:val="000000"/>
                <w:kern w:val="0"/>
                <w:szCs w:val="21"/>
              </w:rPr>
              <w:t>工矿仓储用地（06）</w:t>
            </w:r>
          </w:p>
        </w:tc>
        <w:tc>
          <w:tcPr>
            <w:tcW w:w="1601" w:type="dxa"/>
            <w:tcBorders>
              <w:top w:val="nil"/>
              <w:left w:val="nil"/>
              <w:bottom w:val="single" w:color="auto" w:sz="4" w:space="0"/>
              <w:right w:val="single" w:color="auto" w:sz="4" w:space="0"/>
            </w:tcBorders>
            <w:shd w:val="clear" w:color="auto" w:fill="auto"/>
            <w:noWrap/>
            <w:vAlign w:val="center"/>
          </w:tcPr>
          <w:p w14:paraId="2A6C58BF">
            <w:pPr>
              <w:widowControl/>
              <w:jc w:val="center"/>
              <w:rPr>
                <w:color w:val="000000"/>
                <w:kern w:val="0"/>
                <w:szCs w:val="21"/>
              </w:rPr>
            </w:pPr>
            <w:r>
              <w:rPr>
                <w:color w:val="000000"/>
                <w:kern w:val="0"/>
                <w:szCs w:val="21"/>
              </w:rPr>
              <w:t>住宅用地（07）</w:t>
            </w:r>
          </w:p>
        </w:tc>
        <w:tc>
          <w:tcPr>
            <w:tcW w:w="890" w:type="dxa"/>
            <w:vMerge w:val="restart"/>
            <w:tcBorders>
              <w:top w:val="nil"/>
              <w:left w:val="single" w:color="auto" w:sz="4" w:space="0"/>
              <w:bottom w:val="single" w:color="auto" w:sz="4" w:space="0"/>
              <w:right w:val="single" w:color="auto" w:sz="4" w:space="0"/>
            </w:tcBorders>
            <w:shd w:val="clear" w:color="auto" w:fill="auto"/>
            <w:noWrap/>
            <w:vAlign w:val="center"/>
          </w:tcPr>
          <w:p w14:paraId="3D8F6CB9">
            <w:pPr>
              <w:widowControl/>
              <w:jc w:val="center"/>
              <w:rPr>
                <w:color w:val="000000"/>
                <w:kern w:val="0"/>
                <w:szCs w:val="21"/>
              </w:rPr>
            </w:pPr>
            <w:r>
              <w:rPr>
                <w:color w:val="000000"/>
                <w:kern w:val="0"/>
                <w:szCs w:val="21"/>
              </w:rPr>
              <w:t>合计</w:t>
            </w:r>
          </w:p>
        </w:tc>
      </w:tr>
      <w:tr w14:paraId="6E46E864">
        <w:tblPrEx>
          <w:tblCellMar>
            <w:top w:w="0" w:type="dxa"/>
            <w:left w:w="108" w:type="dxa"/>
            <w:bottom w:w="0" w:type="dxa"/>
            <w:right w:w="108" w:type="dxa"/>
          </w:tblCellMar>
        </w:tblPrEx>
        <w:trPr>
          <w:trHeight w:val="199" w:hRule="atLeast"/>
          <w:jc w:val="center"/>
        </w:trPr>
        <w:tc>
          <w:tcPr>
            <w:tcW w:w="874" w:type="dxa"/>
            <w:vMerge w:val="continue"/>
            <w:tcBorders>
              <w:top w:val="single" w:color="auto" w:sz="4" w:space="0"/>
              <w:left w:val="single" w:color="auto" w:sz="4" w:space="0"/>
              <w:bottom w:val="single" w:color="auto" w:sz="4" w:space="0"/>
              <w:right w:val="single" w:color="auto" w:sz="4" w:space="0"/>
            </w:tcBorders>
            <w:vAlign w:val="center"/>
          </w:tcPr>
          <w:p w14:paraId="7A6F9AA7">
            <w:pPr>
              <w:widowControl/>
              <w:jc w:val="left"/>
              <w:rPr>
                <w:color w:val="000000"/>
                <w:kern w:val="0"/>
                <w:szCs w:val="21"/>
              </w:rPr>
            </w:pPr>
          </w:p>
        </w:tc>
        <w:tc>
          <w:tcPr>
            <w:tcW w:w="699" w:type="dxa"/>
            <w:vMerge w:val="continue"/>
            <w:tcBorders>
              <w:top w:val="single" w:color="auto" w:sz="4" w:space="0"/>
              <w:left w:val="single" w:color="auto" w:sz="4" w:space="0"/>
              <w:bottom w:val="single" w:color="auto" w:sz="4" w:space="0"/>
              <w:right w:val="single" w:color="auto" w:sz="4" w:space="0"/>
            </w:tcBorders>
            <w:vAlign w:val="center"/>
          </w:tcPr>
          <w:p w14:paraId="33806024">
            <w:pPr>
              <w:widowControl/>
              <w:jc w:val="left"/>
              <w:rPr>
                <w:color w:val="000000"/>
                <w:kern w:val="0"/>
                <w:szCs w:val="21"/>
              </w:rPr>
            </w:pPr>
          </w:p>
        </w:tc>
        <w:tc>
          <w:tcPr>
            <w:tcW w:w="1065" w:type="dxa"/>
            <w:tcBorders>
              <w:top w:val="nil"/>
              <w:left w:val="nil"/>
              <w:bottom w:val="single" w:color="auto" w:sz="4" w:space="0"/>
              <w:right w:val="single" w:color="auto" w:sz="4" w:space="0"/>
            </w:tcBorders>
            <w:shd w:val="clear" w:color="auto" w:fill="auto"/>
            <w:noWrap/>
            <w:vAlign w:val="center"/>
          </w:tcPr>
          <w:p w14:paraId="08AC9A91">
            <w:pPr>
              <w:widowControl/>
              <w:jc w:val="center"/>
              <w:rPr>
                <w:color w:val="000000"/>
                <w:kern w:val="0"/>
                <w:szCs w:val="21"/>
              </w:rPr>
            </w:pPr>
            <w:r>
              <w:rPr>
                <w:color w:val="000000"/>
                <w:kern w:val="0"/>
                <w:szCs w:val="21"/>
              </w:rPr>
              <w:t>旱地（013）</w:t>
            </w:r>
          </w:p>
        </w:tc>
        <w:tc>
          <w:tcPr>
            <w:tcW w:w="1065" w:type="dxa"/>
            <w:tcBorders>
              <w:top w:val="nil"/>
              <w:left w:val="nil"/>
              <w:bottom w:val="single" w:color="auto" w:sz="4" w:space="0"/>
              <w:right w:val="single" w:color="auto" w:sz="4" w:space="0"/>
            </w:tcBorders>
            <w:shd w:val="clear" w:color="auto" w:fill="auto"/>
            <w:vAlign w:val="center"/>
          </w:tcPr>
          <w:p w14:paraId="516EC3DA">
            <w:pPr>
              <w:widowControl/>
              <w:jc w:val="center"/>
              <w:rPr>
                <w:color w:val="000000"/>
                <w:kern w:val="0"/>
                <w:szCs w:val="21"/>
              </w:rPr>
            </w:pPr>
            <w:r>
              <w:rPr>
                <w:color w:val="000000"/>
                <w:kern w:val="0"/>
                <w:szCs w:val="21"/>
              </w:rPr>
              <w:t>有林地（031）</w:t>
            </w:r>
          </w:p>
        </w:tc>
        <w:tc>
          <w:tcPr>
            <w:tcW w:w="1128" w:type="dxa"/>
            <w:tcBorders>
              <w:top w:val="nil"/>
              <w:left w:val="nil"/>
              <w:bottom w:val="single" w:color="auto" w:sz="4" w:space="0"/>
              <w:right w:val="single" w:color="auto" w:sz="4" w:space="0"/>
            </w:tcBorders>
            <w:shd w:val="clear" w:color="auto" w:fill="auto"/>
            <w:vAlign w:val="center"/>
          </w:tcPr>
          <w:p w14:paraId="2890AB46">
            <w:pPr>
              <w:widowControl/>
              <w:jc w:val="center"/>
              <w:rPr>
                <w:color w:val="000000"/>
                <w:kern w:val="0"/>
                <w:szCs w:val="21"/>
              </w:rPr>
            </w:pPr>
            <w:r>
              <w:rPr>
                <w:color w:val="000000"/>
                <w:kern w:val="0"/>
                <w:szCs w:val="21"/>
              </w:rPr>
              <w:t>其他林地（033）</w:t>
            </w:r>
          </w:p>
        </w:tc>
        <w:tc>
          <w:tcPr>
            <w:tcW w:w="1597" w:type="dxa"/>
            <w:tcBorders>
              <w:top w:val="nil"/>
              <w:left w:val="nil"/>
              <w:bottom w:val="single" w:color="auto" w:sz="4" w:space="0"/>
              <w:right w:val="single" w:color="auto" w:sz="4" w:space="0"/>
            </w:tcBorders>
            <w:shd w:val="clear" w:color="auto" w:fill="auto"/>
            <w:noWrap/>
            <w:vAlign w:val="center"/>
          </w:tcPr>
          <w:p w14:paraId="446FAAB2">
            <w:pPr>
              <w:widowControl/>
              <w:jc w:val="center"/>
              <w:rPr>
                <w:color w:val="000000"/>
                <w:kern w:val="0"/>
                <w:szCs w:val="21"/>
              </w:rPr>
            </w:pPr>
            <w:r>
              <w:rPr>
                <w:color w:val="000000"/>
                <w:kern w:val="0"/>
                <w:szCs w:val="21"/>
              </w:rPr>
              <w:t>采矿用地（062）</w:t>
            </w:r>
          </w:p>
        </w:tc>
        <w:tc>
          <w:tcPr>
            <w:tcW w:w="1601" w:type="dxa"/>
            <w:tcBorders>
              <w:top w:val="nil"/>
              <w:left w:val="nil"/>
              <w:bottom w:val="single" w:color="auto" w:sz="4" w:space="0"/>
              <w:right w:val="single" w:color="auto" w:sz="4" w:space="0"/>
            </w:tcBorders>
            <w:shd w:val="clear" w:color="auto" w:fill="auto"/>
            <w:vAlign w:val="center"/>
          </w:tcPr>
          <w:p w14:paraId="56016801">
            <w:pPr>
              <w:widowControl/>
              <w:jc w:val="center"/>
              <w:rPr>
                <w:color w:val="000000"/>
                <w:kern w:val="0"/>
                <w:szCs w:val="21"/>
              </w:rPr>
            </w:pPr>
            <w:r>
              <w:rPr>
                <w:color w:val="000000"/>
                <w:kern w:val="0"/>
                <w:szCs w:val="21"/>
              </w:rPr>
              <w:t>城镇住宅用地（071）</w:t>
            </w:r>
          </w:p>
        </w:tc>
        <w:tc>
          <w:tcPr>
            <w:tcW w:w="890" w:type="dxa"/>
            <w:vMerge w:val="continue"/>
            <w:tcBorders>
              <w:top w:val="nil"/>
              <w:left w:val="single" w:color="auto" w:sz="4" w:space="0"/>
              <w:bottom w:val="single" w:color="auto" w:sz="4" w:space="0"/>
              <w:right w:val="single" w:color="auto" w:sz="4" w:space="0"/>
            </w:tcBorders>
            <w:vAlign w:val="center"/>
          </w:tcPr>
          <w:p w14:paraId="460D929F">
            <w:pPr>
              <w:widowControl/>
              <w:jc w:val="left"/>
              <w:rPr>
                <w:color w:val="000000"/>
                <w:kern w:val="0"/>
                <w:szCs w:val="21"/>
              </w:rPr>
            </w:pPr>
          </w:p>
        </w:tc>
      </w:tr>
      <w:tr w14:paraId="1EE7D389">
        <w:tblPrEx>
          <w:tblCellMar>
            <w:top w:w="0" w:type="dxa"/>
            <w:left w:w="108" w:type="dxa"/>
            <w:bottom w:w="0" w:type="dxa"/>
            <w:right w:w="108" w:type="dxa"/>
          </w:tblCellMar>
        </w:tblPrEx>
        <w:trPr>
          <w:trHeight w:val="199" w:hRule="atLeast"/>
          <w:jc w:val="center"/>
        </w:trPr>
        <w:tc>
          <w:tcPr>
            <w:tcW w:w="874" w:type="dxa"/>
            <w:tcBorders>
              <w:top w:val="nil"/>
              <w:left w:val="single" w:color="auto" w:sz="4" w:space="0"/>
              <w:bottom w:val="single" w:color="auto" w:sz="4" w:space="0"/>
              <w:right w:val="single" w:color="auto" w:sz="4" w:space="0"/>
            </w:tcBorders>
            <w:shd w:val="clear" w:color="auto" w:fill="auto"/>
            <w:vAlign w:val="center"/>
          </w:tcPr>
          <w:p w14:paraId="396F99EA">
            <w:pPr>
              <w:widowControl/>
              <w:jc w:val="center"/>
              <w:rPr>
                <w:color w:val="000000"/>
                <w:kern w:val="0"/>
                <w:szCs w:val="21"/>
              </w:rPr>
            </w:pPr>
            <w:r>
              <w:rPr>
                <w:color w:val="000000"/>
                <w:kern w:val="0"/>
                <w:szCs w:val="21"/>
              </w:rPr>
              <w:t>工业广场</w:t>
            </w:r>
          </w:p>
        </w:tc>
        <w:tc>
          <w:tcPr>
            <w:tcW w:w="699" w:type="dxa"/>
            <w:tcBorders>
              <w:top w:val="nil"/>
              <w:left w:val="nil"/>
              <w:bottom w:val="single" w:color="auto" w:sz="4" w:space="0"/>
              <w:right w:val="single" w:color="auto" w:sz="4" w:space="0"/>
            </w:tcBorders>
            <w:shd w:val="clear" w:color="auto" w:fill="auto"/>
            <w:noWrap/>
            <w:vAlign w:val="center"/>
          </w:tcPr>
          <w:p w14:paraId="4D86C550">
            <w:pPr>
              <w:widowControl/>
              <w:jc w:val="center"/>
              <w:rPr>
                <w:color w:val="000000"/>
                <w:kern w:val="0"/>
                <w:szCs w:val="21"/>
              </w:rPr>
            </w:pPr>
            <w:r>
              <w:rPr>
                <w:color w:val="000000"/>
                <w:kern w:val="0"/>
                <w:szCs w:val="21"/>
              </w:rPr>
              <w:t>重度</w:t>
            </w:r>
          </w:p>
        </w:tc>
        <w:tc>
          <w:tcPr>
            <w:tcW w:w="1065" w:type="dxa"/>
            <w:tcBorders>
              <w:top w:val="nil"/>
              <w:left w:val="nil"/>
              <w:bottom w:val="single" w:color="auto" w:sz="4" w:space="0"/>
              <w:right w:val="single" w:color="auto" w:sz="4" w:space="0"/>
            </w:tcBorders>
            <w:shd w:val="clear" w:color="auto" w:fill="auto"/>
            <w:noWrap/>
            <w:vAlign w:val="center"/>
          </w:tcPr>
          <w:p w14:paraId="154C1A19">
            <w:pPr>
              <w:widowControl/>
              <w:jc w:val="center"/>
              <w:rPr>
                <w:color w:val="000000"/>
                <w:kern w:val="0"/>
                <w:szCs w:val="21"/>
              </w:rPr>
            </w:pPr>
            <w:r>
              <w:rPr>
                <w:color w:val="000000"/>
                <w:kern w:val="0"/>
                <w:szCs w:val="21"/>
              </w:rPr>
              <w:t>0.5604</w:t>
            </w:r>
          </w:p>
        </w:tc>
        <w:tc>
          <w:tcPr>
            <w:tcW w:w="1065" w:type="dxa"/>
            <w:tcBorders>
              <w:top w:val="nil"/>
              <w:left w:val="nil"/>
              <w:bottom w:val="single" w:color="auto" w:sz="4" w:space="0"/>
              <w:right w:val="single" w:color="auto" w:sz="4" w:space="0"/>
            </w:tcBorders>
            <w:shd w:val="clear" w:color="auto" w:fill="auto"/>
            <w:noWrap/>
            <w:vAlign w:val="center"/>
          </w:tcPr>
          <w:p w14:paraId="365E4EDD">
            <w:pPr>
              <w:widowControl/>
              <w:jc w:val="center"/>
              <w:rPr>
                <w:color w:val="000000"/>
                <w:kern w:val="0"/>
                <w:szCs w:val="21"/>
              </w:rPr>
            </w:pPr>
            <w:r>
              <w:rPr>
                <w:color w:val="000000"/>
                <w:kern w:val="0"/>
                <w:szCs w:val="21"/>
              </w:rPr>
              <w:t>0.0677</w:t>
            </w:r>
          </w:p>
        </w:tc>
        <w:tc>
          <w:tcPr>
            <w:tcW w:w="1128" w:type="dxa"/>
            <w:tcBorders>
              <w:top w:val="nil"/>
              <w:left w:val="nil"/>
              <w:bottom w:val="single" w:color="auto" w:sz="4" w:space="0"/>
              <w:right w:val="single" w:color="auto" w:sz="4" w:space="0"/>
            </w:tcBorders>
            <w:shd w:val="clear" w:color="auto" w:fill="auto"/>
            <w:noWrap/>
            <w:vAlign w:val="center"/>
          </w:tcPr>
          <w:p w14:paraId="08251D85">
            <w:pPr>
              <w:widowControl/>
              <w:jc w:val="center"/>
              <w:rPr>
                <w:color w:val="000000"/>
                <w:kern w:val="0"/>
                <w:szCs w:val="21"/>
              </w:rPr>
            </w:pPr>
            <w:r>
              <w:rPr>
                <w:color w:val="000000"/>
                <w:kern w:val="0"/>
                <w:szCs w:val="21"/>
              </w:rPr>
              <w:t>0.1711</w:t>
            </w:r>
          </w:p>
        </w:tc>
        <w:tc>
          <w:tcPr>
            <w:tcW w:w="1597" w:type="dxa"/>
            <w:tcBorders>
              <w:top w:val="nil"/>
              <w:left w:val="nil"/>
              <w:bottom w:val="single" w:color="auto" w:sz="4" w:space="0"/>
              <w:right w:val="single" w:color="auto" w:sz="4" w:space="0"/>
            </w:tcBorders>
            <w:shd w:val="clear" w:color="auto" w:fill="auto"/>
            <w:noWrap/>
            <w:vAlign w:val="center"/>
          </w:tcPr>
          <w:p w14:paraId="3F080622">
            <w:pPr>
              <w:widowControl/>
              <w:jc w:val="center"/>
              <w:rPr>
                <w:color w:val="000000"/>
                <w:kern w:val="0"/>
                <w:szCs w:val="21"/>
              </w:rPr>
            </w:pPr>
            <w:r>
              <w:rPr>
                <w:color w:val="000000"/>
                <w:kern w:val="0"/>
                <w:szCs w:val="21"/>
              </w:rPr>
              <w:t>0.7991</w:t>
            </w:r>
          </w:p>
        </w:tc>
        <w:tc>
          <w:tcPr>
            <w:tcW w:w="1601" w:type="dxa"/>
            <w:tcBorders>
              <w:top w:val="nil"/>
              <w:left w:val="nil"/>
              <w:bottom w:val="single" w:color="auto" w:sz="4" w:space="0"/>
              <w:right w:val="single" w:color="auto" w:sz="4" w:space="0"/>
            </w:tcBorders>
            <w:shd w:val="clear" w:color="auto" w:fill="auto"/>
            <w:noWrap/>
            <w:vAlign w:val="center"/>
          </w:tcPr>
          <w:p w14:paraId="5A1B4F5C">
            <w:pPr>
              <w:widowControl/>
              <w:jc w:val="center"/>
              <w:rPr>
                <w:color w:val="000000"/>
                <w:kern w:val="0"/>
                <w:szCs w:val="21"/>
              </w:rPr>
            </w:pPr>
            <w:r>
              <w:rPr>
                <w:color w:val="000000"/>
                <w:kern w:val="0"/>
                <w:szCs w:val="21"/>
              </w:rPr>
              <w:t>0.2562</w:t>
            </w:r>
          </w:p>
        </w:tc>
        <w:tc>
          <w:tcPr>
            <w:tcW w:w="890" w:type="dxa"/>
            <w:tcBorders>
              <w:top w:val="nil"/>
              <w:left w:val="nil"/>
              <w:bottom w:val="single" w:color="auto" w:sz="4" w:space="0"/>
              <w:right w:val="single" w:color="auto" w:sz="4" w:space="0"/>
            </w:tcBorders>
            <w:shd w:val="clear" w:color="auto" w:fill="auto"/>
            <w:noWrap/>
            <w:vAlign w:val="center"/>
          </w:tcPr>
          <w:p w14:paraId="72F2EA14">
            <w:pPr>
              <w:widowControl/>
              <w:jc w:val="center"/>
              <w:rPr>
                <w:color w:val="000000"/>
                <w:kern w:val="0"/>
                <w:szCs w:val="21"/>
              </w:rPr>
            </w:pPr>
            <w:r>
              <w:rPr>
                <w:color w:val="000000"/>
                <w:kern w:val="0"/>
                <w:szCs w:val="21"/>
              </w:rPr>
              <w:t>1.8545</w:t>
            </w:r>
          </w:p>
        </w:tc>
      </w:tr>
      <w:tr w14:paraId="6FB9A3A9">
        <w:tblPrEx>
          <w:tblCellMar>
            <w:top w:w="0" w:type="dxa"/>
            <w:left w:w="108" w:type="dxa"/>
            <w:bottom w:w="0" w:type="dxa"/>
            <w:right w:w="108" w:type="dxa"/>
          </w:tblCellMar>
        </w:tblPrEx>
        <w:trPr>
          <w:trHeight w:val="199" w:hRule="atLeast"/>
          <w:jc w:val="center"/>
        </w:trPr>
        <w:tc>
          <w:tcPr>
            <w:tcW w:w="874" w:type="dxa"/>
            <w:tcBorders>
              <w:top w:val="nil"/>
              <w:left w:val="single" w:color="auto" w:sz="4" w:space="0"/>
              <w:bottom w:val="single" w:color="auto" w:sz="4" w:space="0"/>
              <w:right w:val="single" w:color="auto" w:sz="4" w:space="0"/>
            </w:tcBorders>
            <w:shd w:val="clear" w:color="auto" w:fill="auto"/>
            <w:vAlign w:val="center"/>
          </w:tcPr>
          <w:p w14:paraId="0DAE9770">
            <w:pPr>
              <w:widowControl/>
              <w:jc w:val="center"/>
              <w:rPr>
                <w:color w:val="000000"/>
                <w:kern w:val="0"/>
                <w:szCs w:val="21"/>
              </w:rPr>
            </w:pPr>
            <w:r>
              <w:rPr>
                <w:color w:val="000000"/>
                <w:kern w:val="0"/>
                <w:szCs w:val="21"/>
              </w:rPr>
              <w:t>边坡区</w:t>
            </w:r>
          </w:p>
        </w:tc>
        <w:tc>
          <w:tcPr>
            <w:tcW w:w="699" w:type="dxa"/>
            <w:tcBorders>
              <w:top w:val="nil"/>
              <w:left w:val="nil"/>
              <w:bottom w:val="single" w:color="auto" w:sz="4" w:space="0"/>
              <w:right w:val="single" w:color="auto" w:sz="4" w:space="0"/>
            </w:tcBorders>
            <w:shd w:val="clear" w:color="auto" w:fill="auto"/>
            <w:noWrap/>
            <w:vAlign w:val="center"/>
          </w:tcPr>
          <w:p w14:paraId="3F224E7E">
            <w:pPr>
              <w:widowControl/>
              <w:jc w:val="center"/>
              <w:rPr>
                <w:color w:val="000000"/>
                <w:kern w:val="0"/>
                <w:szCs w:val="21"/>
              </w:rPr>
            </w:pPr>
            <w:r>
              <w:rPr>
                <w:color w:val="000000"/>
                <w:kern w:val="0"/>
                <w:szCs w:val="21"/>
              </w:rPr>
              <w:t>重度</w:t>
            </w:r>
          </w:p>
        </w:tc>
        <w:tc>
          <w:tcPr>
            <w:tcW w:w="1065" w:type="dxa"/>
            <w:tcBorders>
              <w:top w:val="nil"/>
              <w:left w:val="nil"/>
              <w:bottom w:val="single" w:color="auto" w:sz="4" w:space="0"/>
              <w:right w:val="single" w:color="auto" w:sz="4" w:space="0"/>
            </w:tcBorders>
            <w:shd w:val="clear" w:color="auto" w:fill="auto"/>
            <w:noWrap/>
            <w:vAlign w:val="center"/>
          </w:tcPr>
          <w:p w14:paraId="7642259C">
            <w:pPr>
              <w:widowControl/>
              <w:jc w:val="center"/>
              <w:rPr>
                <w:color w:val="000000"/>
                <w:kern w:val="0"/>
                <w:szCs w:val="21"/>
              </w:rPr>
            </w:pPr>
            <w:r>
              <w:rPr>
                <w:color w:val="000000"/>
                <w:kern w:val="0"/>
                <w:szCs w:val="21"/>
              </w:rPr>
              <w:t>0.2989</w:t>
            </w:r>
          </w:p>
        </w:tc>
        <w:tc>
          <w:tcPr>
            <w:tcW w:w="1065" w:type="dxa"/>
            <w:tcBorders>
              <w:top w:val="nil"/>
              <w:left w:val="nil"/>
              <w:bottom w:val="single" w:color="auto" w:sz="4" w:space="0"/>
              <w:right w:val="single" w:color="auto" w:sz="4" w:space="0"/>
            </w:tcBorders>
            <w:shd w:val="clear" w:color="auto" w:fill="auto"/>
            <w:noWrap/>
            <w:vAlign w:val="center"/>
          </w:tcPr>
          <w:p w14:paraId="22C3C801">
            <w:pPr>
              <w:widowControl/>
              <w:jc w:val="center"/>
              <w:rPr>
                <w:color w:val="000000"/>
                <w:kern w:val="0"/>
                <w:szCs w:val="21"/>
              </w:rPr>
            </w:pPr>
            <w:r>
              <w:rPr>
                <w:color w:val="000000"/>
                <w:kern w:val="0"/>
                <w:szCs w:val="21"/>
              </w:rPr>
              <w:t>0.0322</w:t>
            </w:r>
          </w:p>
        </w:tc>
        <w:tc>
          <w:tcPr>
            <w:tcW w:w="1128" w:type="dxa"/>
            <w:tcBorders>
              <w:top w:val="nil"/>
              <w:left w:val="nil"/>
              <w:bottom w:val="single" w:color="auto" w:sz="4" w:space="0"/>
              <w:right w:val="single" w:color="auto" w:sz="4" w:space="0"/>
            </w:tcBorders>
            <w:shd w:val="clear" w:color="auto" w:fill="auto"/>
            <w:noWrap/>
            <w:vAlign w:val="center"/>
          </w:tcPr>
          <w:p w14:paraId="618526B0">
            <w:pPr>
              <w:widowControl/>
              <w:jc w:val="center"/>
              <w:rPr>
                <w:color w:val="000000"/>
                <w:kern w:val="0"/>
                <w:szCs w:val="21"/>
              </w:rPr>
            </w:pPr>
            <w:r>
              <w:rPr>
                <w:color w:val="000000"/>
                <w:kern w:val="0"/>
                <w:szCs w:val="21"/>
              </w:rPr>
              <w:t>0.2251</w:t>
            </w:r>
          </w:p>
        </w:tc>
        <w:tc>
          <w:tcPr>
            <w:tcW w:w="1597" w:type="dxa"/>
            <w:tcBorders>
              <w:top w:val="nil"/>
              <w:left w:val="nil"/>
              <w:bottom w:val="single" w:color="auto" w:sz="4" w:space="0"/>
              <w:right w:val="single" w:color="auto" w:sz="4" w:space="0"/>
            </w:tcBorders>
            <w:shd w:val="clear" w:color="auto" w:fill="auto"/>
            <w:noWrap/>
            <w:vAlign w:val="center"/>
          </w:tcPr>
          <w:p w14:paraId="21A4E197">
            <w:pPr>
              <w:widowControl/>
              <w:jc w:val="center"/>
              <w:rPr>
                <w:color w:val="000000"/>
                <w:kern w:val="0"/>
                <w:szCs w:val="21"/>
              </w:rPr>
            </w:pPr>
            <w:r>
              <w:rPr>
                <w:color w:val="000000"/>
                <w:kern w:val="0"/>
                <w:szCs w:val="21"/>
              </w:rPr>
              <w:t>0.0006</w:t>
            </w:r>
          </w:p>
        </w:tc>
        <w:tc>
          <w:tcPr>
            <w:tcW w:w="1601" w:type="dxa"/>
            <w:tcBorders>
              <w:top w:val="nil"/>
              <w:left w:val="nil"/>
              <w:bottom w:val="single" w:color="auto" w:sz="4" w:space="0"/>
              <w:right w:val="single" w:color="auto" w:sz="4" w:space="0"/>
            </w:tcBorders>
            <w:shd w:val="clear" w:color="auto" w:fill="auto"/>
            <w:noWrap/>
            <w:vAlign w:val="center"/>
          </w:tcPr>
          <w:p w14:paraId="305AFD3C">
            <w:pPr>
              <w:widowControl/>
              <w:jc w:val="center"/>
              <w:rPr>
                <w:color w:val="000000"/>
                <w:kern w:val="0"/>
                <w:szCs w:val="21"/>
              </w:rPr>
            </w:pPr>
            <w:r>
              <w:rPr>
                <w:color w:val="000000"/>
                <w:kern w:val="0"/>
                <w:szCs w:val="21"/>
              </w:rPr>
              <w:t>0.0035</w:t>
            </w:r>
          </w:p>
        </w:tc>
        <w:tc>
          <w:tcPr>
            <w:tcW w:w="890" w:type="dxa"/>
            <w:tcBorders>
              <w:top w:val="nil"/>
              <w:left w:val="nil"/>
              <w:bottom w:val="single" w:color="auto" w:sz="4" w:space="0"/>
              <w:right w:val="single" w:color="auto" w:sz="4" w:space="0"/>
            </w:tcBorders>
            <w:shd w:val="clear" w:color="auto" w:fill="auto"/>
            <w:noWrap/>
            <w:vAlign w:val="center"/>
          </w:tcPr>
          <w:p w14:paraId="1AD34A8C">
            <w:pPr>
              <w:widowControl/>
              <w:jc w:val="center"/>
              <w:rPr>
                <w:color w:val="000000"/>
                <w:kern w:val="0"/>
                <w:szCs w:val="21"/>
              </w:rPr>
            </w:pPr>
            <w:r>
              <w:rPr>
                <w:color w:val="000000"/>
                <w:kern w:val="0"/>
                <w:szCs w:val="21"/>
              </w:rPr>
              <w:t>0.5603</w:t>
            </w:r>
          </w:p>
        </w:tc>
      </w:tr>
      <w:tr w14:paraId="68F0C125">
        <w:tblPrEx>
          <w:tblCellMar>
            <w:top w:w="0" w:type="dxa"/>
            <w:left w:w="108" w:type="dxa"/>
            <w:bottom w:w="0" w:type="dxa"/>
            <w:right w:w="108" w:type="dxa"/>
          </w:tblCellMar>
        </w:tblPrEx>
        <w:trPr>
          <w:trHeight w:val="199" w:hRule="atLeast"/>
          <w:jc w:val="center"/>
        </w:trPr>
        <w:tc>
          <w:tcPr>
            <w:tcW w:w="1573"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151E1E7A">
            <w:pPr>
              <w:widowControl/>
              <w:jc w:val="center"/>
              <w:rPr>
                <w:color w:val="000000"/>
                <w:kern w:val="0"/>
                <w:szCs w:val="21"/>
              </w:rPr>
            </w:pPr>
            <w:r>
              <w:rPr>
                <w:color w:val="000000"/>
                <w:kern w:val="0"/>
                <w:szCs w:val="21"/>
              </w:rPr>
              <w:t>合计</w:t>
            </w:r>
          </w:p>
        </w:tc>
        <w:tc>
          <w:tcPr>
            <w:tcW w:w="1065" w:type="dxa"/>
            <w:tcBorders>
              <w:top w:val="nil"/>
              <w:left w:val="nil"/>
              <w:bottom w:val="single" w:color="auto" w:sz="4" w:space="0"/>
              <w:right w:val="single" w:color="auto" w:sz="4" w:space="0"/>
            </w:tcBorders>
            <w:shd w:val="clear" w:color="auto" w:fill="auto"/>
            <w:noWrap/>
            <w:vAlign w:val="center"/>
          </w:tcPr>
          <w:p w14:paraId="488DCA26">
            <w:pPr>
              <w:widowControl/>
              <w:jc w:val="center"/>
              <w:rPr>
                <w:color w:val="000000"/>
                <w:kern w:val="0"/>
                <w:szCs w:val="21"/>
              </w:rPr>
            </w:pPr>
            <w:r>
              <w:rPr>
                <w:color w:val="000000"/>
                <w:kern w:val="0"/>
                <w:szCs w:val="21"/>
              </w:rPr>
              <w:t>0.8593</w:t>
            </w:r>
          </w:p>
        </w:tc>
        <w:tc>
          <w:tcPr>
            <w:tcW w:w="1065" w:type="dxa"/>
            <w:tcBorders>
              <w:top w:val="nil"/>
              <w:left w:val="nil"/>
              <w:bottom w:val="single" w:color="auto" w:sz="4" w:space="0"/>
              <w:right w:val="single" w:color="auto" w:sz="4" w:space="0"/>
            </w:tcBorders>
            <w:shd w:val="clear" w:color="auto" w:fill="auto"/>
            <w:noWrap/>
            <w:vAlign w:val="center"/>
          </w:tcPr>
          <w:p w14:paraId="2AE04257">
            <w:pPr>
              <w:widowControl/>
              <w:jc w:val="center"/>
              <w:rPr>
                <w:color w:val="000000"/>
                <w:kern w:val="0"/>
                <w:szCs w:val="21"/>
              </w:rPr>
            </w:pPr>
            <w:r>
              <w:rPr>
                <w:color w:val="000000"/>
                <w:kern w:val="0"/>
                <w:szCs w:val="21"/>
              </w:rPr>
              <w:t>0.0999</w:t>
            </w:r>
          </w:p>
        </w:tc>
        <w:tc>
          <w:tcPr>
            <w:tcW w:w="1128" w:type="dxa"/>
            <w:tcBorders>
              <w:top w:val="nil"/>
              <w:left w:val="nil"/>
              <w:bottom w:val="single" w:color="auto" w:sz="4" w:space="0"/>
              <w:right w:val="single" w:color="auto" w:sz="4" w:space="0"/>
            </w:tcBorders>
            <w:shd w:val="clear" w:color="auto" w:fill="auto"/>
            <w:noWrap/>
            <w:vAlign w:val="center"/>
          </w:tcPr>
          <w:p w14:paraId="6178286F">
            <w:pPr>
              <w:widowControl/>
              <w:jc w:val="center"/>
              <w:rPr>
                <w:color w:val="000000"/>
                <w:kern w:val="0"/>
                <w:szCs w:val="21"/>
              </w:rPr>
            </w:pPr>
            <w:r>
              <w:rPr>
                <w:color w:val="000000"/>
                <w:kern w:val="0"/>
                <w:szCs w:val="21"/>
              </w:rPr>
              <w:t>0.3962</w:t>
            </w:r>
          </w:p>
        </w:tc>
        <w:tc>
          <w:tcPr>
            <w:tcW w:w="1597" w:type="dxa"/>
            <w:tcBorders>
              <w:top w:val="nil"/>
              <w:left w:val="nil"/>
              <w:bottom w:val="single" w:color="auto" w:sz="4" w:space="0"/>
              <w:right w:val="single" w:color="auto" w:sz="4" w:space="0"/>
            </w:tcBorders>
            <w:shd w:val="clear" w:color="auto" w:fill="auto"/>
            <w:noWrap/>
            <w:vAlign w:val="center"/>
          </w:tcPr>
          <w:p w14:paraId="147F5177">
            <w:pPr>
              <w:widowControl/>
              <w:jc w:val="center"/>
              <w:rPr>
                <w:color w:val="000000"/>
                <w:kern w:val="0"/>
                <w:szCs w:val="21"/>
              </w:rPr>
            </w:pPr>
            <w:r>
              <w:rPr>
                <w:color w:val="000000"/>
                <w:kern w:val="0"/>
                <w:szCs w:val="21"/>
              </w:rPr>
              <w:t>0.7997</w:t>
            </w:r>
          </w:p>
        </w:tc>
        <w:tc>
          <w:tcPr>
            <w:tcW w:w="1601" w:type="dxa"/>
            <w:tcBorders>
              <w:top w:val="nil"/>
              <w:left w:val="nil"/>
              <w:bottom w:val="single" w:color="auto" w:sz="4" w:space="0"/>
              <w:right w:val="single" w:color="auto" w:sz="4" w:space="0"/>
            </w:tcBorders>
            <w:shd w:val="clear" w:color="auto" w:fill="auto"/>
            <w:noWrap/>
            <w:vAlign w:val="center"/>
          </w:tcPr>
          <w:p w14:paraId="75CD7A9D">
            <w:pPr>
              <w:widowControl/>
              <w:jc w:val="center"/>
              <w:rPr>
                <w:color w:val="000000"/>
                <w:kern w:val="0"/>
                <w:szCs w:val="21"/>
              </w:rPr>
            </w:pPr>
            <w:r>
              <w:rPr>
                <w:color w:val="000000"/>
                <w:kern w:val="0"/>
                <w:szCs w:val="21"/>
              </w:rPr>
              <w:t>0.2597</w:t>
            </w:r>
          </w:p>
        </w:tc>
        <w:tc>
          <w:tcPr>
            <w:tcW w:w="890" w:type="dxa"/>
            <w:tcBorders>
              <w:top w:val="nil"/>
              <w:left w:val="nil"/>
              <w:bottom w:val="single" w:color="auto" w:sz="4" w:space="0"/>
              <w:right w:val="single" w:color="auto" w:sz="4" w:space="0"/>
            </w:tcBorders>
            <w:shd w:val="clear" w:color="auto" w:fill="auto"/>
            <w:noWrap/>
            <w:vAlign w:val="center"/>
          </w:tcPr>
          <w:p w14:paraId="537A227A">
            <w:pPr>
              <w:widowControl/>
              <w:jc w:val="center"/>
              <w:rPr>
                <w:color w:val="000000"/>
                <w:kern w:val="0"/>
                <w:szCs w:val="21"/>
              </w:rPr>
            </w:pPr>
            <w:r>
              <w:rPr>
                <w:color w:val="000000"/>
                <w:kern w:val="0"/>
                <w:szCs w:val="21"/>
              </w:rPr>
              <w:t>2.4148</w:t>
            </w:r>
          </w:p>
        </w:tc>
      </w:tr>
    </w:tbl>
    <w:p w14:paraId="1944C323">
      <w:pPr>
        <w:pStyle w:val="5"/>
        <w:spacing w:beforeLines="50" w:afterLines="50" w:line="360" w:lineRule="auto"/>
        <w:rPr>
          <w:b w:val="0"/>
          <w:sz w:val="28"/>
          <w:szCs w:val="28"/>
        </w:rPr>
      </w:pPr>
      <w:bookmarkStart w:id="112" w:name="_Toc43851658"/>
      <w:r>
        <w:rPr>
          <w:b w:val="0"/>
          <w:sz w:val="28"/>
          <w:szCs w:val="28"/>
        </w:rPr>
        <w:t>（三）拟损毁土地预测与评估</w:t>
      </w:r>
      <w:bookmarkEnd w:id="111"/>
      <w:bookmarkEnd w:id="112"/>
    </w:p>
    <w:p w14:paraId="628F0919">
      <w:pPr>
        <w:spacing w:line="360" w:lineRule="auto"/>
        <w:ind w:firstLine="480" w:firstLineChars="200"/>
        <w:rPr>
          <w:bCs/>
          <w:sz w:val="24"/>
        </w:rPr>
      </w:pPr>
      <w:r>
        <w:rPr>
          <w:sz w:val="24"/>
          <w:lang w:val="zh-CN"/>
        </w:rPr>
        <w:t>根据</w:t>
      </w:r>
      <w:r>
        <w:rPr>
          <w:bCs/>
          <w:sz w:val="24"/>
        </w:rPr>
        <w:t>本项目区实际开采情况</w:t>
      </w:r>
      <w:r>
        <w:rPr>
          <w:sz w:val="24"/>
          <w:lang w:val="zh-CN"/>
        </w:rPr>
        <w:t>，业主在后期不计划新设置矿权，不再进行开采，且目前堆放区面积能满足业主意愿要求，因此，后续不涉及拟损毁土地。</w:t>
      </w:r>
    </w:p>
    <w:p w14:paraId="05E6180C">
      <w:pPr>
        <w:keepNext/>
        <w:keepLines/>
        <w:adjustRightInd w:val="0"/>
        <w:spacing w:beforeLines="50" w:afterLines="50" w:line="360" w:lineRule="auto"/>
        <w:jc w:val="left"/>
        <w:textAlignment w:val="baseline"/>
        <w:outlineLvl w:val="1"/>
        <w:rPr>
          <w:kern w:val="0"/>
          <w:sz w:val="30"/>
          <w:szCs w:val="30"/>
        </w:rPr>
      </w:pPr>
      <w:bookmarkStart w:id="113" w:name="_Toc43851659"/>
      <w:bookmarkStart w:id="114" w:name="_Toc511663296"/>
      <w:bookmarkStart w:id="115" w:name="_Toc23306442"/>
      <w:bookmarkStart w:id="116" w:name="_Toc481328193"/>
      <w:bookmarkStart w:id="117" w:name="_Toc480537427"/>
      <w:r>
        <w:rPr>
          <w:kern w:val="0"/>
          <w:sz w:val="30"/>
          <w:szCs w:val="30"/>
        </w:rPr>
        <w:t>四、矿山地质环境治理分区与土地复垦范围</w:t>
      </w:r>
      <w:bookmarkEnd w:id="113"/>
      <w:bookmarkEnd w:id="114"/>
      <w:bookmarkEnd w:id="115"/>
    </w:p>
    <w:p w14:paraId="4E3CB385">
      <w:pPr>
        <w:pStyle w:val="5"/>
        <w:spacing w:beforeLines="50" w:afterLines="50" w:line="360" w:lineRule="auto"/>
        <w:rPr>
          <w:b w:val="0"/>
          <w:sz w:val="28"/>
          <w:szCs w:val="28"/>
        </w:rPr>
      </w:pPr>
      <w:bookmarkStart w:id="118" w:name="_Toc43851660"/>
      <w:r>
        <w:rPr>
          <w:b w:val="0"/>
          <w:sz w:val="28"/>
          <w:szCs w:val="28"/>
        </w:rPr>
        <w:t>（一）矿山地质环境保护与恢复治理分区</w:t>
      </w:r>
      <w:bookmarkEnd w:id="116"/>
      <w:bookmarkEnd w:id="117"/>
      <w:bookmarkEnd w:id="118"/>
    </w:p>
    <w:p w14:paraId="6854C809">
      <w:pPr>
        <w:spacing w:line="360" w:lineRule="auto"/>
        <w:ind w:firstLine="480" w:firstLineChars="200"/>
        <w:rPr>
          <w:sz w:val="24"/>
        </w:rPr>
      </w:pPr>
      <w:r>
        <w:rPr>
          <w:sz w:val="24"/>
        </w:rPr>
        <w:t>1、分区原则及方法</w:t>
      </w:r>
    </w:p>
    <w:p w14:paraId="5228D821">
      <w:pPr>
        <w:spacing w:line="360" w:lineRule="auto"/>
        <w:ind w:firstLine="480" w:firstLineChars="200"/>
        <w:rPr>
          <w:sz w:val="24"/>
          <w:lang w:val="zh-CN"/>
        </w:rPr>
      </w:pPr>
      <w:r>
        <w:rPr>
          <w:sz w:val="24"/>
          <w:lang w:val="zh-CN"/>
        </w:rPr>
        <w:t>1）本次治理分区原则：根据《广元市利州区紫兰建材厂砖瓦用页岩矿</w:t>
      </w:r>
      <w:r>
        <w:rPr>
          <w:rFonts w:eastAsiaTheme="minorEastAsia"/>
          <w:kern w:val="28"/>
          <w:sz w:val="24"/>
        </w:rPr>
        <w:t>矿产资源开发利用方案</w:t>
      </w:r>
      <w:r>
        <w:rPr>
          <w:sz w:val="24"/>
          <w:lang w:val="zh-CN"/>
        </w:rPr>
        <w:t>》和《广元市利州区紫兰建材厂砖瓦用页岩矿矿山地质环境影响评价报告》，矿山地质环境问题的类型、分布特征及其危害性，矿山地质环境影响评估结果，进行矿山地质环境保护与恢复治理分区；按照“区内相似，区间相异”的原则，矿山地质环境保护与恢复治理区域划分为重点防治区、次重点防治区、一般防治区。可根据区内矿山地质环境问题类型的差异，进一步细分为亚区；按照重点防治区、次重点防治区、一般防治区的顺序，分别阐明防治区的面积，区内存在或可能引发的矿山地质环境问题的类型、特征及其危害，以及矿山地质环境问题的防治措施等；同一区域存在两种或两种以上地质环境隐患时，其地质环境等级按“就重不就轻”原则。</w:t>
      </w:r>
    </w:p>
    <w:p w14:paraId="7AD782F4">
      <w:pPr>
        <w:spacing w:line="360" w:lineRule="auto"/>
        <w:ind w:firstLine="480" w:firstLineChars="200"/>
        <w:rPr>
          <w:sz w:val="24"/>
          <w:lang w:val="zh-CN"/>
        </w:rPr>
      </w:pPr>
      <w:r>
        <w:rPr>
          <w:sz w:val="24"/>
          <w:lang w:val="zh-CN"/>
        </w:rPr>
        <w:t>2）本次治理分区具体方法为：根据《矿山地质环境保护与恢复治理方案编制规范》(DZ/T 0223-2011)附表E，划分出地质环境影响程度分级；再根据《矿山地质环境保护与恢复治理方案编制规范》(DZ/T 0223—2011)附表F（见表3-</w:t>
      </w:r>
      <w:r>
        <w:rPr>
          <w:sz w:val="24"/>
        </w:rPr>
        <w:t>10</w:t>
      </w:r>
      <w:r>
        <w:rPr>
          <w:sz w:val="24"/>
          <w:lang w:val="zh-CN"/>
        </w:rPr>
        <w:t>）划出地质环境保护与恢复治理分区。</w:t>
      </w:r>
    </w:p>
    <w:p w14:paraId="46D0AE3E">
      <w:pPr>
        <w:jc w:val="center"/>
        <w:rPr>
          <w:rFonts w:eastAsiaTheme="minorEastAsia"/>
          <w:b/>
          <w:szCs w:val="21"/>
        </w:rPr>
      </w:pPr>
      <w:r>
        <w:rPr>
          <w:rFonts w:eastAsiaTheme="minorEastAsia"/>
          <w:b/>
          <w:szCs w:val="21"/>
        </w:rPr>
        <w:t>表3-10矿山地质环境保护与恢复治理分区表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1520"/>
        <w:gridCol w:w="2078"/>
        <w:gridCol w:w="2084"/>
      </w:tblGrid>
      <w:tr w14:paraId="1AECD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vAlign w:val="center"/>
          </w:tcPr>
          <w:p w14:paraId="0AE3EB33">
            <w:pPr>
              <w:widowControl/>
              <w:jc w:val="center"/>
              <w:rPr>
                <w:color w:val="000000"/>
                <w:kern w:val="0"/>
                <w:szCs w:val="21"/>
              </w:rPr>
            </w:pPr>
            <w:r>
              <w:rPr>
                <w:color w:val="000000"/>
                <w:kern w:val="0"/>
                <w:szCs w:val="21"/>
              </w:rPr>
              <w:t>现状评估</w:t>
            </w:r>
          </w:p>
        </w:tc>
        <w:tc>
          <w:tcPr>
            <w:tcW w:w="3334" w:type="pct"/>
            <w:gridSpan w:val="3"/>
          </w:tcPr>
          <w:p w14:paraId="40AD6F06">
            <w:pPr>
              <w:widowControl/>
              <w:jc w:val="center"/>
              <w:rPr>
                <w:color w:val="000000"/>
                <w:kern w:val="0"/>
                <w:szCs w:val="21"/>
              </w:rPr>
            </w:pPr>
            <w:r>
              <w:rPr>
                <w:color w:val="000000"/>
                <w:kern w:val="0"/>
                <w:szCs w:val="21"/>
              </w:rPr>
              <w:t>预测评估</w:t>
            </w:r>
          </w:p>
        </w:tc>
      </w:tr>
      <w:tr w14:paraId="5472D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tcPr>
          <w:p w14:paraId="7A5EA2C4">
            <w:pPr>
              <w:widowControl/>
              <w:jc w:val="center"/>
              <w:rPr>
                <w:color w:val="000000"/>
                <w:kern w:val="0"/>
                <w:szCs w:val="21"/>
              </w:rPr>
            </w:pPr>
          </w:p>
        </w:tc>
        <w:tc>
          <w:tcPr>
            <w:tcW w:w="892" w:type="pct"/>
          </w:tcPr>
          <w:p w14:paraId="5E98E9C2">
            <w:pPr>
              <w:widowControl/>
              <w:jc w:val="center"/>
              <w:rPr>
                <w:color w:val="000000"/>
                <w:kern w:val="0"/>
                <w:szCs w:val="21"/>
              </w:rPr>
            </w:pPr>
            <w:r>
              <w:rPr>
                <w:color w:val="000000"/>
                <w:kern w:val="0"/>
                <w:szCs w:val="21"/>
              </w:rPr>
              <w:t>严重</w:t>
            </w:r>
          </w:p>
        </w:tc>
        <w:tc>
          <w:tcPr>
            <w:tcW w:w="1219" w:type="pct"/>
          </w:tcPr>
          <w:p w14:paraId="79EA6DE1">
            <w:pPr>
              <w:widowControl/>
              <w:jc w:val="center"/>
              <w:rPr>
                <w:color w:val="000000"/>
                <w:kern w:val="0"/>
                <w:szCs w:val="21"/>
              </w:rPr>
            </w:pPr>
            <w:r>
              <w:rPr>
                <w:color w:val="000000"/>
                <w:kern w:val="0"/>
                <w:szCs w:val="21"/>
              </w:rPr>
              <w:t>较严重</w:t>
            </w:r>
          </w:p>
        </w:tc>
        <w:tc>
          <w:tcPr>
            <w:tcW w:w="1222" w:type="pct"/>
          </w:tcPr>
          <w:p w14:paraId="55FF4135">
            <w:pPr>
              <w:widowControl/>
              <w:jc w:val="center"/>
              <w:rPr>
                <w:color w:val="000000"/>
                <w:kern w:val="0"/>
                <w:szCs w:val="21"/>
              </w:rPr>
            </w:pPr>
            <w:r>
              <w:rPr>
                <w:color w:val="000000"/>
                <w:kern w:val="0"/>
                <w:szCs w:val="21"/>
              </w:rPr>
              <w:t>较轻</w:t>
            </w:r>
          </w:p>
        </w:tc>
      </w:tr>
      <w:tr w14:paraId="4EBAB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34A0777D">
            <w:pPr>
              <w:widowControl/>
              <w:jc w:val="center"/>
              <w:rPr>
                <w:color w:val="000000"/>
                <w:kern w:val="0"/>
                <w:szCs w:val="21"/>
              </w:rPr>
            </w:pPr>
            <w:r>
              <w:rPr>
                <w:color w:val="000000"/>
                <w:kern w:val="0"/>
                <w:szCs w:val="21"/>
              </w:rPr>
              <w:t>严重</w:t>
            </w:r>
          </w:p>
        </w:tc>
        <w:tc>
          <w:tcPr>
            <w:tcW w:w="892" w:type="pct"/>
          </w:tcPr>
          <w:p w14:paraId="376DE214">
            <w:pPr>
              <w:widowControl/>
              <w:jc w:val="center"/>
              <w:rPr>
                <w:color w:val="000000"/>
                <w:kern w:val="0"/>
                <w:szCs w:val="21"/>
              </w:rPr>
            </w:pPr>
            <w:r>
              <w:rPr>
                <w:color w:val="000000"/>
                <w:kern w:val="0"/>
                <w:szCs w:val="21"/>
              </w:rPr>
              <w:t>重点区</w:t>
            </w:r>
          </w:p>
        </w:tc>
        <w:tc>
          <w:tcPr>
            <w:tcW w:w="1219" w:type="pct"/>
          </w:tcPr>
          <w:p w14:paraId="6F006278">
            <w:pPr>
              <w:jc w:val="center"/>
            </w:pPr>
            <w:r>
              <w:rPr>
                <w:color w:val="000000"/>
                <w:kern w:val="0"/>
                <w:szCs w:val="21"/>
              </w:rPr>
              <w:t>重点区</w:t>
            </w:r>
          </w:p>
        </w:tc>
        <w:tc>
          <w:tcPr>
            <w:tcW w:w="1222" w:type="pct"/>
          </w:tcPr>
          <w:p w14:paraId="491FF0D3">
            <w:pPr>
              <w:jc w:val="center"/>
            </w:pPr>
            <w:r>
              <w:rPr>
                <w:color w:val="000000"/>
                <w:kern w:val="0"/>
                <w:szCs w:val="21"/>
              </w:rPr>
              <w:t>重点区</w:t>
            </w:r>
          </w:p>
        </w:tc>
      </w:tr>
      <w:tr w14:paraId="112AE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3263068D">
            <w:pPr>
              <w:widowControl/>
              <w:jc w:val="center"/>
              <w:rPr>
                <w:color w:val="000000"/>
                <w:kern w:val="0"/>
                <w:szCs w:val="21"/>
              </w:rPr>
            </w:pPr>
            <w:r>
              <w:rPr>
                <w:color w:val="000000"/>
                <w:kern w:val="0"/>
                <w:szCs w:val="21"/>
              </w:rPr>
              <w:t>较严重</w:t>
            </w:r>
          </w:p>
        </w:tc>
        <w:tc>
          <w:tcPr>
            <w:tcW w:w="892" w:type="pct"/>
          </w:tcPr>
          <w:p w14:paraId="1E240276">
            <w:pPr>
              <w:jc w:val="center"/>
            </w:pPr>
            <w:r>
              <w:rPr>
                <w:color w:val="000000"/>
                <w:kern w:val="0"/>
                <w:szCs w:val="21"/>
              </w:rPr>
              <w:t>重点区</w:t>
            </w:r>
          </w:p>
        </w:tc>
        <w:tc>
          <w:tcPr>
            <w:tcW w:w="1219" w:type="pct"/>
          </w:tcPr>
          <w:p w14:paraId="4938F20D">
            <w:pPr>
              <w:widowControl/>
              <w:jc w:val="center"/>
              <w:rPr>
                <w:color w:val="000000"/>
                <w:kern w:val="0"/>
                <w:szCs w:val="21"/>
              </w:rPr>
            </w:pPr>
            <w:r>
              <w:rPr>
                <w:color w:val="000000"/>
                <w:kern w:val="0"/>
                <w:szCs w:val="21"/>
              </w:rPr>
              <w:t>次重点区</w:t>
            </w:r>
          </w:p>
        </w:tc>
        <w:tc>
          <w:tcPr>
            <w:tcW w:w="1222" w:type="pct"/>
          </w:tcPr>
          <w:p w14:paraId="5A99223E">
            <w:pPr>
              <w:widowControl/>
              <w:jc w:val="center"/>
              <w:rPr>
                <w:color w:val="000000"/>
                <w:kern w:val="0"/>
                <w:szCs w:val="21"/>
              </w:rPr>
            </w:pPr>
            <w:r>
              <w:rPr>
                <w:color w:val="000000"/>
                <w:kern w:val="0"/>
                <w:szCs w:val="21"/>
              </w:rPr>
              <w:t>次重点区</w:t>
            </w:r>
          </w:p>
        </w:tc>
      </w:tr>
      <w:tr w14:paraId="5A906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tcPr>
          <w:p w14:paraId="673FBC85">
            <w:pPr>
              <w:widowControl/>
              <w:jc w:val="center"/>
              <w:rPr>
                <w:color w:val="000000"/>
                <w:kern w:val="0"/>
                <w:szCs w:val="21"/>
              </w:rPr>
            </w:pPr>
            <w:r>
              <w:rPr>
                <w:color w:val="000000"/>
                <w:kern w:val="0"/>
                <w:szCs w:val="21"/>
              </w:rPr>
              <w:t>较轻</w:t>
            </w:r>
          </w:p>
        </w:tc>
        <w:tc>
          <w:tcPr>
            <w:tcW w:w="892" w:type="pct"/>
          </w:tcPr>
          <w:p w14:paraId="6300E526">
            <w:pPr>
              <w:jc w:val="center"/>
            </w:pPr>
            <w:r>
              <w:rPr>
                <w:color w:val="000000"/>
                <w:kern w:val="0"/>
                <w:szCs w:val="21"/>
              </w:rPr>
              <w:t>重点区</w:t>
            </w:r>
          </w:p>
        </w:tc>
        <w:tc>
          <w:tcPr>
            <w:tcW w:w="1219" w:type="pct"/>
          </w:tcPr>
          <w:p w14:paraId="74CE4FB5">
            <w:pPr>
              <w:widowControl/>
              <w:jc w:val="center"/>
              <w:rPr>
                <w:color w:val="000000"/>
                <w:kern w:val="0"/>
                <w:szCs w:val="21"/>
              </w:rPr>
            </w:pPr>
            <w:r>
              <w:rPr>
                <w:color w:val="000000"/>
                <w:kern w:val="0"/>
                <w:szCs w:val="21"/>
              </w:rPr>
              <w:t>次重点区</w:t>
            </w:r>
          </w:p>
        </w:tc>
        <w:tc>
          <w:tcPr>
            <w:tcW w:w="1222" w:type="pct"/>
          </w:tcPr>
          <w:p w14:paraId="0E9088D9">
            <w:pPr>
              <w:widowControl/>
              <w:jc w:val="center"/>
              <w:rPr>
                <w:color w:val="000000"/>
                <w:kern w:val="0"/>
                <w:szCs w:val="21"/>
              </w:rPr>
            </w:pPr>
            <w:r>
              <w:rPr>
                <w:color w:val="000000"/>
                <w:kern w:val="0"/>
                <w:szCs w:val="21"/>
              </w:rPr>
              <w:t>一般区</w:t>
            </w:r>
          </w:p>
        </w:tc>
      </w:tr>
    </w:tbl>
    <w:p w14:paraId="5D024232">
      <w:pPr>
        <w:spacing w:line="360" w:lineRule="auto"/>
        <w:ind w:firstLine="480" w:firstLineChars="200"/>
        <w:rPr>
          <w:sz w:val="24"/>
        </w:rPr>
      </w:pPr>
      <w:r>
        <w:rPr>
          <w:sz w:val="24"/>
        </w:rPr>
        <w:t>2、分区评述</w:t>
      </w:r>
    </w:p>
    <w:p w14:paraId="14739DCA">
      <w:pPr>
        <w:spacing w:line="360" w:lineRule="auto"/>
        <w:ind w:firstLine="480" w:firstLineChars="200"/>
        <w:rPr>
          <w:sz w:val="24"/>
          <w:lang w:val="zh-CN"/>
        </w:rPr>
      </w:pPr>
      <w:r>
        <w:rPr>
          <w:sz w:val="24"/>
          <w:lang w:val="zh-CN"/>
        </w:rPr>
        <w:t>根据上述分区原则，将矿山地质环境保护与恢复治理分区划分为2个“重点区”和1个“一般区”共3个防治区。</w:t>
      </w:r>
    </w:p>
    <w:p w14:paraId="2CAB0131">
      <w:pPr>
        <w:spacing w:line="360" w:lineRule="auto"/>
        <w:ind w:firstLine="480" w:firstLineChars="200"/>
        <w:rPr>
          <w:kern w:val="0"/>
          <w:sz w:val="24"/>
        </w:rPr>
      </w:pPr>
      <w:r>
        <w:rPr>
          <w:kern w:val="0"/>
          <w:sz w:val="24"/>
        </w:rPr>
        <w:t>（1）重点防治区（I</w:t>
      </w:r>
      <w:r>
        <w:rPr>
          <w:kern w:val="0"/>
          <w:sz w:val="24"/>
          <w:vertAlign w:val="subscript"/>
        </w:rPr>
        <w:t>1</w:t>
      </w:r>
      <w:r>
        <w:rPr>
          <w:kern w:val="0"/>
          <w:sz w:val="24"/>
        </w:rPr>
        <w:t>）</w:t>
      </w:r>
    </w:p>
    <w:p w14:paraId="0AD3AA2D">
      <w:pPr>
        <w:spacing w:line="360" w:lineRule="auto"/>
        <w:ind w:firstLine="480" w:firstLineChars="200"/>
        <w:rPr>
          <w:kern w:val="0"/>
          <w:sz w:val="24"/>
        </w:rPr>
      </w:pPr>
      <w:r>
        <w:rPr>
          <w:kern w:val="0"/>
          <w:sz w:val="24"/>
        </w:rPr>
        <w:t>包括边坡区及可能形成的地质灾害影响范围，面积</w:t>
      </w:r>
      <w:r>
        <w:rPr>
          <w:sz w:val="24"/>
          <w:lang w:val="zh-CN"/>
        </w:rPr>
        <w:t>0.5603hm</w:t>
      </w:r>
      <w:r>
        <w:rPr>
          <w:sz w:val="24"/>
          <w:vertAlign w:val="superscript"/>
          <w:lang w:val="zh-CN"/>
        </w:rPr>
        <w:t>2</w:t>
      </w:r>
      <w:r>
        <w:rPr>
          <w:kern w:val="0"/>
          <w:sz w:val="24"/>
        </w:rPr>
        <w:t>。该区地质灾害为最终边坡失稳可能发生的崩塌、滑坡等，影响程度分级为较严重；矿山含水层影响和破坏主要为地表水和地下水径流条件的改变，影响程度分级为较轻；采矿活动对原生地形地貌景观影响和破坏程度大，影响程度分级为严重；水土环境污染较轻，综合结论为矿山地质环境影响程度分级为严重。</w:t>
      </w:r>
    </w:p>
    <w:p w14:paraId="35CC7EF9">
      <w:pPr>
        <w:spacing w:line="360" w:lineRule="auto"/>
        <w:ind w:firstLine="480" w:firstLineChars="200"/>
        <w:rPr>
          <w:kern w:val="0"/>
          <w:sz w:val="24"/>
        </w:rPr>
      </w:pPr>
      <w:r>
        <w:rPr>
          <w:kern w:val="0"/>
          <w:sz w:val="24"/>
        </w:rPr>
        <w:t>主要防治措施：开展矿山地质环境监测，对监测发现的地质灾害隐患采取工程措施及时予以消除；结合土地复垦工程完善最终边坡底梳排水系统并采取植树种草等工程措施，以修复景观。</w:t>
      </w:r>
    </w:p>
    <w:p w14:paraId="1FF29575">
      <w:pPr>
        <w:spacing w:line="360" w:lineRule="auto"/>
        <w:ind w:firstLine="480" w:firstLineChars="200"/>
        <w:rPr>
          <w:kern w:val="0"/>
          <w:sz w:val="24"/>
        </w:rPr>
      </w:pPr>
      <w:r>
        <w:rPr>
          <w:kern w:val="0"/>
          <w:sz w:val="24"/>
        </w:rPr>
        <w:t>（2）重点防治区（I</w:t>
      </w:r>
      <w:r>
        <w:rPr>
          <w:kern w:val="0"/>
          <w:sz w:val="24"/>
          <w:vertAlign w:val="subscript"/>
        </w:rPr>
        <w:t>2</w:t>
      </w:r>
      <w:r>
        <w:rPr>
          <w:kern w:val="0"/>
          <w:sz w:val="24"/>
        </w:rPr>
        <w:t>）</w:t>
      </w:r>
    </w:p>
    <w:p w14:paraId="325A08C8">
      <w:pPr>
        <w:spacing w:line="360" w:lineRule="auto"/>
        <w:ind w:firstLine="480" w:firstLineChars="200"/>
        <w:rPr>
          <w:kern w:val="0"/>
          <w:sz w:val="24"/>
        </w:rPr>
      </w:pPr>
      <w:r>
        <w:rPr>
          <w:kern w:val="0"/>
          <w:sz w:val="24"/>
        </w:rPr>
        <w:t>包括矿山工业广场范围，面积1.8545hm</w:t>
      </w:r>
      <w:r>
        <w:rPr>
          <w:kern w:val="0"/>
          <w:sz w:val="24"/>
          <w:vertAlign w:val="superscript"/>
        </w:rPr>
        <w:t>2</w:t>
      </w:r>
      <w:r>
        <w:rPr>
          <w:kern w:val="0"/>
          <w:sz w:val="24"/>
        </w:rPr>
        <w:t>。该区崩塌、滑坡等地质灾害发生的可能性小，影响程度分级为较轻；矿山含水层影响和破坏主要为地表水和地下水径流条件的改变，影响程度分级为较轻；采矿活动对原生地形地貌景观影响和破坏程度大，影响程度分级为严重；水土环境污染较轻，综合结论为矿山地质环境影响程度分级为严重。</w:t>
      </w:r>
    </w:p>
    <w:p w14:paraId="195511E0">
      <w:pPr>
        <w:spacing w:line="360" w:lineRule="auto"/>
        <w:ind w:firstLine="480" w:firstLineChars="200"/>
        <w:rPr>
          <w:kern w:val="0"/>
          <w:sz w:val="24"/>
        </w:rPr>
      </w:pPr>
      <w:r>
        <w:rPr>
          <w:kern w:val="0"/>
          <w:sz w:val="24"/>
        </w:rPr>
        <w:t>主要防治措施：进行人工巡查，闭坑后采取恢复生态措施等。</w:t>
      </w:r>
    </w:p>
    <w:p w14:paraId="16B30F59">
      <w:pPr>
        <w:spacing w:line="360" w:lineRule="auto"/>
        <w:ind w:left="426"/>
        <w:rPr>
          <w:kern w:val="0"/>
          <w:sz w:val="24"/>
        </w:rPr>
      </w:pPr>
      <w:r>
        <w:rPr>
          <w:kern w:val="0"/>
          <w:sz w:val="24"/>
        </w:rPr>
        <w:t>（3）一般防治区（Ⅲ）</w:t>
      </w:r>
    </w:p>
    <w:p w14:paraId="33D7A515">
      <w:pPr>
        <w:spacing w:line="360" w:lineRule="auto"/>
        <w:ind w:firstLine="480" w:firstLineChars="200"/>
        <w:rPr>
          <w:kern w:val="0"/>
          <w:sz w:val="24"/>
        </w:rPr>
      </w:pPr>
      <w:r>
        <w:rPr>
          <w:kern w:val="0"/>
          <w:sz w:val="24"/>
        </w:rPr>
        <w:t>包括重点防治区以外的采矿活动影响区域，面积3.9805hm</w:t>
      </w:r>
      <w:r>
        <w:rPr>
          <w:kern w:val="0"/>
          <w:sz w:val="24"/>
          <w:vertAlign w:val="superscript"/>
        </w:rPr>
        <w:t>2</w:t>
      </w:r>
      <w:r>
        <w:rPr>
          <w:kern w:val="0"/>
          <w:sz w:val="24"/>
        </w:rPr>
        <w:t>。该区崩塌、滑坡等地质灾害发生的可能性小，影响程度分级为较轻；矿山含水层影响和破坏主要为地下水径流条件的改变，影响程度分级为较轻；采矿活动对原生地形地貌景观影响和破坏程度小，影响程度分级为较轻；水土环境污染较轻，综合结论为矿山地质环境影响程度分级为较轻。</w:t>
      </w:r>
    </w:p>
    <w:p w14:paraId="6AE61E08">
      <w:pPr>
        <w:spacing w:line="360" w:lineRule="auto"/>
        <w:ind w:firstLine="480" w:firstLineChars="200"/>
        <w:rPr>
          <w:kern w:val="0"/>
          <w:sz w:val="24"/>
        </w:rPr>
      </w:pPr>
      <w:r>
        <w:rPr>
          <w:kern w:val="0"/>
          <w:sz w:val="24"/>
        </w:rPr>
        <w:t>主要防治措施：开展矿山地质环境监测，对监测发现的地质环境问题采取措施及时予以消除。</w:t>
      </w:r>
    </w:p>
    <w:p w14:paraId="33D58D41">
      <w:pPr>
        <w:pStyle w:val="5"/>
        <w:spacing w:beforeLines="50" w:afterLines="50" w:line="360" w:lineRule="auto"/>
        <w:rPr>
          <w:b w:val="0"/>
          <w:sz w:val="28"/>
          <w:szCs w:val="28"/>
        </w:rPr>
      </w:pPr>
      <w:bookmarkStart w:id="119" w:name="_Toc43851661"/>
      <w:bookmarkStart w:id="120" w:name="_Toc481328194"/>
      <w:r>
        <w:rPr>
          <w:b w:val="0"/>
          <w:sz w:val="28"/>
          <w:szCs w:val="28"/>
        </w:rPr>
        <w:t>（二）土地复垦区与复垦责任范围</w:t>
      </w:r>
      <w:bookmarkEnd w:id="119"/>
      <w:bookmarkEnd w:id="120"/>
    </w:p>
    <w:p w14:paraId="22E310F4">
      <w:pPr>
        <w:autoSpaceDE w:val="0"/>
        <w:autoSpaceDN w:val="0"/>
        <w:adjustRightInd w:val="0"/>
        <w:spacing w:line="360" w:lineRule="auto"/>
        <w:ind w:firstLine="480" w:firstLineChars="200"/>
        <w:jc w:val="left"/>
        <w:rPr>
          <w:kern w:val="0"/>
          <w:sz w:val="24"/>
        </w:rPr>
      </w:pPr>
      <w:r>
        <w:rPr>
          <w:kern w:val="0"/>
          <w:sz w:val="24"/>
        </w:rPr>
        <w:t>按照《土地复垦条例》，土地复垦工作实行“谁损毁、谁复垦”的原则。根据现状损毁土地与预测损毁土地，复垦区范围应包括临时占用的土地和永久性建设用地，由于</w:t>
      </w:r>
      <w:r>
        <w:rPr>
          <w:rFonts w:eastAsiaTheme="minorEastAsia"/>
          <w:kern w:val="0"/>
          <w:sz w:val="24"/>
        </w:rPr>
        <w:t>本项目区内</w:t>
      </w:r>
      <w:r>
        <w:rPr>
          <w:kern w:val="0"/>
          <w:sz w:val="24"/>
        </w:rPr>
        <w:t>不存在永久性建设用地，复垦区主要为临时占用的土地</w:t>
      </w:r>
      <w:r>
        <w:rPr>
          <w:rFonts w:eastAsiaTheme="minorEastAsia"/>
          <w:kern w:val="0"/>
          <w:sz w:val="24"/>
        </w:rPr>
        <w:t>，共计面积2.4148hm</w:t>
      </w:r>
      <w:r>
        <w:rPr>
          <w:rFonts w:eastAsiaTheme="minorEastAsia"/>
          <w:kern w:val="0"/>
          <w:sz w:val="24"/>
          <w:vertAlign w:val="superscript"/>
        </w:rPr>
        <w:t>2</w:t>
      </w:r>
      <w:r>
        <w:rPr>
          <w:rFonts w:eastAsiaTheme="minorEastAsia"/>
          <w:kern w:val="0"/>
          <w:sz w:val="24"/>
        </w:rPr>
        <w:t>，复垦区全部损毁的土地均列入复垦</w:t>
      </w:r>
      <w:r>
        <w:rPr>
          <w:kern w:val="0"/>
          <w:sz w:val="24"/>
        </w:rPr>
        <w:t>责任范围，故本项目复垦责任范围包括</w:t>
      </w:r>
      <w:r>
        <w:rPr>
          <w:rFonts w:eastAsiaTheme="minorEastAsia"/>
          <w:kern w:val="0"/>
          <w:sz w:val="24"/>
        </w:rPr>
        <w:t>矿山因生产损毁的所有破坏区域</w:t>
      </w:r>
      <w:r>
        <w:rPr>
          <w:kern w:val="0"/>
          <w:sz w:val="24"/>
        </w:rPr>
        <w:t>，面积为</w:t>
      </w:r>
      <w:r>
        <w:rPr>
          <w:rFonts w:eastAsiaTheme="minorEastAsia"/>
          <w:kern w:val="0"/>
          <w:sz w:val="24"/>
        </w:rPr>
        <w:t>2.4148hm</w:t>
      </w:r>
      <w:r>
        <w:rPr>
          <w:rFonts w:eastAsiaTheme="minorEastAsia"/>
          <w:kern w:val="0"/>
          <w:sz w:val="24"/>
          <w:vertAlign w:val="superscript"/>
        </w:rPr>
        <w:t>2</w:t>
      </w:r>
      <w:r>
        <w:rPr>
          <w:kern w:val="0"/>
          <w:sz w:val="24"/>
        </w:rPr>
        <w:t>。</w:t>
      </w:r>
    </w:p>
    <w:p w14:paraId="690F1B87">
      <w:pPr>
        <w:pStyle w:val="5"/>
        <w:spacing w:beforeLines="50" w:afterLines="50" w:line="360" w:lineRule="auto"/>
        <w:rPr>
          <w:b w:val="0"/>
          <w:sz w:val="28"/>
          <w:szCs w:val="28"/>
        </w:rPr>
      </w:pPr>
      <w:bookmarkStart w:id="121" w:name="_Toc481328195"/>
      <w:bookmarkStart w:id="122" w:name="_Toc43851662"/>
      <w:r>
        <w:rPr>
          <w:b w:val="0"/>
          <w:sz w:val="28"/>
          <w:szCs w:val="28"/>
        </w:rPr>
        <w:t>（三）土地类型与权属</w:t>
      </w:r>
      <w:bookmarkEnd w:id="121"/>
      <w:bookmarkEnd w:id="122"/>
    </w:p>
    <w:p w14:paraId="693F9D7E">
      <w:pPr>
        <w:pStyle w:val="48"/>
        <w:spacing w:line="360" w:lineRule="auto"/>
        <w:ind w:firstLine="480" w:firstLineChars="200"/>
        <w:jc w:val="left"/>
        <w:rPr>
          <w:rFonts w:eastAsia="宋体" w:cs="Times New Roman"/>
          <w:sz w:val="24"/>
          <w:szCs w:val="24"/>
        </w:rPr>
      </w:pPr>
      <w:r>
        <w:rPr>
          <w:rFonts w:eastAsia="宋体" w:cs="Times New Roman"/>
          <w:sz w:val="24"/>
          <w:szCs w:val="24"/>
        </w:rPr>
        <w:t>根据第二次土地利用现状调查成果图和现场实际调查统计，整个项目涉及土地面积</w:t>
      </w:r>
      <w:r>
        <w:rPr>
          <w:rFonts w:eastAsia="宋体" w:cs="Times New Roman"/>
          <w:kern w:val="0"/>
          <w:sz w:val="24"/>
        </w:rPr>
        <w:t>2.4148hm</w:t>
      </w:r>
      <w:r>
        <w:rPr>
          <w:rFonts w:eastAsia="宋体" w:cs="Times New Roman"/>
          <w:kern w:val="0"/>
          <w:sz w:val="24"/>
          <w:vertAlign w:val="superscript"/>
        </w:rPr>
        <w:t>2</w:t>
      </w:r>
      <w:r>
        <w:rPr>
          <w:rFonts w:eastAsia="宋体" w:cs="Times New Roman"/>
          <w:sz w:val="24"/>
          <w:szCs w:val="24"/>
        </w:rPr>
        <w:t>，土地类型包括旱地0.8593hm</w:t>
      </w:r>
      <w:r>
        <w:rPr>
          <w:rFonts w:eastAsia="宋体" w:cs="Times New Roman"/>
          <w:sz w:val="24"/>
          <w:szCs w:val="24"/>
          <w:vertAlign w:val="superscript"/>
        </w:rPr>
        <w:t>2</w:t>
      </w:r>
      <w:r>
        <w:rPr>
          <w:rFonts w:eastAsia="宋体" w:cs="Times New Roman"/>
          <w:sz w:val="24"/>
          <w:szCs w:val="24"/>
        </w:rPr>
        <w:t>、有林地0.0999hm</w:t>
      </w:r>
      <w:r>
        <w:rPr>
          <w:rFonts w:eastAsia="宋体" w:cs="Times New Roman"/>
          <w:sz w:val="24"/>
          <w:szCs w:val="24"/>
          <w:vertAlign w:val="superscript"/>
        </w:rPr>
        <w:t>2</w:t>
      </w:r>
      <w:r>
        <w:rPr>
          <w:rFonts w:eastAsia="宋体" w:cs="Times New Roman"/>
          <w:sz w:val="24"/>
          <w:szCs w:val="24"/>
        </w:rPr>
        <w:t>、其他林地0.3962hm</w:t>
      </w:r>
      <w:r>
        <w:rPr>
          <w:rFonts w:eastAsia="宋体" w:cs="Times New Roman"/>
          <w:sz w:val="24"/>
          <w:szCs w:val="24"/>
          <w:vertAlign w:val="superscript"/>
        </w:rPr>
        <w:t>2</w:t>
      </w:r>
      <w:r>
        <w:rPr>
          <w:rFonts w:eastAsia="宋体" w:cs="Times New Roman"/>
          <w:sz w:val="24"/>
          <w:szCs w:val="24"/>
        </w:rPr>
        <w:t>、采矿用地0.7997hm</w:t>
      </w:r>
      <w:r>
        <w:rPr>
          <w:rFonts w:eastAsia="宋体" w:cs="Times New Roman"/>
          <w:sz w:val="24"/>
          <w:szCs w:val="24"/>
          <w:vertAlign w:val="superscript"/>
        </w:rPr>
        <w:t>2</w:t>
      </w:r>
      <w:r>
        <w:rPr>
          <w:rFonts w:eastAsia="宋体" w:cs="Times New Roman"/>
          <w:sz w:val="24"/>
          <w:szCs w:val="24"/>
        </w:rPr>
        <w:t>和城镇住宅用地0.2597hm</w:t>
      </w:r>
      <w:r>
        <w:rPr>
          <w:rFonts w:eastAsia="宋体" w:cs="Times New Roman"/>
          <w:sz w:val="24"/>
          <w:szCs w:val="24"/>
          <w:vertAlign w:val="superscript"/>
        </w:rPr>
        <w:t>2</w:t>
      </w:r>
      <w:r>
        <w:rPr>
          <w:rFonts w:eastAsia="宋体" w:cs="Times New Roman"/>
          <w:sz w:val="24"/>
          <w:szCs w:val="24"/>
        </w:rPr>
        <w:t>。</w:t>
      </w:r>
    </w:p>
    <w:p w14:paraId="491890FF">
      <w:pPr>
        <w:pStyle w:val="48"/>
        <w:spacing w:line="360" w:lineRule="auto"/>
        <w:ind w:firstLine="480" w:firstLineChars="200"/>
        <w:jc w:val="left"/>
        <w:rPr>
          <w:rFonts w:eastAsia="宋体" w:cs="Times New Roman"/>
          <w:sz w:val="24"/>
          <w:szCs w:val="24"/>
        </w:rPr>
      </w:pPr>
      <w:r>
        <w:rPr>
          <w:rFonts w:eastAsia="宋体" w:cs="Times New Roman"/>
          <w:sz w:val="24"/>
          <w:szCs w:val="24"/>
        </w:rPr>
        <w:t>土地权属对象涉及到利州区宝轮镇社区，整个项目区土地权属清楚（表3-11），土地权属得到利州区宝轮镇社区和广元市自然资源局利州区分局的认可，项目区无土地权属纠纷。</w:t>
      </w:r>
    </w:p>
    <w:p w14:paraId="1AF1FB99">
      <w:pPr>
        <w:pStyle w:val="48"/>
        <w:spacing w:line="360" w:lineRule="auto"/>
        <w:ind w:firstLine="480" w:firstLineChars="200"/>
        <w:jc w:val="left"/>
        <w:rPr>
          <w:rFonts w:eastAsia="宋体" w:cs="Times New Roman"/>
          <w:sz w:val="24"/>
          <w:szCs w:val="24"/>
        </w:rPr>
      </w:pPr>
    </w:p>
    <w:p w14:paraId="37A0D33A">
      <w:pPr>
        <w:pStyle w:val="48"/>
        <w:spacing w:line="360" w:lineRule="auto"/>
        <w:ind w:firstLine="480" w:firstLineChars="200"/>
        <w:jc w:val="left"/>
        <w:rPr>
          <w:rFonts w:eastAsia="宋体" w:cs="Times New Roman"/>
          <w:sz w:val="24"/>
          <w:szCs w:val="24"/>
        </w:rPr>
      </w:pPr>
    </w:p>
    <w:p w14:paraId="5F29755D">
      <w:pPr>
        <w:pStyle w:val="48"/>
        <w:spacing w:line="360" w:lineRule="auto"/>
        <w:ind w:firstLine="480" w:firstLineChars="200"/>
        <w:jc w:val="left"/>
        <w:rPr>
          <w:rFonts w:eastAsia="宋体" w:cs="Times New Roman"/>
          <w:sz w:val="24"/>
          <w:szCs w:val="24"/>
        </w:rPr>
      </w:pPr>
    </w:p>
    <w:p w14:paraId="2B91BEE1">
      <w:pPr>
        <w:jc w:val="center"/>
        <w:rPr>
          <w:rFonts w:eastAsiaTheme="minorEastAsia"/>
          <w:b/>
          <w:szCs w:val="21"/>
        </w:rPr>
      </w:pPr>
      <w:r>
        <w:rPr>
          <w:rFonts w:eastAsiaTheme="minorEastAsia"/>
          <w:b/>
          <w:szCs w:val="21"/>
        </w:rPr>
        <w:t>表3-11复垦责任范围地类及权属统计表</w:t>
      </w:r>
      <w:bookmarkStart w:id="123" w:name="_Toc481328196"/>
    </w:p>
    <w:tbl>
      <w:tblPr>
        <w:tblStyle w:val="29"/>
        <w:tblW w:w="9287" w:type="dxa"/>
        <w:jc w:val="center"/>
        <w:tblLayout w:type="autofit"/>
        <w:tblCellMar>
          <w:top w:w="0" w:type="dxa"/>
          <w:left w:w="108" w:type="dxa"/>
          <w:bottom w:w="0" w:type="dxa"/>
          <w:right w:w="108" w:type="dxa"/>
        </w:tblCellMar>
      </w:tblPr>
      <w:tblGrid>
        <w:gridCol w:w="737"/>
        <w:gridCol w:w="737"/>
        <w:gridCol w:w="1055"/>
        <w:gridCol w:w="996"/>
        <w:gridCol w:w="1097"/>
        <w:gridCol w:w="1539"/>
        <w:gridCol w:w="1418"/>
        <w:gridCol w:w="971"/>
        <w:gridCol w:w="737"/>
      </w:tblGrid>
      <w:tr w14:paraId="79E32353">
        <w:tblPrEx>
          <w:tblCellMar>
            <w:top w:w="0" w:type="dxa"/>
            <w:left w:w="108" w:type="dxa"/>
            <w:bottom w:w="0" w:type="dxa"/>
            <w:right w:w="108" w:type="dxa"/>
          </w:tblCellMar>
        </w:tblPrEx>
        <w:trPr>
          <w:trHeight w:val="526" w:hRule="atLeast"/>
          <w:jc w:val="center"/>
        </w:trPr>
        <w:tc>
          <w:tcPr>
            <w:tcW w:w="1474" w:type="dxa"/>
            <w:gridSpan w:val="2"/>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C688A59">
            <w:pPr>
              <w:widowControl/>
              <w:jc w:val="center"/>
              <w:rPr>
                <w:color w:val="000000"/>
                <w:kern w:val="0"/>
                <w:szCs w:val="21"/>
              </w:rPr>
            </w:pPr>
            <w:r>
              <w:rPr>
                <w:color w:val="000000"/>
                <w:kern w:val="0"/>
                <w:szCs w:val="21"/>
              </w:rPr>
              <w:t>项目分区</w:t>
            </w:r>
          </w:p>
        </w:tc>
        <w:tc>
          <w:tcPr>
            <w:tcW w:w="7076" w:type="dxa"/>
            <w:gridSpan w:val="6"/>
            <w:tcBorders>
              <w:top w:val="single" w:color="auto" w:sz="4" w:space="0"/>
              <w:left w:val="nil"/>
              <w:bottom w:val="single" w:color="auto" w:sz="4" w:space="0"/>
              <w:right w:val="single" w:color="auto" w:sz="4" w:space="0"/>
            </w:tcBorders>
            <w:shd w:val="clear" w:color="auto" w:fill="auto"/>
            <w:noWrap/>
            <w:vAlign w:val="center"/>
          </w:tcPr>
          <w:p w14:paraId="39DF8D3E">
            <w:pPr>
              <w:widowControl/>
              <w:jc w:val="center"/>
              <w:rPr>
                <w:color w:val="000000"/>
                <w:kern w:val="0"/>
                <w:szCs w:val="21"/>
              </w:rPr>
            </w:pPr>
            <w:r>
              <w:rPr>
                <w:color w:val="000000"/>
                <w:kern w:val="0"/>
                <w:szCs w:val="21"/>
              </w:rPr>
              <w:t>地类及面积（hm</w:t>
            </w:r>
            <w:r>
              <w:rPr>
                <w:color w:val="000000"/>
                <w:kern w:val="0"/>
                <w:szCs w:val="21"/>
                <w:vertAlign w:val="superscript"/>
              </w:rPr>
              <w:t>2</w:t>
            </w:r>
            <w:r>
              <w:rPr>
                <w:color w:val="000000"/>
                <w:kern w:val="0"/>
                <w:szCs w:val="21"/>
              </w:rPr>
              <w:t>）</w:t>
            </w:r>
          </w:p>
        </w:tc>
        <w:tc>
          <w:tcPr>
            <w:tcW w:w="73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7DBD26DD">
            <w:pPr>
              <w:widowControl/>
              <w:jc w:val="center"/>
              <w:rPr>
                <w:color w:val="000000"/>
                <w:kern w:val="0"/>
                <w:szCs w:val="21"/>
              </w:rPr>
            </w:pPr>
            <w:r>
              <w:rPr>
                <w:color w:val="000000"/>
                <w:kern w:val="0"/>
                <w:szCs w:val="21"/>
              </w:rPr>
              <w:t>权属</w:t>
            </w:r>
          </w:p>
        </w:tc>
      </w:tr>
      <w:tr w14:paraId="20B2829E">
        <w:tblPrEx>
          <w:tblCellMar>
            <w:top w:w="0" w:type="dxa"/>
            <w:left w:w="108" w:type="dxa"/>
            <w:bottom w:w="0" w:type="dxa"/>
            <w:right w:w="108" w:type="dxa"/>
          </w:tblCellMar>
        </w:tblPrEx>
        <w:trPr>
          <w:trHeight w:val="438" w:hRule="atLeast"/>
          <w:jc w:val="center"/>
        </w:trPr>
        <w:tc>
          <w:tcPr>
            <w:tcW w:w="1474" w:type="dxa"/>
            <w:gridSpan w:val="2"/>
            <w:vMerge w:val="continue"/>
            <w:tcBorders>
              <w:top w:val="single" w:color="auto" w:sz="4" w:space="0"/>
              <w:left w:val="single" w:color="auto" w:sz="4" w:space="0"/>
              <w:bottom w:val="single" w:color="auto" w:sz="4" w:space="0"/>
              <w:right w:val="single" w:color="auto" w:sz="4" w:space="0"/>
            </w:tcBorders>
            <w:vAlign w:val="center"/>
          </w:tcPr>
          <w:p w14:paraId="7F6DF516">
            <w:pPr>
              <w:widowControl/>
              <w:jc w:val="left"/>
              <w:rPr>
                <w:color w:val="000000"/>
                <w:kern w:val="0"/>
                <w:szCs w:val="21"/>
              </w:rPr>
            </w:pPr>
          </w:p>
        </w:tc>
        <w:tc>
          <w:tcPr>
            <w:tcW w:w="1055" w:type="dxa"/>
            <w:tcBorders>
              <w:top w:val="nil"/>
              <w:left w:val="nil"/>
              <w:bottom w:val="single" w:color="auto" w:sz="4" w:space="0"/>
              <w:right w:val="single" w:color="auto" w:sz="4" w:space="0"/>
            </w:tcBorders>
            <w:shd w:val="clear" w:color="auto" w:fill="auto"/>
            <w:noWrap/>
            <w:vAlign w:val="center"/>
          </w:tcPr>
          <w:p w14:paraId="4F01BC2B">
            <w:pPr>
              <w:widowControl/>
              <w:jc w:val="center"/>
              <w:rPr>
                <w:color w:val="000000"/>
                <w:kern w:val="0"/>
                <w:szCs w:val="21"/>
              </w:rPr>
            </w:pPr>
            <w:r>
              <w:rPr>
                <w:color w:val="000000"/>
                <w:kern w:val="0"/>
                <w:szCs w:val="21"/>
              </w:rPr>
              <w:t>耕地（01）</w:t>
            </w:r>
          </w:p>
        </w:tc>
        <w:tc>
          <w:tcPr>
            <w:tcW w:w="2093" w:type="dxa"/>
            <w:gridSpan w:val="2"/>
            <w:tcBorders>
              <w:top w:val="single" w:color="auto" w:sz="4" w:space="0"/>
              <w:left w:val="nil"/>
              <w:bottom w:val="single" w:color="auto" w:sz="4" w:space="0"/>
              <w:right w:val="single" w:color="auto" w:sz="4" w:space="0"/>
            </w:tcBorders>
            <w:shd w:val="clear" w:color="auto" w:fill="auto"/>
            <w:noWrap/>
            <w:vAlign w:val="center"/>
          </w:tcPr>
          <w:p w14:paraId="5923D192">
            <w:pPr>
              <w:widowControl/>
              <w:jc w:val="center"/>
              <w:rPr>
                <w:color w:val="000000"/>
                <w:kern w:val="0"/>
                <w:szCs w:val="21"/>
              </w:rPr>
            </w:pPr>
            <w:r>
              <w:rPr>
                <w:color w:val="000000"/>
                <w:kern w:val="0"/>
                <w:szCs w:val="21"/>
              </w:rPr>
              <w:t>林地（03）</w:t>
            </w:r>
          </w:p>
        </w:tc>
        <w:tc>
          <w:tcPr>
            <w:tcW w:w="1539" w:type="dxa"/>
            <w:tcBorders>
              <w:top w:val="nil"/>
              <w:left w:val="nil"/>
              <w:bottom w:val="single" w:color="auto" w:sz="4" w:space="0"/>
              <w:right w:val="single" w:color="auto" w:sz="4" w:space="0"/>
            </w:tcBorders>
            <w:shd w:val="clear" w:color="auto" w:fill="auto"/>
            <w:noWrap/>
            <w:vAlign w:val="center"/>
          </w:tcPr>
          <w:p w14:paraId="2A603E44">
            <w:pPr>
              <w:widowControl/>
              <w:jc w:val="center"/>
              <w:rPr>
                <w:color w:val="000000"/>
                <w:kern w:val="0"/>
                <w:szCs w:val="21"/>
              </w:rPr>
            </w:pPr>
            <w:r>
              <w:rPr>
                <w:color w:val="000000"/>
                <w:kern w:val="0"/>
                <w:szCs w:val="21"/>
              </w:rPr>
              <w:t>工矿仓储用地（06）</w:t>
            </w:r>
          </w:p>
        </w:tc>
        <w:tc>
          <w:tcPr>
            <w:tcW w:w="1418" w:type="dxa"/>
            <w:tcBorders>
              <w:top w:val="nil"/>
              <w:left w:val="nil"/>
              <w:bottom w:val="single" w:color="auto" w:sz="4" w:space="0"/>
              <w:right w:val="single" w:color="auto" w:sz="4" w:space="0"/>
            </w:tcBorders>
            <w:shd w:val="clear" w:color="auto" w:fill="auto"/>
            <w:noWrap/>
            <w:vAlign w:val="center"/>
          </w:tcPr>
          <w:p w14:paraId="59ABB0C4">
            <w:pPr>
              <w:widowControl/>
              <w:jc w:val="center"/>
              <w:rPr>
                <w:color w:val="000000"/>
                <w:kern w:val="0"/>
                <w:szCs w:val="21"/>
              </w:rPr>
            </w:pPr>
            <w:r>
              <w:rPr>
                <w:color w:val="000000"/>
                <w:kern w:val="0"/>
                <w:szCs w:val="21"/>
              </w:rPr>
              <w:t>住宅用地（07）</w:t>
            </w:r>
          </w:p>
        </w:tc>
        <w:tc>
          <w:tcPr>
            <w:tcW w:w="971" w:type="dxa"/>
            <w:vMerge w:val="restart"/>
            <w:tcBorders>
              <w:top w:val="nil"/>
              <w:left w:val="single" w:color="auto" w:sz="4" w:space="0"/>
              <w:bottom w:val="single" w:color="auto" w:sz="4" w:space="0"/>
              <w:right w:val="single" w:color="auto" w:sz="4" w:space="0"/>
            </w:tcBorders>
            <w:shd w:val="clear" w:color="auto" w:fill="auto"/>
            <w:noWrap/>
            <w:vAlign w:val="center"/>
          </w:tcPr>
          <w:p w14:paraId="03D24C9A">
            <w:pPr>
              <w:widowControl/>
              <w:jc w:val="center"/>
              <w:rPr>
                <w:color w:val="000000"/>
                <w:kern w:val="0"/>
                <w:szCs w:val="21"/>
              </w:rPr>
            </w:pPr>
            <w:r>
              <w:rPr>
                <w:color w:val="000000"/>
                <w:kern w:val="0"/>
                <w:szCs w:val="21"/>
              </w:rPr>
              <w:t>合计</w:t>
            </w:r>
          </w:p>
        </w:tc>
        <w:tc>
          <w:tcPr>
            <w:tcW w:w="737" w:type="dxa"/>
            <w:vMerge w:val="continue"/>
            <w:tcBorders>
              <w:top w:val="single" w:color="auto" w:sz="4" w:space="0"/>
              <w:left w:val="single" w:color="auto" w:sz="4" w:space="0"/>
              <w:bottom w:val="single" w:color="auto" w:sz="4" w:space="0"/>
              <w:right w:val="single" w:color="auto" w:sz="4" w:space="0"/>
            </w:tcBorders>
            <w:vAlign w:val="center"/>
          </w:tcPr>
          <w:p w14:paraId="6095BA94">
            <w:pPr>
              <w:widowControl/>
              <w:jc w:val="left"/>
              <w:rPr>
                <w:color w:val="000000"/>
                <w:kern w:val="0"/>
                <w:szCs w:val="21"/>
              </w:rPr>
            </w:pPr>
          </w:p>
        </w:tc>
      </w:tr>
      <w:tr w14:paraId="70D3F7C6">
        <w:tblPrEx>
          <w:tblCellMar>
            <w:top w:w="0" w:type="dxa"/>
            <w:left w:w="108" w:type="dxa"/>
            <w:bottom w:w="0" w:type="dxa"/>
            <w:right w:w="108" w:type="dxa"/>
          </w:tblCellMar>
        </w:tblPrEx>
        <w:trPr>
          <w:trHeight w:val="767" w:hRule="atLeast"/>
          <w:jc w:val="center"/>
        </w:trPr>
        <w:tc>
          <w:tcPr>
            <w:tcW w:w="1474" w:type="dxa"/>
            <w:gridSpan w:val="2"/>
            <w:vMerge w:val="continue"/>
            <w:tcBorders>
              <w:top w:val="single" w:color="auto" w:sz="4" w:space="0"/>
              <w:left w:val="single" w:color="auto" w:sz="4" w:space="0"/>
              <w:bottom w:val="single" w:color="auto" w:sz="4" w:space="0"/>
              <w:right w:val="single" w:color="auto" w:sz="4" w:space="0"/>
            </w:tcBorders>
            <w:vAlign w:val="center"/>
          </w:tcPr>
          <w:p w14:paraId="5FFCA3F5">
            <w:pPr>
              <w:widowControl/>
              <w:jc w:val="left"/>
              <w:rPr>
                <w:color w:val="000000"/>
                <w:kern w:val="0"/>
                <w:szCs w:val="21"/>
              </w:rPr>
            </w:pPr>
          </w:p>
        </w:tc>
        <w:tc>
          <w:tcPr>
            <w:tcW w:w="1055" w:type="dxa"/>
            <w:tcBorders>
              <w:top w:val="nil"/>
              <w:left w:val="nil"/>
              <w:bottom w:val="single" w:color="auto" w:sz="4" w:space="0"/>
              <w:right w:val="single" w:color="auto" w:sz="4" w:space="0"/>
            </w:tcBorders>
            <w:shd w:val="clear" w:color="auto" w:fill="auto"/>
            <w:noWrap/>
            <w:vAlign w:val="center"/>
          </w:tcPr>
          <w:p w14:paraId="23BC8322">
            <w:pPr>
              <w:widowControl/>
              <w:jc w:val="center"/>
              <w:rPr>
                <w:color w:val="000000"/>
                <w:kern w:val="0"/>
                <w:szCs w:val="21"/>
              </w:rPr>
            </w:pPr>
            <w:r>
              <w:rPr>
                <w:color w:val="000000"/>
                <w:kern w:val="0"/>
                <w:szCs w:val="21"/>
              </w:rPr>
              <w:t>旱地（013）</w:t>
            </w:r>
          </w:p>
        </w:tc>
        <w:tc>
          <w:tcPr>
            <w:tcW w:w="996" w:type="dxa"/>
            <w:tcBorders>
              <w:top w:val="nil"/>
              <w:left w:val="nil"/>
              <w:bottom w:val="single" w:color="auto" w:sz="4" w:space="0"/>
              <w:right w:val="single" w:color="auto" w:sz="4" w:space="0"/>
            </w:tcBorders>
            <w:shd w:val="clear" w:color="auto" w:fill="auto"/>
            <w:vAlign w:val="center"/>
          </w:tcPr>
          <w:p w14:paraId="557CBAAC">
            <w:pPr>
              <w:widowControl/>
              <w:jc w:val="center"/>
              <w:rPr>
                <w:color w:val="000000"/>
                <w:kern w:val="0"/>
                <w:szCs w:val="21"/>
              </w:rPr>
            </w:pPr>
            <w:r>
              <w:rPr>
                <w:color w:val="000000"/>
                <w:kern w:val="0"/>
                <w:szCs w:val="21"/>
              </w:rPr>
              <w:t>有林地（031）</w:t>
            </w:r>
          </w:p>
        </w:tc>
        <w:tc>
          <w:tcPr>
            <w:tcW w:w="1097" w:type="dxa"/>
            <w:tcBorders>
              <w:top w:val="nil"/>
              <w:left w:val="nil"/>
              <w:bottom w:val="single" w:color="auto" w:sz="4" w:space="0"/>
              <w:right w:val="single" w:color="auto" w:sz="4" w:space="0"/>
            </w:tcBorders>
            <w:shd w:val="clear" w:color="auto" w:fill="auto"/>
            <w:vAlign w:val="center"/>
          </w:tcPr>
          <w:p w14:paraId="0D09AFA7">
            <w:pPr>
              <w:widowControl/>
              <w:jc w:val="center"/>
              <w:rPr>
                <w:color w:val="000000"/>
                <w:kern w:val="0"/>
                <w:szCs w:val="21"/>
              </w:rPr>
            </w:pPr>
            <w:r>
              <w:rPr>
                <w:color w:val="000000"/>
                <w:kern w:val="0"/>
                <w:szCs w:val="21"/>
              </w:rPr>
              <w:t>其他林地（033）</w:t>
            </w:r>
          </w:p>
        </w:tc>
        <w:tc>
          <w:tcPr>
            <w:tcW w:w="1539" w:type="dxa"/>
            <w:tcBorders>
              <w:top w:val="nil"/>
              <w:left w:val="nil"/>
              <w:bottom w:val="single" w:color="auto" w:sz="4" w:space="0"/>
              <w:right w:val="single" w:color="auto" w:sz="4" w:space="0"/>
            </w:tcBorders>
            <w:shd w:val="clear" w:color="auto" w:fill="auto"/>
            <w:noWrap/>
            <w:vAlign w:val="center"/>
          </w:tcPr>
          <w:p w14:paraId="1C720E64">
            <w:pPr>
              <w:widowControl/>
              <w:jc w:val="center"/>
              <w:rPr>
                <w:color w:val="000000"/>
                <w:kern w:val="0"/>
                <w:szCs w:val="21"/>
              </w:rPr>
            </w:pPr>
            <w:r>
              <w:rPr>
                <w:color w:val="000000"/>
                <w:kern w:val="0"/>
                <w:szCs w:val="21"/>
              </w:rPr>
              <w:t>采矿用地（062）</w:t>
            </w:r>
          </w:p>
        </w:tc>
        <w:tc>
          <w:tcPr>
            <w:tcW w:w="1418" w:type="dxa"/>
            <w:tcBorders>
              <w:top w:val="nil"/>
              <w:left w:val="nil"/>
              <w:bottom w:val="single" w:color="auto" w:sz="4" w:space="0"/>
              <w:right w:val="single" w:color="auto" w:sz="4" w:space="0"/>
            </w:tcBorders>
            <w:shd w:val="clear" w:color="auto" w:fill="auto"/>
            <w:vAlign w:val="center"/>
          </w:tcPr>
          <w:p w14:paraId="4849711E">
            <w:pPr>
              <w:widowControl/>
              <w:jc w:val="center"/>
              <w:rPr>
                <w:color w:val="000000"/>
                <w:kern w:val="0"/>
                <w:szCs w:val="21"/>
              </w:rPr>
            </w:pPr>
            <w:r>
              <w:rPr>
                <w:color w:val="000000"/>
                <w:kern w:val="0"/>
                <w:szCs w:val="21"/>
              </w:rPr>
              <w:t>城镇住宅用地（071）</w:t>
            </w:r>
          </w:p>
        </w:tc>
        <w:tc>
          <w:tcPr>
            <w:tcW w:w="971" w:type="dxa"/>
            <w:vMerge w:val="continue"/>
            <w:tcBorders>
              <w:top w:val="nil"/>
              <w:left w:val="single" w:color="auto" w:sz="4" w:space="0"/>
              <w:bottom w:val="single" w:color="auto" w:sz="4" w:space="0"/>
              <w:right w:val="single" w:color="auto" w:sz="4" w:space="0"/>
            </w:tcBorders>
            <w:vAlign w:val="center"/>
          </w:tcPr>
          <w:p w14:paraId="5C2C2862">
            <w:pPr>
              <w:widowControl/>
              <w:jc w:val="left"/>
              <w:rPr>
                <w:color w:val="000000"/>
                <w:kern w:val="0"/>
                <w:szCs w:val="21"/>
              </w:rPr>
            </w:pPr>
          </w:p>
        </w:tc>
        <w:tc>
          <w:tcPr>
            <w:tcW w:w="737" w:type="dxa"/>
            <w:vMerge w:val="continue"/>
            <w:tcBorders>
              <w:top w:val="single" w:color="auto" w:sz="4" w:space="0"/>
              <w:left w:val="single" w:color="auto" w:sz="4" w:space="0"/>
              <w:bottom w:val="single" w:color="auto" w:sz="4" w:space="0"/>
              <w:right w:val="single" w:color="auto" w:sz="4" w:space="0"/>
            </w:tcBorders>
            <w:vAlign w:val="center"/>
          </w:tcPr>
          <w:p w14:paraId="0D0179FA">
            <w:pPr>
              <w:widowControl/>
              <w:jc w:val="left"/>
              <w:rPr>
                <w:color w:val="000000"/>
                <w:kern w:val="0"/>
                <w:szCs w:val="21"/>
              </w:rPr>
            </w:pPr>
          </w:p>
        </w:tc>
      </w:tr>
      <w:tr w14:paraId="535E273C">
        <w:tblPrEx>
          <w:tblCellMar>
            <w:top w:w="0" w:type="dxa"/>
            <w:left w:w="108" w:type="dxa"/>
            <w:bottom w:w="0" w:type="dxa"/>
            <w:right w:w="108" w:type="dxa"/>
          </w:tblCellMar>
        </w:tblPrEx>
        <w:trPr>
          <w:trHeight w:val="438" w:hRule="atLeast"/>
          <w:jc w:val="center"/>
        </w:trPr>
        <w:tc>
          <w:tcPr>
            <w:tcW w:w="737" w:type="dxa"/>
            <w:vMerge w:val="restart"/>
            <w:tcBorders>
              <w:top w:val="nil"/>
              <w:left w:val="single" w:color="auto" w:sz="4" w:space="0"/>
              <w:bottom w:val="single" w:color="auto" w:sz="4" w:space="0"/>
              <w:right w:val="single" w:color="auto" w:sz="4" w:space="0"/>
            </w:tcBorders>
            <w:shd w:val="clear" w:color="auto" w:fill="auto"/>
            <w:vAlign w:val="center"/>
          </w:tcPr>
          <w:p w14:paraId="4D4DB5BC">
            <w:pPr>
              <w:widowControl/>
              <w:jc w:val="center"/>
              <w:rPr>
                <w:color w:val="000000"/>
                <w:kern w:val="0"/>
                <w:szCs w:val="21"/>
              </w:rPr>
            </w:pPr>
            <w:r>
              <w:rPr>
                <w:color w:val="000000"/>
                <w:kern w:val="0"/>
                <w:szCs w:val="21"/>
              </w:rPr>
              <w:t>复垦责任范围</w:t>
            </w:r>
          </w:p>
        </w:tc>
        <w:tc>
          <w:tcPr>
            <w:tcW w:w="737" w:type="dxa"/>
            <w:tcBorders>
              <w:top w:val="nil"/>
              <w:left w:val="nil"/>
              <w:bottom w:val="single" w:color="auto" w:sz="4" w:space="0"/>
              <w:right w:val="single" w:color="auto" w:sz="4" w:space="0"/>
            </w:tcBorders>
            <w:shd w:val="clear" w:color="auto" w:fill="auto"/>
            <w:vAlign w:val="center"/>
          </w:tcPr>
          <w:p w14:paraId="7C19C5D3">
            <w:pPr>
              <w:widowControl/>
              <w:jc w:val="center"/>
              <w:rPr>
                <w:color w:val="000000"/>
                <w:kern w:val="0"/>
                <w:szCs w:val="21"/>
              </w:rPr>
            </w:pPr>
            <w:r>
              <w:rPr>
                <w:color w:val="000000"/>
                <w:kern w:val="0"/>
                <w:szCs w:val="21"/>
              </w:rPr>
              <w:t>工业广场</w:t>
            </w:r>
          </w:p>
        </w:tc>
        <w:tc>
          <w:tcPr>
            <w:tcW w:w="1055" w:type="dxa"/>
            <w:tcBorders>
              <w:top w:val="nil"/>
              <w:left w:val="nil"/>
              <w:bottom w:val="single" w:color="auto" w:sz="4" w:space="0"/>
              <w:right w:val="single" w:color="auto" w:sz="4" w:space="0"/>
            </w:tcBorders>
            <w:shd w:val="clear" w:color="auto" w:fill="auto"/>
            <w:noWrap/>
            <w:vAlign w:val="center"/>
          </w:tcPr>
          <w:p w14:paraId="40C97881">
            <w:pPr>
              <w:widowControl/>
              <w:jc w:val="center"/>
              <w:rPr>
                <w:color w:val="000000"/>
                <w:kern w:val="0"/>
                <w:szCs w:val="21"/>
              </w:rPr>
            </w:pPr>
            <w:r>
              <w:rPr>
                <w:color w:val="000000"/>
                <w:kern w:val="0"/>
                <w:szCs w:val="21"/>
              </w:rPr>
              <w:t>0.5604</w:t>
            </w:r>
          </w:p>
        </w:tc>
        <w:tc>
          <w:tcPr>
            <w:tcW w:w="996" w:type="dxa"/>
            <w:tcBorders>
              <w:top w:val="nil"/>
              <w:left w:val="nil"/>
              <w:bottom w:val="single" w:color="auto" w:sz="4" w:space="0"/>
              <w:right w:val="single" w:color="auto" w:sz="4" w:space="0"/>
            </w:tcBorders>
            <w:shd w:val="clear" w:color="auto" w:fill="auto"/>
            <w:noWrap/>
            <w:vAlign w:val="center"/>
          </w:tcPr>
          <w:p w14:paraId="57D31462">
            <w:pPr>
              <w:widowControl/>
              <w:jc w:val="center"/>
              <w:rPr>
                <w:color w:val="000000"/>
                <w:kern w:val="0"/>
                <w:szCs w:val="21"/>
              </w:rPr>
            </w:pPr>
            <w:r>
              <w:rPr>
                <w:color w:val="000000"/>
                <w:kern w:val="0"/>
                <w:szCs w:val="21"/>
              </w:rPr>
              <w:t>0.0677</w:t>
            </w:r>
          </w:p>
        </w:tc>
        <w:tc>
          <w:tcPr>
            <w:tcW w:w="1097" w:type="dxa"/>
            <w:tcBorders>
              <w:top w:val="nil"/>
              <w:left w:val="nil"/>
              <w:bottom w:val="single" w:color="auto" w:sz="4" w:space="0"/>
              <w:right w:val="single" w:color="auto" w:sz="4" w:space="0"/>
            </w:tcBorders>
            <w:shd w:val="clear" w:color="auto" w:fill="auto"/>
            <w:noWrap/>
            <w:vAlign w:val="center"/>
          </w:tcPr>
          <w:p w14:paraId="27A4D91E">
            <w:pPr>
              <w:widowControl/>
              <w:jc w:val="center"/>
              <w:rPr>
                <w:color w:val="000000"/>
                <w:kern w:val="0"/>
                <w:szCs w:val="21"/>
              </w:rPr>
            </w:pPr>
            <w:r>
              <w:rPr>
                <w:color w:val="000000"/>
                <w:kern w:val="0"/>
                <w:szCs w:val="21"/>
              </w:rPr>
              <w:t>0.1711</w:t>
            </w:r>
          </w:p>
        </w:tc>
        <w:tc>
          <w:tcPr>
            <w:tcW w:w="1539" w:type="dxa"/>
            <w:tcBorders>
              <w:top w:val="nil"/>
              <w:left w:val="nil"/>
              <w:bottom w:val="single" w:color="auto" w:sz="4" w:space="0"/>
              <w:right w:val="single" w:color="auto" w:sz="4" w:space="0"/>
            </w:tcBorders>
            <w:shd w:val="clear" w:color="auto" w:fill="auto"/>
            <w:noWrap/>
            <w:vAlign w:val="center"/>
          </w:tcPr>
          <w:p w14:paraId="69C8ADEE">
            <w:pPr>
              <w:widowControl/>
              <w:jc w:val="center"/>
              <w:rPr>
                <w:color w:val="000000"/>
                <w:kern w:val="0"/>
                <w:szCs w:val="21"/>
              </w:rPr>
            </w:pPr>
            <w:r>
              <w:rPr>
                <w:color w:val="000000"/>
                <w:kern w:val="0"/>
                <w:szCs w:val="21"/>
              </w:rPr>
              <w:t>0.7991</w:t>
            </w:r>
          </w:p>
        </w:tc>
        <w:tc>
          <w:tcPr>
            <w:tcW w:w="1418" w:type="dxa"/>
            <w:tcBorders>
              <w:top w:val="nil"/>
              <w:left w:val="nil"/>
              <w:bottom w:val="single" w:color="auto" w:sz="4" w:space="0"/>
              <w:right w:val="single" w:color="auto" w:sz="4" w:space="0"/>
            </w:tcBorders>
            <w:shd w:val="clear" w:color="auto" w:fill="auto"/>
            <w:noWrap/>
            <w:vAlign w:val="center"/>
          </w:tcPr>
          <w:p w14:paraId="05EE7C52">
            <w:pPr>
              <w:widowControl/>
              <w:jc w:val="center"/>
              <w:rPr>
                <w:color w:val="000000"/>
                <w:kern w:val="0"/>
                <w:szCs w:val="21"/>
              </w:rPr>
            </w:pPr>
            <w:r>
              <w:rPr>
                <w:color w:val="000000"/>
                <w:kern w:val="0"/>
                <w:szCs w:val="21"/>
              </w:rPr>
              <w:t>0.2562</w:t>
            </w:r>
          </w:p>
        </w:tc>
        <w:tc>
          <w:tcPr>
            <w:tcW w:w="971" w:type="dxa"/>
            <w:tcBorders>
              <w:top w:val="nil"/>
              <w:left w:val="nil"/>
              <w:bottom w:val="single" w:color="auto" w:sz="4" w:space="0"/>
              <w:right w:val="single" w:color="auto" w:sz="4" w:space="0"/>
            </w:tcBorders>
            <w:shd w:val="clear" w:color="auto" w:fill="auto"/>
            <w:noWrap/>
            <w:vAlign w:val="center"/>
          </w:tcPr>
          <w:p w14:paraId="746751D2">
            <w:pPr>
              <w:widowControl/>
              <w:jc w:val="center"/>
              <w:rPr>
                <w:color w:val="000000"/>
                <w:kern w:val="0"/>
                <w:szCs w:val="21"/>
              </w:rPr>
            </w:pPr>
            <w:r>
              <w:rPr>
                <w:color w:val="000000"/>
                <w:kern w:val="0"/>
                <w:szCs w:val="21"/>
              </w:rPr>
              <w:t>1.8545</w:t>
            </w:r>
          </w:p>
        </w:tc>
        <w:tc>
          <w:tcPr>
            <w:tcW w:w="737" w:type="dxa"/>
            <w:vMerge w:val="restart"/>
            <w:tcBorders>
              <w:top w:val="nil"/>
              <w:left w:val="single" w:color="auto" w:sz="4" w:space="0"/>
              <w:bottom w:val="single" w:color="auto" w:sz="4" w:space="0"/>
              <w:right w:val="single" w:color="auto" w:sz="4" w:space="0"/>
            </w:tcBorders>
            <w:shd w:val="clear" w:color="auto" w:fill="auto"/>
            <w:vAlign w:val="center"/>
          </w:tcPr>
          <w:p w14:paraId="342DBAE6">
            <w:pPr>
              <w:widowControl/>
              <w:jc w:val="center"/>
              <w:rPr>
                <w:color w:val="000000"/>
                <w:kern w:val="0"/>
                <w:szCs w:val="21"/>
              </w:rPr>
            </w:pPr>
            <w:r>
              <w:rPr>
                <w:color w:val="000000"/>
                <w:kern w:val="0"/>
                <w:szCs w:val="21"/>
              </w:rPr>
              <w:t>利州区宝轮镇社区</w:t>
            </w:r>
          </w:p>
        </w:tc>
      </w:tr>
      <w:tr w14:paraId="73C906F5">
        <w:tblPrEx>
          <w:tblCellMar>
            <w:top w:w="0" w:type="dxa"/>
            <w:left w:w="108" w:type="dxa"/>
            <w:bottom w:w="0" w:type="dxa"/>
            <w:right w:w="108" w:type="dxa"/>
          </w:tblCellMar>
        </w:tblPrEx>
        <w:trPr>
          <w:trHeight w:val="460" w:hRule="atLeast"/>
          <w:jc w:val="center"/>
        </w:trPr>
        <w:tc>
          <w:tcPr>
            <w:tcW w:w="737" w:type="dxa"/>
            <w:vMerge w:val="continue"/>
            <w:tcBorders>
              <w:top w:val="nil"/>
              <w:left w:val="single" w:color="auto" w:sz="4" w:space="0"/>
              <w:bottom w:val="single" w:color="auto" w:sz="4" w:space="0"/>
              <w:right w:val="single" w:color="auto" w:sz="4" w:space="0"/>
            </w:tcBorders>
            <w:vAlign w:val="center"/>
          </w:tcPr>
          <w:p w14:paraId="6C1D5639">
            <w:pPr>
              <w:widowControl/>
              <w:jc w:val="left"/>
              <w:rPr>
                <w:color w:val="000000"/>
                <w:kern w:val="0"/>
                <w:szCs w:val="21"/>
              </w:rPr>
            </w:pPr>
          </w:p>
        </w:tc>
        <w:tc>
          <w:tcPr>
            <w:tcW w:w="737" w:type="dxa"/>
            <w:tcBorders>
              <w:top w:val="nil"/>
              <w:left w:val="nil"/>
              <w:bottom w:val="single" w:color="auto" w:sz="4" w:space="0"/>
              <w:right w:val="single" w:color="auto" w:sz="4" w:space="0"/>
            </w:tcBorders>
            <w:shd w:val="clear" w:color="auto" w:fill="auto"/>
            <w:vAlign w:val="center"/>
          </w:tcPr>
          <w:p w14:paraId="21D5D6CD">
            <w:pPr>
              <w:widowControl/>
              <w:jc w:val="center"/>
              <w:rPr>
                <w:color w:val="000000"/>
                <w:kern w:val="0"/>
                <w:szCs w:val="21"/>
              </w:rPr>
            </w:pPr>
            <w:r>
              <w:rPr>
                <w:color w:val="000000"/>
                <w:kern w:val="0"/>
                <w:szCs w:val="21"/>
              </w:rPr>
              <w:t>边坡区</w:t>
            </w:r>
          </w:p>
        </w:tc>
        <w:tc>
          <w:tcPr>
            <w:tcW w:w="1055" w:type="dxa"/>
            <w:tcBorders>
              <w:top w:val="nil"/>
              <w:left w:val="nil"/>
              <w:bottom w:val="single" w:color="auto" w:sz="4" w:space="0"/>
              <w:right w:val="single" w:color="auto" w:sz="4" w:space="0"/>
            </w:tcBorders>
            <w:shd w:val="clear" w:color="auto" w:fill="auto"/>
            <w:noWrap/>
            <w:vAlign w:val="center"/>
          </w:tcPr>
          <w:p w14:paraId="2DB8BD9E">
            <w:pPr>
              <w:widowControl/>
              <w:jc w:val="center"/>
              <w:rPr>
                <w:color w:val="000000"/>
                <w:kern w:val="0"/>
                <w:szCs w:val="21"/>
              </w:rPr>
            </w:pPr>
            <w:r>
              <w:rPr>
                <w:color w:val="000000"/>
                <w:kern w:val="0"/>
                <w:szCs w:val="21"/>
              </w:rPr>
              <w:t>0.2989</w:t>
            </w:r>
          </w:p>
        </w:tc>
        <w:tc>
          <w:tcPr>
            <w:tcW w:w="996" w:type="dxa"/>
            <w:tcBorders>
              <w:top w:val="nil"/>
              <w:left w:val="nil"/>
              <w:bottom w:val="single" w:color="auto" w:sz="4" w:space="0"/>
              <w:right w:val="single" w:color="auto" w:sz="4" w:space="0"/>
            </w:tcBorders>
            <w:shd w:val="clear" w:color="auto" w:fill="auto"/>
            <w:noWrap/>
            <w:vAlign w:val="center"/>
          </w:tcPr>
          <w:p w14:paraId="39307391">
            <w:pPr>
              <w:widowControl/>
              <w:jc w:val="center"/>
              <w:rPr>
                <w:color w:val="000000"/>
                <w:kern w:val="0"/>
                <w:szCs w:val="21"/>
              </w:rPr>
            </w:pPr>
            <w:r>
              <w:rPr>
                <w:color w:val="000000"/>
                <w:kern w:val="0"/>
                <w:szCs w:val="21"/>
              </w:rPr>
              <w:t>0.0322</w:t>
            </w:r>
          </w:p>
        </w:tc>
        <w:tc>
          <w:tcPr>
            <w:tcW w:w="1097" w:type="dxa"/>
            <w:tcBorders>
              <w:top w:val="nil"/>
              <w:left w:val="nil"/>
              <w:bottom w:val="single" w:color="auto" w:sz="4" w:space="0"/>
              <w:right w:val="single" w:color="auto" w:sz="4" w:space="0"/>
            </w:tcBorders>
            <w:shd w:val="clear" w:color="auto" w:fill="auto"/>
            <w:noWrap/>
            <w:vAlign w:val="center"/>
          </w:tcPr>
          <w:p w14:paraId="4DBB9985">
            <w:pPr>
              <w:widowControl/>
              <w:jc w:val="center"/>
              <w:rPr>
                <w:color w:val="000000"/>
                <w:kern w:val="0"/>
                <w:szCs w:val="21"/>
              </w:rPr>
            </w:pPr>
            <w:r>
              <w:rPr>
                <w:color w:val="000000"/>
                <w:kern w:val="0"/>
                <w:szCs w:val="21"/>
              </w:rPr>
              <w:t>0.2251</w:t>
            </w:r>
          </w:p>
        </w:tc>
        <w:tc>
          <w:tcPr>
            <w:tcW w:w="1539" w:type="dxa"/>
            <w:tcBorders>
              <w:top w:val="nil"/>
              <w:left w:val="nil"/>
              <w:bottom w:val="single" w:color="auto" w:sz="4" w:space="0"/>
              <w:right w:val="single" w:color="auto" w:sz="4" w:space="0"/>
            </w:tcBorders>
            <w:shd w:val="clear" w:color="auto" w:fill="auto"/>
            <w:noWrap/>
            <w:vAlign w:val="center"/>
          </w:tcPr>
          <w:p w14:paraId="2DE0BE27">
            <w:pPr>
              <w:widowControl/>
              <w:jc w:val="center"/>
              <w:rPr>
                <w:color w:val="000000"/>
                <w:kern w:val="0"/>
                <w:szCs w:val="21"/>
              </w:rPr>
            </w:pPr>
            <w:r>
              <w:rPr>
                <w:color w:val="000000"/>
                <w:kern w:val="0"/>
                <w:szCs w:val="21"/>
              </w:rPr>
              <w:t>0.0006</w:t>
            </w:r>
          </w:p>
        </w:tc>
        <w:tc>
          <w:tcPr>
            <w:tcW w:w="1418" w:type="dxa"/>
            <w:tcBorders>
              <w:top w:val="nil"/>
              <w:left w:val="nil"/>
              <w:bottom w:val="single" w:color="auto" w:sz="4" w:space="0"/>
              <w:right w:val="single" w:color="auto" w:sz="4" w:space="0"/>
            </w:tcBorders>
            <w:shd w:val="clear" w:color="auto" w:fill="auto"/>
            <w:noWrap/>
            <w:vAlign w:val="center"/>
          </w:tcPr>
          <w:p w14:paraId="76017181">
            <w:pPr>
              <w:widowControl/>
              <w:jc w:val="center"/>
              <w:rPr>
                <w:color w:val="000000"/>
                <w:kern w:val="0"/>
                <w:szCs w:val="21"/>
              </w:rPr>
            </w:pPr>
            <w:r>
              <w:rPr>
                <w:color w:val="000000"/>
                <w:kern w:val="0"/>
                <w:szCs w:val="21"/>
              </w:rPr>
              <w:t>0.0035</w:t>
            </w:r>
          </w:p>
        </w:tc>
        <w:tc>
          <w:tcPr>
            <w:tcW w:w="971" w:type="dxa"/>
            <w:tcBorders>
              <w:top w:val="nil"/>
              <w:left w:val="nil"/>
              <w:bottom w:val="single" w:color="auto" w:sz="4" w:space="0"/>
              <w:right w:val="single" w:color="auto" w:sz="4" w:space="0"/>
            </w:tcBorders>
            <w:shd w:val="clear" w:color="auto" w:fill="auto"/>
            <w:noWrap/>
            <w:vAlign w:val="center"/>
          </w:tcPr>
          <w:p w14:paraId="3FA668B4">
            <w:pPr>
              <w:widowControl/>
              <w:jc w:val="center"/>
              <w:rPr>
                <w:color w:val="000000"/>
                <w:kern w:val="0"/>
                <w:szCs w:val="21"/>
              </w:rPr>
            </w:pPr>
            <w:r>
              <w:rPr>
                <w:color w:val="000000"/>
                <w:kern w:val="0"/>
                <w:szCs w:val="21"/>
              </w:rPr>
              <w:t>0.5603</w:t>
            </w:r>
          </w:p>
        </w:tc>
        <w:tc>
          <w:tcPr>
            <w:tcW w:w="737" w:type="dxa"/>
            <w:vMerge w:val="continue"/>
            <w:tcBorders>
              <w:top w:val="nil"/>
              <w:left w:val="single" w:color="auto" w:sz="4" w:space="0"/>
              <w:bottom w:val="single" w:color="auto" w:sz="4" w:space="0"/>
              <w:right w:val="single" w:color="auto" w:sz="4" w:space="0"/>
            </w:tcBorders>
            <w:vAlign w:val="center"/>
          </w:tcPr>
          <w:p w14:paraId="1EAEE697">
            <w:pPr>
              <w:widowControl/>
              <w:jc w:val="left"/>
              <w:rPr>
                <w:color w:val="000000"/>
                <w:kern w:val="0"/>
                <w:szCs w:val="21"/>
              </w:rPr>
            </w:pPr>
          </w:p>
        </w:tc>
      </w:tr>
      <w:tr w14:paraId="62CE9248">
        <w:tblPrEx>
          <w:tblCellMar>
            <w:top w:w="0" w:type="dxa"/>
            <w:left w:w="108" w:type="dxa"/>
            <w:bottom w:w="0" w:type="dxa"/>
            <w:right w:w="108" w:type="dxa"/>
          </w:tblCellMar>
        </w:tblPrEx>
        <w:trPr>
          <w:trHeight w:val="504" w:hRule="atLeast"/>
          <w:jc w:val="center"/>
        </w:trPr>
        <w:tc>
          <w:tcPr>
            <w:tcW w:w="1474"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1461BB2">
            <w:pPr>
              <w:widowControl/>
              <w:jc w:val="center"/>
              <w:rPr>
                <w:color w:val="000000"/>
                <w:kern w:val="0"/>
                <w:szCs w:val="21"/>
              </w:rPr>
            </w:pPr>
            <w:r>
              <w:rPr>
                <w:color w:val="000000"/>
                <w:kern w:val="0"/>
                <w:szCs w:val="21"/>
              </w:rPr>
              <w:t>合计</w:t>
            </w:r>
          </w:p>
        </w:tc>
        <w:tc>
          <w:tcPr>
            <w:tcW w:w="1055" w:type="dxa"/>
            <w:tcBorders>
              <w:top w:val="nil"/>
              <w:left w:val="nil"/>
              <w:bottom w:val="single" w:color="auto" w:sz="4" w:space="0"/>
              <w:right w:val="single" w:color="auto" w:sz="4" w:space="0"/>
            </w:tcBorders>
            <w:shd w:val="clear" w:color="auto" w:fill="auto"/>
            <w:noWrap/>
            <w:vAlign w:val="center"/>
          </w:tcPr>
          <w:p w14:paraId="0B24B5FD">
            <w:pPr>
              <w:widowControl/>
              <w:jc w:val="center"/>
              <w:rPr>
                <w:color w:val="000000"/>
                <w:kern w:val="0"/>
                <w:szCs w:val="21"/>
              </w:rPr>
            </w:pPr>
            <w:r>
              <w:rPr>
                <w:color w:val="000000"/>
                <w:kern w:val="0"/>
                <w:szCs w:val="21"/>
              </w:rPr>
              <w:t>0.8593</w:t>
            </w:r>
          </w:p>
        </w:tc>
        <w:tc>
          <w:tcPr>
            <w:tcW w:w="996" w:type="dxa"/>
            <w:tcBorders>
              <w:top w:val="nil"/>
              <w:left w:val="nil"/>
              <w:bottom w:val="single" w:color="auto" w:sz="4" w:space="0"/>
              <w:right w:val="single" w:color="auto" w:sz="4" w:space="0"/>
            </w:tcBorders>
            <w:shd w:val="clear" w:color="auto" w:fill="auto"/>
            <w:noWrap/>
            <w:vAlign w:val="center"/>
          </w:tcPr>
          <w:p w14:paraId="1286AE75">
            <w:pPr>
              <w:widowControl/>
              <w:jc w:val="center"/>
              <w:rPr>
                <w:color w:val="000000"/>
                <w:kern w:val="0"/>
                <w:szCs w:val="21"/>
              </w:rPr>
            </w:pPr>
            <w:r>
              <w:rPr>
                <w:color w:val="000000"/>
                <w:kern w:val="0"/>
                <w:szCs w:val="21"/>
              </w:rPr>
              <w:t>0.0999</w:t>
            </w:r>
          </w:p>
        </w:tc>
        <w:tc>
          <w:tcPr>
            <w:tcW w:w="1097" w:type="dxa"/>
            <w:tcBorders>
              <w:top w:val="nil"/>
              <w:left w:val="nil"/>
              <w:bottom w:val="single" w:color="auto" w:sz="4" w:space="0"/>
              <w:right w:val="single" w:color="auto" w:sz="4" w:space="0"/>
            </w:tcBorders>
            <w:shd w:val="clear" w:color="auto" w:fill="auto"/>
            <w:noWrap/>
            <w:vAlign w:val="center"/>
          </w:tcPr>
          <w:p w14:paraId="6AEFD879">
            <w:pPr>
              <w:widowControl/>
              <w:jc w:val="center"/>
              <w:rPr>
                <w:color w:val="000000"/>
                <w:kern w:val="0"/>
                <w:szCs w:val="21"/>
              </w:rPr>
            </w:pPr>
            <w:r>
              <w:rPr>
                <w:color w:val="000000"/>
                <w:kern w:val="0"/>
                <w:szCs w:val="21"/>
              </w:rPr>
              <w:t>0.3962</w:t>
            </w:r>
          </w:p>
        </w:tc>
        <w:tc>
          <w:tcPr>
            <w:tcW w:w="1539" w:type="dxa"/>
            <w:tcBorders>
              <w:top w:val="nil"/>
              <w:left w:val="nil"/>
              <w:bottom w:val="single" w:color="auto" w:sz="4" w:space="0"/>
              <w:right w:val="single" w:color="auto" w:sz="4" w:space="0"/>
            </w:tcBorders>
            <w:shd w:val="clear" w:color="auto" w:fill="auto"/>
            <w:noWrap/>
            <w:vAlign w:val="center"/>
          </w:tcPr>
          <w:p w14:paraId="06E1F12E">
            <w:pPr>
              <w:widowControl/>
              <w:jc w:val="center"/>
              <w:rPr>
                <w:color w:val="000000"/>
                <w:kern w:val="0"/>
                <w:szCs w:val="21"/>
              </w:rPr>
            </w:pPr>
            <w:r>
              <w:rPr>
                <w:color w:val="000000"/>
                <w:kern w:val="0"/>
                <w:szCs w:val="21"/>
              </w:rPr>
              <w:t>0.7997</w:t>
            </w:r>
          </w:p>
        </w:tc>
        <w:tc>
          <w:tcPr>
            <w:tcW w:w="1418" w:type="dxa"/>
            <w:tcBorders>
              <w:top w:val="nil"/>
              <w:left w:val="nil"/>
              <w:bottom w:val="single" w:color="auto" w:sz="4" w:space="0"/>
              <w:right w:val="single" w:color="auto" w:sz="4" w:space="0"/>
            </w:tcBorders>
            <w:shd w:val="clear" w:color="auto" w:fill="auto"/>
            <w:noWrap/>
            <w:vAlign w:val="center"/>
          </w:tcPr>
          <w:p w14:paraId="51CBB874">
            <w:pPr>
              <w:widowControl/>
              <w:jc w:val="center"/>
              <w:rPr>
                <w:color w:val="000000"/>
                <w:kern w:val="0"/>
                <w:szCs w:val="21"/>
              </w:rPr>
            </w:pPr>
            <w:r>
              <w:rPr>
                <w:color w:val="000000"/>
                <w:kern w:val="0"/>
                <w:szCs w:val="21"/>
              </w:rPr>
              <w:t>0.2597</w:t>
            </w:r>
          </w:p>
        </w:tc>
        <w:tc>
          <w:tcPr>
            <w:tcW w:w="971" w:type="dxa"/>
            <w:tcBorders>
              <w:top w:val="nil"/>
              <w:left w:val="nil"/>
              <w:bottom w:val="single" w:color="auto" w:sz="4" w:space="0"/>
              <w:right w:val="single" w:color="auto" w:sz="4" w:space="0"/>
            </w:tcBorders>
            <w:shd w:val="clear" w:color="auto" w:fill="auto"/>
            <w:noWrap/>
            <w:vAlign w:val="center"/>
          </w:tcPr>
          <w:p w14:paraId="6CEEC31A">
            <w:pPr>
              <w:widowControl/>
              <w:jc w:val="center"/>
              <w:rPr>
                <w:color w:val="000000"/>
                <w:kern w:val="0"/>
                <w:szCs w:val="21"/>
              </w:rPr>
            </w:pPr>
            <w:r>
              <w:rPr>
                <w:color w:val="000000"/>
                <w:kern w:val="0"/>
                <w:szCs w:val="21"/>
              </w:rPr>
              <w:t>2.4148</w:t>
            </w:r>
          </w:p>
        </w:tc>
        <w:tc>
          <w:tcPr>
            <w:tcW w:w="737" w:type="dxa"/>
            <w:vMerge w:val="continue"/>
            <w:tcBorders>
              <w:top w:val="nil"/>
              <w:left w:val="single" w:color="auto" w:sz="4" w:space="0"/>
              <w:bottom w:val="single" w:color="auto" w:sz="4" w:space="0"/>
              <w:right w:val="single" w:color="auto" w:sz="4" w:space="0"/>
            </w:tcBorders>
            <w:vAlign w:val="center"/>
          </w:tcPr>
          <w:p w14:paraId="38344432">
            <w:pPr>
              <w:widowControl/>
              <w:jc w:val="left"/>
              <w:rPr>
                <w:color w:val="000000"/>
                <w:kern w:val="0"/>
                <w:szCs w:val="21"/>
              </w:rPr>
            </w:pPr>
          </w:p>
        </w:tc>
      </w:tr>
    </w:tbl>
    <w:p w14:paraId="310580A5">
      <w:pPr>
        <w:widowControl/>
        <w:jc w:val="left"/>
        <w:rPr>
          <w:bCs/>
          <w:kern w:val="44"/>
          <w:sz w:val="32"/>
          <w:szCs w:val="32"/>
        </w:rPr>
      </w:pPr>
    </w:p>
    <w:p w14:paraId="776DB218">
      <w:pPr>
        <w:keepNext/>
        <w:keepLines/>
        <w:pageBreakBefore/>
        <w:tabs>
          <w:tab w:val="left" w:pos="284"/>
        </w:tabs>
        <w:spacing w:before="340" w:after="240" w:line="360" w:lineRule="auto"/>
        <w:jc w:val="center"/>
        <w:outlineLvl w:val="0"/>
        <w:rPr>
          <w:b/>
          <w:bCs/>
          <w:kern w:val="44"/>
          <w:sz w:val="32"/>
          <w:szCs w:val="32"/>
        </w:rPr>
      </w:pPr>
      <w:bookmarkStart w:id="124" w:name="_Toc43851663"/>
      <w:r>
        <w:rPr>
          <w:b/>
          <w:bCs/>
          <w:kern w:val="44"/>
          <w:sz w:val="32"/>
          <w:szCs w:val="32"/>
        </w:rPr>
        <w:t>第四章矿山地质环境治理与土地复垦可行性分析</w:t>
      </w:r>
      <w:bookmarkEnd w:id="123"/>
      <w:bookmarkEnd w:id="124"/>
    </w:p>
    <w:p w14:paraId="22700E7E">
      <w:pPr>
        <w:keepNext/>
        <w:keepLines/>
        <w:adjustRightInd w:val="0"/>
        <w:spacing w:beforeLines="50" w:afterLines="50" w:line="360" w:lineRule="auto"/>
        <w:jc w:val="left"/>
        <w:textAlignment w:val="baseline"/>
        <w:outlineLvl w:val="0"/>
        <w:rPr>
          <w:kern w:val="0"/>
          <w:sz w:val="30"/>
          <w:szCs w:val="30"/>
        </w:rPr>
      </w:pPr>
      <w:bookmarkStart w:id="125" w:name="_Toc480537431"/>
      <w:bookmarkStart w:id="126" w:name="_Toc481328197"/>
      <w:bookmarkStart w:id="127" w:name="_Toc43851664"/>
      <w:r>
        <w:rPr>
          <w:kern w:val="0"/>
          <w:sz w:val="30"/>
          <w:szCs w:val="30"/>
        </w:rPr>
        <w:t>一、矿山地质环境治理可行性分析</w:t>
      </w:r>
      <w:bookmarkEnd w:id="125"/>
      <w:bookmarkEnd w:id="126"/>
      <w:bookmarkEnd w:id="127"/>
    </w:p>
    <w:p w14:paraId="21EC16C3">
      <w:pPr>
        <w:pStyle w:val="5"/>
        <w:spacing w:beforeLines="50" w:afterLines="50" w:line="360" w:lineRule="auto"/>
        <w:rPr>
          <w:b w:val="0"/>
          <w:sz w:val="28"/>
          <w:szCs w:val="28"/>
        </w:rPr>
      </w:pPr>
      <w:bookmarkStart w:id="128" w:name="_Toc480537432"/>
      <w:bookmarkStart w:id="129" w:name="_Toc43851665"/>
      <w:bookmarkStart w:id="130" w:name="_Toc481328198"/>
      <w:r>
        <w:rPr>
          <w:b w:val="0"/>
          <w:sz w:val="28"/>
          <w:szCs w:val="28"/>
        </w:rPr>
        <w:t>（一）技术可行性分析</w:t>
      </w:r>
      <w:bookmarkEnd w:id="128"/>
      <w:bookmarkEnd w:id="129"/>
      <w:bookmarkEnd w:id="130"/>
    </w:p>
    <w:p w14:paraId="717E10E5">
      <w:pPr>
        <w:spacing w:line="360" w:lineRule="auto"/>
        <w:ind w:firstLine="480" w:firstLineChars="200"/>
        <w:rPr>
          <w:sz w:val="24"/>
        </w:rPr>
      </w:pPr>
      <w:r>
        <w:rPr>
          <w:sz w:val="24"/>
        </w:rPr>
        <w:t>根据项目区自然概况、社会经济状况，矿山建设规模、建设内容，参考类似矿山采矿闭矿后部署的工程技术措施，本方案对项目区内所有场地进行土地复垦，在矿区范围内砌筑排水沟以及对整个矿区影响活动范围部署相应的监测等措施，同时对方案部署的工程进行投资估算及综合效益分析，治理区内地形地貌景观、土地资源等必然得到恢复，也避免了一系列地质灾害的发生，使得当地社会、经济和生态环境明显改善；本方案部署的治理工程切合了矿区实际情况，工程实施难度不大，造价低，项目具备达到立项的各项要求。因此，实施本方案技术上是可行的。</w:t>
      </w:r>
    </w:p>
    <w:p w14:paraId="2F0DC73A">
      <w:pPr>
        <w:pStyle w:val="5"/>
        <w:spacing w:beforeLines="50" w:afterLines="50" w:line="360" w:lineRule="auto"/>
        <w:rPr>
          <w:b w:val="0"/>
          <w:sz w:val="28"/>
          <w:szCs w:val="28"/>
        </w:rPr>
      </w:pPr>
      <w:bookmarkStart w:id="131" w:name="_Toc43851666"/>
      <w:bookmarkStart w:id="132" w:name="_Toc480537433"/>
      <w:bookmarkStart w:id="133" w:name="_Toc481328199"/>
      <w:r>
        <w:rPr>
          <w:b w:val="0"/>
          <w:sz w:val="28"/>
          <w:szCs w:val="28"/>
        </w:rPr>
        <w:t>（二）经济可行性分析</w:t>
      </w:r>
      <w:bookmarkEnd w:id="131"/>
      <w:bookmarkEnd w:id="132"/>
      <w:bookmarkEnd w:id="133"/>
    </w:p>
    <w:p w14:paraId="14BCE165">
      <w:pPr>
        <w:spacing w:line="360" w:lineRule="auto"/>
        <w:ind w:firstLine="480" w:firstLineChars="200"/>
        <w:rPr>
          <w:sz w:val="24"/>
        </w:rPr>
      </w:pPr>
      <w:r>
        <w:rPr>
          <w:sz w:val="24"/>
        </w:rPr>
        <w:t>该矿山为小型露天开采私有企业，年生产能力3.0万吨。矿山地质环境治理与土地复垦费用较少，</w:t>
      </w:r>
      <w:r>
        <w:rPr>
          <w:sz w:val="24"/>
          <w:lang w:val="zh-CN"/>
        </w:rPr>
        <w:t>广元市利州区紫兰建材厂</w:t>
      </w:r>
      <w:r>
        <w:rPr>
          <w:sz w:val="24"/>
        </w:rPr>
        <w:t>已对缴存矿山地质环境保护与土地复垦保证金进行书面承诺，并按照四川省矿山地质环境保护与土地复垦保证金的缴存标准和缴存办法，足额缴存矿山地质环境治理恢复基金和土地复垦费。</w:t>
      </w:r>
    </w:p>
    <w:p w14:paraId="0186A4E6">
      <w:pPr>
        <w:spacing w:line="360" w:lineRule="auto"/>
        <w:ind w:firstLine="480" w:firstLineChars="200"/>
        <w:rPr>
          <w:sz w:val="24"/>
        </w:rPr>
      </w:pPr>
      <w:r>
        <w:rPr>
          <w:sz w:val="24"/>
        </w:rPr>
        <w:t>同时进行矿山地质环境保护与恢复治理所产的经济效益表现在两个方面：通过及时保护与恢复治理，可避免和建设矿山地质环境问题的产生，避免耗费大量的人力财力来解决历史遗留问题，经过整治，土地得以有效利用，减少了矿山开采对当地人民的损失，具有非常可观经济效益。因此，本矿山地质环境保护与土地复垦方案经济上可行。</w:t>
      </w:r>
    </w:p>
    <w:p w14:paraId="4FD77CFD">
      <w:pPr>
        <w:pStyle w:val="5"/>
        <w:spacing w:beforeLines="50" w:afterLines="50" w:line="360" w:lineRule="auto"/>
        <w:rPr>
          <w:b w:val="0"/>
          <w:sz w:val="28"/>
          <w:szCs w:val="28"/>
        </w:rPr>
      </w:pPr>
      <w:bookmarkStart w:id="134" w:name="_Toc481328200"/>
      <w:bookmarkStart w:id="135" w:name="_Toc43851667"/>
      <w:bookmarkStart w:id="136" w:name="_Toc480537434"/>
      <w:r>
        <w:rPr>
          <w:b w:val="0"/>
          <w:sz w:val="28"/>
          <w:szCs w:val="28"/>
        </w:rPr>
        <w:t>（三）生态环境协调性分析</w:t>
      </w:r>
      <w:bookmarkEnd w:id="134"/>
      <w:bookmarkEnd w:id="135"/>
      <w:bookmarkEnd w:id="136"/>
    </w:p>
    <w:p w14:paraId="04DD1C75">
      <w:pPr>
        <w:spacing w:line="360" w:lineRule="auto"/>
        <w:ind w:firstLine="480" w:firstLineChars="200"/>
        <w:rPr>
          <w:sz w:val="24"/>
          <w:lang w:val="zh-CN"/>
        </w:rPr>
      </w:pPr>
      <w:r>
        <w:rPr>
          <w:kern w:val="0"/>
          <w:sz w:val="24"/>
        </w:rPr>
        <w:t>矿区实施地质环境治理工程后消除了地灾灾害隐患，减少了地质环境问题，矿区植被面积有所增加，可有效的吸滞粉尘，净化空气，提高环境空气质量，还可防风固土，减少水土流失、减少土壤水份蒸发，改善土地利用状况。总之，通过矿区地质环境恢复治理和土地复垦工程，矿区的污染被减小，矿区和周边区域的生态环境得到改善和恢复，促进了整个矿区自然生态系统的融洽和协调，使得矿区生态环境形成了良性循环，为矿区和周边群众创造良好的生存环境。</w:t>
      </w:r>
    </w:p>
    <w:p w14:paraId="02EE11D9">
      <w:pPr>
        <w:keepNext/>
        <w:keepLines/>
        <w:adjustRightInd w:val="0"/>
        <w:spacing w:beforeLines="50" w:afterLines="50" w:line="360" w:lineRule="auto"/>
        <w:jc w:val="left"/>
        <w:textAlignment w:val="baseline"/>
        <w:outlineLvl w:val="0"/>
        <w:rPr>
          <w:kern w:val="0"/>
          <w:sz w:val="30"/>
          <w:szCs w:val="30"/>
        </w:rPr>
      </w:pPr>
      <w:bookmarkStart w:id="137" w:name="_Toc480537435"/>
      <w:bookmarkStart w:id="138" w:name="_Toc43851668"/>
      <w:bookmarkStart w:id="139" w:name="_Toc481328201"/>
      <w:r>
        <w:rPr>
          <w:kern w:val="0"/>
          <w:sz w:val="30"/>
          <w:szCs w:val="30"/>
        </w:rPr>
        <w:t>二、矿区土地复垦可行性分析</w:t>
      </w:r>
      <w:bookmarkEnd w:id="137"/>
      <w:bookmarkEnd w:id="138"/>
      <w:bookmarkEnd w:id="139"/>
    </w:p>
    <w:p w14:paraId="6DBE517D">
      <w:pPr>
        <w:pStyle w:val="5"/>
        <w:spacing w:beforeLines="50" w:afterLines="50" w:line="360" w:lineRule="auto"/>
        <w:rPr>
          <w:b w:val="0"/>
          <w:sz w:val="28"/>
          <w:szCs w:val="28"/>
        </w:rPr>
      </w:pPr>
      <w:bookmarkStart w:id="140" w:name="_Toc481328202"/>
      <w:bookmarkStart w:id="141" w:name="_Toc43851669"/>
      <w:r>
        <w:rPr>
          <w:b w:val="0"/>
          <w:sz w:val="28"/>
          <w:szCs w:val="28"/>
        </w:rPr>
        <w:t>（一）复垦区土地利用现状</w:t>
      </w:r>
      <w:bookmarkEnd w:id="140"/>
      <w:bookmarkEnd w:id="141"/>
    </w:p>
    <w:p w14:paraId="56CCB4F6">
      <w:pPr>
        <w:spacing w:line="360" w:lineRule="auto"/>
        <w:ind w:firstLine="482"/>
        <w:rPr>
          <w:sz w:val="24"/>
          <w:lang w:val="en-GB"/>
        </w:rPr>
      </w:pPr>
      <w:r>
        <w:rPr>
          <w:sz w:val="24"/>
          <w:lang w:val="en-GB"/>
        </w:rPr>
        <w:t>1、土地利用类型</w:t>
      </w:r>
    </w:p>
    <w:p w14:paraId="5EAF9C61">
      <w:pPr>
        <w:spacing w:line="360" w:lineRule="auto"/>
        <w:ind w:firstLine="480" w:firstLineChars="200"/>
        <w:rPr>
          <w:sz w:val="24"/>
        </w:rPr>
      </w:pPr>
      <w:r>
        <w:rPr>
          <w:sz w:val="24"/>
        </w:rPr>
        <w:t>根据广元市自然资源局提供的第二次土地利用现状调查成果和现场实际调查统计，整个项目涉及土地面积2.4148hm</w:t>
      </w:r>
      <w:r>
        <w:rPr>
          <w:sz w:val="24"/>
          <w:vertAlign w:val="superscript"/>
        </w:rPr>
        <w:t>2</w:t>
      </w:r>
      <w:r>
        <w:rPr>
          <w:sz w:val="24"/>
        </w:rPr>
        <w:t>，其具体土地利用类型及面积见表4-1。</w:t>
      </w:r>
    </w:p>
    <w:p w14:paraId="6CBBAD7E">
      <w:pPr>
        <w:jc w:val="center"/>
        <w:rPr>
          <w:rFonts w:eastAsiaTheme="minorEastAsia"/>
          <w:b/>
          <w:szCs w:val="21"/>
        </w:rPr>
      </w:pPr>
      <w:r>
        <w:rPr>
          <w:rFonts w:eastAsiaTheme="minorEastAsia"/>
          <w:b/>
          <w:szCs w:val="21"/>
        </w:rPr>
        <w:t>表4-1  复垦区土地利用现状表</w:t>
      </w:r>
    </w:p>
    <w:tbl>
      <w:tblPr>
        <w:tblStyle w:val="29"/>
        <w:tblW w:w="8620" w:type="dxa"/>
        <w:jc w:val="center"/>
        <w:tblLayout w:type="autofit"/>
        <w:tblCellMar>
          <w:top w:w="0" w:type="dxa"/>
          <w:left w:w="0" w:type="dxa"/>
          <w:bottom w:w="0" w:type="dxa"/>
          <w:right w:w="0" w:type="dxa"/>
        </w:tblCellMar>
      </w:tblPr>
      <w:tblGrid>
        <w:gridCol w:w="348"/>
        <w:gridCol w:w="1872"/>
        <w:gridCol w:w="464"/>
        <w:gridCol w:w="1736"/>
        <w:gridCol w:w="1300"/>
        <w:gridCol w:w="1720"/>
        <w:gridCol w:w="1180"/>
      </w:tblGrid>
      <w:tr w14:paraId="3C0D604D">
        <w:tblPrEx>
          <w:tblCellMar>
            <w:top w:w="0" w:type="dxa"/>
            <w:left w:w="0" w:type="dxa"/>
            <w:bottom w:w="0" w:type="dxa"/>
            <w:right w:w="0" w:type="dxa"/>
          </w:tblCellMar>
        </w:tblPrEx>
        <w:trPr>
          <w:trHeight w:val="300" w:hRule="atLeast"/>
          <w:jc w:val="center"/>
        </w:trPr>
        <w:tc>
          <w:tcPr>
            <w:tcW w:w="2220" w:type="dxa"/>
            <w:gridSpan w:val="2"/>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14:paraId="5DB90416">
            <w:pPr>
              <w:jc w:val="center"/>
              <w:rPr>
                <w:color w:val="000000"/>
                <w:szCs w:val="21"/>
              </w:rPr>
            </w:pPr>
            <w:r>
              <w:rPr>
                <w:color w:val="000000"/>
                <w:szCs w:val="21"/>
              </w:rPr>
              <w:t>一级地类</w:t>
            </w:r>
          </w:p>
        </w:tc>
        <w:tc>
          <w:tcPr>
            <w:tcW w:w="2200" w:type="dxa"/>
            <w:gridSpan w:val="2"/>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35ECBC89">
            <w:pPr>
              <w:jc w:val="center"/>
              <w:rPr>
                <w:color w:val="000000"/>
                <w:szCs w:val="21"/>
              </w:rPr>
            </w:pPr>
            <w:r>
              <w:rPr>
                <w:color w:val="000000"/>
                <w:szCs w:val="21"/>
              </w:rPr>
              <w:t>二级地类</w:t>
            </w:r>
          </w:p>
        </w:tc>
        <w:tc>
          <w:tcPr>
            <w:tcW w:w="1300" w:type="dxa"/>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77F61FFF">
            <w:pPr>
              <w:jc w:val="center"/>
              <w:rPr>
                <w:color w:val="000000"/>
                <w:szCs w:val="21"/>
              </w:rPr>
            </w:pPr>
            <w:r>
              <w:rPr>
                <w:color w:val="000000"/>
                <w:szCs w:val="21"/>
              </w:rPr>
              <w:t>面积(hm</w:t>
            </w:r>
            <w:r>
              <w:rPr>
                <w:color w:val="000000"/>
                <w:szCs w:val="21"/>
                <w:vertAlign w:val="superscript"/>
              </w:rPr>
              <w:t>2</w:t>
            </w:r>
            <w:r>
              <w:rPr>
                <w:color w:val="000000"/>
                <w:szCs w:val="21"/>
              </w:rPr>
              <w:t>)</w:t>
            </w:r>
          </w:p>
        </w:tc>
        <w:tc>
          <w:tcPr>
            <w:tcW w:w="1720" w:type="dxa"/>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3070157">
            <w:pPr>
              <w:jc w:val="center"/>
              <w:rPr>
                <w:color w:val="000000"/>
                <w:szCs w:val="21"/>
              </w:rPr>
            </w:pPr>
            <w:r>
              <w:rPr>
                <w:color w:val="000000"/>
                <w:szCs w:val="21"/>
              </w:rPr>
              <w:t>占总面积比例</w:t>
            </w:r>
          </w:p>
        </w:tc>
        <w:tc>
          <w:tcPr>
            <w:tcW w:w="1180" w:type="dxa"/>
            <w:tcBorders>
              <w:top w:val="single" w:color="auto" w:sz="4" w:space="0"/>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44845A27">
            <w:pPr>
              <w:jc w:val="center"/>
              <w:rPr>
                <w:color w:val="000000"/>
                <w:szCs w:val="21"/>
              </w:rPr>
            </w:pPr>
            <w:r>
              <w:rPr>
                <w:color w:val="000000"/>
                <w:szCs w:val="21"/>
              </w:rPr>
              <w:t>权属</w:t>
            </w:r>
          </w:p>
        </w:tc>
      </w:tr>
      <w:tr w14:paraId="43BAF9C4">
        <w:tblPrEx>
          <w:tblCellMar>
            <w:top w:w="0" w:type="dxa"/>
            <w:left w:w="0" w:type="dxa"/>
            <w:bottom w:w="0" w:type="dxa"/>
            <w:right w:w="0" w:type="dxa"/>
          </w:tblCellMar>
        </w:tblPrEx>
        <w:trPr>
          <w:trHeight w:val="345" w:hRule="atLeast"/>
          <w:jc w:val="center"/>
        </w:trPr>
        <w:tc>
          <w:tcPr>
            <w:tcW w:w="0" w:type="auto"/>
            <w:tcBorders>
              <w:top w:val="nil"/>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14:paraId="68979AD0">
            <w:pPr>
              <w:jc w:val="center"/>
              <w:rPr>
                <w:color w:val="000000"/>
                <w:szCs w:val="21"/>
              </w:rPr>
            </w:pPr>
            <w:r>
              <w:rPr>
                <w:color w:val="000000"/>
                <w:szCs w:val="21"/>
              </w:rPr>
              <w:t>01</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BCFC473">
            <w:pPr>
              <w:jc w:val="center"/>
              <w:rPr>
                <w:color w:val="000000"/>
                <w:szCs w:val="21"/>
              </w:rPr>
            </w:pPr>
            <w:r>
              <w:rPr>
                <w:color w:val="000000"/>
                <w:szCs w:val="21"/>
              </w:rPr>
              <w:t>耕地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B2EB5F5">
            <w:pPr>
              <w:jc w:val="center"/>
              <w:rPr>
                <w:color w:val="000000"/>
                <w:szCs w:val="21"/>
              </w:rPr>
            </w:pPr>
            <w:r>
              <w:rPr>
                <w:color w:val="000000"/>
                <w:szCs w:val="21"/>
              </w:rPr>
              <w:t>013</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66393A2">
            <w:pPr>
              <w:jc w:val="center"/>
              <w:rPr>
                <w:color w:val="000000"/>
                <w:szCs w:val="21"/>
              </w:rPr>
            </w:pPr>
            <w:r>
              <w:rPr>
                <w:color w:val="000000"/>
                <w:szCs w:val="21"/>
              </w:rPr>
              <w:t>旱地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69EF9B3D">
            <w:pPr>
              <w:jc w:val="center"/>
              <w:rPr>
                <w:color w:val="000000"/>
                <w:szCs w:val="21"/>
              </w:rPr>
            </w:pPr>
            <w:r>
              <w:rPr>
                <w:color w:val="000000"/>
                <w:szCs w:val="21"/>
              </w:rPr>
              <w:t>0.8593</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7C6FC7C">
            <w:pPr>
              <w:jc w:val="center"/>
              <w:rPr>
                <w:color w:val="000000"/>
                <w:szCs w:val="21"/>
              </w:rPr>
            </w:pPr>
            <w:r>
              <w:rPr>
                <w:color w:val="000000"/>
                <w:szCs w:val="21"/>
              </w:rPr>
              <w:t>35.58%</w:t>
            </w:r>
          </w:p>
        </w:tc>
        <w:tc>
          <w:tcPr>
            <w:tcW w:w="1180" w:type="dxa"/>
            <w:vMerge w:val="restart"/>
            <w:tcBorders>
              <w:top w:val="nil"/>
              <w:left w:val="single" w:color="auto" w:sz="4" w:space="0"/>
              <w:bottom w:val="single" w:color="auto" w:sz="4" w:space="0"/>
              <w:right w:val="single" w:color="auto" w:sz="4" w:space="0"/>
            </w:tcBorders>
            <w:shd w:val="clear" w:color="auto" w:fill="auto"/>
            <w:tcMar>
              <w:top w:w="15" w:type="dxa"/>
              <w:left w:w="15" w:type="dxa"/>
              <w:bottom w:w="0" w:type="dxa"/>
              <w:right w:w="15" w:type="dxa"/>
            </w:tcMar>
            <w:vAlign w:val="center"/>
          </w:tcPr>
          <w:p w14:paraId="02DDAE10">
            <w:pPr>
              <w:jc w:val="center"/>
              <w:rPr>
                <w:color w:val="000000"/>
                <w:szCs w:val="21"/>
              </w:rPr>
            </w:pPr>
            <w:r>
              <w:rPr>
                <w:color w:val="000000"/>
                <w:szCs w:val="21"/>
              </w:rPr>
              <w:t>利州区宝轮镇社区</w:t>
            </w:r>
          </w:p>
        </w:tc>
      </w:tr>
      <w:tr w14:paraId="4304DD0F">
        <w:tblPrEx>
          <w:tblCellMar>
            <w:top w:w="0" w:type="dxa"/>
            <w:left w:w="0" w:type="dxa"/>
            <w:bottom w:w="0" w:type="dxa"/>
            <w:right w:w="0" w:type="dxa"/>
          </w:tblCellMar>
        </w:tblPrEx>
        <w:trPr>
          <w:trHeight w:val="345" w:hRule="atLeast"/>
          <w:jc w:val="center"/>
        </w:trPr>
        <w:tc>
          <w:tcPr>
            <w:tcW w:w="0" w:type="auto"/>
            <w:vMerge w:val="restart"/>
            <w:tcBorders>
              <w:top w:val="nil"/>
              <w:left w:val="single" w:color="auto" w:sz="4" w:space="0"/>
              <w:bottom w:val="single" w:color="000000" w:sz="4" w:space="0"/>
              <w:right w:val="single" w:color="auto" w:sz="4" w:space="0"/>
            </w:tcBorders>
            <w:shd w:val="clear" w:color="auto" w:fill="auto"/>
            <w:noWrap/>
            <w:tcMar>
              <w:top w:w="15" w:type="dxa"/>
              <w:left w:w="15" w:type="dxa"/>
              <w:bottom w:w="0" w:type="dxa"/>
              <w:right w:w="15" w:type="dxa"/>
            </w:tcMar>
            <w:vAlign w:val="center"/>
          </w:tcPr>
          <w:p w14:paraId="43D8F1F6">
            <w:pPr>
              <w:jc w:val="center"/>
              <w:rPr>
                <w:color w:val="000000"/>
                <w:szCs w:val="21"/>
              </w:rPr>
            </w:pPr>
            <w:r>
              <w:rPr>
                <w:color w:val="000000"/>
                <w:szCs w:val="21"/>
              </w:rPr>
              <w:t>03</w:t>
            </w:r>
          </w:p>
        </w:tc>
        <w:tc>
          <w:tcPr>
            <w:tcW w:w="0" w:type="auto"/>
            <w:vMerge w:val="restart"/>
            <w:tcBorders>
              <w:top w:val="nil"/>
              <w:left w:val="single" w:color="auto" w:sz="4" w:space="0"/>
              <w:bottom w:val="single" w:color="000000" w:sz="4" w:space="0"/>
              <w:right w:val="single" w:color="auto" w:sz="4" w:space="0"/>
            </w:tcBorders>
            <w:shd w:val="clear" w:color="auto" w:fill="auto"/>
            <w:noWrap/>
            <w:tcMar>
              <w:top w:w="15" w:type="dxa"/>
              <w:left w:w="15" w:type="dxa"/>
              <w:bottom w:w="0" w:type="dxa"/>
              <w:right w:w="15" w:type="dxa"/>
            </w:tcMar>
            <w:vAlign w:val="center"/>
          </w:tcPr>
          <w:p w14:paraId="03377449">
            <w:pPr>
              <w:jc w:val="center"/>
              <w:rPr>
                <w:color w:val="000000"/>
                <w:szCs w:val="21"/>
              </w:rPr>
            </w:pPr>
            <w:r>
              <w:rPr>
                <w:color w:val="000000"/>
                <w:szCs w:val="21"/>
              </w:rPr>
              <w:t>林地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46AE436">
            <w:pPr>
              <w:jc w:val="center"/>
              <w:rPr>
                <w:color w:val="000000"/>
                <w:szCs w:val="21"/>
              </w:rPr>
            </w:pPr>
            <w:r>
              <w:rPr>
                <w:color w:val="000000"/>
                <w:szCs w:val="21"/>
              </w:rPr>
              <w:t>031</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5D7E9D36">
            <w:pPr>
              <w:jc w:val="center"/>
              <w:rPr>
                <w:color w:val="000000"/>
                <w:szCs w:val="21"/>
              </w:rPr>
            </w:pPr>
            <w:r>
              <w:rPr>
                <w:color w:val="000000"/>
                <w:szCs w:val="21"/>
              </w:rPr>
              <w:t>有林地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09EAA200">
            <w:pPr>
              <w:jc w:val="center"/>
              <w:rPr>
                <w:color w:val="000000"/>
                <w:szCs w:val="21"/>
              </w:rPr>
            </w:pPr>
            <w:r>
              <w:rPr>
                <w:color w:val="000000"/>
                <w:szCs w:val="21"/>
              </w:rPr>
              <w:t>0.0999</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F17B37D">
            <w:pPr>
              <w:jc w:val="center"/>
              <w:rPr>
                <w:color w:val="000000"/>
                <w:szCs w:val="21"/>
              </w:rPr>
            </w:pPr>
            <w:r>
              <w:rPr>
                <w:color w:val="000000"/>
                <w:szCs w:val="21"/>
              </w:rPr>
              <w:t>4.14%</w:t>
            </w:r>
          </w:p>
        </w:tc>
        <w:tc>
          <w:tcPr>
            <w:tcW w:w="0" w:type="auto"/>
            <w:vMerge w:val="continue"/>
            <w:tcBorders>
              <w:top w:val="nil"/>
              <w:left w:val="single" w:color="auto" w:sz="4" w:space="0"/>
              <w:bottom w:val="single" w:color="auto" w:sz="4" w:space="0"/>
              <w:right w:val="single" w:color="auto" w:sz="4" w:space="0"/>
            </w:tcBorders>
            <w:vAlign w:val="center"/>
          </w:tcPr>
          <w:p w14:paraId="3EE0DDD0">
            <w:pPr>
              <w:rPr>
                <w:color w:val="000000"/>
                <w:szCs w:val="21"/>
              </w:rPr>
            </w:pPr>
          </w:p>
        </w:tc>
      </w:tr>
      <w:tr w14:paraId="3853FEE7">
        <w:tblPrEx>
          <w:tblCellMar>
            <w:top w:w="0" w:type="dxa"/>
            <w:left w:w="0" w:type="dxa"/>
            <w:bottom w:w="0" w:type="dxa"/>
            <w:right w:w="0" w:type="dxa"/>
          </w:tblCellMar>
        </w:tblPrEx>
        <w:trPr>
          <w:trHeight w:val="345" w:hRule="atLeast"/>
          <w:jc w:val="center"/>
        </w:trPr>
        <w:tc>
          <w:tcPr>
            <w:tcW w:w="0" w:type="auto"/>
            <w:vMerge w:val="continue"/>
            <w:tcBorders>
              <w:top w:val="nil"/>
              <w:left w:val="single" w:color="auto" w:sz="4" w:space="0"/>
              <w:bottom w:val="single" w:color="000000" w:sz="4" w:space="0"/>
              <w:right w:val="single" w:color="auto" w:sz="4" w:space="0"/>
            </w:tcBorders>
            <w:vAlign w:val="center"/>
          </w:tcPr>
          <w:p w14:paraId="77B582A8">
            <w:pPr>
              <w:rPr>
                <w:color w:val="000000"/>
                <w:szCs w:val="21"/>
              </w:rPr>
            </w:pPr>
          </w:p>
        </w:tc>
        <w:tc>
          <w:tcPr>
            <w:tcW w:w="0" w:type="auto"/>
            <w:vMerge w:val="continue"/>
            <w:tcBorders>
              <w:top w:val="nil"/>
              <w:left w:val="single" w:color="auto" w:sz="4" w:space="0"/>
              <w:bottom w:val="single" w:color="000000" w:sz="4" w:space="0"/>
              <w:right w:val="single" w:color="auto" w:sz="4" w:space="0"/>
            </w:tcBorders>
            <w:vAlign w:val="center"/>
          </w:tcPr>
          <w:p w14:paraId="5AC149D9">
            <w:pPr>
              <w:rPr>
                <w:color w:val="000000"/>
                <w:szCs w:val="21"/>
              </w:rPr>
            </w:pP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5F986730">
            <w:pPr>
              <w:jc w:val="center"/>
              <w:rPr>
                <w:color w:val="000000"/>
                <w:szCs w:val="21"/>
              </w:rPr>
            </w:pPr>
            <w:r>
              <w:rPr>
                <w:color w:val="000000"/>
                <w:szCs w:val="21"/>
              </w:rPr>
              <w:t>033</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43E2E4E2">
            <w:pPr>
              <w:jc w:val="center"/>
              <w:rPr>
                <w:color w:val="000000"/>
                <w:szCs w:val="21"/>
              </w:rPr>
            </w:pPr>
            <w:r>
              <w:rPr>
                <w:color w:val="000000"/>
                <w:szCs w:val="21"/>
              </w:rPr>
              <w:t>其他林地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732ED772">
            <w:pPr>
              <w:jc w:val="center"/>
              <w:rPr>
                <w:color w:val="000000"/>
                <w:szCs w:val="21"/>
              </w:rPr>
            </w:pPr>
            <w:r>
              <w:rPr>
                <w:color w:val="000000"/>
                <w:szCs w:val="21"/>
              </w:rPr>
              <w:t>0.3962</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4720A3C0">
            <w:pPr>
              <w:jc w:val="center"/>
              <w:rPr>
                <w:color w:val="000000"/>
                <w:szCs w:val="21"/>
              </w:rPr>
            </w:pPr>
            <w:r>
              <w:rPr>
                <w:color w:val="000000"/>
                <w:szCs w:val="21"/>
              </w:rPr>
              <w:t>16.41%</w:t>
            </w:r>
          </w:p>
        </w:tc>
        <w:tc>
          <w:tcPr>
            <w:tcW w:w="0" w:type="auto"/>
            <w:vMerge w:val="continue"/>
            <w:tcBorders>
              <w:top w:val="nil"/>
              <w:left w:val="single" w:color="auto" w:sz="4" w:space="0"/>
              <w:bottom w:val="single" w:color="auto" w:sz="4" w:space="0"/>
              <w:right w:val="single" w:color="auto" w:sz="4" w:space="0"/>
            </w:tcBorders>
            <w:vAlign w:val="center"/>
          </w:tcPr>
          <w:p w14:paraId="44CD3C96">
            <w:pPr>
              <w:rPr>
                <w:color w:val="000000"/>
                <w:szCs w:val="21"/>
              </w:rPr>
            </w:pPr>
          </w:p>
        </w:tc>
      </w:tr>
      <w:tr w14:paraId="6A648099">
        <w:tblPrEx>
          <w:tblCellMar>
            <w:top w:w="0" w:type="dxa"/>
            <w:left w:w="0" w:type="dxa"/>
            <w:bottom w:w="0" w:type="dxa"/>
            <w:right w:w="0" w:type="dxa"/>
          </w:tblCellMar>
        </w:tblPrEx>
        <w:trPr>
          <w:trHeight w:val="345" w:hRule="atLeast"/>
          <w:jc w:val="center"/>
        </w:trPr>
        <w:tc>
          <w:tcPr>
            <w:tcW w:w="0" w:type="auto"/>
            <w:tcBorders>
              <w:top w:val="nil"/>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14:paraId="1E2BAA3C">
            <w:pPr>
              <w:jc w:val="center"/>
              <w:rPr>
                <w:color w:val="000000"/>
                <w:szCs w:val="21"/>
              </w:rPr>
            </w:pPr>
            <w:r>
              <w:rPr>
                <w:color w:val="000000"/>
                <w:szCs w:val="21"/>
              </w:rPr>
              <w:t>06</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BE1F52C">
            <w:pPr>
              <w:jc w:val="center"/>
              <w:rPr>
                <w:color w:val="000000"/>
                <w:szCs w:val="21"/>
              </w:rPr>
            </w:pPr>
            <w:r>
              <w:rPr>
                <w:color w:val="000000"/>
                <w:szCs w:val="21"/>
              </w:rPr>
              <w:t>工矿仓储用地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9E38774">
            <w:pPr>
              <w:jc w:val="center"/>
              <w:rPr>
                <w:color w:val="000000"/>
                <w:szCs w:val="21"/>
              </w:rPr>
            </w:pPr>
            <w:r>
              <w:rPr>
                <w:color w:val="000000"/>
                <w:szCs w:val="21"/>
              </w:rPr>
              <w:t>062</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4A6BE3DF">
            <w:pPr>
              <w:jc w:val="center"/>
              <w:rPr>
                <w:color w:val="000000"/>
                <w:szCs w:val="21"/>
              </w:rPr>
            </w:pPr>
            <w:r>
              <w:rPr>
                <w:color w:val="000000"/>
                <w:szCs w:val="21"/>
              </w:rPr>
              <w:t>采矿用地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9462FE6">
            <w:pPr>
              <w:jc w:val="center"/>
              <w:rPr>
                <w:color w:val="000000"/>
                <w:szCs w:val="21"/>
              </w:rPr>
            </w:pPr>
            <w:r>
              <w:rPr>
                <w:color w:val="000000"/>
                <w:szCs w:val="21"/>
              </w:rPr>
              <w:t>0.7997</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074FC4FA">
            <w:pPr>
              <w:jc w:val="center"/>
              <w:rPr>
                <w:color w:val="000000"/>
                <w:szCs w:val="21"/>
              </w:rPr>
            </w:pPr>
            <w:r>
              <w:rPr>
                <w:color w:val="000000"/>
                <w:szCs w:val="21"/>
              </w:rPr>
              <w:t>33.12%</w:t>
            </w:r>
          </w:p>
        </w:tc>
        <w:tc>
          <w:tcPr>
            <w:tcW w:w="0" w:type="auto"/>
            <w:vMerge w:val="continue"/>
            <w:tcBorders>
              <w:top w:val="nil"/>
              <w:left w:val="single" w:color="auto" w:sz="4" w:space="0"/>
              <w:bottom w:val="single" w:color="auto" w:sz="4" w:space="0"/>
              <w:right w:val="single" w:color="auto" w:sz="4" w:space="0"/>
            </w:tcBorders>
            <w:vAlign w:val="center"/>
          </w:tcPr>
          <w:p w14:paraId="45BA70A0">
            <w:pPr>
              <w:rPr>
                <w:color w:val="000000"/>
                <w:szCs w:val="21"/>
              </w:rPr>
            </w:pPr>
          </w:p>
        </w:tc>
      </w:tr>
      <w:tr w14:paraId="01411CCD">
        <w:tblPrEx>
          <w:tblCellMar>
            <w:top w:w="0" w:type="dxa"/>
            <w:left w:w="0" w:type="dxa"/>
            <w:bottom w:w="0" w:type="dxa"/>
            <w:right w:w="0" w:type="dxa"/>
          </w:tblCellMar>
        </w:tblPrEx>
        <w:trPr>
          <w:trHeight w:val="345" w:hRule="atLeast"/>
          <w:jc w:val="center"/>
        </w:trPr>
        <w:tc>
          <w:tcPr>
            <w:tcW w:w="0" w:type="auto"/>
            <w:tcBorders>
              <w:top w:val="nil"/>
              <w:left w:val="single" w:color="auto" w:sz="4" w:space="0"/>
              <w:bottom w:val="nil"/>
              <w:right w:val="single" w:color="auto" w:sz="4" w:space="0"/>
            </w:tcBorders>
            <w:shd w:val="clear" w:color="auto" w:fill="auto"/>
            <w:noWrap/>
            <w:tcMar>
              <w:top w:w="15" w:type="dxa"/>
              <w:left w:w="15" w:type="dxa"/>
              <w:bottom w:w="0" w:type="dxa"/>
              <w:right w:w="15" w:type="dxa"/>
            </w:tcMar>
            <w:vAlign w:val="center"/>
          </w:tcPr>
          <w:p w14:paraId="65531E62">
            <w:pPr>
              <w:jc w:val="center"/>
              <w:rPr>
                <w:color w:val="000000"/>
                <w:szCs w:val="21"/>
              </w:rPr>
            </w:pPr>
            <w:r>
              <w:rPr>
                <w:color w:val="000000"/>
                <w:szCs w:val="21"/>
              </w:rPr>
              <w:t>07</w:t>
            </w:r>
          </w:p>
        </w:tc>
        <w:tc>
          <w:tcPr>
            <w:tcW w:w="0" w:type="auto"/>
            <w:tcBorders>
              <w:top w:val="nil"/>
              <w:left w:val="nil"/>
              <w:bottom w:val="nil"/>
              <w:right w:val="single" w:color="auto" w:sz="4" w:space="0"/>
            </w:tcBorders>
            <w:shd w:val="clear" w:color="auto" w:fill="auto"/>
            <w:noWrap/>
            <w:tcMar>
              <w:top w:w="15" w:type="dxa"/>
              <w:left w:w="15" w:type="dxa"/>
              <w:bottom w:w="0" w:type="dxa"/>
              <w:right w:w="15" w:type="dxa"/>
            </w:tcMar>
            <w:vAlign w:val="center"/>
          </w:tcPr>
          <w:p w14:paraId="6C41BE66">
            <w:pPr>
              <w:jc w:val="center"/>
              <w:rPr>
                <w:color w:val="000000"/>
                <w:szCs w:val="21"/>
              </w:rPr>
            </w:pPr>
            <w:r>
              <w:rPr>
                <w:color w:val="000000"/>
                <w:szCs w:val="21"/>
              </w:rPr>
              <w:t>住宅用地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637D7ED3">
            <w:pPr>
              <w:jc w:val="center"/>
              <w:rPr>
                <w:color w:val="000000"/>
                <w:szCs w:val="21"/>
              </w:rPr>
            </w:pPr>
            <w:r>
              <w:rPr>
                <w:color w:val="000000"/>
                <w:szCs w:val="21"/>
              </w:rPr>
              <w:t>071</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391483ED">
            <w:pPr>
              <w:jc w:val="center"/>
              <w:rPr>
                <w:color w:val="000000"/>
                <w:szCs w:val="21"/>
              </w:rPr>
            </w:pPr>
            <w:r>
              <w:rPr>
                <w:color w:val="000000"/>
                <w:szCs w:val="21"/>
              </w:rPr>
              <w:t>城镇住宅用地</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5ED28EA5">
            <w:pPr>
              <w:jc w:val="center"/>
              <w:rPr>
                <w:color w:val="000000"/>
                <w:szCs w:val="21"/>
              </w:rPr>
            </w:pPr>
            <w:r>
              <w:rPr>
                <w:color w:val="000000"/>
                <w:szCs w:val="21"/>
              </w:rPr>
              <w:t>0.2597</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01EFA79C">
            <w:pPr>
              <w:jc w:val="center"/>
              <w:rPr>
                <w:color w:val="000000"/>
                <w:szCs w:val="21"/>
              </w:rPr>
            </w:pPr>
            <w:r>
              <w:rPr>
                <w:color w:val="000000"/>
                <w:szCs w:val="21"/>
              </w:rPr>
              <w:t>10.75%</w:t>
            </w:r>
          </w:p>
        </w:tc>
        <w:tc>
          <w:tcPr>
            <w:tcW w:w="0" w:type="auto"/>
            <w:vMerge w:val="continue"/>
            <w:tcBorders>
              <w:top w:val="nil"/>
              <w:left w:val="single" w:color="auto" w:sz="4" w:space="0"/>
              <w:bottom w:val="single" w:color="auto" w:sz="4" w:space="0"/>
              <w:right w:val="single" w:color="auto" w:sz="4" w:space="0"/>
            </w:tcBorders>
            <w:vAlign w:val="center"/>
          </w:tcPr>
          <w:p w14:paraId="1FFF07BF">
            <w:pPr>
              <w:rPr>
                <w:color w:val="000000"/>
                <w:szCs w:val="21"/>
              </w:rPr>
            </w:pPr>
          </w:p>
        </w:tc>
      </w:tr>
      <w:tr w14:paraId="058F52DA">
        <w:tblPrEx>
          <w:tblCellMar>
            <w:top w:w="0" w:type="dxa"/>
            <w:left w:w="0" w:type="dxa"/>
            <w:bottom w:w="0" w:type="dxa"/>
            <w:right w:w="0" w:type="dxa"/>
          </w:tblCellMar>
        </w:tblPrEx>
        <w:trPr>
          <w:trHeight w:val="345" w:hRule="atLeast"/>
          <w:jc w:val="center"/>
        </w:trPr>
        <w:tc>
          <w:tcPr>
            <w:tcW w:w="0" w:type="auto"/>
            <w:gridSpan w:val="4"/>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14:paraId="09E48EA6">
            <w:pPr>
              <w:jc w:val="center"/>
              <w:rPr>
                <w:color w:val="000000"/>
                <w:szCs w:val="21"/>
              </w:rPr>
            </w:pPr>
            <w:r>
              <w:rPr>
                <w:color w:val="000000"/>
                <w:szCs w:val="21"/>
              </w:rPr>
              <w:t>合计</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2B07D3D">
            <w:pPr>
              <w:jc w:val="center"/>
              <w:rPr>
                <w:color w:val="000000"/>
                <w:szCs w:val="21"/>
              </w:rPr>
            </w:pPr>
            <w:r>
              <w:rPr>
                <w:color w:val="000000"/>
                <w:szCs w:val="21"/>
              </w:rPr>
              <w:t>2.4148</w:t>
            </w:r>
          </w:p>
        </w:tc>
        <w:tc>
          <w:tcPr>
            <w:tcW w:w="0" w:type="auto"/>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14:paraId="2EC3E4ED">
            <w:pPr>
              <w:jc w:val="center"/>
              <w:rPr>
                <w:color w:val="000000"/>
                <w:szCs w:val="21"/>
              </w:rPr>
            </w:pPr>
            <w:r>
              <w:rPr>
                <w:color w:val="000000"/>
                <w:szCs w:val="21"/>
              </w:rPr>
              <w:t>100.00%</w:t>
            </w:r>
          </w:p>
        </w:tc>
        <w:tc>
          <w:tcPr>
            <w:tcW w:w="0" w:type="auto"/>
            <w:vMerge w:val="continue"/>
            <w:tcBorders>
              <w:top w:val="nil"/>
              <w:left w:val="single" w:color="auto" w:sz="4" w:space="0"/>
              <w:bottom w:val="single" w:color="auto" w:sz="4" w:space="0"/>
              <w:right w:val="single" w:color="auto" w:sz="4" w:space="0"/>
            </w:tcBorders>
            <w:vAlign w:val="center"/>
          </w:tcPr>
          <w:p w14:paraId="7AB12A69">
            <w:pPr>
              <w:rPr>
                <w:color w:val="000000"/>
                <w:szCs w:val="21"/>
              </w:rPr>
            </w:pPr>
          </w:p>
        </w:tc>
      </w:tr>
    </w:tbl>
    <w:p w14:paraId="3AC1DAD7">
      <w:pPr>
        <w:spacing w:line="360" w:lineRule="auto"/>
        <w:ind w:firstLine="482"/>
        <w:rPr>
          <w:sz w:val="24"/>
          <w:lang w:val="en-GB"/>
        </w:rPr>
      </w:pPr>
      <w:r>
        <w:rPr>
          <w:sz w:val="24"/>
          <w:lang w:val="en-GB"/>
        </w:rPr>
        <w:t>2、土地权属状况</w:t>
      </w:r>
    </w:p>
    <w:p w14:paraId="7721FD78">
      <w:pPr>
        <w:spacing w:line="360" w:lineRule="auto"/>
        <w:ind w:firstLine="480" w:firstLineChars="200"/>
        <w:jc w:val="left"/>
        <w:rPr>
          <w:sz w:val="24"/>
        </w:rPr>
      </w:pPr>
      <w:r>
        <w:rPr>
          <w:sz w:val="24"/>
        </w:rPr>
        <w:t>复垦土地权属为利州区宝轮镇社区所有。根据企业用地计划，复垦区内土地将全部使用。在复垦后，将租用土地移交给原土地权属人。</w:t>
      </w:r>
    </w:p>
    <w:p w14:paraId="6832A5D6">
      <w:pPr>
        <w:pStyle w:val="5"/>
        <w:spacing w:beforeLines="50" w:afterLines="50" w:line="360" w:lineRule="auto"/>
        <w:rPr>
          <w:b w:val="0"/>
          <w:sz w:val="28"/>
          <w:szCs w:val="28"/>
        </w:rPr>
      </w:pPr>
      <w:bookmarkStart w:id="142" w:name="_Toc43851670"/>
      <w:bookmarkStart w:id="143" w:name="_Toc481328203"/>
      <w:r>
        <w:rPr>
          <w:b w:val="0"/>
          <w:sz w:val="28"/>
          <w:szCs w:val="28"/>
        </w:rPr>
        <w:t>（二）土地复垦适宜性评价</w:t>
      </w:r>
      <w:bookmarkEnd w:id="142"/>
      <w:bookmarkEnd w:id="143"/>
    </w:p>
    <w:p w14:paraId="44D36408">
      <w:pPr>
        <w:spacing w:line="360" w:lineRule="auto"/>
        <w:ind w:firstLine="480" w:firstLineChars="200"/>
        <w:jc w:val="left"/>
        <w:rPr>
          <w:sz w:val="24"/>
        </w:rPr>
      </w:pPr>
      <w:r>
        <w:rPr>
          <w:sz w:val="24"/>
        </w:rPr>
        <w:t>项目待复垦土地的适宜性评价，是在对复垦区土地总体质量调查与拟损毁土地进行科学分析与预测的基础上，评价待复垦土地对于特定利用类型的适宜性，从而确定其合理的利用方式，为采取相应的复垦措施提供科学依据。</w:t>
      </w:r>
    </w:p>
    <w:p w14:paraId="26A56857">
      <w:pPr>
        <w:spacing w:line="360" w:lineRule="auto"/>
        <w:ind w:firstLine="480" w:firstLineChars="200"/>
        <w:jc w:val="left"/>
        <w:rPr>
          <w:sz w:val="24"/>
        </w:rPr>
      </w:pPr>
      <w:r>
        <w:rPr>
          <w:sz w:val="24"/>
        </w:rPr>
        <w:t>1、土地复垦适宜性评价的原则和依据</w:t>
      </w:r>
    </w:p>
    <w:p w14:paraId="0374C763">
      <w:pPr>
        <w:spacing w:line="360" w:lineRule="auto"/>
        <w:ind w:firstLine="480" w:firstLineChars="200"/>
        <w:jc w:val="left"/>
        <w:rPr>
          <w:sz w:val="24"/>
        </w:rPr>
      </w:pPr>
      <w:r>
        <w:rPr>
          <w:sz w:val="24"/>
        </w:rPr>
        <w:t>1）评价原则</w:t>
      </w:r>
    </w:p>
    <w:p w14:paraId="76703DD2">
      <w:pPr>
        <w:spacing w:line="360" w:lineRule="auto"/>
        <w:ind w:firstLine="480" w:firstLineChars="200"/>
        <w:jc w:val="left"/>
        <w:rPr>
          <w:sz w:val="24"/>
        </w:rPr>
      </w:pPr>
      <w:r>
        <w:rPr>
          <w:sz w:val="24"/>
        </w:rPr>
        <w:t>a.符合土地利用总体规划，并与其他规划相协调的原则</w:t>
      </w:r>
    </w:p>
    <w:p w14:paraId="366AF745">
      <w:pPr>
        <w:spacing w:line="360" w:lineRule="auto"/>
        <w:ind w:firstLine="480" w:firstLineChars="200"/>
        <w:jc w:val="left"/>
        <w:rPr>
          <w:sz w:val="24"/>
        </w:rPr>
      </w:pPr>
      <w:r>
        <w:rPr>
          <w:sz w:val="24"/>
        </w:rPr>
        <w:t>在确定待复垦土地的适宜性时，不仅要考虑被评价土地的自然条件和损毁状况，还应考虑区域性的土地利用总体规划和农牧业规划，统筹考虑本地区的社会经济和矿区的生产建设发展，避免盲目投资、过度超前浪费土地资源。</w:t>
      </w:r>
    </w:p>
    <w:p w14:paraId="4A9E4B29">
      <w:pPr>
        <w:spacing w:line="360" w:lineRule="auto"/>
        <w:ind w:firstLine="480" w:firstLineChars="200"/>
        <w:jc w:val="left"/>
        <w:rPr>
          <w:sz w:val="24"/>
        </w:rPr>
      </w:pPr>
      <w:r>
        <w:rPr>
          <w:sz w:val="24"/>
        </w:rPr>
        <w:t>b.因地制宜，农用地优先的原则</w:t>
      </w:r>
    </w:p>
    <w:p w14:paraId="438A03CD">
      <w:pPr>
        <w:spacing w:line="360" w:lineRule="auto"/>
        <w:ind w:firstLine="480" w:firstLineChars="200"/>
        <w:jc w:val="left"/>
        <w:rPr>
          <w:sz w:val="24"/>
        </w:rPr>
      </w:pPr>
      <w:r>
        <w:rPr>
          <w:sz w:val="24"/>
        </w:rPr>
        <w:t>土地利用受周围环境条件制约，土地利用方式必须有与环境特征相适应的配套设施。根据被损毁前后土地拥有的基础设施，因地制宜，扬长避短，发挥优势，确定合理的利用方向。复垦后的土地，根据土地利用总体规划和生态建设规划，尊重权利人意愿的基础上，宜农则农、宜林则林，宜牧则牧、宜渔则渔。</w:t>
      </w:r>
    </w:p>
    <w:p w14:paraId="2A6EDF8E">
      <w:pPr>
        <w:spacing w:line="360" w:lineRule="auto"/>
        <w:ind w:firstLine="480" w:firstLineChars="200"/>
        <w:jc w:val="left"/>
        <w:rPr>
          <w:sz w:val="24"/>
        </w:rPr>
      </w:pPr>
      <w:r>
        <w:rPr>
          <w:sz w:val="24"/>
        </w:rPr>
        <w:t>c.自然因素和社会经济因素相结合原则</w:t>
      </w:r>
    </w:p>
    <w:p w14:paraId="20748C2C">
      <w:pPr>
        <w:spacing w:line="360" w:lineRule="auto"/>
        <w:ind w:firstLine="480" w:firstLineChars="200"/>
        <w:jc w:val="left"/>
        <w:rPr>
          <w:sz w:val="24"/>
        </w:rPr>
      </w:pPr>
      <w:r>
        <w:rPr>
          <w:sz w:val="24"/>
        </w:rPr>
        <w:t>对于复垦区被损毁土地复垦适宜性评价，既要考虑它的自然属性（如土壤、气候、地貌、损毁程度等），又要考虑它的社会属性（如业主意愿、社会需求和资金来源等），二者相结合确定复垦利用方向。</w:t>
      </w:r>
    </w:p>
    <w:p w14:paraId="6644DA6F">
      <w:pPr>
        <w:spacing w:line="360" w:lineRule="auto"/>
        <w:ind w:firstLine="480" w:firstLineChars="200"/>
        <w:jc w:val="left"/>
        <w:rPr>
          <w:sz w:val="24"/>
        </w:rPr>
      </w:pPr>
      <w:r>
        <w:rPr>
          <w:sz w:val="24"/>
        </w:rPr>
        <w:t>d.主导限制因素与综合平衡原则</w:t>
      </w:r>
    </w:p>
    <w:p w14:paraId="47804B10">
      <w:pPr>
        <w:spacing w:line="360" w:lineRule="auto"/>
        <w:ind w:firstLine="480" w:firstLineChars="200"/>
        <w:jc w:val="left"/>
        <w:rPr>
          <w:sz w:val="24"/>
        </w:rPr>
      </w:pPr>
      <w:r>
        <w:rPr>
          <w:sz w:val="24"/>
        </w:rPr>
        <w:t>影响损毁土地复垦利用的因素很多，如土源、坡度、土壤肥力以及排灌条件等。根据项目区自然环境、土地利用和土地损毁情况，分析影响损毁土地复垦利用的主导性限制因素，同时也应兼顾其他限制因素。</w:t>
      </w:r>
    </w:p>
    <w:p w14:paraId="6F056385">
      <w:pPr>
        <w:spacing w:line="360" w:lineRule="auto"/>
        <w:ind w:firstLine="480" w:firstLineChars="200"/>
        <w:jc w:val="left"/>
        <w:rPr>
          <w:sz w:val="24"/>
        </w:rPr>
      </w:pPr>
      <w:r>
        <w:rPr>
          <w:sz w:val="24"/>
        </w:rPr>
        <w:t>e.综合效益最佳原则</w:t>
      </w:r>
    </w:p>
    <w:p w14:paraId="5FCC15EB">
      <w:pPr>
        <w:spacing w:line="360" w:lineRule="auto"/>
        <w:ind w:firstLine="480" w:firstLineChars="200"/>
        <w:jc w:val="left"/>
        <w:rPr>
          <w:sz w:val="24"/>
        </w:rPr>
      </w:pPr>
      <w:r>
        <w:rPr>
          <w:sz w:val="24"/>
        </w:rPr>
        <w:t>在确定土地的复垦方向是，应首先考虑其最佳综合效益，选择最佳的利用方向，根据土地状况是否适宜复垦为某种用途的土地，或以最小的费用投入取得最佳的经济、社会和生态环境效益，同时应注意发挥整体效益。</w:t>
      </w:r>
    </w:p>
    <w:p w14:paraId="5468D564">
      <w:pPr>
        <w:spacing w:line="360" w:lineRule="auto"/>
        <w:ind w:firstLine="480" w:firstLineChars="200"/>
        <w:jc w:val="left"/>
        <w:rPr>
          <w:sz w:val="24"/>
        </w:rPr>
      </w:pPr>
      <w:r>
        <w:rPr>
          <w:sz w:val="24"/>
        </w:rPr>
        <w:t>f.动态和土地可持续利用原则</w:t>
      </w:r>
    </w:p>
    <w:p w14:paraId="125E289E">
      <w:pPr>
        <w:spacing w:line="360" w:lineRule="auto"/>
        <w:ind w:firstLine="480" w:firstLineChars="200"/>
        <w:jc w:val="left"/>
        <w:rPr>
          <w:sz w:val="24"/>
        </w:rPr>
      </w:pPr>
      <w:r>
        <w:rPr>
          <w:sz w:val="24"/>
        </w:rPr>
        <w:t>复垦土地损毁是一个动态过程，复垦土地的适宜性也随损毁等级与过程而变化，具有动态性，在进行复垦土地的适宜性评价时，应考虑矿区工农业发展的前景、科技进步以及生产和生活水平所带来的社会需求方面的变化，确定复垦土地的开发利用方向。复垦后的土地应既能满足保护生物多样性和生态环境的需要，又能满足人类对土地的需求，应保证生态安全和人类社会可持续发展。</w:t>
      </w:r>
    </w:p>
    <w:p w14:paraId="15EBCE39">
      <w:pPr>
        <w:spacing w:line="360" w:lineRule="auto"/>
        <w:ind w:firstLine="480" w:firstLineChars="200"/>
        <w:jc w:val="left"/>
        <w:rPr>
          <w:sz w:val="24"/>
        </w:rPr>
      </w:pPr>
      <w:r>
        <w:rPr>
          <w:sz w:val="24"/>
        </w:rPr>
        <w:t>g.经济可行与技术合理性原则</w:t>
      </w:r>
    </w:p>
    <w:p w14:paraId="3B65EA33">
      <w:pPr>
        <w:spacing w:line="360" w:lineRule="auto"/>
        <w:ind w:firstLine="480" w:firstLineChars="200"/>
        <w:jc w:val="left"/>
        <w:rPr>
          <w:sz w:val="24"/>
        </w:rPr>
      </w:pPr>
      <w:r>
        <w:rPr>
          <w:sz w:val="24"/>
        </w:rPr>
        <w:t>土地复垦所需的费用应在保证复垦目标完整、复垦效果达到复垦标准的前提下，兼顾土地复垦成本，尽可能减轻企业负担。复垦技术应能满足复垦工作顺利开展、复垦效果达到复垦质量的要求。</w:t>
      </w:r>
    </w:p>
    <w:p w14:paraId="06B36049">
      <w:pPr>
        <w:spacing w:line="360" w:lineRule="auto"/>
        <w:ind w:firstLine="480" w:firstLineChars="200"/>
        <w:jc w:val="left"/>
        <w:rPr>
          <w:sz w:val="24"/>
        </w:rPr>
      </w:pPr>
      <w:r>
        <w:rPr>
          <w:sz w:val="24"/>
        </w:rPr>
        <w:t>2）评价依据</w:t>
      </w:r>
    </w:p>
    <w:p w14:paraId="41E3E1AC">
      <w:pPr>
        <w:spacing w:line="360" w:lineRule="auto"/>
        <w:ind w:firstLine="480" w:firstLineChars="200"/>
        <w:jc w:val="left"/>
        <w:rPr>
          <w:sz w:val="24"/>
        </w:rPr>
      </w:pPr>
      <w:r>
        <w:rPr>
          <w:sz w:val="24"/>
        </w:rPr>
        <w:t>土地复垦适宜性评价就是评定拟损毁土地在复垦后的用途以及适宜程度，它是进行土地利用决策，确定土地利用方向的基本依据。进行土地复垦适宜性评价，就是在结合项目区自然条件、社会经济状况以及土地利用状况的基础上，依据国家和地方的法律法规及相关规划，综合考虑土地损毁分析结果、公众参与意见以及周边类似项目的复垦经验等，采取切实可行的办法，确定复垦利用方向。</w:t>
      </w:r>
    </w:p>
    <w:p w14:paraId="64855B35">
      <w:pPr>
        <w:spacing w:line="360" w:lineRule="auto"/>
        <w:ind w:firstLine="480" w:firstLineChars="200"/>
        <w:jc w:val="left"/>
        <w:rPr>
          <w:sz w:val="24"/>
        </w:rPr>
      </w:pPr>
      <w:r>
        <w:rPr>
          <w:sz w:val="24"/>
        </w:rPr>
        <w:t>本次土地复垦适宜性评价的主要根据是：</w:t>
      </w:r>
    </w:p>
    <w:p w14:paraId="2F34823F">
      <w:pPr>
        <w:spacing w:line="360" w:lineRule="auto"/>
        <w:ind w:firstLine="480" w:firstLineChars="200"/>
        <w:jc w:val="left"/>
        <w:rPr>
          <w:sz w:val="24"/>
        </w:rPr>
      </w:pPr>
      <w:r>
        <w:rPr>
          <w:sz w:val="24"/>
        </w:rPr>
        <w:t>a.矿区所在地的县级土地利用总体规划及国家有关政策和法规；</w:t>
      </w:r>
    </w:p>
    <w:p w14:paraId="6E7D4456">
      <w:pPr>
        <w:spacing w:line="360" w:lineRule="auto"/>
        <w:ind w:firstLine="480" w:firstLineChars="200"/>
        <w:jc w:val="left"/>
        <w:rPr>
          <w:sz w:val="24"/>
        </w:rPr>
      </w:pPr>
      <w:r>
        <w:rPr>
          <w:sz w:val="24"/>
        </w:rPr>
        <w:t>b.矿区土地损毁预测结果；</w:t>
      </w:r>
    </w:p>
    <w:p w14:paraId="72605C19">
      <w:pPr>
        <w:spacing w:line="360" w:lineRule="auto"/>
        <w:ind w:firstLine="480" w:firstLineChars="200"/>
        <w:jc w:val="left"/>
        <w:rPr>
          <w:sz w:val="24"/>
        </w:rPr>
      </w:pPr>
      <w:r>
        <w:rPr>
          <w:sz w:val="24"/>
        </w:rPr>
        <w:t>c.其他行业规范和法律法规。</w:t>
      </w:r>
    </w:p>
    <w:p w14:paraId="7DB10647">
      <w:pPr>
        <w:spacing w:line="360" w:lineRule="auto"/>
        <w:ind w:firstLine="480" w:firstLineChars="200"/>
        <w:jc w:val="left"/>
        <w:rPr>
          <w:sz w:val="24"/>
        </w:rPr>
      </w:pPr>
      <w:r>
        <w:rPr>
          <w:sz w:val="24"/>
        </w:rPr>
        <w:t>2、评价范围和初步复垦方向的确定</w:t>
      </w:r>
    </w:p>
    <w:p w14:paraId="53234CB3">
      <w:pPr>
        <w:spacing w:line="360" w:lineRule="auto"/>
        <w:ind w:firstLine="480" w:firstLineChars="200"/>
        <w:rPr>
          <w:sz w:val="24"/>
          <w:lang w:val="zh-CN"/>
        </w:rPr>
      </w:pPr>
      <w:r>
        <w:rPr>
          <w:sz w:val="24"/>
          <w:lang w:val="zh-CN"/>
        </w:rPr>
        <w:t>评价范围为复垦责任范围。</w:t>
      </w:r>
    </w:p>
    <w:p w14:paraId="57F89C99">
      <w:pPr>
        <w:spacing w:line="360" w:lineRule="auto"/>
        <w:ind w:firstLine="480" w:firstLineChars="200"/>
        <w:rPr>
          <w:sz w:val="24"/>
          <w:lang w:val="zh-CN"/>
        </w:rPr>
      </w:pPr>
      <w:r>
        <w:rPr>
          <w:sz w:val="24"/>
          <w:lang w:val="zh-CN"/>
        </w:rPr>
        <w:t>土地复垦适宜性评价是以特定复垦方向为前提。根据土地利用总体规划，并与生态环境保护规划相衔接，从矿山实际出发，通过对自然因素、社会经济因素、政策因素和公众意愿的分析，确定初步复垦方向。</w:t>
      </w:r>
    </w:p>
    <w:p w14:paraId="7FD14D76">
      <w:pPr>
        <w:spacing w:line="360" w:lineRule="auto"/>
        <w:ind w:firstLine="480" w:firstLineChars="200"/>
        <w:rPr>
          <w:sz w:val="24"/>
          <w:lang w:val="zh-CN"/>
        </w:rPr>
      </w:pPr>
      <w:r>
        <w:rPr>
          <w:sz w:val="24"/>
          <w:lang w:val="zh-CN"/>
        </w:rPr>
        <w:t>1）政策因素分析</w:t>
      </w:r>
    </w:p>
    <w:p w14:paraId="5475CDDE">
      <w:pPr>
        <w:spacing w:line="360" w:lineRule="auto"/>
        <w:ind w:firstLine="480" w:firstLineChars="200"/>
        <w:rPr>
          <w:sz w:val="24"/>
          <w:lang w:val="zh-CN"/>
        </w:rPr>
      </w:pPr>
      <w:r>
        <w:rPr>
          <w:sz w:val="24"/>
          <w:lang w:val="zh-CN"/>
        </w:rPr>
        <w:t>矿区的土地复垦工作应本着因地制宜、合理利用的原则，坚持矿区开发与保护、开采与复垦相结合，实现土地资源的永续利用，并与社会、经济、环境协调发展。在综合考虑待复垦区内的实际情况和采矿损毁程度后，确定待复垦区复垦方向优先考虑耕地，对不适宜复垦为耕地区域考虑复垦为林、草地。</w:t>
      </w:r>
    </w:p>
    <w:p w14:paraId="264EC6EE">
      <w:pPr>
        <w:spacing w:line="360" w:lineRule="auto"/>
        <w:ind w:firstLine="480" w:firstLineChars="200"/>
        <w:rPr>
          <w:sz w:val="24"/>
          <w:lang w:val="zh-CN"/>
        </w:rPr>
      </w:pPr>
      <w:r>
        <w:rPr>
          <w:sz w:val="24"/>
          <w:lang w:val="zh-CN"/>
        </w:rPr>
        <w:t>2）公众意愿分析</w:t>
      </w:r>
    </w:p>
    <w:p w14:paraId="18BD478E">
      <w:pPr>
        <w:spacing w:line="360" w:lineRule="auto"/>
        <w:ind w:firstLine="480" w:firstLineChars="200"/>
        <w:rPr>
          <w:sz w:val="24"/>
          <w:lang w:val="zh-CN"/>
        </w:rPr>
      </w:pPr>
      <w:r>
        <w:rPr>
          <w:sz w:val="24"/>
          <w:lang w:val="zh-CN"/>
        </w:rPr>
        <w:t>各级专家领导的意见以及矿区公众的意见和态度对复垦适宜性评价工作的开展具有十分重要的意义。本方案编制过程中，遵循公众全面参与、全程参与的原则，为使评价工作更</w:t>
      </w:r>
      <w:bookmarkStart w:id="327" w:name="_GoBack"/>
      <w:bookmarkEnd w:id="327"/>
      <w:r>
        <w:rPr>
          <w:rFonts w:hint="eastAsia"/>
          <w:sz w:val="24"/>
          <w:lang w:val="zh-CN"/>
        </w:rPr>
        <w:t>民主</w:t>
      </w:r>
      <w:r>
        <w:rPr>
          <w:sz w:val="24"/>
          <w:lang w:val="zh-CN"/>
        </w:rPr>
        <w:t>化、公众化，特向广大公众征求意见。</w:t>
      </w:r>
    </w:p>
    <w:p w14:paraId="4F9AC03A">
      <w:pPr>
        <w:spacing w:line="360" w:lineRule="auto"/>
        <w:ind w:firstLine="480" w:firstLineChars="200"/>
        <w:rPr>
          <w:sz w:val="24"/>
          <w:lang w:val="zh-CN"/>
        </w:rPr>
      </w:pPr>
      <w:r>
        <w:rPr>
          <w:sz w:val="24"/>
          <w:lang w:val="zh-CN"/>
        </w:rPr>
        <w:t>本项目编制单位技术人员在矿山工作人员的陪同下走访了矿区所在地相关主管部门（当地自然资源局、交通局等）与土地权属人，就复垦方向、复垦目标等进行了交流与讨论。得到的意见和建议归纳后大致如下：</w:t>
      </w:r>
    </w:p>
    <w:p w14:paraId="6324520B">
      <w:pPr>
        <w:spacing w:line="360" w:lineRule="auto"/>
        <w:ind w:firstLine="480" w:firstLineChars="200"/>
        <w:rPr>
          <w:sz w:val="24"/>
          <w:lang w:val="zh-CN"/>
        </w:rPr>
      </w:pPr>
      <w:r>
        <w:rPr>
          <w:sz w:val="24"/>
          <w:lang w:val="zh-CN"/>
        </w:rPr>
        <w:t>a.注重复垦区的生态修复，与周围景观一致；</w:t>
      </w:r>
    </w:p>
    <w:p w14:paraId="34E2723E">
      <w:pPr>
        <w:spacing w:line="360" w:lineRule="auto"/>
        <w:ind w:firstLine="480" w:firstLineChars="200"/>
        <w:rPr>
          <w:sz w:val="24"/>
          <w:lang w:val="zh-CN"/>
        </w:rPr>
      </w:pPr>
      <w:r>
        <w:rPr>
          <w:sz w:val="24"/>
          <w:lang w:val="zh-CN"/>
        </w:rPr>
        <w:t>b.建议业主单位在复垦过程中要注意植被的恢复；</w:t>
      </w:r>
    </w:p>
    <w:p w14:paraId="20208C85">
      <w:pPr>
        <w:spacing w:line="360" w:lineRule="auto"/>
        <w:ind w:firstLine="480" w:firstLineChars="200"/>
        <w:rPr>
          <w:sz w:val="24"/>
          <w:lang w:val="zh-CN"/>
        </w:rPr>
      </w:pPr>
      <w:r>
        <w:rPr>
          <w:sz w:val="24"/>
          <w:lang w:val="zh-CN"/>
        </w:rPr>
        <w:t>c.开采要在保证居民正常生活为前提下进行；</w:t>
      </w:r>
    </w:p>
    <w:p w14:paraId="68E87B10">
      <w:pPr>
        <w:spacing w:line="360" w:lineRule="auto"/>
        <w:ind w:firstLine="480" w:firstLineChars="200"/>
        <w:rPr>
          <w:sz w:val="24"/>
          <w:lang w:val="zh-CN"/>
        </w:rPr>
      </w:pPr>
      <w:r>
        <w:rPr>
          <w:sz w:val="24"/>
          <w:lang w:val="zh-CN"/>
        </w:rPr>
        <w:t>d.复垦后使当地居民的生活环境得到恢复和改善。</w:t>
      </w:r>
    </w:p>
    <w:p w14:paraId="6B1646DB">
      <w:pPr>
        <w:spacing w:line="360" w:lineRule="auto"/>
        <w:ind w:firstLine="480" w:firstLineChars="200"/>
        <w:rPr>
          <w:sz w:val="24"/>
          <w:lang w:val="zh-CN"/>
        </w:rPr>
      </w:pPr>
      <w:r>
        <w:rPr>
          <w:sz w:val="24"/>
          <w:lang w:val="zh-CN"/>
        </w:rPr>
        <w:t>3）自然和社会经济因素分析</w:t>
      </w:r>
    </w:p>
    <w:p w14:paraId="7A845E53">
      <w:pPr>
        <w:spacing w:line="360" w:lineRule="auto"/>
        <w:ind w:firstLine="480" w:firstLineChars="200"/>
        <w:rPr>
          <w:sz w:val="24"/>
          <w:lang w:val="zh-CN"/>
        </w:rPr>
      </w:pPr>
      <w:r>
        <w:rPr>
          <w:sz w:val="24"/>
          <w:lang w:val="zh-CN"/>
        </w:rPr>
        <w:t>据调查，矿区属</w:t>
      </w:r>
      <w:r>
        <w:rPr>
          <w:sz w:val="24"/>
        </w:rPr>
        <w:t>利州区宝轮镇社区</w:t>
      </w:r>
      <w:r>
        <w:rPr>
          <w:sz w:val="24"/>
          <w:lang w:val="zh-CN"/>
        </w:rPr>
        <w:t>所辖。村民房屋大多为一层砖混结构的平房和2层砖混结构的楼房。矿区附近农业以种植业为主，主要粮食作物有玉米、红薯、土豆等。</w:t>
      </w:r>
    </w:p>
    <w:p w14:paraId="09DFEACF">
      <w:pPr>
        <w:spacing w:line="360" w:lineRule="auto"/>
        <w:ind w:firstLine="480" w:firstLineChars="200"/>
        <w:jc w:val="left"/>
        <w:rPr>
          <w:sz w:val="24"/>
        </w:rPr>
      </w:pPr>
      <w:r>
        <w:rPr>
          <w:sz w:val="24"/>
          <w:lang w:val="zh-CN"/>
        </w:rPr>
        <w:t>综上分析，本方案土地复垦尽最大可能恢复损毁土地到原用地类型，保证区域生态环境不恶化，保持水土，涵养土源，保护当地生态系统。因此，复垦初步方向考虑与原地形以及周边环境的协调性，复垦地类主要为林地和其他草地。</w:t>
      </w:r>
    </w:p>
    <w:p w14:paraId="074051E7">
      <w:pPr>
        <w:spacing w:line="360" w:lineRule="auto"/>
        <w:ind w:firstLine="480" w:firstLineChars="200"/>
        <w:jc w:val="left"/>
        <w:rPr>
          <w:sz w:val="24"/>
        </w:rPr>
      </w:pPr>
      <w:r>
        <w:rPr>
          <w:sz w:val="24"/>
        </w:rPr>
        <w:t>3、评价单元划分</w:t>
      </w:r>
    </w:p>
    <w:p w14:paraId="0EBDB5D3">
      <w:pPr>
        <w:spacing w:line="360" w:lineRule="auto"/>
        <w:ind w:firstLine="480" w:firstLineChars="200"/>
        <w:jc w:val="left"/>
        <w:rPr>
          <w:sz w:val="24"/>
        </w:rPr>
      </w:pPr>
      <w:r>
        <w:rPr>
          <w:sz w:val="24"/>
        </w:rPr>
        <w:t>由于本项目区不涉及拟损毁土地，因此本方案主要以土地利用损毁现状图作为评价的基础图件，考虑土地损毁程度，然后根据不同的土地类别情况，综合分析被叠置要素之间的相互作用和联系来进行划分。本方案涉及的复垦对象主要为采区和附属场地。依据矿山开发利用方案，同时根据堆场的损毁特点和最终的形态特点，确定将项目区划分为3个评价单元。</w:t>
      </w:r>
    </w:p>
    <w:p w14:paraId="448DE849">
      <w:pPr>
        <w:spacing w:line="360" w:lineRule="auto"/>
        <w:ind w:firstLine="480" w:firstLineChars="200"/>
        <w:jc w:val="left"/>
        <w:rPr>
          <w:sz w:val="24"/>
        </w:rPr>
      </w:pPr>
      <w:r>
        <w:rPr>
          <w:sz w:val="24"/>
        </w:rPr>
        <w:t>单元划分情况见下表4-2。</w:t>
      </w:r>
    </w:p>
    <w:p w14:paraId="6353F0AC">
      <w:pPr>
        <w:jc w:val="center"/>
        <w:rPr>
          <w:rFonts w:eastAsiaTheme="minorEastAsia"/>
          <w:b/>
          <w:szCs w:val="21"/>
        </w:rPr>
      </w:pPr>
      <w:r>
        <w:rPr>
          <w:rFonts w:eastAsiaTheme="minorEastAsia"/>
          <w:b/>
          <w:szCs w:val="21"/>
        </w:rPr>
        <w:t>表4-2评价单元划分表</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1198"/>
        <w:gridCol w:w="1674"/>
        <w:gridCol w:w="1198"/>
        <w:gridCol w:w="1198"/>
        <w:gridCol w:w="2533"/>
      </w:tblGrid>
      <w:tr w14:paraId="35126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23" w:type="pct"/>
            <w:vAlign w:val="center"/>
          </w:tcPr>
          <w:p w14:paraId="03531E83">
            <w:pPr>
              <w:jc w:val="center"/>
            </w:pPr>
            <w:r>
              <w:t>序号</w:t>
            </w:r>
          </w:p>
        </w:tc>
        <w:tc>
          <w:tcPr>
            <w:tcW w:w="703" w:type="pct"/>
            <w:vAlign w:val="center"/>
          </w:tcPr>
          <w:p w14:paraId="32343BDB">
            <w:pPr>
              <w:jc w:val="center"/>
            </w:pPr>
            <w:r>
              <w:t>项目分区</w:t>
            </w:r>
          </w:p>
        </w:tc>
        <w:tc>
          <w:tcPr>
            <w:tcW w:w="982" w:type="pct"/>
            <w:vAlign w:val="center"/>
          </w:tcPr>
          <w:p w14:paraId="0C1FA45C">
            <w:pPr>
              <w:jc w:val="center"/>
            </w:pPr>
            <w:r>
              <w:t>评价单元</w:t>
            </w:r>
          </w:p>
        </w:tc>
        <w:tc>
          <w:tcPr>
            <w:tcW w:w="703" w:type="pct"/>
            <w:vAlign w:val="center"/>
          </w:tcPr>
          <w:p w14:paraId="4AA34972">
            <w:pPr>
              <w:jc w:val="center"/>
            </w:pPr>
            <w:r>
              <w:t>单元编号</w:t>
            </w:r>
          </w:p>
        </w:tc>
        <w:tc>
          <w:tcPr>
            <w:tcW w:w="703" w:type="pct"/>
            <w:vAlign w:val="center"/>
          </w:tcPr>
          <w:p w14:paraId="070CCFD8">
            <w:pPr>
              <w:jc w:val="center"/>
            </w:pPr>
            <w:r>
              <w:t>损毁方式</w:t>
            </w:r>
          </w:p>
        </w:tc>
        <w:tc>
          <w:tcPr>
            <w:tcW w:w="1486" w:type="pct"/>
            <w:vAlign w:val="center"/>
          </w:tcPr>
          <w:p w14:paraId="1B08908E">
            <w:pPr>
              <w:jc w:val="center"/>
            </w:pPr>
            <w:r>
              <w:t>评价单元面积（hm</w:t>
            </w:r>
            <w:r>
              <w:rPr>
                <w:vertAlign w:val="superscript"/>
              </w:rPr>
              <w:t>2</w:t>
            </w:r>
            <w:r>
              <w:t>）</w:t>
            </w:r>
          </w:p>
        </w:tc>
      </w:tr>
      <w:tr w14:paraId="21CE0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23" w:type="pct"/>
            <w:vAlign w:val="center"/>
          </w:tcPr>
          <w:p w14:paraId="0C833B3B">
            <w:pPr>
              <w:jc w:val="center"/>
            </w:pPr>
            <w:r>
              <w:t>1</w:t>
            </w:r>
          </w:p>
        </w:tc>
        <w:tc>
          <w:tcPr>
            <w:tcW w:w="703" w:type="pct"/>
            <w:vAlign w:val="center"/>
          </w:tcPr>
          <w:p w14:paraId="4612AFAD">
            <w:pPr>
              <w:jc w:val="center"/>
            </w:pPr>
            <w:r>
              <w:t>工业广场</w:t>
            </w:r>
          </w:p>
        </w:tc>
        <w:tc>
          <w:tcPr>
            <w:tcW w:w="982" w:type="pct"/>
            <w:vAlign w:val="center"/>
          </w:tcPr>
          <w:p w14:paraId="5C68D7EB">
            <w:pPr>
              <w:jc w:val="center"/>
            </w:pPr>
            <w:r>
              <w:t>工业广场</w:t>
            </w:r>
          </w:p>
        </w:tc>
        <w:tc>
          <w:tcPr>
            <w:tcW w:w="703" w:type="pct"/>
            <w:vAlign w:val="center"/>
          </w:tcPr>
          <w:p w14:paraId="1FD548B7">
            <w:pPr>
              <w:jc w:val="center"/>
            </w:pPr>
            <w:r>
              <w:t>P1</w:t>
            </w:r>
          </w:p>
        </w:tc>
        <w:tc>
          <w:tcPr>
            <w:tcW w:w="703" w:type="pct"/>
            <w:vAlign w:val="center"/>
          </w:tcPr>
          <w:p w14:paraId="47FBA714">
            <w:pPr>
              <w:jc w:val="center"/>
            </w:pPr>
            <w:r>
              <w:t>压占</w:t>
            </w:r>
          </w:p>
        </w:tc>
        <w:tc>
          <w:tcPr>
            <w:tcW w:w="1486" w:type="pct"/>
            <w:vAlign w:val="center"/>
          </w:tcPr>
          <w:p w14:paraId="04CC6CCF">
            <w:pPr>
              <w:jc w:val="center"/>
            </w:pPr>
            <w:r>
              <w:t>1.8545</w:t>
            </w:r>
          </w:p>
        </w:tc>
      </w:tr>
      <w:tr w14:paraId="63849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23" w:type="pct"/>
            <w:vMerge w:val="restart"/>
            <w:vAlign w:val="center"/>
          </w:tcPr>
          <w:p w14:paraId="413FD428">
            <w:pPr>
              <w:jc w:val="center"/>
            </w:pPr>
            <w:r>
              <w:t>2</w:t>
            </w:r>
          </w:p>
        </w:tc>
        <w:tc>
          <w:tcPr>
            <w:tcW w:w="703" w:type="pct"/>
            <w:vMerge w:val="restart"/>
            <w:vAlign w:val="center"/>
          </w:tcPr>
          <w:p w14:paraId="439B0E27">
            <w:pPr>
              <w:jc w:val="center"/>
            </w:pPr>
            <w:r>
              <w:t>边坡区</w:t>
            </w:r>
          </w:p>
        </w:tc>
        <w:tc>
          <w:tcPr>
            <w:tcW w:w="982" w:type="pct"/>
            <w:vAlign w:val="center"/>
          </w:tcPr>
          <w:p w14:paraId="647A6AC4">
            <w:pPr>
              <w:jc w:val="center"/>
            </w:pPr>
            <w:r>
              <w:t>边坡区边坡</w:t>
            </w:r>
          </w:p>
        </w:tc>
        <w:tc>
          <w:tcPr>
            <w:tcW w:w="703" w:type="pct"/>
            <w:vAlign w:val="center"/>
          </w:tcPr>
          <w:p w14:paraId="0D431EA2">
            <w:pPr>
              <w:jc w:val="center"/>
            </w:pPr>
            <w:r>
              <w:t>P2</w:t>
            </w:r>
          </w:p>
        </w:tc>
        <w:tc>
          <w:tcPr>
            <w:tcW w:w="703" w:type="pct"/>
            <w:vAlign w:val="center"/>
          </w:tcPr>
          <w:p w14:paraId="4AC9A383">
            <w:pPr>
              <w:jc w:val="center"/>
            </w:pPr>
            <w:r>
              <w:t>挖损</w:t>
            </w:r>
          </w:p>
        </w:tc>
        <w:tc>
          <w:tcPr>
            <w:tcW w:w="1486" w:type="pct"/>
            <w:vAlign w:val="center"/>
          </w:tcPr>
          <w:p w14:paraId="6137F8B2">
            <w:pPr>
              <w:jc w:val="center"/>
            </w:pPr>
            <w:r>
              <w:t>0.1951</w:t>
            </w:r>
          </w:p>
        </w:tc>
      </w:tr>
      <w:tr w14:paraId="5C7B70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423" w:type="pct"/>
            <w:vMerge w:val="continue"/>
            <w:vAlign w:val="center"/>
          </w:tcPr>
          <w:p w14:paraId="16B8E1FE">
            <w:pPr>
              <w:jc w:val="center"/>
            </w:pPr>
          </w:p>
        </w:tc>
        <w:tc>
          <w:tcPr>
            <w:tcW w:w="703" w:type="pct"/>
            <w:vMerge w:val="continue"/>
            <w:vAlign w:val="center"/>
          </w:tcPr>
          <w:p w14:paraId="2A4F9FD4">
            <w:pPr>
              <w:jc w:val="center"/>
            </w:pPr>
          </w:p>
        </w:tc>
        <w:tc>
          <w:tcPr>
            <w:tcW w:w="982" w:type="pct"/>
            <w:vAlign w:val="center"/>
          </w:tcPr>
          <w:p w14:paraId="7EE3A064">
            <w:pPr>
              <w:jc w:val="center"/>
            </w:pPr>
            <w:r>
              <w:t>边坡区平台</w:t>
            </w:r>
          </w:p>
        </w:tc>
        <w:tc>
          <w:tcPr>
            <w:tcW w:w="703" w:type="pct"/>
            <w:vAlign w:val="center"/>
          </w:tcPr>
          <w:p w14:paraId="661E7D16">
            <w:pPr>
              <w:jc w:val="center"/>
            </w:pPr>
            <w:r>
              <w:t>P3</w:t>
            </w:r>
          </w:p>
        </w:tc>
        <w:tc>
          <w:tcPr>
            <w:tcW w:w="703" w:type="pct"/>
            <w:vAlign w:val="center"/>
          </w:tcPr>
          <w:p w14:paraId="66DEC8DE">
            <w:pPr>
              <w:jc w:val="center"/>
            </w:pPr>
            <w:r>
              <w:t>挖损</w:t>
            </w:r>
          </w:p>
        </w:tc>
        <w:tc>
          <w:tcPr>
            <w:tcW w:w="1486" w:type="pct"/>
            <w:vAlign w:val="center"/>
          </w:tcPr>
          <w:p w14:paraId="714883BE">
            <w:pPr>
              <w:jc w:val="center"/>
            </w:pPr>
            <w:r>
              <w:t>0.3652</w:t>
            </w:r>
          </w:p>
        </w:tc>
      </w:tr>
      <w:tr w14:paraId="7375D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3514" w:type="pct"/>
            <w:gridSpan w:val="5"/>
            <w:vAlign w:val="center"/>
          </w:tcPr>
          <w:p w14:paraId="588334D5">
            <w:pPr>
              <w:jc w:val="center"/>
            </w:pPr>
            <w:r>
              <w:t>合计</w:t>
            </w:r>
          </w:p>
        </w:tc>
        <w:tc>
          <w:tcPr>
            <w:tcW w:w="1486" w:type="pct"/>
            <w:vAlign w:val="center"/>
          </w:tcPr>
          <w:p w14:paraId="3479B367">
            <w:pPr>
              <w:jc w:val="center"/>
            </w:pPr>
            <w:r>
              <w:t>2.4148</w:t>
            </w:r>
          </w:p>
        </w:tc>
      </w:tr>
    </w:tbl>
    <w:p w14:paraId="6DB0458D">
      <w:pPr>
        <w:spacing w:line="360" w:lineRule="auto"/>
        <w:ind w:firstLine="480" w:firstLineChars="200"/>
        <w:jc w:val="left"/>
        <w:rPr>
          <w:sz w:val="24"/>
        </w:rPr>
      </w:pPr>
      <w:r>
        <w:rPr>
          <w:sz w:val="24"/>
        </w:rPr>
        <w:t>4、评价体系和评价方法的选择</w:t>
      </w:r>
    </w:p>
    <w:p w14:paraId="3CCD055D">
      <w:pPr>
        <w:spacing w:line="360" w:lineRule="auto"/>
        <w:ind w:firstLine="480" w:firstLineChars="200"/>
        <w:rPr>
          <w:sz w:val="24"/>
          <w:lang w:val="zh-CN"/>
        </w:rPr>
      </w:pPr>
      <w:r>
        <w:rPr>
          <w:sz w:val="24"/>
          <w:lang w:val="zh-CN"/>
        </w:rPr>
        <w:t>1）评价体系</w:t>
      </w:r>
    </w:p>
    <w:p w14:paraId="61665F30">
      <w:pPr>
        <w:spacing w:line="360" w:lineRule="auto"/>
        <w:ind w:firstLine="480" w:firstLineChars="200"/>
        <w:rPr>
          <w:sz w:val="24"/>
          <w:lang w:val="zh-CN"/>
        </w:rPr>
      </w:pPr>
      <w:r>
        <w:rPr>
          <w:sz w:val="24"/>
          <w:lang w:val="zh-CN"/>
        </w:rPr>
        <w:t>采用二级评价体系，二级评价体系分成两个序列，土地适宜类和土地质量等，土地适宜类分为适宜类、暂不适宜类和不适宜类，类别下面再续分若干土地质量等。土地质量等分一等地、二等地和三等地，暂不适宜类和不适宜类一般不续分。适宜类的划分主要根据项目区自然禀赋、经济社会状况、土地利用总体规划和土地损毁分析；等别的划分主要根据适宜程度、生产潜力的大小、限制因素及限制程度。</w:t>
      </w:r>
    </w:p>
    <w:p w14:paraId="53205D75">
      <w:pPr>
        <w:spacing w:line="360" w:lineRule="auto"/>
        <w:ind w:firstLine="480" w:firstLineChars="200"/>
        <w:rPr>
          <w:sz w:val="24"/>
          <w:lang w:val="zh-CN"/>
        </w:rPr>
      </w:pPr>
      <w:r>
        <w:rPr>
          <w:sz w:val="24"/>
          <w:lang w:val="zh-CN"/>
        </w:rPr>
        <w:t>2）评价方法</w:t>
      </w:r>
    </w:p>
    <w:p w14:paraId="17FAA0F4">
      <w:pPr>
        <w:spacing w:line="360" w:lineRule="auto"/>
        <w:ind w:firstLine="480" w:firstLineChars="200"/>
        <w:jc w:val="left"/>
        <w:rPr>
          <w:sz w:val="24"/>
          <w:lang w:val="zh-CN"/>
        </w:rPr>
      </w:pPr>
      <w:r>
        <w:rPr>
          <w:sz w:val="24"/>
          <w:lang w:val="zh-CN"/>
        </w:rPr>
        <w:t>土地复垦适宜性评价主要是为了确定土地的适宜性用途和指导复垦工作有效地进行，矿区土地复垦适宜性的限制因子对复垦方法的选择具有较大影响。而极限条件法是将土地质量最低评定标准作为质量等级的依据，能够通过适宜性评价比较清晰地获得进行复垦工作的各个限制因素，以便为土地的进一步改良利用服务，因此，采用极限条件法评价矿山土地复垦的适宜性较能满足要求。极限条件法是依据最小因子原理，即土地的适宜性及其等级，是由诸选定评价因子中某单个因子适宜性等级最小（限制性等级最大）的因子确定土地宜耕、宜林和宜草的适宜性等级评定。</w:t>
      </w:r>
    </w:p>
    <w:p w14:paraId="6A919A84">
      <w:pPr>
        <w:spacing w:line="360" w:lineRule="auto"/>
        <w:ind w:firstLine="480" w:firstLineChars="200"/>
        <w:jc w:val="left"/>
        <w:rPr>
          <w:sz w:val="24"/>
        </w:rPr>
      </w:pPr>
      <w:r>
        <w:rPr>
          <w:sz w:val="24"/>
        </w:rPr>
        <w:t>5、各单元适宜性等级评定</w:t>
      </w:r>
    </w:p>
    <w:p w14:paraId="58E9CC60">
      <w:pPr>
        <w:spacing w:line="360" w:lineRule="auto"/>
        <w:ind w:firstLine="480" w:firstLineChars="200"/>
        <w:rPr>
          <w:sz w:val="24"/>
          <w:lang w:val="zh-CN"/>
        </w:rPr>
      </w:pPr>
      <w:r>
        <w:rPr>
          <w:sz w:val="24"/>
          <w:lang w:val="zh-CN"/>
        </w:rPr>
        <w:t>1）评价指标的选择</w:t>
      </w:r>
    </w:p>
    <w:p w14:paraId="092C7830">
      <w:pPr>
        <w:spacing w:line="360" w:lineRule="auto"/>
        <w:ind w:firstLine="480" w:firstLineChars="200"/>
        <w:rPr>
          <w:sz w:val="24"/>
          <w:lang w:val="zh-CN"/>
        </w:rPr>
      </w:pPr>
      <w:r>
        <w:rPr>
          <w:sz w:val="24"/>
          <w:lang w:val="zh-CN"/>
        </w:rPr>
        <w:t>评价指标的选择应考虑对土地利用影响明显而相对稳定的因素，以便能够通过因素指标值的变动决定土地的适宜状况。</w:t>
      </w:r>
    </w:p>
    <w:p w14:paraId="182D2B6B">
      <w:pPr>
        <w:spacing w:line="360" w:lineRule="auto"/>
        <w:ind w:firstLine="480" w:firstLineChars="200"/>
        <w:rPr>
          <w:sz w:val="24"/>
          <w:lang w:val="zh-CN"/>
        </w:rPr>
      </w:pPr>
      <w:r>
        <w:rPr>
          <w:sz w:val="24"/>
          <w:lang w:val="zh-CN"/>
        </w:rPr>
        <w:t>评价指标选择的原则：a.差异性原则；b.综合性原则；c.主动性原则；d.定性和定量相结合原则；e.可操作性原则。</w:t>
      </w:r>
    </w:p>
    <w:p w14:paraId="70D74D7A">
      <w:pPr>
        <w:spacing w:line="360" w:lineRule="auto"/>
        <w:ind w:firstLine="480" w:firstLineChars="200"/>
        <w:rPr>
          <w:sz w:val="24"/>
          <w:lang w:val="zh-CN"/>
        </w:rPr>
      </w:pPr>
      <w:r>
        <w:rPr>
          <w:sz w:val="24"/>
          <w:lang w:val="zh-CN"/>
        </w:rPr>
        <w:t>在遵循以上原则的基础上，结合待评价土地的实际情况和拟损毁土地的预测结果，确定各评价单元的适宜性评价指标。项目涉及的用地类型很多，不同类型之间的差异性很大，限制它们利用的因素也有所不同，因此选取的评价指标应有所区别。</w:t>
      </w:r>
    </w:p>
    <w:p w14:paraId="2AC6BAC4">
      <w:pPr>
        <w:spacing w:line="360" w:lineRule="auto"/>
        <w:ind w:firstLine="480" w:firstLineChars="200"/>
        <w:rPr>
          <w:sz w:val="24"/>
          <w:lang w:val="zh-CN"/>
        </w:rPr>
      </w:pPr>
      <w:r>
        <w:rPr>
          <w:sz w:val="24"/>
          <w:lang w:val="zh-CN"/>
        </w:rPr>
        <w:t>2）评价因素等级标准的确定</w:t>
      </w:r>
    </w:p>
    <w:p w14:paraId="26C7393E">
      <w:pPr>
        <w:spacing w:line="360" w:lineRule="auto"/>
        <w:ind w:firstLine="480" w:firstLineChars="200"/>
        <w:rPr>
          <w:sz w:val="24"/>
          <w:lang w:val="zh-CN"/>
        </w:rPr>
      </w:pPr>
      <w:r>
        <w:rPr>
          <w:sz w:val="24"/>
          <w:lang w:val="zh-CN"/>
        </w:rPr>
        <w:t>标准制定的依据</w:t>
      </w:r>
    </w:p>
    <w:p w14:paraId="1CC8347C">
      <w:pPr>
        <w:spacing w:line="360" w:lineRule="auto"/>
        <w:ind w:firstLine="480" w:firstLineChars="200"/>
        <w:rPr>
          <w:sz w:val="24"/>
          <w:lang w:val="zh-CN"/>
        </w:rPr>
      </w:pPr>
      <w:r>
        <w:rPr>
          <w:sz w:val="24"/>
          <w:lang w:val="zh-CN"/>
        </w:rPr>
        <w:t>a.国家及地方的相关规程、标准：《耕地后背资源调查与评价技术规程》、《农用地分等定级规程》及各级地方主管部门的相关标准。</w:t>
      </w:r>
    </w:p>
    <w:p w14:paraId="3233A861">
      <w:pPr>
        <w:spacing w:line="360" w:lineRule="auto"/>
        <w:ind w:firstLine="480" w:firstLineChars="200"/>
        <w:rPr>
          <w:sz w:val="24"/>
          <w:lang w:val="zh-CN"/>
        </w:rPr>
      </w:pPr>
      <w:r>
        <w:rPr>
          <w:sz w:val="24"/>
          <w:lang w:val="zh-CN"/>
        </w:rPr>
        <w:t>b.项目区自身特征</w:t>
      </w:r>
    </w:p>
    <w:p w14:paraId="4E330BB6">
      <w:pPr>
        <w:spacing w:line="360" w:lineRule="auto"/>
        <w:ind w:firstLine="480" w:firstLineChars="200"/>
        <w:rPr>
          <w:sz w:val="24"/>
          <w:lang w:val="zh-CN"/>
        </w:rPr>
      </w:pPr>
      <w:r>
        <w:rPr>
          <w:sz w:val="24"/>
          <w:lang w:val="zh-CN"/>
        </w:rPr>
        <w:t>项目区自然特性与其他地区不同，标准的制定应体现区域差异性。具体各指标等级制定的依据参考各评价单元适宜性评价结果表“备注”一列。</w:t>
      </w:r>
    </w:p>
    <w:p w14:paraId="6FC48945">
      <w:pPr>
        <w:spacing w:line="360" w:lineRule="auto"/>
        <w:ind w:firstLine="480" w:firstLineChars="200"/>
        <w:rPr>
          <w:sz w:val="24"/>
          <w:lang w:val="zh-CN"/>
        </w:rPr>
      </w:pPr>
      <w:r>
        <w:rPr>
          <w:sz w:val="24"/>
          <w:lang w:val="zh-CN"/>
        </w:rPr>
        <w:t>3）评价标准的建立</w:t>
      </w:r>
    </w:p>
    <w:p w14:paraId="54D80238">
      <w:pPr>
        <w:spacing w:line="360" w:lineRule="auto"/>
        <w:ind w:firstLine="480" w:firstLineChars="200"/>
        <w:jc w:val="left"/>
        <w:rPr>
          <w:sz w:val="24"/>
          <w:lang w:val="zh-CN"/>
        </w:rPr>
      </w:pPr>
      <w:r>
        <w:rPr>
          <w:sz w:val="24"/>
          <w:lang w:val="zh-CN"/>
        </w:rPr>
        <w:t>结合矿山的实际情况和上述依据，制定适宜性评价标准，见下表4-</w:t>
      </w:r>
      <w:r>
        <w:rPr>
          <w:sz w:val="24"/>
        </w:rPr>
        <w:t>3</w:t>
      </w:r>
      <w:r>
        <w:rPr>
          <w:sz w:val="24"/>
          <w:lang w:val="zh-CN"/>
        </w:rPr>
        <w:t>。</w:t>
      </w:r>
    </w:p>
    <w:p w14:paraId="1FD042D6">
      <w:pPr>
        <w:jc w:val="center"/>
        <w:rPr>
          <w:rFonts w:eastAsiaTheme="minorEastAsia"/>
          <w:b/>
          <w:szCs w:val="21"/>
        </w:rPr>
      </w:pPr>
      <w:r>
        <w:rPr>
          <w:rFonts w:eastAsiaTheme="minorEastAsia"/>
          <w:b/>
          <w:szCs w:val="21"/>
        </w:rPr>
        <w:t>表4-3复垦土地主要限制因素的农林牧业等级标准</w:t>
      </w:r>
    </w:p>
    <w:tbl>
      <w:tblPr>
        <w:tblStyle w:val="29"/>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276"/>
        <w:gridCol w:w="2632"/>
        <w:gridCol w:w="1289"/>
        <w:gridCol w:w="1430"/>
        <w:gridCol w:w="1236"/>
      </w:tblGrid>
      <w:tr w14:paraId="175E2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Align w:val="center"/>
          </w:tcPr>
          <w:p w14:paraId="30F3DC57">
            <w:pPr>
              <w:jc w:val="center"/>
            </w:pPr>
            <w:r>
              <w:t>序号</w:t>
            </w:r>
          </w:p>
        </w:tc>
        <w:tc>
          <w:tcPr>
            <w:tcW w:w="2269" w:type="pct"/>
            <w:gridSpan w:val="2"/>
            <w:vAlign w:val="center"/>
          </w:tcPr>
          <w:p w14:paraId="690C3C41">
            <w:pPr>
              <w:jc w:val="center"/>
            </w:pPr>
            <w:r>
              <w:t>限制因素及分级指标</w:t>
            </w:r>
          </w:p>
        </w:tc>
        <w:tc>
          <w:tcPr>
            <w:tcW w:w="749" w:type="pct"/>
            <w:vAlign w:val="center"/>
          </w:tcPr>
          <w:p w14:paraId="6BE98BE9">
            <w:pPr>
              <w:jc w:val="center"/>
            </w:pPr>
            <w:r>
              <w:t>耕地评价</w:t>
            </w:r>
          </w:p>
        </w:tc>
        <w:tc>
          <w:tcPr>
            <w:tcW w:w="831" w:type="pct"/>
            <w:vAlign w:val="center"/>
          </w:tcPr>
          <w:p w14:paraId="3568B2EC">
            <w:pPr>
              <w:jc w:val="center"/>
            </w:pPr>
            <w:r>
              <w:t>林地评价</w:t>
            </w:r>
          </w:p>
        </w:tc>
        <w:tc>
          <w:tcPr>
            <w:tcW w:w="718" w:type="pct"/>
            <w:vAlign w:val="center"/>
          </w:tcPr>
          <w:p w14:paraId="0FF8CCCC">
            <w:pPr>
              <w:jc w:val="center"/>
            </w:pPr>
            <w:r>
              <w:t>草地评价</w:t>
            </w:r>
          </w:p>
        </w:tc>
      </w:tr>
      <w:tr w14:paraId="15638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restart"/>
            <w:vAlign w:val="center"/>
          </w:tcPr>
          <w:p w14:paraId="627A9CED">
            <w:pPr>
              <w:jc w:val="center"/>
            </w:pPr>
            <w:r>
              <w:t>1</w:t>
            </w:r>
          </w:p>
        </w:tc>
        <w:tc>
          <w:tcPr>
            <w:tcW w:w="741" w:type="pct"/>
            <w:vMerge w:val="restart"/>
            <w:vAlign w:val="center"/>
          </w:tcPr>
          <w:p w14:paraId="395AE2B3">
            <w:pPr>
              <w:jc w:val="center"/>
            </w:pPr>
            <w:r>
              <w:t>地表物质组成</w:t>
            </w:r>
          </w:p>
        </w:tc>
        <w:tc>
          <w:tcPr>
            <w:tcW w:w="1529" w:type="pct"/>
            <w:vAlign w:val="center"/>
          </w:tcPr>
          <w:p w14:paraId="10EA3B8F">
            <w:pPr>
              <w:jc w:val="center"/>
            </w:pPr>
            <w:r>
              <w:t>壤土、砂壤土</w:t>
            </w:r>
          </w:p>
        </w:tc>
        <w:tc>
          <w:tcPr>
            <w:tcW w:w="749" w:type="pct"/>
            <w:vAlign w:val="center"/>
          </w:tcPr>
          <w:p w14:paraId="2EE3C669">
            <w:pPr>
              <w:jc w:val="center"/>
            </w:pPr>
            <w:r>
              <w:t>1等</w:t>
            </w:r>
          </w:p>
        </w:tc>
        <w:tc>
          <w:tcPr>
            <w:tcW w:w="831" w:type="pct"/>
            <w:vAlign w:val="center"/>
          </w:tcPr>
          <w:p w14:paraId="41C31491">
            <w:pPr>
              <w:jc w:val="center"/>
            </w:pPr>
            <w:r>
              <w:t>1等</w:t>
            </w:r>
          </w:p>
        </w:tc>
        <w:tc>
          <w:tcPr>
            <w:tcW w:w="718" w:type="pct"/>
            <w:vAlign w:val="center"/>
          </w:tcPr>
          <w:p w14:paraId="4471F069">
            <w:pPr>
              <w:jc w:val="center"/>
            </w:pPr>
            <w:r>
              <w:t>1等</w:t>
            </w:r>
          </w:p>
        </w:tc>
      </w:tr>
      <w:tr w14:paraId="0036E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12EA73CF">
            <w:pPr>
              <w:jc w:val="center"/>
            </w:pPr>
          </w:p>
        </w:tc>
        <w:tc>
          <w:tcPr>
            <w:tcW w:w="741" w:type="pct"/>
            <w:vMerge w:val="continue"/>
            <w:vAlign w:val="center"/>
          </w:tcPr>
          <w:p w14:paraId="23DCA0DF">
            <w:pPr>
              <w:jc w:val="center"/>
            </w:pPr>
          </w:p>
        </w:tc>
        <w:tc>
          <w:tcPr>
            <w:tcW w:w="1529" w:type="pct"/>
            <w:vAlign w:val="center"/>
          </w:tcPr>
          <w:p w14:paraId="028D2C52">
            <w:pPr>
              <w:jc w:val="center"/>
            </w:pPr>
            <w:r>
              <w:t>岩土混合物</w:t>
            </w:r>
          </w:p>
        </w:tc>
        <w:tc>
          <w:tcPr>
            <w:tcW w:w="749" w:type="pct"/>
            <w:vAlign w:val="center"/>
          </w:tcPr>
          <w:p w14:paraId="7BC26E5F">
            <w:pPr>
              <w:jc w:val="center"/>
            </w:pPr>
            <w:r>
              <w:t>3等</w:t>
            </w:r>
          </w:p>
        </w:tc>
        <w:tc>
          <w:tcPr>
            <w:tcW w:w="831" w:type="pct"/>
            <w:vAlign w:val="center"/>
          </w:tcPr>
          <w:p w14:paraId="3831E991">
            <w:pPr>
              <w:jc w:val="center"/>
            </w:pPr>
            <w:r>
              <w:t>2等</w:t>
            </w:r>
          </w:p>
        </w:tc>
        <w:tc>
          <w:tcPr>
            <w:tcW w:w="718" w:type="pct"/>
            <w:vAlign w:val="center"/>
          </w:tcPr>
          <w:p w14:paraId="21815AF6">
            <w:pPr>
              <w:jc w:val="center"/>
            </w:pPr>
            <w:r>
              <w:t>2等</w:t>
            </w:r>
          </w:p>
        </w:tc>
      </w:tr>
      <w:tr w14:paraId="328D9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3BF03DBA">
            <w:pPr>
              <w:jc w:val="center"/>
            </w:pPr>
          </w:p>
        </w:tc>
        <w:tc>
          <w:tcPr>
            <w:tcW w:w="741" w:type="pct"/>
            <w:vMerge w:val="continue"/>
            <w:vAlign w:val="center"/>
          </w:tcPr>
          <w:p w14:paraId="4A8F3A8B">
            <w:pPr>
              <w:jc w:val="center"/>
            </w:pPr>
          </w:p>
        </w:tc>
        <w:tc>
          <w:tcPr>
            <w:tcW w:w="1529" w:type="pct"/>
            <w:vAlign w:val="center"/>
          </w:tcPr>
          <w:p w14:paraId="7345925C">
            <w:pPr>
              <w:jc w:val="center"/>
            </w:pPr>
            <w:r>
              <w:t>砂土</w:t>
            </w:r>
          </w:p>
        </w:tc>
        <w:tc>
          <w:tcPr>
            <w:tcW w:w="749" w:type="pct"/>
            <w:vAlign w:val="center"/>
          </w:tcPr>
          <w:p w14:paraId="771827FA">
            <w:pPr>
              <w:jc w:val="center"/>
            </w:pPr>
            <w:r>
              <w:t>3等</w:t>
            </w:r>
          </w:p>
        </w:tc>
        <w:tc>
          <w:tcPr>
            <w:tcW w:w="831" w:type="pct"/>
            <w:vAlign w:val="center"/>
          </w:tcPr>
          <w:p w14:paraId="2635E81D">
            <w:pPr>
              <w:jc w:val="center"/>
            </w:pPr>
            <w:r>
              <w:t>3等</w:t>
            </w:r>
          </w:p>
        </w:tc>
        <w:tc>
          <w:tcPr>
            <w:tcW w:w="718" w:type="pct"/>
            <w:vAlign w:val="center"/>
          </w:tcPr>
          <w:p w14:paraId="23222090">
            <w:pPr>
              <w:jc w:val="center"/>
            </w:pPr>
            <w:r>
              <w:t>3等</w:t>
            </w:r>
          </w:p>
        </w:tc>
      </w:tr>
      <w:tr w14:paraId="40E25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1AC86BF7">
            <w:pPr>
              <w:jc w:val="center"/>
            </w:pPr>
          </w:p>
        </w:tc>
        <w:tc>
          <w:tcPr>
            <w:tcW w:w="741" w:type="pct"/>
            <w:vMerge w:val="continue"/>
            <w:vAlign w:val="center"/>
          </w:tcPr>
          <w:p w14:paraId="3A24A1EF">
            <w:pPr>
              <w:jc w:val="center"/>
            </w:pPr>
          </w:p>
        </w:tc>
        <w:tc>
          <w:tcPr>
            <w:tcW w:w="1529" w:type="pct"/>
            <w:vAlign w:val="center"/>
          </w:tcPr>
          <w:p w14:paraId="12BB6224">
            <w:pPr>
              <w:jc w:val="center"/>
            </w:pPr>
            <w:r>
              <w:t>砾质</w:t>
            </w:r>
          </w:p>
        </w:tc>
        <w:tc>
          <w:tcPr>
            <w:tcW w:w="749" w:type="pct"/>
            <w:vAlign w:val="center"/>
          </w:tcPr>
          <w:p w14:paraId="333AFCBD">
            <w:pPr>
              <w:jc w:val="center"/>
            </w:pPr>
            <w:r>
              <w:t>N</w:t>
            </w:r>
          </w:p>
        </w:tc>
        <w:tc>
          <w:tcPr>
            <w:tcW w:w="831" w:type="pct"/>
            <w:vAlign w:val="center"/>
          </w:tcPr>
          <w:p w14:paraId="34946148">
            <w:pPr>
              <w:jc w:val="center"/>
            </w:pPr>
            <w:r>
              <w:t>3等或N</w:t>
            </w:r>
          </w:p>
        </w:tc>
        <w:tc>
          <w:tcPr>
            <w:tcW w:w="718" w:type="pct"/>
            <w:vAlign w:val="center"/>
          </w:tcPr>
          <w:p w14:paraId="5C7EAA23">
            <w:pPr>
              <w:jc w:val="center"/>
            </w:pPr>
            <w:r>
              <w:t>3等或N</w:t>
            </w:r>
          </w:p>
        </w:tc>
      </w:tr>
      <w:tr w14:paraId="74887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restart"/>
            <w:vAlign w:val="center"/>
          </w:tcPr>
          <w:p w14:paraId="7395A393">
            <w:pPr>
              <w:jc w:val="center"/>
            </w:pPr>
            <w:r>
              <w:t>2</w:t>
            </w:r>
          </w:p>
        </w:tc>
        <w:tc>
          <w:tcPr>
            <w:tcW w:w="741" w:type="pct"/>
            <w:vMerge w:val="restart"/>
            <w:vAlign w:val="center"/>
          </w:tcPr>
          <w:p w14:paraId="6FDCE5AB">
            <w:pPr>
              <w:jc w:val="center"/>
            </w:pPr>
            <w:r>
              <w:t>灌溉条件</w:t>
            </w:r>
          </w:p>
        </w:tc>
        <w:tc>
          <w:tcPr>
            <w:tcW w:w="1529" w:type="pct"/>
            <w:vAlign w:val="center"/>
          </w:tcPr>
          <w:p w14:paraId="48365D38">
            <w:pPr>
              <w:jc w:val="center"/>
            </w:pPr>
            <w:r>
              <w:t>有稳定灌溉条件的干旱、半干旱土地</w:t>
            </w:r>
          </w:p>
        </w:tc>
        <w:tc>
          <w:tcPr>
            <w:tcW w:w="749" w:type="pct"/>
            <w:vAlign w:val="center"/>
          </w:tcPr>
          <w:p w14:paraId="1F85018B">
            <w:pPr>
              <w:jc w:val="center"/>
            </w:pPr>
            <w:r>
              <w:t>1等</w:t>
            </w:r>
          </w:p>
        </w:tc>
        <w:tc>
          <w:tcPr>
            <w:tcW w:w="831" w:type="pct"/>
            <w:vAlign w:val="center"/>
          </w:tcPr>
          <w:p w14:paraId="2467BA02">
            <w:pPr>
              <w:jc w:val="center"/>
            </w:pPr>
            <w:r>
              <w:t>1等</w:t>
            </w:r>
          </w:p>
        </w:tc>
        <w:tc>
          <w:tcPr>
            <w:tcW w:w="718" w:type="pct"/>
            <w:vAlign w:val="center"/>
          </w:tcPr>
          <w:p w14:paraId="7EDF2100">
            <w:pPr>
              <w:jc w:val="center"/>
            </w:pPr>
            <w:r>
              <w:t>1等</w:t>
            </w:r>
          </w:p>
        </w:tc>
      </w:tr>
      <w:tr w14:paraId="2E3C4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4A15775B">
            <w:pPr>
              <w:jc w:val="center"/>
            </w:pPr>
          </w:p>
        </w:tc>
        <w:tc>
          <w:tcPr>
            <w:tcW w:w="741" w:type="pct"/>
            <w:vMerge w:val="continue"/>
            <w:vAlign w:val="center"/>
          </w:tcPr>
          <w:p w14:paraId="1BC9D8CF">
            <w:pPr>
              <w:jc w:val="center"/>
            </w:pPr>
          </w:p>
        </w:tc>
        <w:tc>
          <w:tcPr>
            <w:tcW w:w="1529" w:type="pct"/>
            <w:vAlign w:val="center"/>
          </w:tcPr>
          <w:p w14:paraId="143CB62F">
            <w:pPr>
              <w:jc w:val="center"/>
            </w:pPr>
            <w:r>
              <w:t>灌溉条件、水源保证差的干旱、半干旱土地</w:t>
            </w:r>
          </w:p>
        </w:tc>
        <w:tc>
          <w:tcPr>
            <w:tcW w:w="749" w:type="pct"/>
            <w:vAlign w:val="center"/>
          </w:tcPr>
          <w:p w14:paraId="2C345DD0">
            <w:pPr>
              <w:jc w:val="center"/>
            </w:pPr>
            <w:r>
              <w:t>2等</w:t>
            </w:r>
          </w:p>
        </w:tc>
        <w:tc>
          <w:tcPr>
            <w:tcW w:w="831" w:type="pct"/>
            <w:vAlign w:val="center"/>
          </w:tcPr>
          <w:p w14:paraId="12F53CC6">
            <w:pPr>
              <w:jc w:val="center"/>
            </w:pPr>
            <w:r>
              <w:t>1等或2等</w:t>
            </w:r>
          </w:p>
        </w:tc>
        <w:tc>
          <w:tcPr>
            <w:tcW w:w="718" w:type="pct"/>
            <w:vAlign w:val="center"/>
          </w:tcPr>
          <w:p w14:paraId="6340AD01">
            <w:pPr>
              <w:jc w:val="center"/>
            </w:pPr>
            <w:r>
              <w:t>1等或2等</w:t>
            </w:r>
          </w:p>
        </w:tc>
      </w:tr>
      <w:tr w14:paraId="3B704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2A8634D1">
            <w:pPr>
              <w:jc w:val="center"/>
            </w:pPr>
          </w:p>
        </w:tc>
        <w:tc>
          <w:tcPr>
            <w:tcW w:w="741" w:type="pct"/>
            <w:vMerge w:val="continue"/>
            <w:vAlign w:val="center"/>
          </w:tcPr>
          <w:p w14:paraId="62DBF7E0">
            <w:pPr>
              <w:jc w:val="center"/>
            </w:pPr>
          </w:p>
        </w:tc>
        <w:tc>
          <w:tcPr>
            <w:tcW w:w="1529" w:type="pct"/>
            <w:vAlign w:val="center"/>
          </w:tcPr>
          <w:p w14:paraId="3C4DCCFE">
            <w:pPr>
              <w:jc w:val="center"/>
            </w:pPr>
            <w:r>
              <w:t>无灌溉水源保证干旱、半干旱土地</w:t>
            </w:r>
          </w:p>
        </w:tc>
        <w:tc>
          <w:tcPr>
            <w:tcW w:w="749" w:type="pct"/>
            <w:vAlign w:val="center"/>
          </w:tcPr>
          <w:p w14:paraId="18C8807A">
            <w:pPr>
              <w:jc w:val="center"/>
            </w:pPr>
            <w:r>
              <w:t>N</w:t>
            </w:r>
          </w:p>
        </w:tc>
        <w:tc>
          <w:tcPr>
            <w:tcW w:w="831" w:type="pct"/>
            <w:vAlign w:val="center"/>
          </w:tcPr>
          <w:p w14:paraId="78705C47">
            <w:pPr>
              <w:jc w:val="center"/>
            </w:pPr>
            <w:r>
              <w:t>3等</w:t>
            </w:r>
          </w:p>
        </w:tc>
        <w:tc>
          <w:tcPr>
            <w:tcW w:w="718" w:type="pct"/>
            <w:vAlign w:val="center"/>
          </w:tcPr>
          <w:p w14:paraId="03218663">
            <w:pPr>
              <w:jc w:val="center"/>
            </w:pPr>
            <w:r>
              <w:t>2等</w:t>
            </w:r>
          </w:p>
        </w:tc>
      </w:tr>
      <w:tr w14:paraId="731A2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restart"/>
            <w:vAlign w:val="center"/>
          </w:tcPr>
          <w:p w14:paraId="4AB0E678">
            <w:pPr>
              <w:jc w:val="center"/>
            </w:pPr>
            <w:r>
              <w:t>3</w:t>
            </w:r>
          </w:p>
        </w:tc>
        <w:tc>
          <w:tcPr>
            <w:tcW w:w="741" w:type="pct"/>
            <w:vMerge w:val="restart"/>
            <w:vAlign w:val="center"/>
          </w:tcPr>
          <w:p w14:paraId="25E8F2AA">
            <w:pPr>
              <w:jc w:val="center"/>
            </w:pPr>
            <w:r>
              <w:t>地面坡度/°</w:t>
            </w:r>
          </w:p>
        </w:tc>
        <w:tc>
          <w:tcPr>
            <w:tcW w:w="1529" w:type="pct"/>
            <w:vAlign w:val="center"/>
          </w:tcPr>
          <w:p w14:paraId="52224529">
            <w:pPr>
              <w:jc w:val="center"/>
            </w:pPr>
            <w:r>
              <w:t>＜5</w:t>
            </w:r>
          </w:p>
        </w:tc>
        <w:tc>
          <w:tcPr>
            <w:tcW w:w="749" w:type="pct"/>
            <w:vAlign w:val="center"/>
          </w:tcPr>
          <w:p w14:paraId="0F3EAF97">
            <w:pPr>
              <w:jc w:val="center"/>
            </w:pPr>
            <w:r>
              <w:t>1等</w:t>
            </w:r>
          </w:p>
        </w:tc>
        <w:tc>
          <w:tcPr>
            <w:tcW w:w="831" w:type="pct"/>
            <w:vAlign w:val="center"/>
          </w:tcPr>
          <w:p w14:paraId="75B82557">
            <w:pPr>
              <w:jc w:val="center"/>
            </w:pPr>
            <w:r>
              <w:t>1等</w:t>
            </w:r>
          </w:p>
        </w:tc>
        <w:tc>
          <w:tcPr>
            <w:tcW w:w="718" w:type="pct"/>
            <w:vAlign w:val="center"/>
          </w:tcPr>
          <w:p w14:paraId="5E950C54">
            <w:pPr>
              <w:jc w:val="center"/>
            </w:pPr>
            <w:r>
              <w:t>1等</w:t>
            </w:r>
          </w:p>
        </w:tc>
      </w:tr>
      <w:tr w14:paraId="4233F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34DA4CFE">
            <w:pPr>
              <w:jc w:val="center"/>
            </w:pPr>
          </w:p>
        </w:tc>
        <w:tc>
          <w:tcPr>
            <w:tcW w:w="741" w:type="pct"/>
            <w:vMerge w:val="continue"/>
            <w:vAlign w:val="center"/>
          </w:tcPr>
          <w:p w14:paraId="6B43AE83">
            <w:pPr>
              <w:jc w:val="center"/>
            </w:pPr>
          </w:p>
        </w:tc>
        <w:tc>
          <w:tcPr>
            <w:tcW w:w="1529" w:type="pct"/>
            <w:vAlign w:val="center"/>
          </w:tcPr>
          <w:p w14:paraId="4A01B93E">
            <w:pPr>
              <w:jc w:val="center"/>
            </w:pPr>
            <w:r>
              <w:t>5~25</w:t>
            </w:r>
          </w:p>
        </w:tc>
        <w:tc>
          <w:tcPr>
            <w:tcW w:w="749" w:type="pct"/>
            <w:vAlign w:val="center"/>
          </w:tcPr>
          <w:p w14:paraId="00F5E268">
            <w:pPr>
              <w:jc w:val="center"/>
            </w:pPr>
            <w:r>
              <w:t>2等</w:t>
            </w:r>
          </w:p>
        </w:tc>
        <w:tc>
          <w:tcPr>
            <w:tcW w:w="831" w:type="pct"/>
            <w:vAlign w:val="center"/>
          </w:tcPr>
          <w:p w14:paraId="1B152302">
            <w:pPr>
              <w:jc w:val="center"/>
            </w:pPr>
            <w:r>
              <w:t>1等</w:t>
            </w:r>
          </w:p>
        </w:tc>
        <w:tc>
          <w:tcPr>
            <w:tcW w:w="718" w:type="pct"/>
            <w:vAlign w:val="center"/>
          </w:tcPr>
          <w:p w14:paraId="23975573">
            <w:pPr>
              <w:jc w:val="center"/>
            </w:pPr>
            <w:r>
              <w:t>1等</w:t>
            </w:r>
          </w:p>
        </w:tc>
      </w:tr>
      <w:tr w14:paraId="7E2F3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3333F6C1">
            <w:pPr>
              <w:jc w:val="center"/>
            </w:pPr>
          </w:p>
        </w:tc>
        <w:tc>
          <w:tcPr>
            <w:tcW w:w="741" w:type="pct"/>
            <w:vMerge w:val="continue"/>
            <w:vAlign w:val="center"/>
          </w:tcPr>
          <w:p w14:paraId="22684637">
            <w:pPr>
              <w:jc w:val="center"/>
            </w:pPr>
          </w:p>
        </w:tc>
        <w:tc>
          <w:tcPr>
            <w:tcW w:w="1529" w:type="pct"/>
            <w:vAlign w:val="center"/>
          </w:tcPr>
          <w:p w14:paraId="4C9FAB0F">
            <w:pPr>
              <w:jc w:val="center"/>
            </w:pPr>
            <w:r>
              <w:t>25~45</w:t>
            </w:r>
          </w:p>
        </w:tc>
        <w:tc>
          <w:tcPr>
            <w:tcW w:w="749" w:type="pct"/>
            <w:vAlign w:val="center"/>
          </w:tcPr>
          <w:p w14:paraId="6E42B2D4">
            <w:pPr>
              <w:jc w:val="center"/>
            </w:pPr>
            <w:r>
              <w:t>N</w:t>
            </w:r>
          </w:p>
        </w:tc>
        <w:tc>
          <w:tcPr>
            <w:tcW w:w="831" w:type="pct"/>
            <w:vAlign w:val="center"/>
          </w:tcPr>
          <w:p w14:paraId="2A72EEB8">
            <w:pPr>
              <w:jc w:val="center"/>
            </w:pPr>
            <w:r>
              <w:t>2等或3等</w:t>
            </w:r>
          </w:p>
        </w:tc>
        <w:tc>
          <w:tcPr>
            <w:tcW w:w="718" w:type="pct"/>
            <w:vAlign w:val="center"/>
          </w:tcPr>
          <w:p w14:paraId="4C5B91F2">
            <w:pPr>
              <w:jc w:val="center"/>
            </w:pPr>
            <w:r>
              <w:t>2等</w:t>
            </w:r>
          </w:p>
        </w:tc>
      </w:tr>
      <w:tr w14:paraId="7E9FE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75D5A6F6">
            <w:pPr>
              <w:jc w:val="center"/>
            </w:pPr>
          </w:p>
        </w:tc>
        <w:tc>
          <w:tcPr>
            <w:tcW w:w="741" w:type="pct"/>
            <w:vMerge w:val="continue"/>
            <w:vAlign w:val="center"/>
          </w:tcPr>
          <w:p w14:paraId="70930D3F">
            <w:pPr>
              <w:jc w:val="center"/>
            </w:pPr>
          </w:p>
        </w:tc>
        <w:tc>
          <w:tcPr>
            <w:tcW w:w="1529" w:type="pct"/>
            <w:vAlign w:val="center"/>
          </w:tcPr>
          <w:p w14:paraId="1EC71BF6">
            <w:pPr>
              <w:jc w:val="center"/>
            </w:pPr>
            <w:r>
              <w:t>＞45</w:t>
            </w:r>
          </w:p>
        </w:tc>
        <w:tc>
          <w:tcPr>
            <w:tcW w:w="749" w:type="pct"/>
            <w:vAlign w:val="center"/>
          </w:tcPr>
          <w:p w14:paraId="737A4A96">
            <w:pPr>
              <w:jc w:val="center"/>
            </w:pPr>
            <w:r>
              <w:t>N</w:t>
            </w:r>
          </w:p>
        </w:tc>
        <w:tc>
          <w:tcPr>
            <w:tcW w:w="831" w:type="pct"/>
            <w:vAlign w:val="center"/>
          </w:tcPr>
          <w:p w14:paraId="60F5CB04">
            <w:pPr>
              <w:jc w:val="center"/>
            </w:pPr>
            <w:r>
              <w:t>3等或N</w:t>
            </w:r>
          </w:p>
        </w:tc>
        <w:tc>
          <w:tcPr>
            <w:tcW w:w="718" w:type="pct"/>
            <w:vAlign w:val="center"/>
          </w:tcPr>
          <w:p w14:paraId="440555AF">
            <w:pPr>
              <w:jc w:val="center"/>
            </w:pPr>
            <w:r>
              <w:t>3等或N</w:t>
            </w:r>
          </w:p>
        </w:tc>
      </w:tr>
      <w:tr w14:paraId="37577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restart"/>
            <w:vAlign w:val="center"/>
          </w:tcPr>
          <w:p w14:paraId="6B8686A2">
            <w:pPr>
              <w:jc w:val="center"/>
            </w:pPr>
            <w:r>
              <w:t>4</w:t>
            </w:r>
          </w:p>
        </w:tc>
        <w:tc>
          <w:tcPr>
            <w:tcW w:w="741" w:type="pct"/>
            <w:vMerge w:val="restart"/>
            <w:vAlign w:val="center"/>
          </w:tcPr>
          <w:p w14:paraId="09F5B499">
            <w:pPr>
              <w:jc w:val="center"/>
            </w:pPr>
            <w:r>
              <w:t>土源保证率（%）</w:t>
            </w:r>
          </w:p>
        </w:tc>
        <w:tc>
          <w:tcPr>
            <w:tcW w:w="1529" w:type="pct"/>
            <w:vAlign w:val="center"/>
          </w:tcPr>
          <w:p w14:paraId="46C916B5">
            <w:pPr>
              <w:jc w:val="center"/>
            </w:pPr>
            <w:r>
              <w:t>80~100</w:t>
            </w:r>
          </w:p>
        </w:tc>
        <w:tc>
          <w:tcPr>
            <w:tcW w:w="749" w:type="pct"/>
            <w:vAlign w:val="center"/>
          </w:tcPr>
          <w:p w14:paraId="685C192B">
            <w:pPr>
              <w:jc w:val="center"/>
            </w:pPr>
            <w:r>
              <w:t>1等</w:t>
            </w:r>
          </w:p>
        </w:tc>
        <w:tc>
          <w:tcPr>
            <w:tcW w:w="831" w:type="pct"/>
            <w:vAlign w:val="center"/>
          </w:tcPr>
          <w:p w14:paraId="562BEB09">
            <w:pPr>
              <w:jc w:val="center"/>
            </w:pPr>
            <w:r>
              <w:t>1等</w:t>
            </w:r>
          </w:p>
        </w:tc>
        <w:tc>
          <w:tcPr>
            <w:tcW w:w="718" w:type="pct"/>
            <w:vAlign w:val="center"/>
          </w:tcPr>
          <w:p w14:paraId="179ED3FB">
            <w:pPr>
              <w:jc w:val="center"/>
            </w:pPr>
            <w:r>
              <w:t>1等</w:t>
            </w:r>
          </w:p>
        </w:tc>
      </w:tr>
      <w:tr w14:paraId="38D7D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04155C46">
            <w:pPr>
              <w:jc w:val="center"/>
            </w:pPr>
          </w:p>
        </w:tc>
        <w:tc>
          <w:tcPr>
            <w:tcW w:w="741" w:type="pct"/>
            <w:vMerge w:val="continue"/>
            <w:vAlign w:val="center"/>
          </w:tcPr>
          <w:p w14:paraId="3964EDBF">
            <w:pPr>
              <w:jc w:val="center"/>
            </w:pPr>
          </w:p>
        </w:tc>
        <w:tc>
          <w:tcPr>
            <w:tcW w:w="1529" w:type="pct"/>
            <w:vAlign w:val="center"/>
          </w:tcPr>
          <w:p w14:paraId="28E5C5E7">
            <w:pPr>
              <w:jc w:val="center"/>
            </w:pPr>
            <w:r>
              <w:t>60~80</w:t>
            </w:r>
          </w:p>
        </w:tc>
        <w:tc>
          <w:tcPr>
            <w:tcW w:w="749" w:type="pct"/>
            <w:vAlign w:val="center"/>
          </w:tcPr>
          <w:p w14:paraId="7C6C1D5B">
            <w:pPr>
              <w:jc w:val="center"/>
            </w:pPr>
            <w:r>
              <w:t>2等</w:t>
            </w:r>
          </w:p>
        </w:tc>
        <w:tc>
          <w:tcPr>
            <w:tcW w:w="831" w:type="pct"/>
            <w:vAlign w:val="center"/>
          </w:tcPr>
          <w:p w14:paraId="6B335A95">
            <w:pPr>
              <w:jc w:val="center"/>
            </w:pPr>
            <w:r>
              <w:t>2等</w:t>
            </w:r>
          </w:p>
        </w:tc>
        <w:tc>
          <w:tcPr>
            <w:tcW w:w="718" w:type="pct"/>
            <w:vAlign w:val="center"/>
          </w:tcPr>
          <w:p w14:paraId="728137E8">
            <w:pPr>
              <w:jc w:val="center"/>
            </w:pPr>
            <w:r>
              <w:t>1等</w:t>
            </w:r>
          </w:p>
        </w:tc>
      </w:tr>
      <w:tr w14:paraId="72F44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38632440">
            <w:pPr>
              <w:jc w:val="center"/>
            </w:pPr>
          </w:p>
        </w:tc>
        <w:tc>
          <w:tcPr>
            <w:tcW w:w="741" w:type="pct"/>
            <w:vMerge w:val="continue"/>
            <w:vAlign w:val="center"/>
          </w:tcPr>
          <w:p w14:paraId="1CB1B336">
            <w:pPr>
              <w:jc w:val="center"/>
            </w:pPr>
          </w:p>
        </w:tc>
        <w:tc>
          <w:tcPr>
            <w:tcW w:w="1529" w:type="pct"/>
            <w:vAlign w:val="center"/>
          </w:tcPr>
          <w:p w14:paraId="158ADCB7">
            <w:pPr>
              <w:jc w:val="center"/>
            </w:pPr>
            <w:r>
              <w:t>40~60</w:t>
            </w:r>
          </w:p>
        </w:tc>
        <w:tc>
          <w:tcPr>
            <w:tcW w:w="749" w:type="pct"/>
            <w:vAlign w:val="center"/>
          </w:tcPr>
          <w:p w14:paraId="74C016E1">
            <w:pPr>
              <w:jc w:val="center"/>
            </w:pPr>
            <w:r>
              <w:t>3等</w:t>
            </w:r>
          </w:p>
        </w:tc>
        <w:tc>
          <w:tcPr>
            <w:tcW w:w="831" w:type="pct"/>
            <w:vAlign w:val="center"/>
          </w:tcPr>
          <w:p w14:paraId="67D1A453">
            <w:pPr>
              <w:jc w:val="center"/>
            </w:pPr>
            <w:r>
              <w:t>2等或3等</w:t>
            </w:r>
          </w:p>
        </w:tc>
        <w:tc>
          <w:tcPr>
            <w:tcW w:w="718" w:type="pct"/>
            <w:vAlign w:val="center"/>
          </w:tcPr>
          <w:p w14:paraId="5CE55BE1">
            <w:pPr>
              <w:jc w:val="center"/>
            </w:pPr>
            <w:r>
              <w:t>2等</w:t>
            </w:r>
          </w:p>
        </w:tc>
      </w:tr>
      <w:tr w14:paraId="59D37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32" w:type="pct"/>
            <w:vMerge w:val="continue"/>
            <w:vAlign w:val="center"/>
          </w:tcPr>
          <w:p w14:paraId="099A4925">
            <w:pPr>
              <w:jc w:val="center"/>
            </w:pPr>
          </w:p>
        </w:tc>
        <w:tc>
          <w:tcPr>
            <w:tcW w:w="741" w:type="pct"/>
            <w:vMerge w:val="continue"/>
            <w:vAlign w:val="center"/>
          </w:tcPr>
          <w:p w14:paraId="26CF4191">
            <w:pPr>
              <w:jc w:val="center"/>
            </w:pPr>
          </w:p>
        </w:tc>
        <w:tc>
          <w:tcPr>
            <w:tcW w:w="1529" w:type="pct"/>
            <w:vAlign w:val="center"/>
          </w:tcPr>
          <w:p w14:paraId="22022304">
            <w:pPr>
              <w:jc w:val="center"/>
            </w:pPr>
            <w:r>
              <w:t>＜40</w:t>
            </w:r>
          </w:p>
        </w:tc>
        <w:tc>
          <w:tcPr>
            <w:tcW w:w="749" w:type="pct"/>
            <w:vAlign w:val="center"/>
          </w:tcPr>
          <w:p w14:paraId="255EB523">
            <w:pPr>
              <w:jc w:val="center"/>
            </w:pPr>
            <w:r>
              <w:t>N</w:t>
            </w:r>
          </w:p>
        </w:tc>
        <w:tc>
          <w:tcPr>
            <w:tcW w:w="831" w:type="pct"/>
            <w:vAlign w:val="center"/>
          </w:tcPr>
          <w:p w14:paraId="32906A6A">
            <w:pPr>
              <w:jc w:val="center"/>
            </w:pPr>
            <w:r>
              <w:t>N</w:t>
            </w:r>
          </w:p>
        </w:tc>
        <w:tc>
          <w:tcPr>
            <w:tcW w:w="718" w:type="pct"/>
            <w:vAlign w:val="center"/>
          </w:tcPr>
          <w:p w14:paraId="3AF06AEC">
            <w:pPr>
              <w:jc w:val="center"/>
            </w:pPr>
            <w:r>
              <w:t>3等或N</w:t>
            </w:r>
          </w:p>
        </w:tc>
      </w:tr>
    </w:tbl>
    <w:p w14:paraId="2B73DBF8">
      <w:pPr>
        <w:spacing w:line="360" w:lineRule="auto"/>
        <w:jc w:val="left"/>
      </w:pPr>
      <w:r>
        <w:rPr>
          <w:lang w:val="zh-CN"/>
        </w:rPr>
        <w:t>（注：“1”为非常适宜，2”为较适宜，“3”为一般适宜，“N”为不适宜。）</w:t>
      </w:r>
    </w:p>
    <w:p w14:paraId="53B31FFB">
      <w:pPr>
        <w:spacing w:line="360" w:lineRule="auto"/>
        <w:ind w:firstLine="480" w:firstLineChars="200"/>
        <w:rPr>
          <w:sz w:val="24"/>
          <w:lang w:val="zh-CN"/>
        </w:rPr>
      </w:pPr>
      <w:r>
        <w:rPr>
          <w:sz w:val="24"/>
          <w:lang w:val="zh-CN"/>
        </w:rPr>
        <w:t>4）各评价单元土地质量状况及等级评定结果</w:t>
      </w:r>
    </w:p>
    <w:p w14:paraId="26F33B65">
      <w:pPr>
        <w:spacing w:line="360" w:lineRule="auto"/>
        <w:ind w:firstLine="480" w:firstLineChars="200"/>
        <w:jc w:val="left"/>
        <w:rPr>
          <w:sz w:val="24"/>
          <w:lang w:val="zh-CN"/>
        </w:rPr>
      </w:pPr>
      <w:r>
        <w:rPr>
          <w:sz w:val="24"/>
          <w:lang w:val="zh-CN"/>
        </w:rPr>
        <w:t>在对项目区土地质量调查的基础上，将参评单元的土地质量分别与复垦土地主要限制因素的农林牧业评价等级标准对比，限制最大、适宜性等级最低的土地质量参评项目决定该单元土地适宜等级，详见结果表4-</w:t>
      </w:r>
      <w:r>
        <w:rPr>
          <w:sz w:val="24"/>
        </w:rPr>
        <w:t>4</w:t>
      </w:r>
      <w:r>
        <w:rPr>
          <w:sz w:val="24"/>
          <w:lang w:val="zh-CN"/>
        </w:rPr>
        <w:t>~4-</w:t>
      </w:r>
      <w:r>
        <w:rPr>
          <w:sz w:val="24"/>
        </w:rPr>
        <w:t>6</w:t>
      </w:r>
      <w:r>
        <w:rPr>
          <w:sz w:val="24"/>
          <w:lang w:val="zh-CN"/>
        </w:rPr>
        <w:t>所示。</w:t>
      </w:r>
    </w:p>
    <w:p w14:paraId="4F7E1E79">
      <w:pPr>
        <w:jc w:val="center"/>
        <w:rPr>
          <w:rFonts w:eastAsiaTheme="minorEastAsia"/>
          <w:b/>
          <w:szCs w:val="21"/>
        </w:rPr>
      </w:pPr>
      <w:r>
        <w:rPr>
          <w:rFonts w:eastAsiaTheme="minorEastAsia"/>
          <w:b/>
          <w:szCs w:val="21"/>
        </w:rPr>
        <w:t>表4-4工业广场（P1评价单元）适宜性评价结果表</w:t>
      </w:r>
    </w:p>
    <w:tbl>
      <w:tblPr>
        <w:tblStyle w:val="29"/>
        <w:tblW w:w="85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88"/>
        <w:gridCol w:w="1304"/>
        <w:gridCol w:w="1247"/>
        <w:gridCol w:w="1648"/>
        <w:gridCol w:w="1816"/>
      </w:tblGrid>
      <w:tr w14:paraId="7ABB8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 w:hRule="atLeast"/>
          <w:jc w:val="center"/>
        </w:trPr>
        <w:tc>
          <w:tcPr>
            <w:tcW w:w="2488" w:type="dxa"/>
            <w:vAlign w:val="center"/>
          </w:tcPr>
          <w:p w14:paraId="377BEEF5">
            <w:pPr>
              <w:jc w:val="center"/>
            </w:pPr>
            <w:r>
              <w:t>土地质量状况</w:t>
            </w:r>
          </w:p>
        </w:tc>
        <w:tc>
          <w:tcPr>
            <w:tcW w:w="1304" w:type="dxa"/>
            <w:vAlign w:val="center"/>
          </w:tcPr>
          <w:p w14:paraId="0ED4CAB1">
            <w:pPr>
              <w:jc w:val="center"/>
            </w:pPr>
            <w:r>
              <w:t>评价类型</w:t>
            </w:r>
          </w:p>
        </w:tc>
        <w:tc>
          <w:tcPr>
            <w:tcW w:w="1247" w:type="dxa"/>
            <w:vAlign w:val="center"/>
          </w:tcPr>
          <w:p w14:paraId="4B05FD88">
            <w:pPr>
              <w:jc w:val="center"/>
            </w:pPr>
            <w:r>
              <w:t>适宜性</w:t>
            </w:r>
          </w:p>
        </w:tc>
        <w:tc>
          <w:tcPr>
            <w:tcW w:w="1648" w:type="dxa"/>
            <w:vAlign w:val="center"/>
          </w:tcPr>
          <w:p w14:paraId="18C47F16">
            <w:pPr>
              <w:jc w:val="center"/>
            </w:pPr>
            <w:r>
              <w:t>主要限制因子</w:t>
            </w:r>
          </w:p>
        </w:tc>
        <w:tc>
          <w:tcPr>
            <w:tcW w:w="1816" w:type="dxa"/>
            <w:vAlign w:val="center"/>
          </w:tcPr>
          <w:p w14:paraId="44C0458C">
            <w:pPr>
              <w:jc w:val="center"/>
            </w:pPr>
            <w:r>
              <w:t>备注</w:t>
            </w:r>
          </w:p>
        </w:tc>
      </w:tr>
      <w:tr w14:paraId="06007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 w:hRule="atLeast"/>
          <w:jc w:val="center"/>
        </w:trPr>
        <w:tc>
          <w:tcPr>
            <w:tcW w:w="2488" w:type="dxa"/>
            <w:vMerge w:val="restart"/>
            <w:vAlign w:val="center"/>
          </w:tcPr>
          <w:p w14:paraId="31409AC9">
            <w:pPr>
              <w:jc w:val="center"/>
            </w:pPr>
            <w:r>
              <w:t>地面坡度＜5°；地表组成物质为壤土、砂壤土；无灌溉水源保证干旱、半干旱土地；土源保证率40~60%</w:t>
            </w:r>
          </w:p>
        </w:tc>
        <w:tc>
          <w:tcPr>
            <w:tcW w:w="1304" w:type="dxa"/>
            <w:vAlign w:val="center"/>
          </w:tcPr>
          <w:p w14:paraId="4A73A41E">
            <w:pPr>
              <w:jc w:val="center"/>
            </w:pPr>
            <w:r>
              <w:t>耕地评价</w:t>
            </w:r>
          </w:p>
        </w:tc>
        <w:tc>
          <w:tcPr>
            <w:tcW w:w="1247" w:type="dxa"/>
            <w:vAlign w:val="center"/>
          </w:tcPr>
          <w:p w14:paraId="24E87E39">
            <w:pPr>
              <w:jc w:val="center"/>
            </w:pPr>
            <w:r>
              <w:t>1</w:t>
            </w:r>
          </w:p>
        </w:tc>
        <w:tc>
          <w:tcPr>
            <w:tcW w:w="1648" w:type="dxa"/>
            <w:vAlign w:val="center"/>
          </w:tcPr>
          <w:p w14:paraId="1C90F5D1">
            <w:pPr>
              <w:jc w:val="center"/>
            </w:pPr>
            <w:r>
              <w:t>灌溉条件</w:t>
            </w:r>
          </w:p>
        </w:tc>
        <w:tc>
          <w:tcPr>
            <w:tcW w:w="1816" w:type="dxa"/>
            <w:vAlign w:val="center"/>
          </w:tcPr>
          <w:p w14:paraId="7D3580DF">
            <w:pPr>
              <w:jc w:val="center"/>
            </w:pPr>
            <w:r>
              <w:t>覆土后可复垦为耕地</w:t>
            </w:r>
          </w:p>
        </w:tc>
      </w:tr>
      <w:tr w14:paraId="6C4CB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 w:hRule="atLeast"/>
          <w:jc w:val="center"/>
        </w:trPr>
        <w:tc>
          <w:tcPr>
            <w:tcW w:w="2488" w:type="dxa"/>
            <w:vMerge w:val="continue"/>
            <w:vAlign w:val="center"/>
          </w:tcPr>
          <w:p w14:paraId="28A7BA8A">
            <w:pPr>
              <w:jc w:val="center"/>
            </w:pPr>
          </w:p>
        </w:tc>
        <w:tc>
          <w:tcPr>
            <w:tcW w:w="1304" w:type="dxa"/>
            <w:vAlign w:val="center"/>
          </w:tcPr>
          <w:p w14:paraId="59C349E1">
            <w:pPr>
              <w:jc w:val="center"/>
            </w:pPr>
            <w:r>
              <w:t>林地评价</w:t>
            </w:r>
          </w:p>
        </w:tc>
        <w:tc>
          <w:tcPr>
            <w:tcW w:w="1247" w:type="dxa"/>
            <w:vAlign w:val="center"/>
          </w:tcPr>
          <w:p w14:paraId="4A611F8C">
            <w:pPr>
              <w:jc w:val="center"/>
            </w:pPr>
            <w:r>
              <w:t>1</w:t>
            </w:r>
          </w:p>
        </w:tc>
        <w:tc>
          <w:tcPr>
            <w:tcW w:w="1648" w:type="dxa"/>
            <w:vAlign w:val="center"/>
          </w:tcPr>
          <w:p w14:paraId="3844C65A">
            <w:pPr>
              <w:jc w:val="center"/>
            </w:pPr>
            <w:r>
              <w:t>灌溉条件</w:t>
            </w:r>
          </w:p>
        </w:tc>
        <w:tc>
          <w:tcPr>
            <w:tcW w:w="1816" w:type="dxa"/>
            <w:vAlign w:val="center"/>
          </w:tcPr>
          <w:p w14:paraId="261FCD86">
            <w:pPr>
              <w:jc w:val="center"/>
            </w:pPr>
            <w:r>
              <w:t>覆土后可复垦为林地</w:t>
            </w:r>
          </w:p>
        </w:tc>
      </w:tr>
      <w:tr w14:paraId="26D67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 w:hRule="atLeast"/>
          <w:jc w:val="center"/>
        </w:trPr>
        <w:tc>
          <w:tcPr>
            <w:tcW w:w="2488" w:type="dxa"/>
            <w:vMerge w:val="continue"/>
            <w:vAlign w:val="center"/>
          </w:tcPr>
          <w:p w14:paraId="5E8CA430">
            <w:pPr>
              <w:jc w:val="center"/>
            </w:pPr>
          </w:p>
        </w:tc>
        <w:tc>
          <w:tcPr>
            <w:tcW w:w="1304" w:type="dxa"/>
            <w:vAlign w:val="center"/>
          </w:tcPr>
          <w:p w14:paraId="6BD66052">
            <w:pPr>
              <w:jc w:val="center"/>
            </w:pPr>
            <w:r>
              <w:t>草地评价</w:t>
            </w:r>
          </w:p>
        </w:tc>
        <w:tc>
          <w:tcPr>
            <w:tcW w:w="1247" w:type="dxa"/>
            <w:vAlign w:val="center"/>
          </w:tcPr>
          <w:p w14:paraId="1C740156">
            <w:pPr>
              <w:jc w:val="center"/>
            </w:pPr>
            <w:r>
              <w:t>1</w:t>
            </w:r>
          </w:p>
        </w:tc>
        <w:tc>
          <w:tcPr>
            <w:tcW w:w="1648" w:type="dxa"/>
            <w:vAlign w:val="center"/>
          </w:tcPr>
          <w:p w14:paraId="74D5F726">
            <w:pPr>
              <w:jc w:val="center"/>
            </w:pPr>
            <w:r>
              <w:t>灌溉条件</w:t>
            </w:r>
          </w:p>
        </w:tc>
        <w:tc>
          <w:tcPr>
            <w:tcW w:w="1816" w:type="dxa"/>
            <w:vAlign w:val="center"/>
          </w:tcPr>
          <w:p w14:paraId="4EFD03D3">
            <w:pPr>
              <w:jc w:val="center"/>
            </w:pPr>
            <w:r>
              <w:t>覆土后可复垦为草地</w:t>
            </w:r>
          </w:p>
        </w:tc>
      </w:tr>
    </w:tbl>
    <w:p w14:paraId="0C171419">
      <w:pPr>
        <w:jc w:val="center"/>
        <w:rPr>
          <w:rFonts w:eastAsiaTheme="minorEastAsia"/>
          <w:b/>
          <w:szCs w:val="21"/>
        </w:rPr>
      </w:pPr>
      <w:r>
        <w:rPr>
          <w:rFonts w:eastAsiaTheme="minorEastAsia"/>
          <w:b/>
          <w:szCs w:val="21"/>
        </w:rPr>
        <w:t>表4-5边坡区边坡（P2评价单元）适宜性评价结果表</w:t>
      </w:r>
    </w:p>
    <w:tbl>
      <w:tblPr>
        <w:tblStyle w:val="29"/>
        <w:tblW w:w="84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3"/>
        <w:gridCol w:w="1297"/>
        <w:gridCol w:w="1266"/>
        <w:gridCol w:w="1701"/>
        <w:gridCol w:w="1716"/>
      </w:tblGrid>
      <w:tr w14:paraId="4C504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473" w:type="dxa"/>
            <w:vAlign w:val="center"/>
          </w:tcPr>
          <w:p w14:paraId="591077F6">
            <w:pPr>
              <w:jc w:val="center"/>
              <w:rPr>
                <w:szCs w:val="21"/>
              </w:rPr>
            </w:pPr>
            <w:r>
              <w:rPr>
                <w:szCs w:val="21"/>
              </w:rPr>
              <w:t>土地质量状况</w:t>
            </w:r>
          </w:p>
        </w:tc>
        <w:tc>
          <w:tcPr>
            <w:tcW w:w="1297" w:type="dxa"/>
            <w:vAlign w:val="center"/>
          </w:tcPr>
          <w:p w14:paraId="14186809">
            <w:pPr>
              <w:jc w:val="center"/>
              <w:rPr>
                <w:szCs w:val="21"/>
              </w:rPr>
            </w:pPr>
            <w:r>
              <w:rPr>
                <w:szCs w:val="21"/>
              </w:rPr>
              <w:t>评价类型</w:t>
            </w:r>
          </w:p>
        </w:tc>
        <w:tc>
          <w:tcPr>
            <w:tcW w:w="1266" w:type="dxa"/>
            <w:vAlign w:val="center"/>
          </w:tcPr>
          <w:p w14:paraId="6BC02375">
            <w:pPr>
              <w:jc w:val="center"/>
              <w:rPr>
                <w:szCs w:val="21"/>
              </w:rPr>
            </w:pPr>
            <w:r>
              <w:rPr>
                <w:szCs w:val="21"/>
              </w:rPr>
              <w:t>适宜性</w:t>
            </w:r>
          </w:p>
        </w:tc>
        <w:tc>
          <w:tcPr>
            <w:tcW w:w="1701" w:type="dxa"/>
            <w:vAlign w:val="center"/>
          </w:tcPr>
          <w:p w14:paraId="5C46121B">
            <w:pPr>
              <w:jc w:val="center"/>
              <w:rPr>
                <w:szCs w:val="21"/>
              </w:rPr>
            </w:pPr>
            <w:r>
              <w:rPr>
                <w:szCs w:val="21"/>
              </w:rPr>
              <w:t>主要限制因子</w:t>
            </w:r>
          </w:p>
        </w:tc>
        <w:tc>
          <w:tcPr>
            <w:tcW w:w="1716" w:type="dxa"/>
            <w:vAlign w:val="center"/>
          </w:tcPr>
          <w:p w14:paraId="0567BE4E">
            <w:pPr>
              <w:jc w:val="center"/>
              <w:rPr>
                <w:szCs w:val="21"/>
              </w:rPr>
            </w:pPr>
            <w:r>
              <w:rPr>
                <w:szCs w:val="21"/>
              </w:rPr>
              <w:t>备注</w:t>
            </w:r>
          </w:p>
        </w:tc>
      </w:tr>
      <w:tr w14:paraId="1C58F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473" w:type="dxa"/>
            <w:vMerge w:val="restart"/>
            <w:vAlign w:val="center"/>
          </w:tcPr>
          <w:p w14:paraId="03DC63EA">
            <w:pPr>
              <w:jc w:val="center"/>
              <w:rPr>
                <w:szCs w:val="21"/>
              </w:rPr>
            </w:pPr>
            <w:r>
              <w:rPr>
                <w:szCs w:val="21"/>
              </w:rPr>
              <w:t>地面坡度＞45°；地表组成物质为</w:t>
            </w:r>
            <w:r>
              <w:t>岩土混合物</w:t>
            </w:r>
            <w:r>
              <w:rPr>
                <w:szCs w:val="21"/>
              </w:rPr>
              <w:t>；灌溉条件、水源保证差的干旱、半干旱土地；土源保证率100%</w:t>
            </w:r>
          </w:p>
        </w:tc>
        <w:tc>
          <w:tcPr>
            <w:tcW w:w="1297" w:type="dxa"/>
            <w:vAlign w:val="center"/>
          </w:tcPr>
          <w:p w14:paraId="7A1D7F96">
            <w:pPr>
              <w:jc w:val="center"/>
              <w:rPr>
                <w:szCs w:val="21"/>
              </w:rPr>
            </w:pPr>
            <w:r>
              <w:rPr>
                <w:szCs w:val="21"/>
              </w:rPr>
              <w:t>耕地评价</w:t>
            </w:r>
          </w:p>
        </w:tc>
        <w:tc>
          <w:tcPr>
            <w:tcW w:w="1266" w:type="dxa"/>
            <w:vAlign w:val="center"/>
          </w:tcPr>
          <w:p w14:paraId="1490E259">
            <w:pPr>
              <w:jc w:val="center"/>
              <w:rPr>
                <w:szCs w:val="21"/>
              </w:rPr>
            </w:pPr>
            <w:r>
              <w:rPr>
                <w:szCs w:val="21"/>
              </w:rPr>
              <w:t>N</w:t>
            </w:r>
          </w:p>
        </w:tc>
        <w:tc>
          <w:tcPr>
            <w:tcW w:w="1701" w:type="dxa"/>
            <w:vAlign w:val="center"/>
          </w:tcPr>
          <w:p w14:paraId="4D52D796">
            <w:pPr>
              <w:jc w:val="center"/>
              <w:rPr>
                <w:szCs w:val="21"/>
              </w:rPr>
            </w:pPr>
            <w:r>
              <w:t>地面坡度</w:t>
            </w:r>
          </w:p>
        </w:tc>
        <w:tc>
          <w:tcPr>
            <w:tcW w:w="1716" w:type="dxa"/>
            <w:vAlign w:val="center"/>
          </w:tcPr>
          <w:p w14:paraId="53D1B2C8">
            <w:pPr>
              <w:jc w:val="center"/>
              <w:rPr>
                <w:szCs w:val="21"/>
              </w:rPr>
            </w:pPr>
            <w:r>
              <w:rPr>
                <w:szCs w:val="21"/>
              </w:rPr>
              <w:t>不能复垦为旱地</w:t>
            </w:r>
          </w:p>
        </w:tc>
      </w:tr>
      <w:tr w14:paraId="4AE8D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473" w:type="dxa"/>
            <w:vMerge w:val="continue"/>
            <w:vAlign w:val="center"/>
          </w:tcPr>
          <w:p w14:paraId="7EF1A2D5">
            <w:pPr>
              <w:jc w:val="center"/>
              <w:rPr>
                <w:szCs w:val="21"/>
              </w:rPr>
            </w:pPr>
          </w:p>
        </w:tc>
        <w:tc>
          <w:tcPr>
            <w:tcW w:w="1297" w:type="dxa"/>
            <w:vAlign w:val="center"/>
          </w:tcPr>
          <w:p w14:paraId="57C8F2C5">
            <w:pPr>
              <w:jc w:val="center"/>
              <w:rPr>
                <w:szCs w:val="21"/>
              </w:rPr>
            </w:pPr>
            <w:r>
              <w:rPr>
                <w:szCs w:val="21"/>
              </w:rPr>
              <w:t>林地评价</w:t>
            </w:r>
          </w:p>
        </w:tc>
        <w:tc>
          <w:tcPr>
            <w:tcW w:w="1266" w:type="dxa"/>
            <w:vAlign w:val="center"/>
          </w:tcPr>
          <w:p w14:paraId="15D0CCB6">
            <w:pPr>
              <w:jc w:val="center"/>
              <w:rPr>
                <w:szCs w:val="21"/>
              </w:rPr>
            </w:pPr>
            <w:r>
              <w:rPr>
                <w:szCs w:val="21"/>
              </w:rPr>
              <w:t>3</w:t>
            </w:r>
          </w:p>
        </w:tc>
        <w:tc>
          <w:tcPr>
            <w:tcW w:w="1701" w:type="dxa"/>
            <w:vAlign w:val="center"/>
          </w:tcPr>
          <w:p w14:paraId="6836D2DE">
            <w:pPr>
              <w:jc w:val="center"/>
              <w:rPr>
                <w:szCs w:val="21"/>
              </w:rPr>
            </w:pPr>
            <w:r>
              <w:t>地面坡度</w:t>
            </w:r>
          </w:p>
        </w:tc>
        <w:tc>
          <w:tcPr>
            <w:tcW w:w="1716" w:type="dxa"/>
            <w:vAlign w:val="center"/>
          </w:tcPr>
          <w:p w14:paraId="13BB78EF">
            <w:pPr>
              <w:jc w:val="center"/>
              <w:rPr>
                <w:szCs w:val="21"/>
              </w:rPr>
            </w:pPr>
            <w:r>
              <w:rPr>
                <w:szCs w:val="21"/>
              </w:rPr>
              <w:t>复垦为林地难度较大</w:t>
            </w:r>
          </w:p>
        </w:tc>
      </w:tr>
      <w:tr w14:paraId="23B27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2473" w:type="dxa"/>
            <w:vMerge w:val="continue"/>
            <w:vAlign w:val="center"/>
          </w:tcPr>
          <w:p w14:paraId="62780E82">
            <w:pPr>
              <w:jc w:val="center"/>
              <w:rPr>
                <w:szCs w:val="21"/>
              </w:rPr>
            </w:pPr>
          </w:p>
        </w:tc>
        <w:tc>
          <w:tcPr>
            <w:tcW w:w="1297" w:type="dxa"/>
            <w:vAlign w:val="center"/>
          </w:tcPr>
          <w:p w14:paraId="204DDA61">
            <w:pPr>
              <w:jc w:val="center"/>
              <w:rPr>
                <w:szCs w:val="21"/>
              </w:rPr>
            </w:pPr>
            <w:r>
              <w:rPr>
                <w:szCs w:val="21"/>
              </w:rPr>
              <w:t>草地评价</w:t>
            </w:r>
          </w:p>
        </w:tc>
        <w:tc>
          <w:tcPr>
            <w:tcW w:w="1266" w:type="dxa"/>
            <w:vAlign w:val="center"/>
          </w:tcPr>
          <w:p w14:paraId="0309D0E4">
            <w:pPr>
              <w:jc w:val="center"/>
              <w:rPr>
                <w:szCs w:val="21"/>
              </w:rPr>
            </w:pPr>
            <w:r>
              <w:rPr>
                <w:szCs w:val="21"/>
              </w:rPr>
              <w:t>2</w:t>
            </w:r>
          </w:p>
        </w:tc>
        <w:tc>
          <w:tcPr>
            <w:tcW w:w="1701" w:type="dxa"/>
            <w:vAlign w:val="center"/>
          </w:tcPr>
          <w:p w14:paraId="7F2702B4">
            <w:pPr>
              <w:jc w:val="center"/>
              <w:rPr>
                <w:szCs w:val="21"/>
              </w:rPr>
            </w:pPr>
            <w:r>
              <w:t>地面坡度</w:t>
            </w:r>
          </w:p>
        </w:tc>
        <w:tc>
          <w:tcPr>
            <w:tcW w:w="1716" w:type="dxa"/>
            <w:vAlign w:val="center"/>
          </w:tcPr>
          <w:p w14:paraId="6D6868A2">
            <w:pPr>
              <w:jc w:val="center"/>
              <w:rPr>
                <w:szCs w:val="21"/>
              </w:rPr>
            </w:pPr>
            <w:r>
              <w:rPr>
                <w:szCs w:val="21"/>
              </w:rPr>
              <w:t>可复垦为草地</w:t>
            </w:r>
          </w:p>
        </w:tc>
      </w:tr>
    </w:tbl>
    <w:p w14:paraId="75EC7662">
      <w:pPr>
        <w:jc w:val="center"/>
        <w:rPr>
          <w:rFonts w:eastAsiaTheme="minorEastAsia"/>
          <w:b/>
          <w:szCs w:val="21"/>
        </w:rPr>
      </w:pPr>
    </w:p>
    <w:p w14:paraId="72B5AE49">
      <w:pPr>
        <w:jc w:val="center"/>
        <w:rPr>
          <w:rFonts w:eastAsiaTheme="minorEastAsia"/>
          <w:b/>
          <w:szCs w:val="21"/>
        </w:rPr>
      </w:pPr>
      <w:r>
        <w:rPr>
          <w:rFonts w:eastAsiaTheme="minorEastAsia"/>
          <w:b/>
          <w:szCs w:val="21"/>
        </w:rPr>
        <w:t>表4-6边坡区平台（P3评价单元）适宜性评价结果表</w:t>
      </w:r>
    </w:p>
    <w:tbl>
      <w:tblPr>
        <w:tblStyle w:val="29"/>
        <w:tblW w:w="84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73"/>
        <w:gridCol w:w="1297"/>
        <w:gridCol w:w="1266"/>
        <w:gridCol w:w="1701"/>
        <w:gridCol w:w="1716"/>
      </w:tblGrid>
      <w:tr w14:paraId="6A0E3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473" w:type="dxa"/>
            <w:vAlign w:val="center"/>
          </w:tcPr>
          <w:p w14:paraId="7C09B53C">
            <w:pPr>
              <w:jc w:val="center"/>
              <w:rPr>
                <w:szCs w:val="21"/>
              </w:rPr>
            </w:pPr>
            <w:r>
              <w:rPr>
                <w:szCs w:val="21"/>
              </w:rPr>
              <w:t>土地质量状况</w:t>
            </w:r>
          </w:p>
        </w:tc>
        <w:tc>
          <w:tcPr>
            <w:tcW w:w="1297" w:type="dxa"/>
            <w:vAlign w:val="center"/>
          </w:tcPr>
          <w:p w14:paraId="05FCF6DF">
            <w:pPr>
              <w:jc w:val="center"/>
              <w:rPr>
                <w:szCs w:val="21"/>
              </w:rPr>
            </w:pPr>
            <w:r>
              <w:rPr>
                <w:szCs w:val="21"/>
              </w:rPr>
              <w:t>评价类型</w:t>
            </w:r>
          </w:p>
        </w:tc>
        <w:tc>
          <w:tcPr>
            <w:tcW w:w="1266" w:type="dxa"/>
            <w:vAlign w:val="center"/>
          </w:tcPr>
          <w:p w14:paraId="7868D8C5">
            <w:pPr>
              <w:jc w:val="center"/>
              <w:rPr>
                <w:szCs w:val="21"/>
              </w:rPr>
            </w:pPr>
            <w:r>
              <w:rPr>
                <w:szCs w:val="21"/>
              </w:rPr>
              <w:t>适宜性</w:t>
            </w:r>
          </w:p>
        </w:tc>
        <w:tc>
          <w:tcPr>
            <w:tcW w:w="1701" w:type="dxa"/>
            <w:vAlign w:val="center"/>
          </w:tcPr>
          <w:p w14:paraId="3CB3CC60">
            <w:pPr>
              <w:jc w:val="center"/>
              <w:rPr>
                <w:szCs w:val="21"/>
              </w:rPr>
            </w:pPr>
            <w:r>
              <w:rPr>
                <w:szCs w:val="21"/>
              </w:rPr>
              <w:t>主要限制因子</w:t>
            </w:r>
          </w:p>
        </w:tc>
        <w:tc>
          <w:tcPr>
            <w:tcW w:w="1716" w:type="dxa"/>
            <w:vAlign w:val="center"/>
          </w:tcPr>
          <w:p w14:paraId="64612F60">
            <w:pPr>
              <w:jc w:val="center"/>
              <w:rPr>
                <w:szCs w:val="21"/>
              </w:rPr>
            </w:pPr>
            <w:r>
              <w:rPr>
                <w:szCs w:val="21"/>
              </w:rPr>
              <w:t>备注</w:t>
            </w:r>
          </w:p>
        </w:tc>
      </w:tr>
      <w:tr w14:paraId="0740B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473" w:type="dxa"/>
            <w:vMerge w:val="restart"/>
            <w:vAlign w:val="center"/>
          </w:tcPr>
          <w:p w14:paraId="05F244C2">
            <w:pPr>
              <w:jc w:val="center"/>
              <w:rPr>
                <w:szCs w:val="21"/>
              </w:rPr>
            </w:pPr>
            <w:r>
              <w:rPr>
                <w:szCs w:val="21"/>
              </w:rPr>
              <w:t>地面坡度</w:t>
            </w:r>
            <w:r>
              <w:t>＜5°</w:t>
            </w:r>
            <w:r>
              <w:rPr>
                <w:szCs w:val="21"/>
              </w:rPr>
              <w:t>；地表组成物质为</w:t>
            </w:r>
            <w:r>
              <w:t>岩土混合物</w:t>
            </w:r>
            <w:r>
              <w:rPr>
                <w:szCs w:val="21"/>
              </w:rPr>
              <w:t>；灌溉条件、水源保证差的干旱、半干旱土地；土源保证率100%</w:t>
            </w:r>
          </w:p>
        </w:tc>
        <w:tc>
          <w:tcPr>
            <w:tcW w:w="1297" w:type="dxa"/>
            <w:vAlign w:val="center"/>
          </w:tcPr>
          <w:p w14:paraId="0D142EC3">
            <w:pPr>
              <w:jc w:val="center"/>
              <w:rPr>
                <w:szCs w:val="21"/>
              </w:rPr>
            </w:pPr>
            <w:r>
              <w:rPr>
                <w:szCs w:val="21"/>
              </w:rPr>
              <w:t>耕地评价</w:t>
            </w:r>
          </w:p>
        </w:tc>
        <w:tc>
          <w:tcPr>
            <w:tcW w:w="1266" w:type="dxa"/>
            <w:vAlign w:val="center"/>
          </w:tcPr>
          <w:p w14:paraId="6B4BC438">
            <w:pPr>
              <w:jc w:val="center"/>
              <w:rPr>
                <w:szCs w:val="21"/>
              </w:rPr>
            </w:pPr>
            <w:r>
              <w:rPr>
                <w:szCs w:val="21"/>
              </w:rPr>
              <w:t>3</w:t>
            </w:r>
          </w:p>
        </w:tc>
        <w:tc>
          <w:tcPr>
            <w:tcW w:w="1701" w:type="dxa"/>
            <w:vAlign w:val="center"/>
          </w:tcPr>
          <w:p w14:paraId="243B343C">
            <w:pPr>
              <w:jc w:val="center"/>
              <w:rPr>
                <w:szCs w:val="21"/>
              </w:rPr>
            </w:pPr>
            <w:r>
              <w:rPr>
                <w:szCs w:val="21"/>
              </w:rPr>
              <w:t>地表组成物质</w:t>
            </w:r>
          </w:p>
        </w:tc>
        <w:tc>
          <w:tcPr>
            <w:tcW w:w="1716" w:type="dxa"/>
            <w:vAlign w:val="center"/>
          </w:tcPr>
          <w:p w14:paraId="79FCC982">
            <w:pPr>
              <w:jc w:val="center"/>
              <w:rPr>
                <w:szCs w:val="21"/>
              </w:rPr>
            </w:pPr>
            <w:r>
              <w:rPr>
                <w:szCs w:val="21"/>
              </w:rPr>
              <w:t>不宜复垦为旱地</w:t>
            </w:r>
          </w:p>
        </w:tc>
      </w:tr>
      <w:tr w14:paraId="0DAD8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2473" w:type="dxa"/>
            <w:vMerge w:val="continue"/>
            <w:vAlign w:val="center"/>
          </w:tcPr>
          <w:p w14:paraId="74359872">
            <w:pPr>
              <w:jc w:val="center"/>
              <w:rPr>
                <w:szCs w:val="21"/>
              </w:rPr>
            </w:pPr>
          </w:p>
        </w:tc>
        <w:tc>
          <w:tcPr>
            <w:tcW w:w="1297" w:type="dxa"/>
            <w:vAlign w:val="center"/>
          </w:tcPr>
          <w:p w14:paraId="27AD5124">
            <w:pPr>
              <w:jc w:val="center"/>
              <w:rPr>
                <w:szCs w:val="21"/>
              </w:rPr>
            </w:pPr>
            <w:r>
              <w:rPr>
                <w:szCs w:val="21"/>
              </w:rPr>
              <w:t>林地评价</w:t>
            </w:r>
          </w:p>
        </w:tc>
        <w:tc>
          <w:tcPr>
            <w:tcW w:w="1266" w:type="dxa"/>
            <w:vAlign w:val="center"/>
          </w:tcPr>
          <w:p w14:paraId="0D204052">
            <w:pPr>
              <w:jc w:val="center"/>
              <w:rPr>
                <w:szCs w:val="21"/>
              </w:rPr>
            </w:pPr>
            <w:r>
              <w:rPr>
                <w:szCs w:val="21"/>
              </w:rPr>
              <w:t>2</w:t>
            </w:r>
          </w:p>
        </w:tc>
        <w:tc>
          <w:tcPr>
            <w:tcW w:w="1701" w:type="dxa"/>
            <w:vAlign w:val="center"/>
          </w:tcPr>
          <w:p w14:paraId="0CDA43D4">
            <w:pPr>
              <w:jc w:val="center"/>
              <w:rPr>
                <w:szCs w:val="21"/>
              </w:rPr>
            </w:pPr>
            <w:r>
              <w:rPr>
                <w:szCs w:val="21"/>
              </w:rPr>
              <w:t>地表组成物质</w:t>
            </w:r>
          </w:p>
        </w:tc>
        <w:tc>
          <w:tcPr>
            <w:tcW w:w="1716" w:type="dxa"/>
            <w:vAlign w:val="center"/>
          </w:tcPr>
          <w:p w14:paraId="40BDE63F">
            <w:pPr>
              <w:jc w:val="center"/>
            </w:pPr>
            <w:r>
              <w:t>覆土后可复垦为林地</w:t>
            </w:r>
          </w:p>
        </w:tc>
      </w:tr>
      <w:tr w14:paraId="77073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2473" w:type="dxa"/>
            <w:vMerge w:val="continue"/>
            <w:vAlign w:val="center"/>
          </w:tcPr>
          <w:p w14:paraId="3F3CE946">
            <w:pPr>
              <w:jc w:val="center"/>
              <w:rPr>
                <w:szCs w:val="21"/>
              </w:rPr>
            </w:pPr>
          </w:p>
        </w:tc>
        <w:tc>
          <w:tcPr>
            <w:tcW w:w="1297" w:type="dxa"/>
            <w:vAlign w:val="center"/>
          </w:tcPr>
          <w:p w14:paraId="15279106">
            <w:pPr>
              <w:jc w:val="center"/>
              <w:rPr>
                <w:szCs w:val="21"/>
              </w:rPr>
            </w:pPr>
            <w:r>
              <w:rPr>
                <w:szCs w:val="21"/>
              </w:rPr>
              <w:t>草地评价</w:t>
            </w:r>
          </w:p>
        </w:tc>
        <w:tc>
          <w:tcPr>
            <w:tcW w:w="1266" w:type="dxa"/>
            <w:vAlign w:val="center"/>
          </w:tcPr>
          <w:p w14:paraId="2DC87BF5">
            <w:pPr>
              <w:jc w:val="center"/>
              <w:rPr>
                <w:szCs w:val="21"/>
              </w:rPr>
            </w:pPr>
            <w:r>
              <w:rPr>
                <w:szCs w:val="21"/>
              </w:rPr>
              <w:t>2</w:t>
            </w:r>
          </w:p>
        </w:tc>
        <w:tc>
          <w:tcPr>
            <w:tcW w:w="1701" w:type="dxa"/>
            <w:vAlign w:val="center"/>
          </w:tcPr>
          <w:p w14:paraId="313727E3">
            <w:pPr>
              <w:jc w:val="center"/>
              <w:rPr>
                <w:szCs w:val="21"/>
              </w:rPr>
            </w:pPr>
            <w:r>
              <w:rPr>
                <w:szCs w:val="21"/>
              </w:rPr>
              <w:t>地表组成物质</w:t>
            </w:r>
          </w:p>
        </w:tc>
        <w:tc>
          <w:tcPr>
            <w:tcW w:w="1716" w:type="dxa"/>
            <w:vAlign w:val="center"/>
          </w:tcPr>
          <w:p w14:paraId="664B7F38">
            <w:pPr>
              <w:jc w:val="center"/>
            </w:pPr>
            <w:r>
              <w:t>覆土后可复垦为草地</w:t>
            </w:r>
          </w:p>
        </w:tc>
      </w:tr>
    </w:tbl>
    <w:p w14:paraId="7CB6D935">
      <w:pPr>
        <w:spacing w:line="360" w:lineRule="auto"/>
        <w:ind w:firstLine="480" w:firstLineChars="200"/>
        <w:rPr>
          <w:sz w:val="24"/>
          <w:lang w:val="zh-CN"/>
        </w:rPr>
      </w:pPr>
      <w:r>
        <w:rPr>
          <w:sz w:val="24"/>
          <w:lang w:val="zh-CN"/>
        </w:rPr>
        <w:t>5）土地复垦适宜性评价结果分析</w:t>
      </w:r>
    </w:p>
    <w:p w14:paraId="04A3B035">
      <w:pPr>
        <w:spacing w:line="360" w:lineRule="auto"/>
        <w:ind w:firstLine="480" w:firstLineChars="200"/>
        <w:jc w:val="left"/>
        <w:rPr>
          <w:sz w:val="24"/>
          <w:lang w:val="zh-CN"/>
        </w:rPr>
      </w:pPr>
      <w:r>
        <w:rPr>
          <w:sz w:val="24"/>
          <w:lang w:val="zh-CN"/>
        </w:rPr>
        <w:t>由评价过程可以看出，整个复垦区待复垦土地存在一定的多宜性，最终的复垦利用方向需要综合考虑多方面的因素。本方案的土地复垦适宜性评价共划分3个单元，针对评价单元的特征，分别采用不同的评价方法对涉及到的评价单元进行适宜性等级评定。结果如下表4-7。</w:t>
      </w:r>
    </w:p>
    <w:p w14:paraId="775C34A1">
      <w:pPr>
        <w:jc w:val="center"/>
        <w:rPr>
          <w:rFonts w:eastAsiaTheme="minorEastAsia"/>
          <w:b/>
          <w:szCs w:val="21"/>
        </w:rPr>
      </w:pPr>
      <w:r>
        <w:rPr>
          <w:rFonts w:eastAsiaTheme="minorEastAsia"/>
          <w:b/>
          <w:szCs w:val="21"/>
        </w:rPr>
        <w:t>表4-7矿山土地复垦适宜性评价等级结果表</w:t>
      </w:r>
    </w:p>
    <w:tbl>
      <w:tblPr>
        <w:tblStyle w:val="29"/>
        <w:tblW w:w="8692" w:type="dxa"/>
        <w:jc w:val="center"/>
        <w:tblLayout w:type="fixed"/>
        <w:tblCellMar>
          <w:top w:w="15" w:type="dxa"/>
          <w:left w:w="15" w:type="dxa"/>
          <w:bottom w:w="15" w:type="dxa"/>
          <w:right w:w="15" w:type="dxa"/>
        </w:tblCellMar>
      </w:tblPr>
      <w:tblGrid>
        <w:gridCol w:w="852"/>
        <w:gridCol w:w="2243"/>
        <w:gridCol w:w="1208"/>
        <w:gridCol w:w="701"/>
        <w:gridCol w:w="978"/>
        <w:gridCol w:w="1118"/>
        <w:gridCol w:w="1592"/>
      </w:tblGrid>
      <w:tr w14:paraId="2D71203E">
        <w:tblPrEx>
          <w:tblCellMar>
            <w:top w:w="15" w:type="dxa"/>
            <w:left w:w="15" w:type="dxa"/>
            <w:bottom w:w="15" w:type="dxa"/>
            <w:right w:w="15" w:type="dxa"/>
          </w:tblCellMar>
        </w:tblPrEx>
        <w:trPr>
          <w:trHeight w:val="418" w:hRule="atLeast"/>
          <w:jc w:val="center"/>
        </w:trPr>
        <w:tc>
          <w:tcPr>
            <w:tcW w:w="4303" w:type="dxa"/>
            <w:gridSpan w:val="3"/>
            <w:tcBorders>
              <w:top w:val="single" w:color="000000" w:sz="4" w:space="0"/>
              <w:left w:val="single" w:color="000000" w:sz="4" w:space="0"/>
              <w:bottom w:val="single" w:color="000000" w:sz="4" w:space="0"/>
              <w:right w:val="single" w:color="000000" w:sz="4" w:space="0"/>
            </w:tcBorders>
            <w:vAlign w:val="center"/>
          </w:tcPr>
          <w:p w14:paraId="597E9BD3">
            <w:pPr>
              <w:jc w:val="center"/>
            </w:pPr>
            <w:r>
              <w:t>评价单元</w:t>
            </w:r>
          </w:p>
        </w:tc>
        <w:tc>
          <w:tcPr>
            <w:tcW w:w="2797" w:type="dxa"/>
            <w:gridSpan w:val="3"/>
            <w:tcBorders>
              <w:top w:val="single" w:color="000000" w:sz="4" w:space="0"/>
              <w:left w:val="single" w:color="000000" w:sz="4" w:space="0"/>
              <w:bottom w:val="single" w:color="000000" w:sz="4" w:space="0"/>
              <w:right w:val="single" w:color="000000" w:sz="4" w:space="0"/>
            </w:tcBorders>
            <w:vAlign w:val="center"/>
          </w:tcPr>
          <w:p w14:paraId="04919178">
            <w:pPr>
              <w:jc w:val="center"/>
            </w:pPr>
            <w:r>
              <w:t>适宜性等级</w:t>
            </w:r>
          </w:p>
        </w:tc>
        <w:tc>
          <w:tcPr>
            <w:tcW w:w="1592" w:type="dxa"/>
            <w:vMerge w:val="restart"/>
            <w:tcBorders>
              <w:top w:val="single" w:color="000000" w:sz="4" w:space="0"/>
              <w:left w:val="single" w:color="000000" w:sz="4" w:space="0"/>
              <w:bottom w:val="single" w:color="000000" w:sz="4" w:space="0"/>
              <w:right w:val="single" w:color="000000" w:sz="4" w:space="0"/>
            </w:tcBorders>
            <w:vAlign w:val="center"/>
          </w:tcPr>
          <w:p w14:paraId="67CA839B">
            <w:pPr>
              <w:jc w:val="center"/>
            </w:pPr>
            <w:r>
              <w:t>限制因子/备注</w:t>
            </w:r>
          </w:p>
        </w:tc>
      </w:tr>
      <w:tr w14:paraId="1F564610">
        <w:tblPrEx>
          <w:tblCellMar>
            <w:top w:w="15" w:type="dxa"/>
            <w:left w:w="15" w:type="dxa"/>
            <w:bottom w:w="15" w:type="dxa"/>
            <w:right w:w="15" w:type="dxa"/>
          </w:tblCellMar>
        </w:tblPrEx>
        <w:trPr>
          <w:trHeight w:val="429" w:hRule="atLeast"/>
          <w:jc w:val="center"/>
        </w:trPr>
        <w:tc>
          <w:tcPr>
            <w:tcW w:w="852" w:type="dxa"/>
            <w:tcBorders>
              <w:top w:val="single" w:color="000000" w:sz="4" w:space="0"/>
              <w:left w:val="single" w:color="000000" w:sz="4" w:space="0"/>
              <w:bottom w:val="single" w:color="000000" w:sz="4" w:space="0"/>
              <w:right w:val="single" w:color="000000" w:sz="4" w:space="0"/>
            </w:tcBorders>
            <w:vAlign w:val="center"/>
          </w:tcPr>
          <w:p w14:paraId="1E604CA1">
            <w:pPr>
              <w:jc w:val="center"/>
            </w:pPr>
            <w:r>
              <w:t>编号</w:t>
            </w:r>
          </w:p>
        </w:tc>
        <w:tc>
          <w:tcPr>
            <w:tcW w:w="2243" w:type="dxa"/>
            <w:tcBorders>
              <w:top w:val="single" w:color="000000" w:sz="4" w:space="0"/>
              <w:left w:val="single" w:color="000000" w:sz="4" w:space="0"/>
              <w:bottom w:val="single" w:color="000000" w:sz="4" w:space="0"/>
              <w:right w:val="single" w:color="000000" w:sz="4" w:space="0"/>
            </w:tcBorders>
            <w:vAlign w:val="center"/>
          </w:tcPr>
          <w:p w14:paraId="47122F7F">
            <w:pPr>
              <w:jc w:val="center"/>
            </w:pPr>
            <w:r>
              <w:t>名称</w:t>
            </w:r>
          </w:p>
        </w:tc>
        <w:tc>
          <w:tcPr>
            <w:tcW w:w="1208" w:type="dxa"/>
            <w:tcBorders>
              <w:top w:val="single" w:color="000000" w:sz="4" w:space="0"/>
              <w:left w:val="single" w:color="000000" w:sz="4" w:space="0"/>
              <w:bottom w:val="single" w:color="000000" w:sz="4" w:space="0"/>
              <w:right w:val="single" w:color="000000" w:sz="4" w:space="0"/>
            </w:tcBorders>
            <w:vAlign w:val="center"/>
          </w:tcPr>
          <w:p w14:paraId="5CF6AAC4">
            <w:pPr>
              <w:jc w:val="center"/>
            </w:pPr>
            <w:r>
              <w:t>面积（hm</w:t>
            </w:r>
            <w:r>
              <w:rPr>
                <w:vertAlign w:val="superscript"/>
              </w:rPr>
              <w:t>2</w:t>
            </w:r>
            <w:r>
              <w:t>）</w:t>
            </w:r>
          </w:p>
        </w:tc>
        <w:tc>
          <w:tcPr>
            <w:tcW w:w="701" w:type="dxa"/>
            <w:tcBorders>
              <w:top w:val="single" w:color="000000" w:sz="4" w:space="0"/>
              <w:left w:val="single" w:color="000000" w:sz="4" w:space="0"/>
              <w:bottom w:val="single" w:color="000000" w:sz="4" w:space="0"/>
              <w:right w:val="single" w:color="000000" w:sz="4" w:space="0"/>
            </w:tcBorders>
            <w:vAlign w:val="center"/>
          </w:tcPr>
          <w:p w14:paraId="0188C4F1">
            <w:pPr>
              <w:jc w:val="center"/>
            </w:pPr>
            <w:r>
              <w:t>耕</w:t>
            </w:r>
          </w:p>
        </w:tc>
        <w:tc>
          <w:tcPr>
            <w:tcW w:w="978" w:type="dxa"/>
            <w:tcBorders>
              <w:top w:val="single" w:color="000000" w:sz="4" w:space="0"/>
              <w:left w:val="single" w:color="000000" w:sz="4" w:space="0"/>
              <w:bottom w:val="single" w:color="000000" w:sz="4" w:space="0"/>
              <w:right w:val="single" w:color="000000" w:sz="4" w:space="0"/>
            </w:tcBorders>
            <w:vAlign w:val="center"/>
          </w:tcPr>
          <w:p w14:paraId="49D91A73">
            <w:pPr>
              <w:jc w:val="center"/>
            </w:pPr>
            <w:r>
              <w:t>林</w:t>
            </w:r>
          </w:p>
        </w:tc>
        <w:tc>
          <w:tcPr>
            <w:tcW w:w="1118" w:type="dxa"/>
            <w:tcBorders>
              <w:top w:val="single" w:color="000000" w:sz="4" w:space="0"/>
              <w:left w:val="single" w:color="000000" w:sz="4" w:space="0"/>
              <w:bottom w:val="single" w:color="000000" w:sz="4" w:space="0"/>
              <w:right w:val="single" w:color="000000" w:sz="4" w:space="0"/>
            </w:tcBorders>
            <w:vAlign w:val="center"/>
          </w:tcPr>
          <w:p w14:paraId="3C802DE2">
            <w:pPr>
              <w:jc w:val="center"/>
            </w:pPr>
            <w:r>
              <w:t>草</w:t>
            </w:r>
          </w:p>
        </w:tc>
        <w:tc>
          <w:tcPr>
            <w:tcW w:w="1592" w:type="dxa"/>
            <w:vMerge w:val="continue"/>
            <w:tcBorders>
              <w:top w:val="single" w:color="000000" w:sz="4" w:space="0"/>
              <w:left w:val="single" w:color="000000" w:sz="4" w:space="0"/>
              <w:bottom w:val="single" w:color="000000" w:sz="4" w:space="0"/>
              <w:right w:val="single" w:color="000000" w:sz="4" w:space="0"/>
            </w:tcBorders>
            <w:vAlign w:val="center"/>
          </w:tcPr>
          <w:p w14:paraId="5004CA78">
            <w:pPr>
              <w:jc w:val="center"/>
            </w:pPr>
          </w:p>
        </w:tc>
      </w:tr>
      <w:tr w14:paraId="3681A22B">
        <w:tblPrEx>
          <w:tblCellMar>
            <w:top w:w="15" w:type="dxa"/>
            <w:left w:w="15" w:type="dxa"/>
            <w:bottom w:w="15" w:type="dxa"/>
            <w:right w:w="15" w:type="dxa"/>
          </w:tblCellMar>
        </w:tblPrEx>
        <w:trPr>
          <w:trHeight w:val="554" w:hRule="atLeast"/>
          <w:jc w:val="center"/>
        </w:trPr>
        <w:tc>
          <w:tcPr>
            <w:tcW w:w="852" w:type="dxa"/>
            <w:tcBorders>
              <w:top w:val="single" w:color="000000" w:sz="4" w:space="0"/>
              <w:left w:val="single" w:color="000000" w:sz="4" w:space="0"/>
              <w:bottom w:val="single" w:color="000000" w:sz="4" w:space="0"/>
              <w:right w:val="single" w:color="000000" w:sz="4" w:space="0"/>
            </w:tcBorders>
            <w:vAlign w:val="center"/>
          </w:tcPr>
          <w:p w14:paraId="2FB7A153">
            <w:pPr>
              <w:jc w:val="center"/>
            </w:pPr>
            <w:r>
              <w:t>P1</w:t>
            </w:r>
          </w:p>
        </w:tc>
        <w:tc>
          <w:tcPr>
            <w:tcW w:w="2243" w:type="dxa"/>
            <w:tcBorders>
              <w:top w:val="single" w:color="000000" w:sz="4" w:space="0"/>
              <w:left w:val="single" w:color="000000" w:sz="4" w:space="0"/>
              <w:bottom w:val="single" w:color="000000" w:sz="4" w:space="0"/>
              <w:right w:val="single" w:color="000000" w:sz="4" w:space="0"/>
            </w:tcBorders>
            <w:vAlign w:val="center"/>
          </w:tcPr>
          <w:p w14:paraId="6E96777D">
            <w:pPr>
              <w:jc w:val="center"/>
            </w:pPr>
            <w:r>
              <w:t>工业广场</w:t>
            </w:r>
          </w:p>
        </w:tc>
        <w:tc>
          <w:tcPr>
            <w:tcW w:w="1208" w:type="dxa"/>
            <w:tcBorders>
              <w:top w:val="single" w:color="000000" w:sz="4" w:space="0"/>
              <w:left w:val="single" w:color="000000" w:sz="4" w:space="0"/>
              <w:bottom w:val="single" w:color="000000" w:sz="4" w:space="0"/>
              <w:right w:val="single" w:color="000000" w:sz="4" w:space="0"/>
            </w:tcBorders>
            <w:vAlign w:val="center"/>
          </w:tcPr>
          <w:p w14:paraId="3E50DF4D">
            <w:pPr>
              <w:jc w:val="center"/>
            </w:pPr>
            <w:r>
              <w:t>1.8545</w:t>
            </w:r>
          </w:p>
        </w:tc>
        <w:tc>
          <w:tcPr>
            <w:tcW w:w="701" w:type="dxa"/>
            <w:tcBorders>
              <w:top w:val="single" w:color="000000" w:sz="4" w:space="0"/>
              <w:left w:val="single" w:color="000000" w:sz="4" w:space="0"/>
              <w:bottom w:val="single" w:color="000000" w:sz="4" w:space="0"/>
              <w:right w:val="single" w:color="000000" w:sz="4" w:space="0"/>
            </w:tcBorders>
            <w:vAlign w:val="center"/>
          </w:tcPr>
          <w:p w14:paraId="01C18301">
            <w:pPr>
              <w:jc w:val="center"/>
            </w:pPr>
            <w:r>
              <w:t>1等</w:t>
            </w:r>
          </w:p>
        </w:tc>
        <w:tc>
          <w:tcPr>
            <w:tcW w:w="978" w:type="dxa"/>
            <w:tcBorders>
              <w:top w:val="single" w:color="000000" w:sz="4" w:space="0"/>
              <w:left w:val="single" w:color="000000" w:sz="4" w:space="0"/>
              <w:bottom w:val="single" w:color="000000" w:sz="4" w:space="0"/>
              <w:right w:val="single" w:color="000000" w:sz="4" w:space="0"/>
            </w:tcBorders>
            <w:vAlign w:val="center"/>
          </w:tcPr>
          <w:p w14:paraId="0ED4EEB0">
            <w:pPr>
              <w:jc w:val="center"/>
            </w:pPr>
            <w:r>
              <w:t>1等</w:t>
            </w:r>
          </w:p>
        </w:tc>
        <w:tc>
          <w:tcPr>
            <w:tcW w:w="1118" w:type="dxa"/>
            <w:tcBorders>
              <w:top w:val="single" w:color="000000" w:sz="4" w:space="0"/>
              <w:left w:val="single" w:color="000000" w:sz="4" w:space="0"/>
              <w:bottom w:val="single" w:color="000000" w:sz="4" w:space="0"/>
              <w:right w:val="single" w:color="000000" w:sz="4" w:space="0"/>
            </w:tcBorders>
            <w:vAlign w:val="center"/>
          </w:tcPr>
          <w:p w14:paraId="295B93D0">
            <w:pPr>
              <w:jc w:val="center"/>
            </w:pPr>
            <w:r>
              <w:t>1等</w:t>
            </w:r>
          </w:p>
        </w:tc>
        <w:tc>
          <w:tcPr>
            <w:tcW w:w="1592" w:type="dxa"/>
            <w:tcBorders>
              <w:top w:val="single" w:color="000000" w:sz="4" w:space="0"/>
              <w:left w:val="single" w:color="000000" w:sz="4" w:space="0"/>
              <w:bottom w:val="single" w:color="000000" w:sz="4" w:space="0"/>
              <w:right w:val="single" w:color="000000" w:sz="4" w:space="0"/>
            </w:tcBorders>
            <w:vAlign w:val="center"/>
          </w:tcPr>
          <w:p w14:paraId="10CEB8C2">
            <w:pPr>
              <w:jc w:val="center"/>
            </w:pPr>
            <w:r>
              <w:t>灌溉条件</w:t>
            </w:r>
          </w:p>
        </w:tc>
      </w:tr>
      <w:tr w14:paraId="40A9F84E">
        <w:tblPrEx>
          <w:tblCellMar>
            <w:top w:w="15" w:type="dxa"/>
            <w:left w:w="15" w:type="dxa"/>
            <w:bottom w:w="15" w:type="dxa"/>
            <w:right w:w="15" w:type="dxa"/>
          </w:tblCellMar>
        </w:tblPrEx>
        <w:trPr>
          <w:trHeight w:val="554" w:hRule="atLeast"/>
          <w:jc w:val="center"/>
        </w:trPr>
        <w:tc>
          <w:tcPr>
            <w:tcW w:w="852" w:type="dxa"/>
            <w:tcBorders>
              <w:top w:val="single" w:color="000000" w:sz="4" w:space="0"/>
              <w:left w:val="single" w:color="000000" w:sz="4" w:space="0"/>
              <w:bottom w:val="single" w:color="000000" w:sz="4" w:space="0"/>
              <w:right w:val="single" w:color="000000" w:sz="4" w:space="0"/>
            </w:tcBorders>
            <w:vAlign w:val="center"/>
          </w:tcPr>
          <w:p w14:paraId="33098A17">
            <w:pPr>
              <w:jc w:val="center"/>
            </w:pPr>
            <w:r>
              <w:t>P2</w:t>
            </w:r>
          </w:p>
        </w:tc>
        <w:tc>
          <w:tcPr>
            <w:tcW w:w="2243" w:type="dxa"/>
            <w:tcBorders>
              <w:top w:val="single" w:color="000000" w:sz="4" w:space="0"/>
              <w:left w:val="single" w:color="000000" w:sz="4" w:space="0"/>
              <w:bottom w:val="single" w:color="000000" w:sz="4" w:space="0"/>
              <w:right w:val="single" w:color="000000" w:sz="4" w:space="0"/>
            </w:tcBorders>
            <w:vAlign w:val="center"/>
          </w:tcPr>
          <w:p w14:paraId="4EBB24AE">
            <w:pPr>
              <w:jc w:val="center"/>
            </w:pPr>
            <w:r>
              <w:t>边坡区边坡</w:t>
            </w:r>
          </w:p>
        </w:tc>
        <w:tc>
          <w:tcPr>
            <w:tcW w:w="1208" w:type="dxa"/>
            <w:tcBorders>
              <w:top w:val="single" w:color="000000" w:sz="4" w:space="0"/>
              <w:left w:val="single" w:color="000000" w:sz="4" w:space="0"/>
              <w:bottom w:val="single" w:color="000000" w:sz="4" w:space="0"/>
              <w:right w:val="single" w:color="000000" w:sz="4" w:space="0"/>
            </w:tcBorders>
            <w:vAlign w:val="center"/>
          </w:tcPr>
          <w:p w14:paraId="25B86B91">
            <w:pPr>
              <w:jc w:val="center"/>
            </w:pPr>
            <w:r>
              <w:t>0.1951</w:t>
            </w:r>
          </w:p>
        </w:tc>
        <w:tc>
          <w:tcPr>
            <w:tcW w:w="701" w:type="dxa"/>
            <w:tcBorders>
              <w:top w:val="single" w:color="000000" w:sz="4" w:space="0"/>
              <w:left w:val="single" w:color="000000" w:sz="4" w:space="0"/>
              <w:bottom w:val="single" w:color="000000" w:sz="4" w:space="0"/>
              <w:right w:val="single" w:color="000000" w:sz="4" w:space="0"/>
            </w:tcBorders>
            <w:vAlign w:val="center"/>
          </w:tcPr>
          <w:p w14:paraId="25ADBF35">
            <w:pPr>
              <w:jc w:val="center"/>
            </w:pPr>
            <w:r>
              <w:t>N</w:t>
            </w:r>
          </w:p>
        </w:tc>
        <w:tc>
          <w:tcPr>
            <w:tcW w:w="978" w:type="dxa"/>
            <w:tcBorders>
              <w:top w:val="single" w:color="000000" w:sz="4" w:space="0"/>
              <w:left w:val="single" w:color="000000" w:sz="4" w:space="0"/>
              <w:bottom w:val="single" w:color="000000" w:sz="4" w:space="0"/>
              <w:right w:val="single" w:color="000000" w:sz="4" w:space="0"/>
            </w:tcBorders>
            <w:vAlign w:val="center"/>
          </w:tcPr>
          <w:p w14:paraId="12790B31">
            <w:pPr>
              <w:jc w:val="center"/>
            </w:pPr>
            <w:r>
              <w:t>3等</w:t>
            </w:r>
          </w:p>
        </w:tc>
        <w:tc>
          <w:tcPr>
            <w:tcW w:w="1118" w:type="dxa"/>
            <w:tcBorders>
              <w:top w:val="single" w:color="000000" w:sz="4" w:space="0"/>
              <w:left w:val="single" w:color="000000" w:sz="4" w:space="0"/>
              <w:bottom w:val="single" w:color="000000" w:sz="4" w:space="0"/>
              <w:right w:val="single" w:color="000000" w:sz="4" w:space="0"/>
            </w:tcBorders>
            <w:vAlign w:val="center"/>
          </w:tcPr>
          <w:p w14:paraId="7DD0C20B">
            <w:pPr>
              <w:jc w:val="center"/>
            </w:pPr>
            <w:r>
              <w:t>2等</w:t>
            </w:r>
          </w:p>
        </w:tc>
        <w:tc>
          <w:tcPr>
            <w:tcW w:w="1592" w:type="dxa"/>
            <w:tcBorders>
              <w:top w:val="single" w:color="000000" w:sz="4" w:space="0"/>
              <w:left w:val="single" w:color="000000" w:sz="4" w:space="0"/>
              <w:bottom w:val="single" w:color="000000" w:sz="4" w:space="0"/>
              <w:right w:val="single" w:color="000000" w:sz="4" w:space="0"/>
            </w:tcBorders>
            <w:vAlign w:val="center"/>
          </w:tcPr>
          <w:p w14:paraId="4A480594">
            <w:pPr>
              <w:jc w:val="center"/>
            </w:pPr>
            <w:r>
              <w:t>地面坡度</w:t>
            </w:r>
          </w:p>
        </w:tc>
      </w:tr>
      <w:tr w14:paraId="6B92770A">
        <w:tblPrEx>
          <w:tblCellMar>
            <w:top w:w="15" w:type="dxa"/>
            <w:left w:w="15" w:type="dxa"/>
            <w:bottom w:w="15" w:type="dxa"/>
            <w:right w:w="15" w:type="dxa"/>
          </w:tblCellMar>
        </w:tblPrEx>
        <w:trPr>
          <w:trHeight w:val="554" w:hRule="atLeast"/>
          <w:jc w:val="center"/>
        </w:trPr>
        <w:tc>
          <w:tcPr>
            <w:tcW w:w="852" w:type="dxa"/>
            <w:tcBorders>
              <w:top w:val="single" w:color="000000" w:sz="4" w:space="0"/>
              <w:left w:val="single" w:color="000000" w:sz="4" w:space="0"/>
              <w:bottom w:val="single" w:color="000000" w:sz="4" w:space="0"/>
              <w:right w:val="single" w:color="000000" w:sz="4" w:space="0"/>
            </w:tcBorders>
            <w:vAlign w:val="center"/>
          </w:tcPr>
          <w:p w14:paraId="1B3F8311">
            <w:pPr>
              <w:jc w:val="center"/>
            </w:pPr>
            <w:r>
              <w:t>P3</w:t>
            </w:r>
          </w:p>
        </w:tc>
        <w:tc>
          <w:tcPr>
            <w:tcW w:w="2243" w:type="dxa"/>
            <w:tcBorders>
              <w:top w:val="single" w:color="000000" w:sz="4" w:space="0"/>
              <w:left w:val="single" w:color="000000" w:sz="4" w:space="0"/>
              <w:bottom w:val="single" w:color="000000" w:sz="4" w:space="0"/>
              <w:right w:val="single" w:color="000000" w:sz="4" w:space="0"/>
            </w:tcBorders>
            <w:vAlign w:val="center"/>
          </w:tcPr>
          <w:p w14:paraId="5260EB3E">
            <w:pPr>
              <w:jc w:val="center"/>
            </w:pPr>
            <w:r>
              <w:t>边坡区平台</w:t>
            </w:r>
          </w:p>
        </w:tc>
        <w:tc>
          <w:tcPr>
            <w:tcW w:w="1208" w:type="dxa"/>
            <w:tcBorders>
              <w:top w:val="single" w:color="000000" w:sz="4" w:space="0"/>
              <w:left w:val="single" w:color="000000" w:sz="4" w:space="0"/>
              <w:bottom w:val="single" w:color="000000" w:sz="4" w:space="0"/>
              <w:right w:val="single" w:color="000000" w:sz="4" w:space="0"/>
            </w:tcBorders>
            <w:vAlign w:val="center"/>
          </w:tcPr>
          <w:p w14:paraId="09B86603">
            <w:pPr>
              <w:jc w:val="center"/>
            </w:pPr>
            <w:r>
              <w:t>0.3652</w:t>
            </w:r>
          </w:p>
        </w:tc>
        <w:tc>
          <w:tcPr>
            <w:tcW w:w="701" w:type="dxa"/>
            <w:tcBorders>
              <w:top w:val="single" w:color="000000" w:sz="4" w:space="0"/>
              <w:left w:val="single" w:color="000000" w:sz="4" w:space="0"/>
              <w:bottom w:val="single" w:color="000000" w:sz="4" w:space="0"/>
              <w:right w:val="single" w:color="000000" w:sz="4" w:space="0"/>
            </w:tcBorders>
            <w:vAlign w:val="center"/>
          </w:tcPr>
          <w:p w14:paraId="671E6A12">
            <w:pPr>
              <w:jc w:val="center"/>
            </w:pPr>
            <w:r>
              <w:t>3等</w:t>
            </w:r>
          </w:p>
        </w:tc>
        <w:tc>
          <w:tcPr>
            <w:tcW w:w="978" w:type="dxa"/>
            <w:tcBorders>
              <w:top w:val="single" w:color="000000" w:sz="4" w:space="0"/>
              <w:left w:val="single" w:color="000000" w:sz="4" w:space="0"/>
              <w:bottom w:val="single" w:color="000000" w:sz="4" w:space="0"/>
              <w:right w:val="single" w:color="000000" w:sz="4" w:space="0"/>
            </w:tcBorders>
            <w:vAlign w:val="center"/>
          </w:tcPr>
          <w:p w14:paraId="306A2246">
            <w:pPr>
              <w:jc w:val="center"/>
            </w:pPr>
            <w:r>
              <w:t>2等</w:t>
            </w:r>
          </w:p>
        </w:tc>
        <w:tc>
          <w:tcPr>
            <w:tcW w:w="1118" w:type="dxa"/>
            <w:tcBorders>
              <w:top w:val="single" w:color="000000" w:sz="4" w:space="0"/>
              <w:left w:val="single" w:color="000000" w:sz="4" w:space="0"/>
              <w:bottom w:val="single" w:color="000000" w:sz="4" w:space="0"/>
              <w:right w:val="single" w:color="000000" w:sz="4" w:space="0"/>
            </w:tcBorders>
            <w:vAlign w:val="center"/>
          </w:tcPr>
          <w:p w14:paraId="70DC2059">
            <w:pPr>
              <w:jc w:val="center"/>
            </w:pPr>
            <w:r>
              <w:t>2等</w:t>
            </w:r>
          </w:p>
        </w:tc>
        <w:tc>
          <w:tcPr>
            <w:tcW w:w="1592" w:type="dxa"/>
            <w:tcBorders>
              <w:top w:val="single" w:color="000000" w:sz="4" w:space="0"/>
              <w:left w:val="single" w:color="000000" w:sz="4" w:space="0"/>
              <w:bottom w:val="single" w:color="000000" w:sz="4" w:space="0"/>
              <w:right w:val="single" w:color="000000" w:sz="4" w:space="0"/>
            </w:tcBorders>
            <w:vAlign w:val="center"/>
          </w:tcPr>
          <w:p w14:paraId="748BC276">
            <w:pPr>
              <w:jc w:val="center"/>
            </w:pPr>
            <w:r>
              <w:t>地表物质组成</w:t>
            </w:r>
          </w:p>
        </w:tc>
      </w:tr>
    </w:tbl>
    <w:p w14:paraId="78DB4345">
      <w:pPr>
        <w:spacing w:line="360" w:lineRule="auto"/>
        <w:ind w:firstLine="480" w:firstLineChars="200"/>
        <w:jc w:val="left"/>
        <w:rPr>
          <w:sz w:val="24"/>
        </w:rPr>
      </w:pPr>
      <w:r>
        <w:rPr>
          <w:sz w:val="24"/>
        </w:rPr>
        <w:t>6、复垦方向的最终确定</w:t>
      </w:r>
    </w:p>
    <w:p w14:paraId="44EF4082">
      <w:pPr>
        <w:spacing w:line="360" w:lineRule="auto"/>
        <w:ind w:firstLine="480" w:firstLineChars="200"/>
        <w:rPr>
          <w:sz w:val="24"/>
          <w:lang w:val="zh-CN"/>
        </w:rPr>
      </w:pPr>
      <w:r>
        <w:rPr>
          <w:sz w:val="24"/>
          <w:lang w:val="zh-CN"/>
        </w:rPr>
        <w:t>1）复垦方向的最终确定</w:t>
      </w:r>
    </w:p>
    <w:p w14:paraId="5ACA7001">
      <w:pPr>
        <w:spacing w:line="360" w:lineRule="auto"/>
        <w:ind w:firstLine="480" w:firstLineChars="200"/>
        <w:jc w:val="left"/>
        <w:rPr>
          <w:sz w:val="24"/>
        </w:rPr>
      </w:pPr>
      <w:r>
        <w:rPr>
          <w:sz w:val="24"/>
          <w:lang w:val="zh-CN"/>
        </w:rPr>
        <w:t>综合考虑当地植被生长条件，以及项目区原始自然条件情况，损毁前项目区内为旱地、有林地、其他林地、采矿用地和城镇住宅用地，在考虑保证耕地占补平衡的基础上考虑恢复农林业生产，最后再结合当地政策因素、土地权利人的建议和其他相关规划确定复垦的最终方向，将项目复垦区分为3个复垦单元，复垦为旱地的面积为1.8545hm</w:t>
      </w:r>
      <w:r>
        <w:rPr>
          <w:sz w:val="24"/>
          <w:vertAlign w:val="superscript"/>
          <w:lang w:val="zh-CN"/>
        </w:rPr>
        <w:t>2</w:t>
      </w:r>
      <w:r>
        <w:rPr>
          <w:sz w:val="24"/>
          <w:lang w:val="zh-CN"/>
        </w:rPr>
        <w:t>，复垦为有林地的面积为0.3652hm</w:t>
      </w:r>
      <w:r>
        <w:rPr>
          <w:sz w:val="24"/>
          <w:vertAlign w:val="superscript"/>
          <w:lang w:val="zh-CN"/>
        </w:rPr>
        <w:t>2</w:t>
      </w:r>
      <w:r>
        <w:rPr>
          <w:sz w:val="24"/>
          <w:lang w:val="zh-CN"/>
        </w:rPr>
        <w:t>，复垦为</w:t>
      </w:r>
      <w:r>
        <w:rPr>
          <w:rFonts w:eastAsiaTheme="minorEastAsia"/>
          <w:kern w:val="0"/>
          <w:sz w:val="24"/>
        </w:rPr>
        <w:t>其他草地</w:t>
      </w:r>
      <w:r>
        <w:rPr>
          <w:sz w:val="24"/>
          <w:lang w:val="zh-CN"/>
        </w:rPr>
        <w:t>的面积为0.1951hm</w:t>
      </w:r>
      <w:r>
        <w:rPr>
          <w:sz w:val="24"/>
          <w:vertAlign w:val="superscript"/>
          <w:lang w:val="zh-CN"/>
        </w:rPr>
        <w:t>2</w:t>
      </w:r>
      <w:r>
        <w:rPr>
          <w:sz w:val="24"/>
          <w:lang w:val="zh-CN"/>
        </w:rPr>
        <w:t>（具体分区见土地复垦规划图）。具体各评价单元复垦方向见下表。（详见表4-8）</w:t>
      </w:r>
    </w:p>
    <w:p w14:paraId="5AE812DA">
      <w:pPr>
        <w:jc w:val="center"/>
        <w:rPr>
          <w:rFonts w:eastAsiaTheme="minorEastAsia"/>
          <w:b/>
          <w:szCs w:val="21"/>
        </w:rPr>
      </w:pPr>
      <w:r>
        <w:rPr>
          <w:rFonts w:eastAsiaTheme="minorEastAsia"/>
          <w:b/>
          <w:szCs w:val="21"/>
        </w:rPr>
        <w:t>表4-8评价单元土地复垦方向分析结果</w:t>
      </w:r>
    </w:p>
    <w:tbl>
      <w:tblPr>
        <w:tblStyle w:val="29"/>
        <w:tblW w:w="86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6"/>
        <w:gridCol w:w="568"/>
        <w:gridCol w:w="1419"/>
        <w:gridCol w:w="3921"/>
        <w:gridCol w:w="1136"/>
      </w:tblGrid>
      <w:tr w14:paraId="43E64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134" w:type="dxa"/>
            <w:gridSpan w:val="2"/>
            <w:vAlign w:val="center"/>
          </w:tcPr>
          <w:p w14:paraId="0254D1A9">
            <w:pPr>
              <w:widowControl/>
              <w:jc w:val="center"/>
              <w:rPr>
                <w:rFonts w:eastAsiaTheme="minorEastAsia"/>
                <w:kern w:val="0"/>
                <w:szCs w:val="21"/>
              </w:rPr>
            </w:pPr>
            <w:r>
              <w:rPr>
                <w:rFonts w:eastAsiaTheme="minorEastAsia"/>
                <w:kern w:val="0"/>
                <w:szCs w:val="21"/>
              </w:rPr>
              <w:t>复垦单元</w:t>
            </w:r>
          </w:p>
        </w:tc>
        <w:tc>
          <w:tcPr>
            <w:tcW w:w="1419" w:type="dxa"/>
            <w:vAlign w:val="center"/>
          </w:tcPr>
          <w:p w14:paraId="00D4A872">
            <w:pPr>
              <w:widowControl/>
              <w:jc w:val="center"/>
              <w:rPr>
                <w:rFonts w:eastAsiaTheme="minorEastAsia"/>
                <w:kern w:val="0"/>
                <w:szCs w:val="21"/>
              </w:rPr>
            </w:pPr>
            <w:r>
              <w:rPr>
                <w:rFonts w:eastAsiaTheme="minorEastAsia"/>
                <w:kern w:val="0"/>
                <w:szCs w:val="21"/>
              </w:rPr>
              <w:t>面积（hm</w:t>
            </w:r>
            <w:r>
              <w:rPr>
                <w:rFonts w:eastAsiaTheme="minorEastAsia"/>
                <w:kern w:val="0"/>
                <w:szCs w:val="21"/>
                <w:vertAlign w:val="superscript"/>
              </w:rPr>
              <w:t>2</w:t>
            </w:r>
            <w:r>
              <w:rPr>
                <w:rFonts w:eastAsiaTheme="minorEastAsia"/>
                <w:kern w:val="0"/>
                <w:szCs w:val="21"/>
              </w:rPr>
              <w:t>）</w:t>
            </w:r>
          </w:p>
        </w:tc>
        <w:tc>
          <w:tcPr>
            <w:tcW w:w="3921" w:type="dxa"/>
            <w:vAlign w:val="center"/>
          </w:tcPr>
          <w:p w14:paraId="041FED62">
            <w:pPr>
              <w:widowControl/>
              <w:jc w:val="center"/>
              <w:rPr>
                <w:rFonts w:eastAsiaTheme="minorEastAsia"/>
                <w:kern w:val="0"/>
                <w:szCs w:val="21"/>
              </w:rPr>
            </w:pPr>
            <w:r>
              <w:rPr>
                <w:rFonts w:eastAsiaTheme="minorEastAsia"/>
                <w:kern w:val="0"/>
                <w:szCs w:val="21"/>
              </w:rPr>
              <w:t>资源配置</w:t>
            </w:r>
          </w:p>
        </w:tc>
        <w:tc>
          <w:tcPr>
            <w:tcW w:w="1136" w:type="dxa"/>
            <w:vAlign w:val="center"/>
          </w:tcPr>
          <w:p w14:paraId="026D54FF">
            <w:pPr>
              <w:widowControl/>
              <w:jc w:val="center"/>
              <w:rPr>
                <w:rFonts w:eastAsiaTheme="minorEastAsia"/>
                <w:kern w:val="0"/>
                <w:szCs w:val="21"/>
              </w:rPr>
            </w:pPr>
            <w:r>
              <w:rPr>
                <w:rFonts w:eastAsiaTheme="minorEastAsia"/>
                <w:kern w:val="0"/>
                <w:szCs w:val="21"/>
              </w:rPr>
              <w:t>复垦方向</w:t>
            </w:r>
          </w:p>
        </w:tc>
      </w:tr>
      <w:tr w14:paraId="69B9C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566" w:type="dxa"/>
            <w:vAlign w:val="center"/>
          </w:tcPr>
          <w:p w14:paraId="7EC1AFD8">
            <w:pPr>
              <w:jc w:val="center"/>
            </w:pPr>
            <w:r>
              <w:t>工业广场</w:t>
            </w:r>
          </w:p>
        </w:tc>
        <w:tc>
          <w:tcPr>
            <w:tcW w:w="568" w:type="dxa"/>
            <w:vAlign w:val="center"/>
          </w:tcPr>
          <w:p w14:paraId="46E249C1">
            <w:pPr>
              <w:widowControl/>
              <w:jc w:val="center"/>
              <w:rPr>
                <w:rFonts w:eastAsiaTheme="minorEastAsia"/>
                <w:kern w:val="0"/>
                <w:szCs w:val="21"/>
              </w:rPr>
            </w:pPr>
            <w:r>
              <w:rPr>
                <w:rFonts w:eastAsiaTheme="minorEastAsia"/>
                <w:kern w:val="0"/>
                <w:szCs w:val="21"/>
              </w:rPr>
              <w:t>P1</w:t>
            </w:r>
          </w:p>
        </w:tc>
        <w:tc>
          <w:tcPr>
            <w:tcW w:w="1419" w:type="dxa"/>
            <w:vAlign w:val="center"/>
          </w:tcPr>
          <w:p w14:paraId="185FE01F">
            <w:pPr>
              <w:jc w:val="center"/>
            </w:pPr>
            <w:r>
              <w:t>1.8545</w:t>
            </w:r>
          </w:p>
        </w:tc>
        <w:tc>
          <w:tcPr>
            <w:tcW w:w="3921" w:type="dxa"/>
            <w:vAlign w:val="center"/>
          </w:tcPr>
          <w:p w14:paraId="2455C93C">
            <w:pPr>
              <w:widowControl/>
              <w:jc w:val="center"/>
              <w:rPr>
                <w:rFonts w:eastAsiaTheme="minorEastAsia"/>
                <w:kern w:val="0"/>
                <w:szCs w:val="21"/>
              </w:rPr>
            </w:pPr>
            <w:r>
              <w:rPr>
                <w:kern w:val="0"/>
                <w:szCs w:val="21"/>
              </w:rPr>
              <w:t>拆除、平整、覆土、培肥</w:t>
            </w:r>
          </w:p>
        </w:tc>
        <w:tc>
          <w:tcPr>
            <w:tcW w:w="1136" w:type="dxa"/>
            <w:vAlign w:val="center"/>
          </w:tcPr>
          <w:p w14:paraId="137B75DD">
            <w:pPr>
              <w:widowControl/>
              <w:jc w:val="center"/>
              <w:rPr>
                <w:rFonts w:eastAsiaTheme="minorEastAsia"/>
                <w:kern w:val="0"/>
                <w:szCs w:val="21"/>
              </w:rPr>
            </w:pPr>
            <w:r>
              <w:rPr>
                <w:rFonts w:eastAsiaTheme="minorEastAsia"/>
                <w:kern w:val="0"/>
                <w:szCs w:val="21"/>
              </w:rPr>
              <w:t>旱地</w:t>
            </w:r>
          </w:p>
        </w:tc>
      </w:tr>
      <w:tr w14:paraId="10C62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566" w:type="dxa"/>
            <w:vAlign w:val="center"/>
          </w:tcPr>
          <w:p w14:paraId="60F133E7">
            <w:pPr>
              <w:jc w:val="center"/>
            </w:pPr>
            <w:r>
              <w:t>边坡区边坡</w:t>
            </w:r>
          </w:p>
        </w:tc>
        <w:tc>
          <w:tcPr>
            <w:tcW w:w="568" w:type="dxa"/>
            <w:vAlign w:val="center"/>
          </w:tcPr>
          <w:p w14:paraId="13396D07">
            <w:pPr>
              <w:widowControl/>
              <w:jc w:val="center"/>
              <w:rPr>
                <w:rFonts w:eastAsiaTheme="minorEastAsia"/>
                <w:kern w:val="0"/>
                <w:szCs w:val="21"/>
              </w:rPr>
            </w:pPr>
            <w:r>
              <w:rPr>
                <w:rFonts w:eastAsiaTheme="minorEastAsia"/>
                <w:kern w:val="0"/>
                <w:szCs w:val="21"/>
              </w:rPr>
              <w:t>P2</w:t>
            </w:r>
          </w:p>
        </w:tc>
        <w:tc>
          <w:tcPr>
            <w:tcW w:w="1419" w:type="dxa"/>
            <w:vAlign w:val="center"/>
          </w:tcPr>
          <w:p w14:paraId="69072DEA">
            <w:pPr>
              <w:jc w:val="center"/>
            </w:pPr>
            <w:r>
              <w:t>0.1951</w:t>
            </w:r>
          </w:p>
        </w:tc>
        <w:tc>
          <w:tcPr>
            <w:tcW w:w="3921" w:type="dxa"/>
            <w:vAlign w:val="center"/>
          </w:tcPr>
          <w:p w14:paraId="29A66D33">
            <w:pPr>
              <w:widowControl/>
              <w:jc w:val="center"/>
              <w:rPr>
                <w:rFonts w:eastAsiaTheme="minorEastAsia"/>
                <w:kern w:val="0"/>
                <w:szCs w:val="21"/>
              </w:rPr>
            </w:pPr>
            <w:r>
              <w:rPr>
                <w:kern w:val="0"/>
                <w:szCs w:val="21"/>
              </w:rPr>
              <w:t>栽种爬山虎</w:t>
            </w:r>
          </w:p>
        </w:tc>
        <w:tc>
          <w:tcPr>
            <w:tcW w:w="1136" w:type="dxa"/>
            <w:vAlign w:val="center"/>
          </w:tcPr>
          <w:p w14:paraId="07B66C4B">
            <w:pPr>
              <w:widowControl/>
              <w:jc w:val="center"/>
              <w:rPr>
                <w:rFonts w:eastAsiaTheme="minorEastAsia"/>
                <w:kern w:val="0"/>
                <w:szCs w:val="21"/>
              </w:rPr>
            </w:pPr>
            <w:r>
              <w:rPr>
                <w:rFonts w:eastAsiaTheme="minorEastAsia"/>
                <w:kern w:val="0"/>
                <w:szCs w:val="21"/>
              </w:rPr>
              <w:t>其他草地</w:t>
            </w:r>
          </w:p>
        </w:tc>
      </w:tr>
      <w:tr w14:paraId="16A49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566" w:type="dxa"/>
            <w:vAlign w:val="center"/>
          </w:tcPr>
          <w:p w14:paraId="7D965F2A">
            <w:pPr>
              <w:jc w:val="center"/>
            </w:pPr>
            <w:r>
              <w:t>边坡区平台</w:t>
            </w:r>
          </w:p>
        </w:tc>
        <w:tc>
          <w:tcPr>
            <w:tcW w:w="568" w:type="dxa"/>
            <w:vAlign w:val="center"/>
          </w:tcPr>
          <w:p w14:paraId="515AA3CA">
            <w:pPr>
              <w:widowControl/>
              <w:jc w:val="center"/>
              <w:rPr>
                <w:rFonts w:eastAsiaTheme="minorEastAsia"/>
                <w:kern w:val="0"/>
                <w:szCs w:val="21"/>
              </w:rPr>
            </w:pPr>
            <w:r>
              <w:rPr>
                <w:rFonts w:eastAsiaTheme="minorEastAsia"/>
                <w:kern w:val="0"/>
                <w:szCs w:val="21"/>
              </w:rPr>
              <w:t>P3</w:t>
            </w:r>
          </w:p>
        </w:tc>
        <w:tc>
          <w:tcPr>
            <w:tcW w:w="1419" w:type="dxa"/>
            <w:vAlign w:val="center"/>
          </w:tcPr>
          <w:p w14:paraId="2057B6BB">
            <w:pPr>
              <w:jc w:val="center"/>
            </w:pPr>
            <w:r>
              <w:t>0.3652</w:t>
            </w:r>
          </w:p>
        </w:tc>
        <w:tc>
          <w:tcPr>
            <w:tcW w:w="3921" w:type="dxa"/>
            <w:vAlign w:val="center"/>
          </w:tcPr>
          <w:p w14:paraId="540BA8A0">
            <w:pPr>
              <w:widowControl/>
              <w:jc w:val="center"/>
              <w:rPr>
                <w:kern w:val="0"/>
                <w:szCs w:val="21"/>
              </w:rPr>
            </w:pPr>
            <w:r>
              <w:rPr>
                <w:kern w:val="0"/>
                <w:szCs w:val="21"/>
              </w:rPr>
              <w:t>平整、覆土、培肥、种植马尾松</w:t>
            </w:r>
          </w:p>
        </w:tc>
        <w:tc>
          <w:tcPr>
            <w:tcW w:w="1136" w:type="dxa"/>
            <w:vAlign w:val="center"/>
          </w:tcPr>
          <w:p w14:paraId="39CC20BC">
            <w:pPr>
              <w:widowControl/>
              <w:jc w:val="center"/>
              <w:rPr>
                <w:rFonts w:eastAsiaTheme="minorEastAsia"/>
                <w:kern w:val="0"/>
                <w:szCs w:val="21"/>
              </w:rPr>
            </w:pPr>
            <w:r>
              <w:rPr>
                <w:rFonts w:eastAsiaTheme="minorEastAsia"/>
                <w:kern w:val="0"/>
                <w:szCs w:val="21"/>
              </w:rPr>
              <w:t>有林地</w:t>
            </w:r>
          </w:p>
        </w:tc>
      </w:tr>
      <w:tr w14:paraId="5346F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134" w:type="dxa"/>
            <w:gridSpan w:val="2"/>
            <w:vAlign w:val="center"/>
          </w:tcPr>
          <w:p w14:paraId="04ED5FA9">
            <w:pPr>
              <w:widowControl/>
              <w:jc w:val="center"/>
              <w:rPr>
                <w:rFonts w:eastAsiaTheme="minorEastAsia"/>
                <w:kern w:val="0"/>
                <w:szCs w:val="21"/>
              </w:rPr>
            </w:pPr>
            <w:r>
              <w:rPr>
                <w:rFonts w:eastAsiaTheme="minorEastAsia"/>
                <w:kern w:val="0"/>
                <w:szCs w:val="21"/>
              </w:rPr>
              <w:t>合计</w:t>
            </w:r>
          </w:p>
        </w:tc>
        <w:tc>
          <w:tcPr>
            <w:tcW w:w="1419" w:type="dxa"/>
            <w:vAlign w:val="center"/>
          </w:tcPr>
          <w:p w14:paraId="4260C225">
            <w:pPr>
              <w:widowControl/>
              <w:jc w:val="center"/>
              <w:rPr>
                <w:rFonts w:eastAsiaTheme="minorEastAsia"/>
                <w:kern w:val="0"/>
                <w:szCs w:val="21"/>
              </w:rPr>
            </w:pPr>
            <w:r>
              <w:rPr>
                <w:rFonts w:eastAsiaTheme="minorEastAsia"/>
                <w:kern w:val="0"/>
                <w:szCs w:val="21"/>
              </w:rPr>
              <w:t>2.4148</w:t>
            </w:r>
          </w:p>
        </w:tc>
        <w:tc>
          <w:tcPr>
            <w:tcW w:w="3921" w:type="dxa"/>
            <w:vAlign w:val="center"/>
          </w:tcPr>
          <w:p w14:paraId="496D7959">
            <w:pPr>
              <w:widowControl/>
              <w:jc w:val="center"/>
              <w:rPr>
                <w:rFonts w:eastAsiaTheme="minorEastAsia"/>
                <w:kern w:val="0"/>
                <w:szCs w:val="21"/>
              </w:rPr>
            </w:pPr>
            <w:r>
              <w:rPr>
                <w:rFonts w:eastAsiaTheme="minorEastAsia"/>
                <w:kern w:val="0"/>
                <w:szCs w:val="21"/>
              </w:rPr>
              <w:t>-</w:t>
            </w:r>
          </w:p>
        </w:tc>
        <w:tc>
          <w:tcPr>
            <w:tcW w:w="1136" w:type="dxa"/>
            <w:vAlign w:val="center"/>
          </w:tcPr>
          <w:p w14:paraId="6140F96A">
            <w:pPr>
              <w:widowControl/>
              <w:jc w:val="center"/>
              <w:rPr>
                <w:rFonts w:eastAsiaTheme="minorEastAsia"/>
                <w:kern w:val="0"/>
                <w:szCs w:val="21"/>
              </w:rPr>
            </w:pPr>
            <w:r>
              <w:rPr>
                <w:rFonts w:eastAsiaTheme="minorEastAsia"/>
                <w:kern w:val="0"/>
                <w:szCs w:val="21"/>
              </w:rPr>
              <w:t>-</w:t>
            </w:r>
          </w:p>
        </w:tc>
      </w:tr>
    </w:tbl>
    <w:p w14:paraId="49BE4ED9">
      <w:pPr>
        <w:spacing w:line="360" w:lineRule="auto"/>
        <w:ind w:firstLine="480" w:firstLineChars="200"/>
        <w:rPr>
          <w:sz w:val="24"/>
          <w:lang w:val="zh-CN"/>
        </w:rPr>
      </w:pPr>
      <w:r>
        <w:rPr>
          <w:sz w:val="24"/>
          <w:lang w:val="zh-CN"/>
        </w:rPr>
        <w:t>2）复垦单元的确定</w:t>
      </w:r>
    </w:p>
    <w:p w14:paraId="7EA168C1">
      <w:pPr>
        <w:spacing w:line="360" w:lineRule="auto"/>
        <w:ind w:firstLine="480" w:firstLineChars="200"/>
        <w:jc w:val="left"/>
        <w:rPr>
          <w:sz w:val="24"/>
        </w:rPr>
      </w:pPr>
      <w:r>
        <w:rPr>
          <w:sz w:val="24"/>
          <w:lang w:val="zh-CN"/>
        </w:rPr>
        <w:t>复垦单元根据适宜性评价单元的划分情况，共划分为3个复垦单元（表4-9）。</w:t>
      </w:r>
    </w:p>
    <w:p w14:paraId="40F0C987">
      <w:pPr>
        <w:jc w:val="center"/>
        <w:rPr>
          <w:rFonts w:eastAsiaTheme="minorEastAsia"/>
          <w:b/>
          <w:szCs w:val="21"/>
        </w:rPr>
      </w:pPr>
      <w:r>
        <w:rPr>
          <w:rFonts w:eastAsiaTheme="minorEastAsia"/>
          <w:b/>
          <w:szCs w:val="21"/>
        </w:rPr>
        <w:t>表4-9复垦单元划分表</w:t>
      </w:r>
    </w:p>
    <w:tbl>
      <w:tblPr>
        <w:tblStyle w:val="29"/>
        <w:tblW w:w="8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9"/>
        <w:gridCol w:w="799"/>
        <w:gridCol w:w="1768"/>
        <w:gridCol w:w="1165"/>
        <w:gridCol w:w="1599"/>
        <w:gridCol w:w="1418"/>
      </w:tblGrid>
      <w:tr w14:paraId="37A00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2808" w:type="dxa"/>
            <w:gridSpan w:val="2"/>
            <w:vAlign w:val="center"/>
          </w:tcPr>
          <w:p w14:paraId="7F1A7CB7">
            <w:pPr>
              <w:widowControl/>
              <w:jc w:val="center"/>
              <w:rPr>
                <w:kern w:val="0"/>
                <w:szCs w:val="21"/>
              </w:rPr>
            </w:pPr>
            <w:r>
              <w:rPr>
                <w:kern w:val="0"/>
                <w:szCs w:val="21"/>
              </w:rPr>
              <w:t>复垦单元</w:t>
            </w:r>
          </w:p>
        </w:tc>
        <w:tc>
          <w:tcPr>
            <w:tcW w:w="1768" w:type="dxa"/>
            <w:vAlign w:val="center"/>
          </w:tcPr>
          <w:p w14:paraId="1873F4A7">
            <w:pPr>
              <w:widowControl/>
              <w:jc w:val="center"/>
              <w:rPr>
                <w:kern w:val="0"/>
                <w:szCs w:val="21"/>
              </w:rPr>
            </w:pPr>
            <w:r>
              <w:rPr>
                <w:kern w:val="0"/>
                <w:szCs w:val="21"/>
              </w:rPr>
              <w:t>面积（hm</w:t>
            </w:r>
            <w:r>
              <w:rPr>
                <w:kern w:val="0"/>
                <w:szCs w:val="21"/>
                <w:vertAlign w:val="superscript"/>
              </w:rPr>
              <w:t>2</w:t>
            </w:r>
            <w:r>
              <w:rPr>
                <w:kern w:val="0"/>
                <w:szCs w:val="21"/>
              </w:rPr>
              <w:t>）</w:t>
            </w:r>
          </w:p>
        </w:tc>
        <w:tc>
          <w:tcPr>
            <w:tcW w:w="2764" w:type="dxa"/>
            <w:gridSpan w:val="2"/>
            <w:vAlign w:val="center"/>
          </w:tcPr>
          <w:p w14:paraId="71F90BC9">
            <w:pPr>
              <w:widowControl/>
              <w:jc w:val="center"/>
              <w:rPr>
                <w:kern w:val="0"/>
                <w:szCs w:val="21"/>
              </w:rPr>
            </w:pPr>
            <w:r>
              <w:rPr>
                <w:kern w:val="0"/>
                <w:szCs w:val="21"/>
              </w:rPr>
              <w:t>复垦方向</w:t>
            </w:r>
          </w:p>
        </w:tc>
        <w:tc>
          <w:tcPr>
            <w:tcW w:w="1418" w:type="dxa"/>
            <w:vAlign w:val="center"/>
          </w:tcPr>
          <w:p w14:paraId="7C34983D">
            <w:pPr>
              <w:widowControl/>
              <w:jc w:val="center"/>
              <w:rPr>
                <w:kern w:val="0"/>
                <w:szCs w:val="21"/>
              </w:rPr>
            </w:pPr>
            <w:r>
              <w:rPr>
                <w:kern w:val="0"/>
                <w:szCs w:val="21"/>
              </w:rPr>
              <w:t>面积（hm</w:t>
            </w:r>
            <w:r>
              <w:rPr>
                <w:kern w:val="0"/>
                <w:szCs w:val="21"/>
                <w:vertAlign w:val="superscript"/>
              </w:rPr>
              <w:t>2</w:t>
            </w:r>
            <w:r>
              <w:rPr>
                <w:kern w:val="0"/>
                <w:szCs w:val="21"/>
              </w:rPr>
              <w:t>）</w:t>
            </w:r>
          </w:p>
        </w:tc>
      </w:tr>
      <w:tr w14:paraId="1EEF1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009" w:type="dxa"/>
            <w:vAlign w:val="center"/>
          </w:tcPr>
          <w:p w14:paraId="6E296B8D">
            <w:pPr>
              <w:jc w:val="center"/>
            </w:pPr>
            <w:r>
              <w:t>工业广场</w:t>
            </w:r>
          </w:p>
        </w:tc>
        <w:tc>
          <w:tcPr>
            <w:tcW w:w="799" w:type="dxa"/>
            <w:vAlign w:val="center"/>
          </w:tcPr>
          <w:p w14:paraId="4653E4EF">
            <w:pPr>
              <w:jc w:val="center"/>
            </w:pPr>
            <w:r>
              <w:t>P1</w:t>
            </w:r>
          </w:p>
        </w:tc>
        <w:tc>
          <w:tcPr>
            <w:tcW w:w="1768" w:type="dxa"/>
            <w:vAlign w:val="center"/>
          </w:tcPr>
          <w:p w14:paraId="33EAB899">
            <w:pPr>
              <w:jc w:val="center"/>
            </w:pPr>
            <w:r>
              <w:t>1.8545</w:t>
            </w:r>
          </w:p>
        </w:tc>
        <w:tc>
          <w:tcPr>
            <w:tcW w:w="1165" w:type="dxa"/>
            <w:vAlign w:val="center"/>
          </w:tcPr>
          <w:p w14:paraId="0A42F1ED">
            <w:pPr>
              <w:widowControl/>
              <w:jc w:val="center"/>
              <w:rPr>
                <w:kern w:val="0"/>
                <w:szCs w:val="21"/>
              </w:rPr>
            </w:pPr>
            <w:r>
              <w:rPr>
                <w:kern w:val="0"/>
                <w:szCs w:val="21"/>
              </w:rPr>
              <w:t>耕地</w:t>
            </w:r>
          </w:p>
        </w:tc>
        <w:tc>
          <w:tcPr>
            <w:tcW w:w="1599" w:type="dxa"/>
            <w:vAlign w:val="center"/>
          </w:tcPr>
          <w:p w14:paraId="32380E61">
            <w:pPr>
              <w:widowControl/>
              <w:jc w:val="center"/>
              <w:rPr>
                <w:kern w:val="0"/>
                <w:szCs w:val="21"/>
              </w:rPr>
            </w:pPr>
            <w:r>
              <w:rPr>
                <w:kern w:val="0"/>
                <w:szCs w:val="21"/>
              </w:rPr>
              <w:t>旱地</w:t>
            </w:r>
          </w:p>
        </w:tc>
        <w:tc>
          <w:tcPr>
            <w:tcW w:w="1418" w:type="dxa"/>
            <w:vAlign w:val="center"/>
          </w:tcPr>
          <w:p w14:paraId="1245C12F">
            <w:pPr>
              <w:jc w:val="center"/>
            </w:pPr>
            <w:r>
              <w:t>1.8545</w:t>
            </w:r>
          </w:p>
        </w:tc>
      </w:tr>
      <w:tr w14:paraId="581D0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009" w:type="dxa"/>
            <w:vAlign w:val="center"/>
          </w:tcPr>
          <w:p w14:paraId="35D96A01">
            <w:pPr>
              <w:jc w:val="center"/>
            </w:pPr>
            <w:r>
              <w:t>边坡区边坡</w:t>
            </w:r>
          </w:p>
        </w:tc>
        <w:tc>
          <w:tcPr>
            <w:tcW w:w="799" w:type="dxa"/>
            <w:vAlign w:val="center"/>
          </w:tcPr>
          <w:p w14:paraId="1E568039">
            <w:pPr>
              <w:widowControl/>
              <w:jc w:val="center"/>
              <w:rPr>
                <w:rFonts w:eastAsiaTheme="minorEastAsia"/>
                <w:kern w:val="0"/>
                <w:szCs w:val="21"/>
              </w:rPr>
            </w:pPr>
            <w:r>
              <w:rPr>
                <w:rFonts w:eastAsiaTheme="minorEastAsia"/>
                <w:kern w:val="0"/>
                <w:szCs w:val="21"/>
              </w:rPr>
              <w:t>P2</w:t>
            </w:r>
          </w:p>
        </w:tc>
        <w:tc>
          <w:tcPr>
            <w:tcW w:w="1768" w:type="dxa"/>
            <w:vAlign w:val="center"/>
          </w:tcPr>
          <w:p w14:paraId="71C6F975">
            <w:pPr>
              <w:jc w:val="center"/>
            </w:pPr>
            <w:r>
              <w:t>0.1951</w:t>
            </w:r>
          </w:p>
        </w:tc>
        <w:tc>
          <w:tcPr>
            <w:tcW w:w="1165" w:type="dxa"/>
            <w:vAlign w:val="center"/>
          </w:tcPr>
          <w:p w14:paraId="1D704567">
            <w:pPr>
              <w:widowControl/>
              <w:jc w:val="center"/>
              <w:rPr>
                <w:kern w:val="0"/>
                <w:szCs w:val="21"/>
              </w:rPr>
            </w:pPr>
            <w:r>
              <w:rPr>
                <w:kern w:val="0"/>
                <w:szCs w:val="21"/>
              </w:rPr>
              <w:t>草地</w:t>
            </w:r>
          </w:p>
        </w:tc>
        <w:tc>
          <w:tcPr>
            <w:tcW w:w="1599" w:type="dxa"/>
            <w:vAlign w:val="center"/>
          </w:tcPr>
          <w:p w14:paraId="4941CAEE">
            <w:pPr>
              <w:widowControl/>
              <w:jc w:val="center"/>
              <w:rPr>
                <w:kern w:val="0"/>
                <w:szCs w:val="21"/>
              </w:rPr>
            </w:pPr>
            <w:r>
              <w:rPr>
                <w:kern w:val="0"/>
                <w:szCs w:val="21"/>
              </w:rPr>
              <w:t>其他草地</w:t>
            </w:r>
          </w:p>
        </w:tc>
        <w:tc>
          <w:tcPr>
            <w:tcW w:w="1418" w:type="dxa"/>
            <w:vAlign w:val="center"/>
          </w:tcPr>
          <w:p w14:paraId="1E61507B">
            <w:pPr>
              <w:jc w:val="center"/>
            </w:pPr>
            <w:r>
              <w:t>0.1951</w:t>
            </w:r>
          </w:p>
        </w:tc>
      </w:tr>
      <w:tr w14:paraId="2510E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009" w:type="dxa"/>
            <w:vAlign w:val="center"/>
          </w:tcPr>
          <w:p w14:paraId="2441683F">
            <w:pPr>
              <w:jc w:val="center"/>
            </w:pPr>
            <w:r>
              <w:t>边坡区平台</w:t>
            </w:r>
          </w:p>
        </w:tc>
        <w:tc>
          <w:tcPr>
            <w:tcW w:w="799" w:type="dxa"/>
            <w:vAlign w:val="center"/>
          </w:tcPr>
          <w:p w14:paraId="67032903">
            <w:pPr>
              <w:widowControl/>
              <w:jc w:val="center"/>
              <w:rPr>
                <w:rFonts w:eastAsiaTheme="minorEastAsia"/>
                <w:kern w:val="0"/>
                <w:szCs w:val="21"/>
              </w:rPr>
            </w:pPr>
            <w:r>
              <w:rPr>
                <w:rFonts w:eastAsiaTheme="minorEastAsia"/>
                <w:kern w:val="0"/>
                <w:szCs w:val="21"/>
              </w:rPr>
              <w:t>P3</w:t>
            </w:r>
          </w:p>
        </w:tc>
        <w:tc>
          <w:tcPr>
            <w:tcW w:w="1768" w:type="dxa"/>
            <w:vAlign w:val="center"/>
          </w:tcPr>
          <w:p w14:paraId="19C6A4E7">
            <w:pPr>
              <w:jc w:val="center"/>
            </w:pPr>
            <w:r>
              <w:t>0.3652</w:t>
            </w:r>
          </w:p>
        </w:tc>
        <w:tc>
          <w:tcPr>
            <w:tcW w:w="1165" w:type="dxa"/>
            <w:vAlign w:val="center"/>
          </w:tcPr>
          <w:p w14:paraId="299F36AA">
            <w:pPr>
              <w:widowControl/>
              <w:jc w:val="center"/>
              <w:rPr>
                <w:kern w:val="0"/>
                <w:szCs w:val="21"/>
              </w:rPr>
            </w:pPr>
            <w:r>
              <w:rPr>
                <w:kern w:val="0"/>
                <w:szCs w:val="21"/>
              </w:rPr>
              <w:t>林地</w:t>
            </w:r>
          </w:p>
        </w:tc>
        <w:tc>
          <w:tcPr>
            <w:tcW w:w="1599" w:type="dxa"/>
            <w:vAlign w:val="center"/>
          </w:tcPr>
          <w:p w14:paraId="584BC1CC">
            <w:pPr>
              <w:widowControl/>
              <w:jc w:val="center"/>
              <w:rPr>
                <w:kern w:val="0"/>
                <w:szCs w:val="21"/>
              </w:rPr>
            </w:pPr>
            <w:r>
              <w:rPr>
                <w:kern w:val="0"/>
                <w:szCs w:val="21"/>
              </w:rPr>
              <w:t>有林地</w:t>
            </w:r>
          </w:p>
        </w:tc>
        <w:tc>
          <w:tcPr>
            <w:tcW w:w="1418" w:type="dxa"/>
            <w:vAlign w:val="center"/>
          </w:tcPr>
          <w:p w14:paraId="2600B4C8">
            <w:pPr>
              <w:jc w:val="center"/>
            </w:pPr>
            <w:r>
              <w:t>0.3652</w:t>
            </w:r>
          </w:p>
        </w:tc>
      </w:tr>
    </w:tbl>
    <w:p w14:paraId="2CAC62A4">
      <w:pPr>
        <w:pStyle w:val="5"/>
        <w:spacing w:beforeLines="50" w:afterLines="50" w:line="360" w:lineRule="auto"/>
        <w:rPr>
          <w:b w:val="0"/>
          <w:sz w:val="28"/>
          <w:szCs w:val="28"/>
        </w:rPr>
      </w:pPr>
      <w:bookmarkStart w:id="144" w:name="_Toc43851671"/>
      <w:r>
        <w:rPr>
          <w:b w:val="0"/>
          <w:sz w:val="28"/>
          <w:szCs w:val="28"/>
        </w:rPr>
        <w:t>（三）水土资源平衡分析</w:t>
      </w:r>
      <w:bookmarkEnd w:id="144"/>
    </w:p>
    <w:p w14:paraId="591FEFA7">
      <w:pPr>
        <w:spacing w:line="360" w:lineRule="auto"/>
        <w:ind w:firstLine="480" w:firstLineChars="200"/>
        <w:jc w:val="left"/>
        <w:rPr>
          <w:sz w:val="24"/>
        </w:rPr>
      </w:pPr>
      <w:r>
        <w:rPr>
          <w:sz w:val="24"/>
        </w:rPr>
        <w:t>1、水资源供需平衡分析</w:t>
      </w:r>
    </w:p>
    <w:p w14:paraId="3E0BE7A1">
      <w:pPr>
        <w:spacing w:line="360" w:lineRule="auto"/>
        <w:ind w:firstLine="480" w:firstLineChars="200"/>
        <w:rPr>
          <w:sz w:val="24"/>
          <w:lang w:val="zh-CN"/>
        </w:rPr>
      </w:pPr>
      <w:r>
        <w:rPr>
          <w:sz w:val="24"/>
          <w:lang w:val="zh-CN"/>
        </w:rPr>
        <w:t>1）农作物需水量净灌溉定额</w:t>
      </w:r>
    </w:p>
    <w:p w14:paraId="422D17A5">
      <w:pPr>
        <w:spacing w:line="360" w:lineRule="auto"/>
        <w:ind w:firstLine="480" w:firstLineChars="200"/>
        <w:jc w:val="left"/>
        <w:rPr>
          <w:sz w:val="24"/>
          <w:lang w:val="zh-CN"/>
        </w:rPr>
      </w:pPr>
      <w:r>
        <w:rPr>
          <w:sz w:val="24"/>
          <w:lang w:val="zh-CN"/>
        </w:rPr>
        <w:t>根据《四川省土地整理工程建设标准（试行）》和当地的种植习惯，水稻全生长期基本上都在4月20号～9月20号左右，一般4月中旬为泡田期，用水高峰期为10天左右。小麦及油菜生长期一般都在当年10月至翌年4月。据项目区土质情况，水稻净灌溉定额为235m</w:t>
      </w:r>
      <w:r>
        <w:rPr>
          <w:sz w:val="24"/>
          <w:vertAlign w:val="superscript"/>
          <w:lang w:val="zh-CN"/>
        </w:rPr>
        <w:t>3</w:t>
      </w:r>
      <w:r>
        <w:rPr>
          <w:sz w:val="24"/>
          <w:lang w:val="zh-CN"/>
        </w:rPr>
        <w:t>/亩，盆地丘陵区小麦净灌溉定额为40～60m</w:t>
      </w:r>
      <w:r>
        <w:rPr>
          <w:sz w:val="24"/>
          <w:vertAlign w:val="superscript"/>
          <w:lang w:val="zh-CN"/>
        </w:rPr>
        <w:t>3</w:t>
      </w:r>
      <w:r>
        <w:rPr>
          <w:sz w:val="24"/>
          <w:lang w:val="zh-CN"/>
        </w:rPr>
        <w:t>/亩，油菜净灌溉定额在55～75m</w:t>
      </w:r>
      <w:r>
        <w:rPr>
          <w:sz w:val="24"/>
          <w:vertAlign w:val="superscript"/>
          <w:lang w:val="zh-CN"/>
        </w:rPr>
        <w:t>3</w:t>
      </w:r>
      <w:r>
        <w:rPr>
          <w:sz w:val="24"/>
          <w:lang w:val="zh-CN"/>
        </w:rPr>
        <w:t>/亩，玉米净灌溉定额在55～75m</w:t>
      </w:r>
      <w:r>
        <w:rPr>
          <w:sz w:val="24"/>
          <w:vertAlign w:val="superscript"/>
          <w:lang w:val="zh-CN"/>
        </w:rPr>
        <w:t>3</w:t>
      </w:r>
      <w:r>
        <w:rPr>
          <w:sz w:val="24"/>
          <w:lang w:val="zh-CN"/>
        </w:rPr>
        <w:t>/亩，红薯净灌溉定额在50～65m</w:t>
      </w:r>
      <w:r>
        <w:rPr>
          <w:sz w:val="24"/>
          <w:vertAlign w:val="superscript"/>
          <w:lang w:val="zh-CN"/>
        </w:rPr>
        <w:t>3</w:t>
      </w:r>
      <w:r>
        <w:rPr>
          <w:sz w:val="24"/>
          <w:lang w:val="zh-CN"/>
        </w:rPr>
        <w:t>/亩，蔬菜净灌溉定额在150～200m</w:t>
      </w:r>
      <w:r>
        <w:rPr>
          <w:sz w:val="24"/>
          <w:vertAlign w:val="superscript"/>
          <w:lang w:val="zh-CN"/>
        </w:rPr>
        <w:t>3</w:t>
      </w:r>
      <w:r>
        <w:rPr>
          <w:sz w:val="24"/>
          <w:lang w:val="zh-CN"/>
        </w:rPr>
        <w:t>/亩，柑橘净灌溉定额在75～90m</w:t>
      </w:r>
      <w:r>
        <w:rPr>
          <w:sz w:val="24"/>
          <w:vertAlign w:val="superscript"/>
          <w:lang w:val="zh-CN"/>
        </w:rPr>
        <w:t>3</w:t>
      </w:r>
      <w:r>
        <w:rPr>
          <w:sz w:val="24"/>
          <w:lang w:val="zh-CN"/>
        </w:rPr>
        <w:t>/亩。据项目区土质情况，小麦的净灌溉定额取50m</w:t>
      </w:r>
      <w:r>
        <w:rPr>
          <w:sz w:val="24"/>
          <w:vertAlign w:val="superscript"/>
          <w:lang w:val="zh-CN"/>
        </w:rPr>
        <w:t>3</w:t>
      </w:r>
      <w:r>
        <w:rPr>
          <w:sz w:val="24"/>
          <w:lang w:val="zh-CN"/>
        </w:rPr>
        <w:t>/亩，油菜净灌溉定额取65m</w:t>
      </w:r>
      <w:r>
        <w:rPr>
          <w:sz w:val="24"/>
          <w:vertAlign w:val="superscript"/>
          <w:lang w:val="zh-CN"/>
        </w:rPr>
        <w:t>3</w:t>
      </w:r>
      <w:r>
        <w:rPr>
          <w:sz w:val="24"/>
          <w:lang w:val="zh-CN"/>
        </w:rPr>
        <w:t>/亩，玉米净灌溉定额取65m</w:t>
      </w:r>
      <w:r>
        <w:rPr>
          <w:sz w:val="24"/>
          <w:vertAlign w:val="superscript"/>
          <w:lang w:val="zh-CN"/>
        </w:rPr>
        <w:t>3</w:t>
      </w:r>
      <w:r>
        <w:rPr>
          <w:sz w:val="24"/>
          <w:lang w:val="zh-CN"/>
        </w:rPr>
        <w:t>/亩，红薯净灌溉定额取55m</w:t>
      </w:r>
      <w:r>
        <w:rPr>
          <w:sz w:val="24"/>
          <w:vertAlign w:val="superscript"/>
          <w:lang w:val="zh-CN"/>
        </w:rPr>
        <w:t>3</w:t>
      </w:r>
      <w:r>
        <w:rPr>
          <w:sz w:val="24"/>
          <w:lang w:val="zh-CN"/>
        </w:rPr>
        <w:t>/亩，蔬菜薯净灌溉定额取175m</w:t>
      </w:r>
      <w:r>
        <w:rPr>
          <w:sz w:val="24"/>
          <w:vertAlign w:val="superscript"/>
          <w:lang w:val="zh-CN"/>
        </w:rPr>
        <w:t>3</w:t>
      </w:r>
      <w:r>
        <w:rPr>
          <w:sz w:val="24"/>
          <w:lang w:val="zh-CN"/>
        </w:rPr>
        <w:t>/亩。见表4-1</w:t>
      </w:r>
      <w:r>
        <w:rPr>
          <w:sz w:val="24"/>
        </w:rPr>
        <w:t>2</w:t>
      </w:r>
      <w:r>
        <w:rPr>
          <w:sz w:val="24"/>
          <w:lang w:val="zh-CN"/>
        </w:rPr>
        <w:t>。</w:t>
      </w:r>
    </w:p>
    <w:p w14:paraId="050AA296">
      <w:pPr>
        <w:adjustRightInd w:val="0"/>
        <w:snapToGrid w:val="0"/>
        <w:spacing w:line="360" w:lineRule="auto"/>
        <w:jc w:val="center"/>
        <w:rPr>
          <w:b/>
          <w:szCs w:val="21"/>
          <w:lang w:val="zh-CN"/>
        </w:rPr>
      </w:pPr>
      <w:r>
        <w:rPr>
          <w:b/>
          <w:szCs w:val="21"/>
          <w:lang w:val="zh-CN"/>
        </w:rPr>
        <w:t>表4-1</w:t>
      </w:r>
      <w:r>
        <w:rPr>
          <w:b/>
          <w:szCs w:val="21"/>
        </w:rPr>
        <w:t>2</w:t>
      </w:r>
      <w:r>
        <w:rPr>
          <w:b/>
          <w:szCs w:val="21"/>
          <w:lang w:val="zh-CN"/>
        </w:rPr>
        <w:t>四川省主要农作物灌溉定额单位：m</w:t>
      </w:r>
      <w:r>
        <w:rPr>
          <w:b/>
          <w:szCs w:val="21"/>
          <w:vertAlign w:val="superscript"/>
          <w:lang w:val="zh-CN"/>
        </w:rPr>
        <w:t>3</w:t>
      </w:r>
      <w:r>
        <w:rPr>
          <w:b/>
          <w:szCs w:val="21"/>
          <w:lang w:val="zh-CN"/>
        </w:rPr>
        <w:t>/亩</w:t>
      </w:r>
    </w:p>
    <w:tbl>
      <w:tblPr>
        <w:tblStyle w:val="29"/>
        <w:tblW w:w="87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96"/>
        <w:gridCol w:w="2065"/>
        <w:gridCol w:w="2317"/>
        <w:gridCol w:w="2123"/>
      </w:tblGrid>
      <w:tr w14:paraId="0FFC9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2196" w:type="dxa"/>
            <w:vAlign w:val="center"/>
          </w:tcPr>
          <w:p w14:paraId="5656D526">
            <w:pPr>
              <w:jc w:val="center"/>
              <w:rPr>
                <w:color w:val="000000"/>
              </w:rPr>
            </w:pPr>
            <w:r>
              <w:rPr>
                <w:color w:val="000000"/>
              </w:rPr>
              <w:t>行业名称</w:t>
            </w:r>
          </w:p>
        </w:tc>
        <w:tc>
          <w:tcPr>
            <w:tcW w:w="2065" w:type="dxa"/>
            <w:vAlign w:val="center"/>
          </w:tcPr>
          <w:p w14:paraId="76579809">
            <w:pPr>
              <w:jc w:val="center"/>
              <w:rPr>
                <w:color w:val="000000"/>
              </w:rPr>
            </w:pPr>
            <w:r>
              <w:rPr>
                <w:color w:val="000000"/>
              </w:rPr>
              <w:t>产品名称</w:t>
            </w:r>
          </w:p>
        </w:tc>
        <w:tc>
          <w:tcPr>
            <w:tcW w:w="2317" w:type="dxa"/>
            <w:vAlign w:val="center"/>
          </w:tcPr>
          <w:p w14:paraId="7741F1A8">
            <w:pPr>
              <w:jc w:val="center"/>
              <w:rPr>
                <w:color w:val="000000"/>
              </w:rPr>
            </w:pPr>
            <w:r>
              <w:rPr>
                <w:color w:val="000000"/>
              </w:rPr>
              <w:t>定额值</w:t>
            </w:r>
          </w:p>
        </w:tc>
        <w:tc>
          <w:tcPr>
            <w:tcW w:w="2123" w:type="dxa"/>
            <w:vAlign w:val="center"/>
          </w:tcPr>
          <w:p w14:paraId="5547093D">
            <w:pPr>
              <w:jc w:val="center"/>
              <w:rPr>
                <w:color w:val="000000"/>
              </w:rPr>
            </w:pPr>
            <w:r>
              <w:rPr>
                <w:color w:val="000000"/>
              </w:rPr>
              <w:t>备注</w:t>
            </w:r>
          </w:p>
        </w:tc>
      </w:tr>
      <w:tr w14:paraId="60A7D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2196" w:type="dxa"/>
            <w:vMerge w:val="restart"/>
            <w:vAlign w:val="center"/>
          </w:tcPr>
          <w:p w14:paraId="1AF9181A">
            <w:pPr>
              <w:jc w:val="center"/>
              <w:rPr>
                <w:color w:val="000000"/>
              </w:rPr>
            </w:pPr>
            <w:r>
              <w:rPr>
                <w:color w:val="000000"/>
              </w:rPr>
              <w:t>谷物及其他农作物</w:t>
            </w:r>
          </w:p>
        </w:tc>
        <w:tc>
          <w:tcPr>
            <w:tcW w:w="2065" w:type="dxa"/>
            <w:vMerge w:val="restart"/>
            <w:vAlign w:val="center"/>
          </w:tcPr>
          <w:p w14:paraId="76680A19">
            <w:pPr>
              <w:jc w:val="center"/>
              <w:rPr>
                <w:color w:val="000000"/>
              </w:rPr>
            </w:pPr>
            <w:r>
              <w:rPr>
                <w:color w:val="000000"/>
              </w:rPr>
              <w:t>水稻</w:t>
            </w:r>
          </w:p>
        </w:tc>
        <w:tc>
          <w:tcPr>
            <w:tcW w:w="2317" w:type="dxa"/>
            <w:vAlign w:val="center"/>
          </w:tcPr>
          <w:p w14:paraId="7372081D">
            <w:pPr>
              <w:jc w:val="center"/>
              <w:rPr>
                <w:color w:val="000000"/>
              </w:rPr>
            </w:pPr>
            <w:r>
              <w:rPr>
                <w:color w:val="000000"/>
              </w:rPr>
              <w:t>280～340</w:t>
            </w:r>
          </w:p>
        </w:tc>
        <w:tc>
          <w:tcPr>
            <w:tcW w:w="2123" w:type="dxa"/>
            <w:vAlign w:val="center"/>
          </w:tcPr>
          <w:p w14:paraId="148AF19E">
            <w:pPr>
              <w:jc w:val="center"/>
              <w:rPr>
                <w:color w:val="000000"/>
              </w:rPr>
            </w:pPr>
            <w:r>
              <w:rPr>
                <w:color w:val="000000"/>
              </w:rPr>
              <w:t>盆西平原区</w:t>
            </w:r>
          </w:p>
        </w:tc>
      </w:tr>
      <w:tr w14:paraId="51DCA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2196" w:type="dxa"/>
            <w:vMerge w:val="continue"/>
            <w:vAlign w:val="center"/>
          </w:tcPr>
          <w:p w14:paraId="5F9BE90B">
            <w:pPr>
              <w:jc w:val="center"/>
              <w:rPr>
                <w:color w:val="000000"/>
              </w:rPr>
            </w:pPr>
          </w:p>
        </w:tc>
        <w:tc>
          <w:tcPr>
            <w:tcW w:w="2065" w:type="dxa"/>
            <w:vMerge w:val="continue"/>
            <w:vAlign w:val="center"/>
          </w:tcPr>
          <w:p w14:paraId="6E12AEC2">
            <w:pPr>
              <w:jc w:val="center"/>
              <w:rPr>
                <w:color w:val="000000"/>
              </w:rPr>
            </w:pPr>
          </w:p>
        </w:tc>
        <w:tc>
          <w:tcPr>
            <w:tcW w:w="2317" w:type="dxa"/>
            <w:vAlign w:val="center"/>
          </w:tcPr>
          <w:p w14:paraId="7DF03959">
            <w:pPr>
              <w:jc w:val="center"/>
              <w:rPr>
                <w:color w:val="000000"/>
              </w:rPr>
            </w:pPr>
            <w:r>
              <w:rPr>
                <w:color w:val="000000"/>
              </w:rPr>
              <w:t>220～250</w:t>
            </w:r>
          </w:p>
        </w:tc>
        <w:tc>
          <w:tcPr>
            <w:tcW w:w="2123" w:type="dxa"/>
            <w:vAlign w:val="center"/>
          </w:tcPr>
          <w:p w14:paraId="42C55899">
            <w:pPr>
              <w:jc w:val="center"/>
              <w:rPr>
                <w:color w:val="000000"/>
              </w:rPr>
            </w:pPr>
            <w:r>
              <w:rPr>
                <w:color w:val="000000"/>
              </w:rPr>
              <w:t>盆地丘陵区</w:t>
            </w:r>
          </w:p>
        </w:tc>
      </w:tr>
      <w:tr w14:paraId="0561F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2196" w:type="dxa"/>
            <w:vMerge w:val="continue"/>
            <w:vAlign w:val="center"/>
          </w:tcPr>
          <w:p w14:paraId="2D42F691">
            <w:pPr>
              <w:jc w:val="center"/>
              <w:rPr>
                <w:color w:val="000000"/>
              </w:rPr>
            </w:pPr>
          </w:p>
        </w:tc>
        <w:tc>
          <w:tcPr>
            <w:tcW w:w="2065" w:type="dxa"/>
            <w:vMerge w:val="continue"/>
            <w:vAlign w:val="center"/>
          </w:tcPr>
          <w:p w14:paraId="09526917">
            <w:pPr>
              <w:jc w:val="center"/>
              <w:rPr>
                <w:color w:val="000000"/>
              </w:rPr>
            </w:pPr>
          </w:p>
        </w:tc>
        <w:tc>
          <w:tcPr>
            <w:tcW w:w="2317" w:type="dxa"/>
            <w:vAlign w:val="center"/>
          </w:tcPr>
          <w:p w14:paraId="5E5CA17D">
            <w:pPr>
              <w:jc w:val="center"/>
              <w:rPr>
                <w:color w:val="000000"/>
              </w:rPr>
            </w:pPr>
            <w:r>
              <w:rPr>
                <w:color w:val="000000"/>
              </w:rPr>
              <w:t>190～240</w:t>
            </w:r>
          </w:p>
        </w:tc>
        <w:tc>
          <w:tcPr>
            <w:tcW w:w="2123" w:type="dxa"/>
            <w:vAlign w:val="center"/>
          </w:tcPr>
          <w:p w14:paraId="4463EB40">
            <w:pPr>
              <w:jc w:val="center"/>
              <w:rPr>
                <w:color w:val="000000"/>
              </w:rPr>
            </w:pPr>
            <w:r>
              <w:rPr>
                <w:color w:val="000000"/>
              </w:rPr>
              <w:t>盆周山地区</w:t>
            </w:r>
          </w:p>
        </w:tc>
      </w:tr>
      <w:tr w14:paraId="50D98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tblHeader/>
          <w:jc w:val="center"/>
        </w:trPr>
        <w:tc>
          <w:tcPr>
            <w:tcW w:w="2196" w:type="dxa"/>
            <w:vMerge w:val="continue"/>
            <w:vAlign w:val="center"/>
          </w:tcPr>
          <w:p w14:paraId="71F51363">
            <w:pPr>
              <w:jc w:val="center"/>
              <w:rPr>
                <w:color w:val="000000"/>
              </w:rPr>
            </w:pPr>
          </w:p>
        </w:tc>
        <w:tc>
          <w:tcPr>
            <w:tcW w:w="2065" w:type="dxa"/>
            <w:vMerge w:val="continue"/>
            <w:vAlign w:val="center"/>
          </w:tcPr>
          <w:p w14:paraId="51EE6699">
            <w:pPr>
              <w:jc w:val="center"/>
              <w:rPr>
                <w:color w:val="000000"/>
              </w:rPr>
            </w:pPr>
          </w:p>
        </w:tc>
        <w:tc>
          <w:tcPr>
            <w:tcW w:w="2317" w:type="dxa"/>
            <w:vAlign w:val="center"/>
          </w:tcPr>
          <w:p w14:paraId="300B1C03">
            <w:pPr>
              <w:jc w:val="center"/>
              <w:rPr>
                <w:color w:val="000000"/>
              </w:rPr>
            </w:pPr>
            <w:r>
              <w:rPr>
                <w:color w:val="000000"/>
              </w:rPr>
              <w:t>360～450</w:t>
            </w:r>
          </w:p>
        </w:tc>
        <w:tc>
          <w:tcPr>
            <w:tcW w:w="2123" w:type="dxa"/>
            <w:vAlign w:val="center"/>
          </w:tcPr>
          <w:p w14:paraId="47951B51">
            <w:pPr>
              <w:jc w:val="center"/>
              <w:rPr>
                <w:color w:val="000000"/>
              </w:rPr>
            </w:pPr>
            <w:r>
              <w:rPr>
                <w:color w:val="000000"/>
              </w:rPr>
              <w:t>川西南山地区</w:t>
            </w:r>
          </w:p>
        </w:tc>
      </w:tr>
      <w:tr w14:paraId="4A3B0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4A9427DA">
            <w:pPr>
              <w:jc w:val="center"/>
              <w:rPr>
                <w:color w:val="000000"/>
              </w:rPr>
            </w:pPr>
          </w:p>
        </w:tc>
        <w:tc>
          <w:tcPr>
            <w:tcW w:w="2065" w:type="dxa"/>
            <w:vAlign w:val="center"/>
          </w:tcPr>
          <w:p w14:paraId="4B7CC149">
            <w:pPr>
              <w:jc w:val="center"/>
              <w:rPr>
                <w:color w:val="000000"/>
              </w:rPr>
            </w:pPr>
            <w:r>
              <w:rPr>
                <w:color w:val="000000"/>
              </w:rPr>
              <w:t>玉米</w:t>
            </w:r>
          </w:p>
        </w:tc>
        <w:tc>
          <w:tcPr>
            <w:tcW w:w="2317" w:type="dxa"/>
            <w:vAlign w:val="center"/>
          </w:tcPr>
          <w:p w14:paraId="528E2FA4">
            <w:pPr>
              <w:jc w:val="center"/>
              <w:rPr>
                <w:color w:val="000000"/>
              </w:rPr>
            </w:pPr>
            <w:r>
              <w:rPr>
                <w:color w:val="000000"/>
              </w:rPr>
              <w:t>55～75</w:t>
            </w:r>
          </w:p>
        </w:tc>
        <w:tc>
          <w:tcPr>
            <w:tcW w:w="2123" w:type="dxa"/>
            <w:vAlign w:val="center"/>
          </w:tcPr>
          <w:p w14:paraId="75C5B8B2">
            <w:pPr>
              <w:jc w:val="center"/>
              <w:rPr>
                <w:color w:val="000000"/>
              </w:rPr>
            </w:pPr>
          </w:p>
        </w:tc>
      </w:tr>
      <w:tr w14:paraId="6E368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4C43631E">
            <w:pPr>
              <w:jc w:val="center"/>
              <w:rPr>
                <w:color w:val="000000"/>
              </w:rPr>
            </w:pPr>
          </w:p>
        </w:tc>
        <w:tc>
          <w:tcPr>
            <w:tcW w:w="2065" w:type="dxa"/>
            <w:vAlign w:val="center"/>
          </w:tcPr>
          <w:p w14:paraId="4BF3107F">
            <w:pPr>
              <w:jc w:val="center"/>
              <w:rPr>
                <w:color w:val="000000"/>
              </w:rPr>
            </w:pPr>
            <w:r>
              <w:rPr>
                <w:color w:val="000000"/>
              </w:rPr>
              <w:t>红苕</w:t>
            </w:r>
          </w:p>
        </w:tc>
        <w:tc>
          <w:tcPr>
            <w:tcW w:w="2317" w:type="dxa"/>
            <w:vAlign w:val="center"/>
          </w:tcPr>
          <w:p w14:paraId="7B21D64E">
            <w:pPr>
              <w:jc w:val="center"/>
              <w:rPr>
                <w:color w:val="000000"/>
              </w:rPr>
            </w:pPr>
            <w:r>
              <w:rPr>
                <w:color w:val="000000"/>
              </w:rPr>
              <w:t>50～65</w:t>
            </w:r>
          </w:p>
        </w:tc>
        <w:tc>
          <w:tcPr>
            <w:tcW w:w="2123" w:type="dxa"/>
            <w:vAlign w:val="center"/>
          </w:tcPr>
          <w:p w14:paraId="72D91A07">
            <w:pPr>
              <w:jc w:val="center"/>
              <w:rPr>
                <w:color w:val="000000"/>
              </w:rPr>
            </w:pPr>
          </w:p>
        </w:tc>
      </w:tr>
      <w:tr w14:paraId="4A37F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60374296">
            <w:pPr>
              <w:jc w:val="center"/>
              <w:rPr>
                <w:color w:val="000000"/>
              </w:rPr>
            </w:pPr>
          </w:p>
        </w:tc>
        <w:tc>
          <w:tcPr>
            <w:tcW w:w="2065" w:type="dxa"/>
            <w:vAlign w:val="center"/>
          </w:tcPr>
          <w:p w14:paraId="21FE01C5">
            <w:pPr>
              <w:jc w:val="center"/>
              <w:rPr>
                <w:color w:val="000000"/>
              </w:rPr>
            </w:pPr>
            <w:r>
              <w:rPr>
                <w:color w:val="000000"/>
              </w:rPr>
              <w:t>小麦</w:t>
            </w:r>
          </w:p>
        </w:tc>
        <w:tc>
          <w:tcPr>
            <w:tcW w:w="2317" w:type="dxa"/>
            <w:vAlign w:val="center"/>
          </w:tcPr>
          <w:p w14:paraId="21257173">
            <w:pPr>
              <w:jc w:val="center"/>
              <w:rPr>
                <w:color w:val="000000"/>
              </w:rPr>
            </w:pPr>
            <w:r>
              <w:rPr>
                <w:color w:val="000000"/>
              </w:rPr>
              <w:t>40～60</w:t>
            </w:r>
          </w:p>
        </w:tc>
        <w:tc>
          <w:tcPr>
            <w:tcW w:w="2123" w:type="dxa"/>
            <w:vAlign w:val="center"/>
          </w:tcPr>
          <w:p w14:paraId="4A1B7FA8">
            <w:pPr>
              <w:jc w:val="center"/>
              <w:rPr>
                <w:color w:val="000000"/>
              </w:rPr>
            </w:pPr>
          </w:p>
        </w:tc>
      </w:tr>
      <w:tr w14:paraId="61CF0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1EFECE34">
            <w:pPr>
              <w:jc w:val="center"/>
              <w:rPr>
                <w:color w:val="000000"/>
              </w:rPr>
            </w:pPr>
          </w:p>
        </w:tc>
        <w:tc>
          <w:tcPr>
            <w:tcW w:w="2065" w:type="dxa"/>
            <w:vAlign w:val="center"/>
          </w:tcPr>
          <w:p w14:paraId="2B9A6068">
            <w:pPr>
              <w:jc w:val="center"/>
              <w:rPr>
                <w:color w:val="000000"/>
              </w:rPr>
            </w:pPr>
            <w:r>
              <w:rPr>
                <w:color w:val="000000"/>
              </w:rPr>
              <w:t>棉花</w:t>
            </w:r>
          </w:p>
        </w:tc>
        <w:tc>
          <w:tcPr>
            <w:tcW w:w="2317" w:type="dxa"/>
            <w:vAlign w:val="center"/>
          </w:tcPr>
          <w:p w14:paraId="13686B8E">
            <w:pPr>
              <w:jc w:val="center"/>
              <w:rPr>
                <w:color w:val="000000"/>
              </w:rPr>
            </w:pPr>
            <w:r>
              <w:rPr>
                <w:color w:val="000000"/>
              </w:rPr>
              <w:t>60～80</w:t>
            </w:r>
          </w:p>
        </w:tc>
        <w:tc>
          <w:tcPr>
            <w:tcW w:w="2123" w:type="dxa"/>
            <w:vAlign w:val="center"/>
          </w:tcPr>
          <w:p w14:paraId="335B067B">
            <w:pPr>
              <w:jc w:val="center"/>
              <w:rPr>
                <w:color w:val="000000"/>
              </w:rPr>
            </w:pPr>
          </w:p>
        </w:tc>
      </w:tr>
      <w:tr w14:paraId="7D37D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2539DE1A">
            <w:pPr>
              <w:jc w:val="center"/>
              <w:rPr>
                <w:color w:val="000000"/>
              </w:rPr>
            </w:pPr>
          </w:p>
        </w:tc>
        <w:tc>
          <w:tcPr>
            <w:tcW w:w="2065" w:type="dxa"/>
            <w:vAlign w:val="center"/>
          </w:tcPr>
          <w:p w14:paraId="6F58EE54">
            <w:pPr>
              <w:jc w:val="center"/>
              <w:rPr>
                <w:color w:val="000000"/>
              </w:rPr>
            </w:pPr>
            <w:r>
              <w:rPr>
                <w:color w:val="000000"/>
              </w:rPr>
              <w:t>油菜</w:t>
            </w:r>
          </w:p>
        </w:tc>
        <w:tc>
          <w:tcPr>
            <w:tcW w:w="2317" w:type="dxa"/>
            <w:vAlign w:val="center"/>
          </w:tcPr>
          <w:p w14:paraId="071D20F2">
            <w:pPr>
              <w:jc w:val="center"/>
              <w:rPr>
                <w:color w:val="000000"/>
              </w:rPr>
            </w:pPr>
            <w:r>
              <w:rPr>
                <w:color w:val="000000"/>
              </w:rPr>
              <w:t>55～75</w:t>
            </w:r>
          </w:p>
        </w:tc>
        <w:tc>
          <w:tcPr>
            <w:tcW w:w="2123" w:type="dxa"/>
            <w:vAlign w:val="center"/>
          </w:tcPr>
          <w:p w14:paraId="33CD407C">
            <w:pPr>
              <w:jc w:val="center"/>
              <w:rPr>
                <w:color w:val="000000"/>
              </w:rPr>
            </w:pPr>
          </w:p>
        </w:tc>
      </w:tr>
      <w:tr w14:paraId="02E42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6DBD5E06">
            <w:pPr>
              <w:jc w:val="center"/>
              <w:rPr>
                <w:color w:val="000000"/>
              </w:rPr>
            </w:pPr>
          </w:p>
        </w:tc>
        <w:tc>
          <w:tcPr>
            <w:tcW w:w="2065" w:type="dxa"/>
            <w:vAlign w:val="center"/>
          </w:tcPr>
          <w:p w14:paraId="1E452669">
            <w:pPr>
              <w:jc w:val="center"/>
              <w:rPr>
                <w:color w:val="000000"/>
              </w:rPr>
            </w:pPr>
            <w:r>
              <w:rPr>
                <w:color w:val="000000"/>
              </w:rPr>
              <w:t>花生</w:t>
            </w:r>
          </w:p>
        </w:tc>
        <w:tc>
          <w:tcPr>
            <w:tcW w:w="2317" w:type="dxa"/>
            <w:vAlign w:val="center"/>
          </w:tcPr>
          <w:p w14:paraId="50F2048C">
            <w:pPr>
              <w:jc w:val="center"/>
              <w:rPr>
                <w:color w:val="000000"/>
              </w:rPr>
            </w:pPr>
            <w:r>
              <w:rPr>
                <w:color w:val="000000"/>
              </w:rPr>
              <w:t>55～70</w:t>
            </w:r>
          </w:p>
        </w:tc>
        <w:tc>
          <w:tcPr>
            <w:tcW w:w="2123" w:type="dxa"/>
            <w:vAlign w:val="center"/>
          </w:tcPr>
          <w:p w14:paraId="14474AAB">
            <w:pPr>
              <w:jc w:val="center"/>
              <w:rPr>
                <w:color w:val="000000"/>
              </w:rPr>
            </w:pPr>
          </w:p>
        </w:tc>
      </w:tr>
      <w:tr w14:paraId="10BAB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6315A312">
            <w:pPr>
              <w:jc w:val="center"/>
              <w:rPr>
                <w:color w:val="000000"/>
              </w:rPr>
            </w:pPr>
          </w:p>
        </w:tc>
        <w:tc>
          <w:tcPr>
            <w:tcW w:w="2065" w:type="dxa"/>
            <w:vAlign w:val="center"/>
          </w:tcPr>
          <w:p w14:paraId="44D90021">
            <w:pPr>
              <w:jc w:val="center"/>
              <w:rPr>
                <w:color w:val="000000"/>
              </w:rPr>
            </w:pPr>
            <w:r>
              <w:rPr>
                <w:color w:val="000000"/>
              </w:rPr>
              <w:t>烟草</w:t>
            </w:r>
          </w:p>
        </w:tc>
        <w:tc>
          <w:tcPr>
            <w:tcW w:w="2317" w:type="dxa"/>
            <w:vAlign w:val="center"/>
          </w:tcPr>
          <w:p w14:paraId="728EE933">
            <w:pPr>
              <w:jc w:val="center"/>
              <w:rPr>
                <w:color w:val="000000"/>
              </w:rPr>
            </w:pPr>
            <w:r>
              <w:rPr>
                <w:color w:val="000000"/>
              </w:rPr>
              <w:t>85～105</w:t>
            </w:r>
          </w:p>
        </w:tc>
        <w:tc>
          <w:tcPr>
            <w:tcW w:w="2123" w:type="dxa"/>
            <w:vAlign w:val="center"/>
          </w:tcPr>
          <w:p w14:paraId="7BE7B67B">
            <w:pPr>
              <w:jc w:val="center"/>
              <w:rPr>
                <w:color w:val="000000"/>
              </w:rPr>
            </w:pPr>
          </w:p>
        </w:tc>
      </w:tr>
      <w:tr w14:paraId="35EC0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tcBorders>
              <w:bottom w:val="nil"/>
            </w:tcBorders>
            <w:vAlign w:val="center"/>
          </w:tcPr>
          <w:p w14:paraId="2FF8461D">
            <w:pPr>
              <w:jc w:val="center"/>
              <w:rPr>
                <w:color w:val="000000"/>
              </w:rPr>
            </w:pPr>
            <w:r>
              <w:rPr>
                <w:color w:val="000000"/>
              </w:rPr>
              <w:t>蔬菜</w:t>
            </w:r>
          </w:p>
        </w:tc>
        <w:tc>
          <w:tcPr>
            <w:tcW w:w="2065" w:type="dxa"/>
            <w:vAlign w:val="center"/>
          </w:tcPr>
          <w:p w14:paraId="686B569E">
            <w:pPr>
              <w:jc w:val="center"/>
              <w:rPr>
                <w:color w:val="000000"/>
              </w:rPr>
            </w:pPr>
            <w:r>
              <w:rPr>
                <w:color w:val="000000"/>
              </w:rPr>
              <w:t>蔬菜</w:t>
            </w:r>
          </w:p>
        </w:tc>
        <w:tc>
          <w:tcPr>
            <w:tcW w:w="2317" w:type="dxa"/>
            <w:vAlign w:val="center"/>
          </w:tcPr>
          <w:p w14:paraId="01AFA2A1">
            <w:pPr>
              <w:jc w:val="center"/>
              <w:rPr>
                <w:color w:val="000000"/>
              </w:rPr>
            </w:pPr>
            <w:r>
              <w:rPr>
                <w:color w:val="000000"/>
              </w:rPr>
              <w:t>150～200</w:t>
            </w:r>
          </w:p>
        </w:tc>
        <w:tc>
          <w:tcPr>
            <w:tcW w:w="2123" w:type="dxa"/>
            <w:vAlign w:val="center"/>
          </w:tcPr>
          <w:p w14:paraId="085B5AA5">
            <w:pPr>
              <w:jc w:val="center"/>
              <w:rPr>
                <w:color w:val="000000"/>
              </w:rPr>
            </w:pPr>
          </w:p>
        </w:tc>
      </w:tr>
      <w:tr w14:paraId="748DB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restart"/>
            <w:vAlign w:val="center"/>
          </w:tcPr>
          <w:p w14:paraId="7C03F0CD">
            <w:pPr>
              <w:jc w:val="center"/>
              <w:rPr>
                <w:color w:val="000000"/>
              </w:rPr>
            </w:pPr>
            <w:r>
              <w:rPr>
                <w:color w:val="000000"/>
              </w:rPr>
              <w:t>水果、茶</w:t>
            </w:r>
          </w:p>
        </w:tc>
        <w:tc>
          <w:tcPr>
            <w:tcW w:w="2065" w:type="dxa"/>
            <w:vAlign w:val="center"/>
          </w:tcPr>
          <w:p w14:paraId="217E31B6">
            <w:pPr>
              <w:jc w:val="center"/>
              <w:rPr>
                <w:color w:val="000000"/>
              </w:rPr>
            </w:pPr>
            <w:r>
              <w:rPr>
                <w:color w:val="000000"/>
              </w:rPr>
              <w:t>茶叶</w:t>
            </w:r>
          </w:p>
        </w:tc>
        <w:tc>
          <w:tcPr>
            <w:tcW w:w="2317" w:type="dxa"/>
            <w:vAlign w:val="center"/>
          </w:tcPr>
          <w:p w14:paraId="663291D5">
            <w:pPr>
              <w:jc w:val="center"/>
              <w:rPr>
                <w:color w:val="000000"/>
              </w:rPr>
            </w:pPr>
            <w:r>
              <w:rPr>
                <w:color w:val="000000"/>
              </w:rPr>
              <w:t>85～110</w:t>
            </w:r>
          </w:p>
        </w:tc>
        <w:tc>
          <w:tcPr>
            <w:tcW w:w="2123" w:type="dxa"/>
            <w:vAlign w:val="center"/>
          </w:tcPr>
          <w:p w14:paraId="6D9B85D4">
            <w:pPr>
              <w:jc w:val="center"/>
              <w:rPr>
                <w:color w:val="000000"/>
              </w:rPr>
            </w:pPr>
          </w:p>
        </w:tc>
      </w:tr>
      <w:tr w14:paraId="4EC39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4E09E2DE">
            <w:pPr>
              <w:jc w:val="center"/>
              <w:rPr>
                <w:color w:val="000000"/>
              </w:rPr>
            </w:pPr>
          </w:p>
        </w:tc>
        <w:tc>
          <w:tcPr>
            <w:tcW w:w="2065" w:type="dxa"/>
            <w:vAlign w:val="center"/>
          </w:tcPr>
          <w:p w14:paraId="3FE05DDC">
            <w:pPr>
              <w:jc w:val="center"/>
              <w:rPr>
                <w:color w:val="000000"/>
              </w:rPr>
            </w:pPr>
            <w:r>
              <w:rPr>
                <w:color w:val="000000"/>
              </w:rPr>
              <w:t>苹果</w:t>
            </w:r>
          </w:p>
        </w:tc>
        <w:tc>
          <w:tcPr>
            <w:tcW w:w="2317" w:type="dxa"/>
            <w:vAlign w:val="center"/>
          </w:tcPr>
          <w:p w14:paraId="022C9D6D">
            <w:pPr>
              <w:jc w:val="center"/>
              <w:rPr>
                <w:color w:val="000000"/>
              </w:rPr>
            </w:pPr>
            <w:r>
              <w:rPr>
                <w:color w:val="000000"/>
              </w:rPr>
              <w:t>50～65</w:t>
            </w:r>
          </w:p>
        </w:tc>
        <w:tc>
          <w:tcPr>
            <w:tcW w:w="2123" w:type="dxa"/>
            <w:vAlign w:val="center"/>
          </w:tcPr>
          <w:p w14:paraId="5412AA36">
            <w:pPr>
              <w:jc w:val="center"/>
              <w:rPr>
                <w:color w:val="000000"/>
              </w:rPr>
            </w:pPr>
          </w:p>
        </w:tc>
      </w:tr>
      <w:tr w14:paraId="569F3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1083D972">
            <w:pPr>
              <w:jc w:val="center"/>
              <w:rPr>
                <w:color w:val="000000"/>
              </w:rPr>
            </w:pPr>
          </w:p>
        </w:tc>
        <w:tc>
          <w:tcPr>
            <w:tcW w:w="2065" w:type="dxa"/>
            <w:vAlign w:val="center"/>
          </w:tcPr>
          <w:p w14:paraId="29DF88F9">
            <w:pPr>
              <w:jc w:val="center"/>
              <w:rPr>
                <w:color w:val="000000"/>
              </w:rPr>
            </w:pPr>
            <w:r>
              <w:rPr>
                <w:color w:val="000000"/>
              </w:rPr>
              <w:t>梨</w:t>
            </w:r>
          </w:p>
        </w:tc>
        <w:tc>
          <w:tcPr>
            <w:tcW w:w="2317" w:type="dxa"/>
            <w:vAlign w:val="center"/>
          </w:tcPr>
          <w:p w14:paraId="6B698DF1">
            <w:pPr>
              <w:jc w:val="center"/>
              <w:rPr>
                <w:color w:val="000000"/>
              </w:rPr>
            </w:pPr>
            <w:r>
              <w:rPr>
                <w:color w:val="000000"/>
              </w:rPr>
              <w:t>55～70</w:t>
            </w:r>
          </w:p>
        </w:tc>
        <w:tc>
          <w:tcPr>
            <w:tcW w:w="2123" w:type="dxa"/>
            <w:vAlign w:val="center"/>
          </w:tcPr>
          <w:p w14:paraId="6F9FA30A">
            <w:pPr>
              <w:jc w:val="center"/>
              <w:rPr>
                <w:color w:val="000000"/>
              </w:rPr>
            </w:pPr>
          </w:p>
        </w:tc>
      </w:tr>
      <w:tr w14:paraId="0FDDB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479FB231">
            <w:pPr>
              <w:jc w:val="center"/>
              <w:rPr>
                <w:color w:val="000000"/>
              </w:rPr>
            </w:pPr>
          </w:p>
        </w:tc>
        <w:tc>
          <w:tcPr>
            <w:tcW w:w="2065" w:type="dxa"/>
            <w:vAlign w:val="center"/>
          </w:tcPr>
          <w:p w14:paraId="4AE7CC8D">
            <w:pPr>
              <w:jc w:val="center"/>
              <w:rPr>
                <w:color w:val="000000"/>
              </w:rPr>
            </w:pPr>
            <w:r>
              <w:rPr>
                <w:color w:val="000000"/>
              </w:rPr>
              <w:t>柑橘</w:t>
            </w:r>
          </w:p>
        </w:tc>
        <w:tc>
          <w:tcPr>
            <w:tcW w:w="2317" w:type="dxa"/>
            <w:vAlign w:val="center"/>
          </w:tcPr>
          <w:p w14:paraId="2975E01E">
            <w:pPr>
              <w:jc w:val="center"/>
              <w:rPr>
                <w:color w:val="000000"/>
              </w:rPr>
            </w:pPr>
            <w:r>
              <w:rPr>
                <w:color w:val="000000"/>
              </w:rPr>
              <w:t>75～90</w:t>
            </w:r>
          </w:p>
        </w:tc>
        <w:tc>
          <w:tcPr>
            <w:tcW w:w="2123" w:type="dxa"/>
            <w:vAlign w:val="center"/>
          </w:tcPr>
          <w:p w14:paraId="0F2F601E">
            <w:pPr>
              <w:jc w:val="center"/>
              <w:rPr>
                <w:color w:val="000000"/>
              </w:rPr>
            </w:pPr>
          </w:p>
        </w:tc>
      </w:tr>
      <w:tr w14:paraId="15574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4BEC5EEA">
            <w:pPr>
              <w:jc w:val="center"/>
              <w:rPr>
                <w:color w:val="000000"/>
              </w:rPr>
            </w:pPr>
          </w:p>
        </w:tc>
        <w:tc>
          <w:tcPr>
            <w:tcW w:w="2065" w:type="dxa"/>
            <w:vAlign w:val="center"/>
          </w:tcPr>
          <w:p w14:paraId="16549991">
            <w:pPr>
              <w:jc w:val="center"/>
              <w:rPr>
                <w:color w:val="000000"/>
              </w:rPr>
            </w:pPr>
            <w:r>
              <w:rPr>
                <w:color w:val="000000"/>
              </w:rPr>
              <w:t>葡萄</w:t>
            </w:r>
          </w:p>
        </w:tc>
        <w:tc>
          <w:tcPr>
            <w:tcW w:w="2317" w:type="dxa"/>
            <w:vAlign w:val="center"/>
          </w:tcPr>
          <w:p w14:paraId="59BB73DC">
            <w:pPr>
              <w:jc w:val="center"/>
              <w:rPr>
                <w:color w:val="000000"/>
              </w:rPr>
            </w:pPr>
            <w:r>
              <w:rPr>
                <w:color w:val="000000"/>
              </w:rPr>
              <w:t>60～75</w:t>
            </w:r>
          </w:p>
        </w:tc>
        <w:tc>
          <w:tcPr>
            <w:tcW w:w="2123" w:type="dxa"/>
            <w:vAlign w:val="center"/>
          </w:tcPr>
          <w:p w14:paraId="6FE20203">
            <w:pPr>
              <w:jc w:val="center"/>
              <w:rPr>
                <w:color w:val="000000"/>
              </w:rPr>
            </w:pPr>
          </w:p>
        </w:tc>
      </w:tr>
      <w:tr w14:paraId="11BB6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446BD1E8">
            <w:pPr>
              <w:jc w:val="center"/>
              <w:rPr>
                <w:color w:val="000000"/>
              </w:rPr>
            </w:pPr>
          </w:p>
        </w:tc>
        <w:tc>
          <w:tcPr>
            <w:tcW w:w="2065" w:type="dxa"/>
            <w:vAlign w:val="center"/>
          </w:tcPr>
          <w:p w14:paraId="7CA0E2D8">
            <w:pPr>
              <w:jc w:val="center"/>
              <w:rPr>
                <w:color w:val="000000"/>
              </w:rPr>
            </w:pPr>
            <w:r>
              <w:rPr>
                <w:color w:val="000000"/>
              </w:rPr>
              <w:t>西瓜</w:t>
            </w:r>
          </w:p>
        </w:tc>
        <w:tc>
          <w:tcPr>
            <w:tcW w:w="2317" w:type="dxa"/>
            <w:vAlign w:val="center"/>
          </w:tcPr>
          <w:p w14:paraId="4B37D7E1">
            <w:pPr>
              <w:jc w:val="center"/>
              <w:rPr>
                <w:color w:val="000000"/>
              </w:rPr>
            </w:pPr>
            <w:r>
              <w:rPr>
                <w:color w:val="000000"/>
              </w:rPr>
              <w:t>50～70</w:t>
            </w:r>
          </w:p>
        </w:tc>
        <w:tc>
          <w:tcPr>
            <w:tcW w:w="2123" w:type="dxa"/>
            <w:vAlign w:val="center"/>
          </w:tcPr>
          <w:p w14:paraId="67065EDE">
            <w:pPr>
              <w:jc w:val="center"/>
              <w:rPr>
                <w:color w:val="000000"/>
              </w:rPr>
            </w:pPr>
          </w:p>
        </w:tc>
      </w:tr>
      <w:tr w14:paraId="7E6A1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2196" w:type="dxa"/>
            <w:vMerge w:val="continue"/>
            <w:vAlign w:val="center"/>
          </w:tcPr>
          <w:p w14:paraId="6DC462D3">
            <w:pPr>
              <w:jc w:val="center"/>
              <w:rPr>
                <w:color w:val="000000"/>
              </w:rPr>
            </w:pPr>
          </w:p>
        </w:tc>
        <w:tc>
          <w:tcPr>
            <w:tcW w:w="2065" w:type="dxa"/>
            <w:vAlign w:val="center"/>
          </w:tcPr>
          <w:p w14:paraId="6A603A95">
            <w:pPr>
              <w:jc w:val="center"/>
              <w:rPr>
                <w:color w:val="000000"/>
              </w:rPr>
            </w:pPr>
            <w:r>
              <w:rPr>
                <w:color w:val="000000"/>
              </w:rPr>
              <w:t>牧草</w:t>
            </w:r>
          </w:p>
        </w:tc>
        <w:tc>
          <w:tcPr>
            <w:tcW w:w="2317" w:type="dxa"/>
            <w:vAlign w:val="center"/>
          </w:tcPr>
          <w:p w14:paraId="7925B875">
            <w:pPr>
              <w:jc w:val="center"/>
              <w:rPr>
                <w:color w:val="000000"/>
              </w:rPr>
            </w:pPr>
            <w:r>
              <w:rPr>
                <w:color w:val="000000"/>
              </w:rPr>
              <w:t>60～80</w:t>
            </w:r>
          </w:p>
        </w:tc>
        <w:tc>
          <w:tcPr>
            <w:tcW w:w="2123" w:type="dxa"/>
            <w:vAlign w:val="center"/>
          </w:tcPr>
          <w:p w14:paraId="68699884">
            <w:pPr>
              <w:jc w:val="center"/>
              <w:rPr>
                <w:color w:val="000000"/>
              </w:rPr>
            </w:pPr>
          </w:p>
        </w:tc>
      </w:tr>
    </w:tbl>
    <w:p w14:paraId="14E3E2D9">
      <w:pPr>
        <w:spacing w:beforeLines="50" w:line="360" w:lineRule="auto"/>
        <w:ind w:firstLine="480" w:firstLineChars="200"/>
        <w:rPr>
          <w:sz w:val="24"/>
        </w:rPr>
      </w:pPr>
      <w:r>
        <w:rPr>
          <w:sz w:val="24"/>
          <w:lang w:val="zh-CN"/>
        </w:rPr>
        <w:t>项目区</w:t>
      </w:r>
      <w:r>
        <w:rPr>
          <w:sz w:val="24"/>
        </w:rPr>
        <w:t>复垦后，旱地为1.8545公顷（19.25亩），有林地为0.3652公顷，其他草地为0.1951公顷。</w:t>
      </w:r>
    </w:p>
    <w:p w14:paraId="75BA51A8">
      <w:pPr>
        <w:spacing w:line="360" w:lineRule="auto"/>
        <w:ind w:firstLine="480" w:firstLineChars="200"/>
        <w:rPr>
          <w:sz w:val="24"/>
          <w:lang w:val="zh-CN"/>
        </w:rPr>
      </w:pPr>
      <w:r>
        <w:rPr>
          <w:sz w:val="24"/>
          <w:lang w:val="zh-CN"/>
        </w:rPr>
        <w:t>2）灌溉毛定额</w:t>
      </w:r>
    </w:p>
    <w:p w14:paraId="5EDE38FE">
      <w:pPr>
        <w:spacing w:line="360" w:lineRule="auto"/>
        <w:ind w:firstLine="480" w:firstLineChars="200"/>
        <w:rPr>
          <w:sz w:val="24"/>
        </w:rPr>
      </w:pPr>
      <w:r>
        <w:rPr>
          <w:sz w:val="24"/>
        </w:rPr>
        <w:t>灌溉毛定额的确定使用下式计算：</w:t>
      </w:r>
    </w:p>
    <w:p w14:paraId="3F74D8A5">
      <w:pPr>
        <w:spacing w:line="360" w:lineRule="auto"/>
        <w:ind w:firstLine="480" w:firstLineChars="200"/>
        <w:jc w:val="center"/>
        <w:rPr>
          <w:sz w:val="24"/>
        </w:rPr>
      </w:pPr>
      <w:r>
        <w:rPr>
          <w:sz w:val="24"/>
        </w:rPr>
        <w:t>W=Wj／η</w:t>
      </w:r>
    </w:p>
    <w:p w14:paraId="05C89680">
      <w:pPr>
        <w:spacing w:line="360" w:lineRule="auto"/>
        <w:ind w:firstLine="480" w:firstLineChars="200"/>
        <w:rPr>
          <w:sz w:val="24"/>
        </w:rPr>
      </w:pPr>
      <w:r>
        <w:rPr>
          <w:sz w:val="24"/>
        </w:rPr>
        <w:t>式中：灌溉水利用系数 η＝ηs×ηf</w:t>
      </w:r>
    </w:p>
    <w:p w14:paraId="6A342C93">
      <w:pPr>
        <w:spacing w:line="360" w:lineRule="auto"/>
        <w:ind w:firstLine="1200" w:firstLineChars="500"/>
        <w:rPr>
          <w:sz w:val="24"/>
        </w:rPr>
      </w:pPr>
      <w:r>
        <w:rPr>
          <w:sz w:val="24"/>
        </w:rPr>
        <w:t>ηs～渠系水利用系数</w:t>
      </w:r>
    </w:p>
    <w:p w14:paraId="681411A5">
      <w:pPr>
        <w:spacing w:line="360" w:lineRule="auto"/>
        <w:ind w:firstLine="1200" w:firstLineChars="500"/>
        <w:rPr>
          <w:sz w:val="24"/>
        </w:rPr>
      </w:pPr>
      <w:r>
        <w:rPr>
          <w:sz w:val="24"/>
        </w:rPr>
        <w:t>ηf—田间水利用系数</w:t>
      </w:r>
    </w:p>
    <w:p w14:paraId="619B258B">
      <w:pPr>
        <w:spacing w:line="360" w:lineRule="auto"/>
        <w:ind w:firstLine="480" w:firstLineChars="200"/>
        <w:rPr>
          <w:sz w:val="24"/>
        </w:rPr>
      </w:pPr>
      <w:r>
        <w:rPr>
          <w:sz w:val="24"/>
        </w:rPr>
        <w:t>根据《工程建设标准强制性条文》（水利工程部分）中节水灌溉规定“渠系水利用系数不低于0.75，田间水利用系数、旱作灌区不低于0.9。由于当地现状大多采用漫灌的方式，考虑今后将逐步推广较先进的灌溉技术和节水措施、渠系水利用系数会有所提高，灌溉定额将进一步降低。同时，考虑本项目输水渠线较短，水量损失小，因此采用灌溉水利用系数η为0.80，由此，根据《灌溉与排水工程设计规范》（GB 50288—99）规定的公式W=Wj／η。</w:t>
      </w:r>
    </w:p>
    <w:p w14:paraId="011F0860">
      <w:pPr>
        <w:spacing w:line="360" w:lineRule="auto"/>
        <w:ind w:firstLine="480" w:firstLineChars="200"/>
        <w:rPr>
          <w:sz w:val="24"/>
          <w:lang w:val="zh-CN"/>
        </w:rPr>
      </w:pPr>
      <w:r>
        <w:rPr>
          <w:sz w:val="24"/>
          <w:lang w:val="zh-CN"/>
        </w:rPr>
        <w:t>3）灌区灌溉用水量计算</w:t>
      </w:r>
    </w:p>
    <w:p w14:paraId="671EEECF">
      <w:pPr>
        <w:snapToGrid w:val="0"/>
        <w:spacing w:line="360" w:lineRule="auto"/>
        <w:ind w:firstLine="480" w:firstLineChars="200"/>
        <w:rPr>
          <w:sz w:val="24"/>
        </w:rPr>
      </w:pPr>
      <w:r>
        <w:rPr>
          <w:sz w:val="24"/>
        </w:rPr>
        <w:t>灌区灌溉用水量计算采用以下公式计算</w:t>
      </w:r>
    </w:p>
    <w:p w14:paraId="3DD1AF20">
      <w:pPr>
        <w:snapToGrid w:val="0"/>
        <w:spacing w:line="360" w:lineRule="auto"/>
        <w:ind w:firstLine="480" w:firstLineChars="200"/>
        <w:jc w:val="center"/>
        <w:rPr>
          <w:sz w:val="24"/>
        </w:rPr>
      </w:pPr>
      <w:r>
        <w:rPr>
          <w:sz w:val="24"/>
        </w:rPr>
        <w:t>W=Wj／η</w:t>
      </w:r>
    </w:p>
    <w:p w14:paraId="264C09CD">
      <w:pPr>
        <w:snapToGrid w:val="0"/>
        <w:spacing w:line="360" w:lineRule="auto"/>
        <w:ind w:firstLine="480" w:firstLineChars="200"/>
        <w:jc w:val="center"/>
        <w:rPr>
          <w:sz w:val="24"/>
        </w:rPr>
      </w:pPr>
      <w:r>
        <w:rPr>
          <w:sz w:val="24"/>
        </w:rPr>
        <w:t>M = W×A</w:t>
      </w:r>
    </w:p>
    <w:p w14:paraId="79E8BED3">
      <w:pPr>
        <w:snapToGrid w:val="0"/>
        <w:spacing w:line="360" w:lineRule="auto"/>
        <w:ind w:firstLine="480" w:firstLineChars="200"/>
        <w:rPr>
          <w:sz w:val="24"/>
        </w:rPr>
      </w:pPr>
      <w:r>
        <w:rPr>
          <w:sz w:val="24"/>
        </w:rPr>
        <w:t>式中:M─灌区毛灌溉用水量</w:t>
      </w:r>
    </w:p>
    <w:p w14:paraId="1EF96AAC">
      <w:pPr>
        <w:snapToGrid w:val="0"/>
        <w:spacing w:line="360" w:lineRule="auto"/>
        <w:ind w:firstLine="960" w:firstLineChars="400"/>
        <w:rPr>
          <w:sz w:val="24"/>
        </w:rPr>
      </w:pPr>
      <w:r>
        <w:rPr>
          <w:sz w:val="24"/>
        </w:rPr>
        <w:t>W─灌区净灌溉用水定额（m</w:t>
      </w:r>
      <w:r>
        <w:rPr>
          <w:sz w:val="24"/>
          <w:vertAlign w:val="superscript"/>
        </w:rPr>
        <w:t>3</w:t>
      </w:r>
      <w:r>
        <w:rPr>
          <w:sz w:val="24"/>
        </w:rPr>
        <w:t>／亩）</w:t>
      </w:r>
    </w:p>
    <w:p w14:paraId="4119629B">
      <w:pPr>
        <w:snapToGrid w:val="0"/>
        <w:spacing w:line="360" w:lineRule="auto"/>
        <w:ind w:firstLine="960" w:firstLineChars="400"/>
        <w:rPr>
          <w:sz w:val="24"/>
        </w:rPr>
      </w:pPr>
      <w:r>
        <w:rPr>
          <w:sz w:val="24"/>
        </w:rPr>
        <w:t>η─灌溉水利用系数，η=0.80，</w:t>
      </w:r>
    </w:p>
    <w:p w14:paraId="4600FECF">
      <w:pPr>
        <w:snapToGrid w:val="0"/>
        <w:spacing w:line="360" w:lineRule="auto"/>
        <w:ind w:firstLine="960" w:firstLineChars="400"/>
        <w:rPr>
          <w:sz w:val="24"/>
        </w:rPr>
      </w:pPr>
      <w:r>
        <w:rPr>
          <w:sz w:val="24"/>
        </w:rPr>
        <w:t>A─灌区灌溉面积，亩</w:t>
      </w:r>
    </w:p>
    <w:p w14:paraId="0E81B18D">
      <w:pPr>
        <w:snapToGrid w:val="0"/>
        <w:spacing w:line="360" w:lineRule="auto"/>
        <w:ind w:firstLine="480" w:firstLineChars="200"/>
        <w:rPr>
          <w:sz w:val="24"/>
        </w:rPr>
      </w:pPr>
      <w:r>
        <w:rPr>
          <w:sz w:val="24"/>
        </w:rPr>
        <w:t>经整理后实际可耕作旱地为27.82亩。</w:t>
      </w:r>
    </w:p>
    <w:p w14:paraId="1653A45D">
      <w:pPr>
        <w:spacing w:line="360" w:lineRule="auto"/>
        <w:ind w:firstLine="480" w:firstLineChars="200"/>
        <w:rPr>
          <w:sz w:val="24"/>
        </w:rPr>
      </w:pPr>
      <w:r>
        <w:rPr>
          <w:sz w:val="24"/>
        </w:rPr>
        <w:t>计算后项目区耕地复垦后年需水量为2608.13m</w:t>
      </w:r>
      <w:r>
        <w:rPr>
          <w:sz w:val="24"/>
          <w:vertAlign w:val="superscript"/>
        </w:rPr>
        <w:t>3</w:t>
      </w:r>
      <w:r>
        <w:rPr>
          <w:sz w:val="24"/>
        </w:rPr>
        <w:t>。</w:t>
      </w:r>
    </w:p>
    <w:p w14:paraId="7959F98B">
      <w:pPr>
        <w:spacing w:line="360" w:lineRule="auto"/>
        <w:ind w:firstLine="480" w:firstLineChars="200"/>
        <w:rPr>
          <w:sz w:val="24"/>
        </w:rPr>
      </w:pPr>
      <w:r>
        <w:rPr>
          <w:sz w:val="24"/>
        </w:rPr>
        <w:t>苗木灌水量随树种、林龄、季节和土壤条件不同而异。一般要求灌水后的土壤湿度达到田间持水量的60%~80%即可，并且湿土层要达到主要根群分布深度。由于在栽植过程中，苗木的起栽都有可能造成其生理缺水，为了提高苗木栽植的成活率，在苗木栽植后立即浇灌一次透水，根据《雨水集蓄利用工程技术规范》（GBT50596-2010）在年降水量大于500mm的地区，林草地喷灌灌水定额为45m</w:t>
      </w:r>
      <w:r>
        <w:rPr>
          <w:sz w:val="24"/>
          <w:vertAlign w:val="superscript"/>
        </w:rPr>
        <w:t>3</w:t>
      </w:r>
      <w:r>
        <w:rPr>
          <w:sz w:val="24"/>
        </w:rPr>
        <w:t>/公顷，本项目共复垦林草地0.5603公顷，共需水25.22m</w:t>
      </w:r>
      <w:r>
        <w:rPr>
          <w:sz w:val="24"/>
          <w:vertAlign w:val="superscript"/>
        </w:rPr>
        <w:t>3</w:t>
      </w:r>
      <w:r>
        <w:rPr>
          <w:sz w:val="24"/>
        </w:rPr>
        <w:t>。</w:t>
      </w:r>
    </w:p>
    <w:p w14:paraId="03E50832">
      <w:pPr>
        <w:spacing w:line="360" w:lineRule="auto"/>
        <w:ind w:firstLine="480" w:firstLineChars="200"/>
        <w:rPr>
          <w:sz w:val="24"/>
        </w:rPr>
      </w:pPr>
      <w:r>
        <w:rPr>
          <w:sz w:val="24"/>
        </w:rPr>
        <w:t>由上可得，复垦后年需水总量为2633.35m</w:t>
      </w:r>
      <w:r>
        <w:rPr>
          <w:sz w:val="24"/>
          <w:vertAlign w:val="superscript"/>
        </w:rPr>
        <w:t>3</w:t>
      </w:r>
      <w:r>
        <w:rPr>
          <w:sz w:val="24"/>
        </w:rPr>
        <w:t>。</w:t>
      </w:r>
    </w:p>
    <w:p w14:paraId="68ADC58C">
      <w:pPr>
        <w:spacing w:line="360" w:lineRule="auto"/>
        <w:ind w:firstLine="480" w:firstLineChars="200"/>
        <w:rPr>
          <w:sz w:val="24"/>
        </w:rPr>
      </w:pPr>
      <w:r>
        <w:rPr>
          <w:sz w:val="24"/>
        </w:rPr>
        <w:t>4）供水分析</w:t>
      </w:r>
    </w:p>
    <w:p w14:paraId="3BA7C20E">
      <w:pPr>
        <w:spacing w:line="360" w:lineRule="auto"/>
        <w:ind w:firstLine="480" w:firstLineChars="200"/>
        <w:rPr>
          <w:sz w:val="24"/>
        </w:rPr>
      </w:pPr>
      <w:r>
        <w:rPr>
          <w:sz w:val="24"/>
        </w:rPr>
        <w:t>本项目所在地年平均降雨973.3mm。复垦区汇水面积约2.4148hm</w:t>
      </w:r>
      <w:r>
        <w:rPr>
          <w:sz w:val="24"/>
          <w:vertAlign w:val="superscript"/>
        </w:rPr>
        <w:t>2</w:t>
      </w:r>
      <w:r>
        <w:rPr>
          <w:sz w:val="24"/>
        </w:rPr>
        <w:t>，年降雨总量为2.35万m</w:t>
      </w:r>
      <w:r>
        <w:rPr>
          <w:sz w:val="24"/>
          <w:vertAlign w:val="superscript"/>
        </w:rPr>
        <w:t>3</w:t>
      </w:r>
      <w:r>
        <w:rPr>
          <w:sz w:val="24"/>
        </w:rPr>
        <w:t>，径流系数取0.8，地表径流量为1.88万m</w:t>
      </w:r>
      <w:r>
        <w:rPr>
          <w:sz w:val="24"/>
          <w:vertAlign w:val="superscript"/>
        </w:rPr>
        <w:t>3</w:t>
      </w:r>
      <w:r>
        <w:rPr>
          <w:sz w:val="24"/>
        </w:rPr>
        <w:t>。远远满足复垦耕地及草地需要。当地草地靠自然降水生长，植被在其生长期内不采取灌排措施。项目区自然降雨为复垦草地的灌溉用水提供了水源保障。同时为保证项目区旱季的用水需求，修建沟渠连通附近已有的灌排沟渠，由于本项目已修建一个长约15m，宽约6m的水池，能够满足灌溉需求，复垦时实施时将其利用作为蓄水池。</w:t>
      </w:r>
    </w:p>
    <w:p w14:paraId="76273A3B">
      <w:pPr>
        <w:spacing w:line="360" w:lineRule="auto"/>
        <w:ind w:firstLine="480" w:firstLineChars="200"/>
        <w:rPr>
          <w:sz w:val="24"/>
        </w:rPr>
      </w:pPr>
      <w:r>
        <w:rPr>
          <w:sz w:val="24"/>
        </w:rPr>
        <w:t>综上，本项目复垦后的耕地、林地和草地所需水资源有保障。</w:t>
      </w:r>
    </w:p>
    <w:p w14:paraId="63A2FE0E">
      <w:pPr>
        <w:spacing w:line="360" w:lineRule="auto"/>
        <w:ind w:firstLine="480" w:firstLineChars="200"/>
        <w:rPr>
          <w:sz w:val="24"/>
        </w:rPr>
      </w:pPr>
      <w:r>
        <w:rPr>
          <w:sz w:val="24"/>
        </w:rPr>
        <w:drawing>
          <wp:inline distT="0" distB="0" distL="0" distR="0">
            <wp:extent cx="4493895" cy="3371215"/>
            <wp:effectExtent l="0" t="0" r="0" b="0"/>
            <wp:docPr id="8" name="图片 8" descr="I:\01规程规范、模板、学习资料\新建文件夹\利州区项目\宝轮\宝轮砖厂野外照片\IMG_20200611_10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01规程规范、模板、学习资料\新建文件夹\利州区项目\宝轮\宝轮砖厂野外照片\IMG_20200611_1008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497347" cy="3373504"/>
                    </a:xfrm>
                    <a:prstGeom prst="rect">
                      <a:avLst/>
                    </a:prstGeom>
                    <a:noFill/>
                    <a:ln>
                      <a:noFill/>
                    </a:ln>
                  </pic:spPr>
                </pic:pic>
              </a:graphicData>
            </a:graphic>
          </wp:inline>
        </w:drawing>
      </w:r>
    </w:p>
    <w:p w14:paraId="51936239">
      <w:pPr>
        <w:jc w:val="center"/>
        <w:rPr>
          <w:rFonts w:eastAsiaTheme="minorEastAsia"/>
          <w:b/>
          <w:szCs w:val="21"/>
        </w:rPr>
      </w:pPr>
      <w:r>
        <w:rPr>
          <w:rFonts w:eastAsiaTheme="minorEastAsia"/>
          <w:b/>
          <w:szCs w:val="21"/>
        </w:rPr>
        <w:t>图4-1  矿山现有水池</w:t>
      </w:r>
    </w:p>
    <w:p w14:paraId="63E6E3E9">
      <w:pPr>
        <w:spacing w:line="360" w:lineRule="auto"/>
        <w:ind w:firstLine="480" w:firstLineChars="200"/>
        <w:jc w:val="left"/>
        <w:rPr>
          <w:sz w:val="24"/>
        </w:rPr>
      </w:pPr>
      <w:r>
        <w:rPr>
          <w:sz w:val="24"/>
        </w:rPr>
        <w:t>2、土资源供需平衡分析</w:t>
      </w:r>
    </w:p>
    <w:p w14:paraId="7CEA182D">
      <w:pPr>
        <w:spacing w:line="360" w:lineRule="auto"/>
        <w:ind w:firstLine="480" w:firstLineChars="200"/>
        <w:rPr>
          <w:sz w:val="24"/>
          <w:lang w:val="zh-CN"/>
        </w:rPr>
      </w:pPr>
      <w:r>
        <w:rPr>
          <w:sz w:val="24"/>
        </w:rPr>
        <w:t>1）土源需求分析</w:t>
      </w:r>
    </w:p>
    <w:p w14:paraId="4122ED24">
      <w:pPr>
        <w:spacing w:line="360" w:lineRule="auto"/>
        <w:ind w:firstLine="480" w:firstLineChars="200"/>
        <w:rPr>
          <w:sz w:val="24"/>
          <w:lang w:val="en-GB"/>
        </w:rPr>
      </w:pPr>
      <w:r>
        <w:rPr>
          <w:sz w:val="24"/>
          <w:lang w:val="en-GB"/>
        </w:rPr>
        <w:t>根据复垦单元划分情况，复垦责任范围内各个复垦单元复垦方向和复垦标准要求不同，其覆土厚度也不同，根据《土地复垦质量控制标准》，D.8西南山地丘陵地区土地复垦质量控制标准；工业广场</w:t>
      </w:r>
      <w:r>
        <w:rPr>
          <w:rFonts w:eastAsiaTheme="minorEastAsia"/>
          <w:sz w:val="24"/>
        </w:rPr>
        <w:t>复垦为旱地覆土40cm</w:t>
      </w:r>
      <w:r>
        <w:rPr>
          <w:sz w:val="24"/>
          <w:lang w:val="en-GB"/>
        </w:rPr>
        <w:t>（其中耕作层0.2m）</w:t>
      </w:r>
      <w:r>
        <w:rPr>
          <w:rFonts w:eastAsiaTheme="minorEastAsia"/>
          <w:sz w:val="24"/>
        </w:rPr>
        <w:t>，边坡区平台复垦为有林地覆土30cm，</w:t>
      </w:r>
      <w:r>
        <w:rPr>
          <w:sz w:val="24"/>
          <w:lang w:val="en-GB"/>
        </w:rPr>
        <w:t>但是由于项目区以后不进行开采，没有剥离表土，且面积较大，所以本方案采用穴植的栽植方式，</w:t>
      </w:r>
      <w:r>
        <w:rPr>
          <w:rFonts w:eastAsiaTheme="minorEastAsia"/>
          <w:sz w:val="24"/>
        </w:rPr>
        <w:t>穴坑直径Φ为0.6m，填土深0.5m，每穴需土0.14m</w:t>
      </w:r>
      <w:r>
        <w:rPr>
          <w:rFonts w:eastAsiaTheme="minorEastAsia"/>
          <w:sz w:val="24"/>
          <w:vertAlign w:val="superscript"/>
        </w:rPr>
        <w:t>3</w:t>
      </w:r>
      <w:r>
        <w:rPr>
          <w:rFonts w:eastAsiaTheme="minorEastAsia"/>
          <w:sz w:val="24"/>
        </w:rPr>
        <w:t>，每公顷需土350m</w:t>
      </w:r>
      <w:r>
        <w:rPr>
          <w:rFonts w:eastAsiaTheme="minorEastAsia"/>
          <w:sz w:val="24"/>
          <w:vertAlign w:val="superscript"/>
        </w:rPr>
        <w:t>3</w:t>
      </w:r>
      <w:r>
        <w:rPr>
          <w:rFonts w:eastAsiaTheme="minorEastAsia"/>
          <w:sz w:val="24"/>
        </w:rPr>
        <w:t>，种植密度为2500株/hm</w:t>
      </w:r>
      <w:r>
        <w:rPr>
          <w:rFonts w:eastAsiaTheme="minorEastAsia"/>
          <w:sz w:val="24"/>
          <w:vertAlign w:val="superscript"/>
        </w:rPr>
        <w:t>2</w:t>
      </w:r>
      <w:r>
        <w:rPr>
          <w:sz w:val="24"/>
          <w:lang w:val="en-GB"/>
        </w:rPr>
        <w:t>；</w:t>
      </w:r>
      <w:r>
        <w:rPr>
          <w:sz w:val="24"/>
        </w:rPr>
        <w:t>边坡区边坡由于坡度大于60°覆土较困难，</w:t>
      </w:r>
      <w:r>
        <w:rPr>
          <w:rFonts w:eastAsiaTheme="minorEastAsia"/>
          <w:sz w:val="24"/>
        </w:rPr>
        <w:t>复垦为其他草地区域不覆土，</w:t>
      </w:r>
      <w:r>
        <w:rPr>
          <w:sz w:val="24"/>
          <w:lang w:val="en-GB"/>
        </w:rPr>
        <w:t>在边坡坡脚种植爬山虎。按照覆土标准计算出方案的需土方量详见表4-10。</w:t>
      </w:r>
    </w:p>
    <w:p w14:paraId="77DC0BB1">
      <w:pPr>
        <w:jc w:val="center"/>
        <w:rPr>
          <w:rFonts w:eastAsiaTheme="minorEastAsia"/>
          <w:b/>
          <w:szCs w:val="21"/>
        </w:rPr>
      </w:pPr>
      <w:r>
        <w:rPr>
          <w:rFonts w:eastAsiaTheme="minorEastAsia"/>
          <w:b/>
          <w:szCs w:val="21"/>
        </w:rPr>
        <w:t>表4-10需土量分析表</w:t>
      </w:r>
    </w:p>
    <w:tbl>
      <w:tblPr>
        <w:tblStyle w:val="29"/>
        <w:tblW w:w="87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1134"/>
        <w:gridCol w:w="1134"/>
        <w:gridCol w:w="1417"/>
        <w:gridCol w:w="1136"/>
        <w:gridCol w:w="1699"/>
      </w:tblGrid>
      <w:tr w14:paraId="68BD4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2235" w:type="dxa"/>
            <w:vAlign w:val="center"/>
          </w:tcPr>
          <w:p w14:paraId="57C0CD10">
            <w:pPr>
              <w:widowControl/>
              <w:jc w:val="center"/>
              <w:textAlignment w:val="center"/>
              <w:rPr>
                <w:color w:val="000000"/>
                <w:kern w:val="0"/>
                <w:szCs w:val="21"/>
              </w:rPr>
            </w:pPr>
            <w:r>
              <w:rPr>
                <w:color w:val="000000"/>
                <w:kern w:val="0"/>
                <w:szCs w:val="21"/>
              </w:rPr>
              <w:t>需土单元</w:t>
            </w:r>
          </w:p>
        </w:tc>
        <w:tc>
          <w:tcPr>
            <w:tcW w:w="1134" w:type="dxa"/>
            <w:vAlign w:val="center"/>
          </w:tcPr>
          <w:p w14:paraId="71BC172A">
            <w:pPr>
              <w:widowControl/>
              <w:jc w:val="center"/>
              <w:textAlignment w:val="center"/>
              <w:rPr>
                <w:color w:val="000000"/>
                <w:kern w:val="0"/>
                <w:szCs w:val="21"/>
              </w:rPr>
            </w:pPr>
            <w:r>
              <w:rPr>
                <w:color w:val="000000"/>
                <w:kern w:val="0"/>
                <w:szCs w:val="21"/>
              </w:rPr>
              <w:t>复垦方向</w:t>
            </w:r>
          </w:p>
        </w:tc>
        <w:tc>
          <w:tcPr>
            <w:tcW w:w="1134" w:type="dxa"/>
            <w:vAlign w:val="center"/>
          </w:tcPr>
          <w:p w14:paraId="7670E82D">
            <w:pPr>
              <w:jc w:val="center"/>
              <w:rPr>
                <w:color w:val="000000" w:themeColor="text1"/>
                <w:kern w:val="0"/>
                <w:szCs w:val="21"/>
              </w:rPr>
            </w:pPr>
            <w:r>
              <w:rPr>
                <w:color w:val="000000" w:themeColor="text1"/>
                <w:kern w:val="0"/>
                <w:szCs w:val="21"/>
              </w:rPr>
              <w:t>复垦面积（hm</w:t>
            </w:r>
            <w:r>
              <w:rPr>
                <w:color w:val="000000" w:themeColor="text1"/>
                <w:kern w:val="0"/>
                <w:szCs w:val="21"/>
                <w:vertAlign w:val="superscript"/>
              </w:rPr>
              <w:t>2</w:t>
            </w:r>
            <w:r>
              <w:rPr>
                <w:color w:val="000000" w:themeColor="text1"/>
                <w:kern w:val="0"/>
                <w:szCs w:val="21"/>
              </w:rPr>
              <w:t>）</w:t>
            </w:r>
          </w:p>
        </w:tc>
        <w:tc>
          <w:tcPr>
            <w:tcW w:w="1417" w:type="dxa"/>
            <w:vAlign w:val="center"/>
          </w:tcPr>
          <w:p w14:paraId="37485B75">
            <w:pPr>
              <w:jc w:val="center"/>
              <w:rPr>
                <w:color w:val="000000" w:themeColor="text1"/>
                <w:kern w:val="0"/>
                <w:szCs w:val="21"/>
              </w:rPr>
            </w:pPr>
            <w:r>
              <w:rPr>
                <w:color w:val="000000" w:themeColor="text1"/>
                <w:kern w:val="0"/>
                <w:szCs w:val="21"/>
              </w:rPr>
              <w:t>覆土厚度（m）</w:t>
            </w:r>
          </w:p>
        </w:tc>
        <w:tc>
          <w:tcPr>
            <w:tcW w:w="1136" w:type="dxa"/>
            <w:vAlign w:val="center"/>
          </w:tcPr>
          <w:p w14:paraId="1D2F13DF">
            <w:pPr>
              <w:jc w:val="center"/>
              <w:rPr>
                <w:color w:val="000000" w:themeColor="text1"/>
                <w:kern w:val="0"/>
                <w:szCs w:val="21"/>
              </w:rPr>
            </w:pPr>
            <w:r>
              <w:rPr>
                <w:color w:val="000000" w:themeColor="text1"/>
                <w:kern w:val="0"/>
                <w:szCs w:val="21"/>
              </w:rPr>
              <w:t>需土方量（m</w:t>
            </w:r>
            <w:r>
              <w:rPr>
                <w:color w:val="000000" w:themeColor="text1"/>
                <w:kern w:val="0"/>
                <w:szCs w:val="21"/>
                <w:vertAlign w:val="superscript"/>
              </w:rPr>
              <w:t>3</w:t>
            </w:r>
            <w:r>
              <w:rPr>
                <w:color w:val="000000" w:themeColor="text1"/>
                <w:kern w:val="0"/>
                <w:szCs w:val="21"/>
              </w:rPr>
              <w:t>）</w:t>
            </w:r>
          </w:p>
        </w:tc>
        <w:tc>
          <w:tcPr>
            <w:tcW w:w="1699" w:type="dxa"/>
            <w:vAlign w:val="center"/>
          </w:tcPr>
          <w:p w14:paraId="6B932766">
            <w:pPr>
              <w:jc w:val="center"/>
              <w:rPr>
                <w:color w:val="000000" w:themeColor="text1"/>
                <w:kern w:val="0"/>
                <w:szCs w:val="21"/>
              </w:rPr>
            </w:pPr>
            <w:r>
              <w:rPr>
                <w:color w:val="000000" w:themeColor="text1"/>
                <w:kern w:val="0"/>
                <w:szCs w:val="21"/>
              </w:rPr>
              <w:t>备注</w:t>
            </w:r>
          </w:p>
        </w:tc>
      </w:tr>
      <w:tr w14:paraId="0955F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35" w:type="dxa"/>
            <w:vAlign w:val="center"/>
          </w:tcPr>
          <w:p w14:paraId="6EE47593">
            <w:pPr>
              <w:jc w:val="center"/>
              <w:rPr>
                <w:szCs w:val="21"/>
              </w:rPr>
            </w:pPr>
            <w:r>
              <w:rPr>
                <w:szCs w:val="21"/>
              </w:rPr>
              <w:t>边坡区边坡</w:t>
            </w:r>
          </w:p>
        </w:tc>
        <w:tc>
          <w:tcPr>
            <w:tcW w:w="1134" w:type="dxa"/>
            <w:vAlign w:val="center"/>
          </w:tcPr>
          <w:p w14:paraId="1170239D">
            <w:pPr>
              <w:widowControl/>
              <w:jc w:val="center"/>
              <w:rPr>
                <w:rFonts w:eastAsiaTheme="minorEastAsia"/>
                <w:kern w:val="0"/>
                <w:szCs w:val="21"/>
              </w:rPr>
            </w:pPr>
            <w:r>
              <w:rPr>
                <w:rFonts w:eastAsiaTheme="minorEastAsia"/>
                <w:kern w:val="0"/>
                <w:szCs w:val="21"/>
              </w:rPr>
              <w:t>其他草地</w:t>
            </w:r>
          </w:p>
        </w:tc>
        <w:tc>
          <w:tcPr>
            <w:tcW w:w="1134" w:type="dxa"/>
            <w:vAlign w:val="center"/>
          </w:tcPr>
          <w:p w14:paraId="762B6507">
            <w:pPr>
              <w:jc w:val="center"/>
              <w:rPr>
                <w:szCs w:val="21"/>
              </w:rPr>
            </w:pPr>
            <w:r>
              <w:rPr>
                <w:szCs w:val="21"/>
              </w:rPr>
              <w:t>0.1951</w:t>
            </w:r>
          </w:p>
        </w:tc>
        <w:tc>
          <w:tcPr>
            <w:tcW w:w="1417" w:type="dxa"/>
            <w:vAlign w:val="center"/>
          </w:tcPr>
          <w:p w14:paraId="6B338D3D">
            <w:pPr>
              <w:jc w:val="center"/>
              <w:rPr>
                <w:color w:val="000000" w:themeColor="text1"/>
                <w:kern w:val="0"/>
                <w:szCs w:val="21"/>
              </w:rPr>
            </w:pPr>
            <w:r>
              <w:rPr>
                <w:color w:val="000000" w:themeColor="text1"/>
                <w:kern w:val="0"/>
                <w:szCs w:val="21"/>
              </w:rPr>
              <w:t>-</w:t>
            </w:r>
          </w:p>
        </w:tc>
        <w:tc>
          <w:tcPr>
            <w:tcW w:w="1136" w:type="dxa"/>
            <w:vAlign w:val="center"/>
          </w:tcPr>
          <w:p w14:paraId="5E2D7D4B">
            <w:pPr>
              <w:jc w:val="center"/>
              <w:rPr>
                <w:color w:val="000000"/>
                <w:szCs w:val="21"/>
              </w:rPr>
            </w:pPr>
            <w:r>
              <w:rPr>
                <w:color w:val="000000"/>
                <w:szCs w:val="21"/>
              </w:rPr>
              <w:t>-</w:t>
            </w:r>
          </w:p>
        </w:tc>
        <w:tc>
          <w:tcPr>
            <w:tcW w:w="1699" w:type="dxa"/>
            <w:vAlign w:val="center"/>
          </w:tcPr>
          <w:p w14:paraId="3A859372">
            <w:pPr>
              <w:jc w:val="center"/>
              <w:rPr>
                <w:color w:val="000000"/>
                <w:szCs w:val="21"/>
              </w:rPr>
            </w:pPr>
            <w:r>
              <w:rPr>
                <w:color w:val="000000"/>
                <w:szCs w:val="21"/>
              </w:rPr>
              <w:t>不覆土</w:t>
            </w:r>
          </w:p>
        </w:tc>
      </w:tr>
      <w:tr w14:paraId="45048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35" w:type="dxa"/>
            <w:vAlign w:val="center"/>
          </w:tcPr>
          <w:p w14:paraId="3A533F91">
            <w:pPr>
              <w:jc w:val="center"/>
              <w:rPr>
                <w:szCs w:val="21"/>
              </w:rPr>
            </w:pPr>
            <w:r>
              <w:rPr>
                <w:szCs w:val="21"/>
              </w:rPr>
              <w:t>边坡区平台</w:t>
            </w:r>
          </w:p>
        </w:tc>
        <w:tc>
          <w:tcPr>
            <w:tcW w:w="1134" w:type="dxa"/>
            <w:vAlign w:val="center"/>
          </w:tcPr>
          <w:p w14:paraId="49E3C95C">
            <w:pPr>
              <w:widowControl/>
              <w:jc w:val="center"/>
              <w:rPr>
                <w:rFonts w:eastAsiaTheme="minorEastAsia"/>
                <w:kern w:val="0"/>
                <w:szCs w:val="21"/>
              </w:rPr>
            </w:pPr>
            <w:r>
              <w:rPr>
                <w:rFonts w:eastAsiaTheme="minorEastAsia"/>
                <w:kern w:val="0"/>
                <w:szCs w:val="21"/>
              </w:rPr>
              <w:t>有林地</w:t>
            </w:r>
          </w:p>
        </w:tc>
        <w:tc>
          <w:tcPr>
            <w:tcW w:w="1134" w:type="dxa"/>
            <w:vAlign w:val="center"/>
          </w:tcPr>
          <w:p w14:paraId="108F5D2F">
            <w:pPr>
              <w:jc w:val="center"/>
              <w:rPr>
                <w:szCs w:val="21"/>
              </w:rPr>
            </w:pPr>
            <w:r>
              <w:rPr>
                <w:szCs w:val="21"/>
              </w:rPr>
              <w:t>0.3652</w:t>
            </w:r>
          </w:p>
        </w:tc>
        <w:tc>
          <w:tcPr>
            <w:tcW w:w="1417" w:type="dxa"/>
            <w:vAlign w:val="center"/>
          </w:tcPr>
          <w:p w14:paraId="03BF9545">
            <w:pPr>
              <w:jc w:val="center"/>
              <w:rPr>
                <w:rFonts w:eastAsiaTheme="minorEastAsia"/>
                <w:szCs w:val="21"/>
              </w:rPr>
            </w:pPr>
            <w:r>
              <w:rPr>
                <w:rFonts w:eastAsiaTheme="minorEastAsia"/>
                <w:szCs w:val="21"/>
              </w:rPr>
              <w:t>350m</w:t>
            </w:r>
            <w:r>
              <w:rPr>
                <w:rFonts w:eastAsiaTheme="minorEastAsia"/>
                <w:szCs w:val="21"/>
                <w:vertAlign w:val="superscript"/>
              </w:rPr>
              <w:t>3</w:t>
            </w:r>
            <w:r>
              <w:rPr>
                <w:rFonts w:eastAsiaTheme="minorEastAsia"/>
                <w:szCs w:val="21"/>
              </w:rPr>
              <w:t>/ hm</w:t>
            </w:r>
            <w:r>
              <w:rPr>
                <w:rFonts w:eastAsiaTheme="minorEastAsia"/>
                <w:szCs w:val="21"/>
                <w:vertAlign w:val="superscript"/>
              </w:rPr>
              <w:t>2</w:t>
            </w:r>
          </w:p>
        </w:tc>
        <w:tc>
          <w:tcPr>
            <w:tcW w:w="1136" w:type="dxa"/>
            <w:vAlign w:val="center"/>
          </w:tcPr>
          <w:p w14:paraId="6F0ACCED">
            <w:pPr>
              <w:jc w:val="center"/>
              <w:rPr>
                <w:color w:val="000000"/>
                <w:szCs w:val="21"/>
              </w:rPr>
            </w:pPr>
            <w:r>
              <w:rPr>
                <w:color w:val="000000"/>
                <w:szCs w:val="21"/>
              </w:rPr>
              <w:t>127.82</w:t>
            </w:r>
          </w:p>
        </w:tc>
        <w:tc>
          <w:tcPr>
            <w:tcW w:w="1699" w:type="dxa"/>
            <w:vAlign w:val="center"/>
          </w:tcPr>
          <w:p w14:paraId="115855AA">
            <w:pPr>
              <w:jc w:val="center"/>
              <w:rPr>
                <w:color w:val="000000"/>
                <w:szCs w:val="21"/>
              </w:rPr>
            </w:pPr>
          </w:p>
        </w:tc>
      </w:tr>
      <w:tr w14:paraId="78CB3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235" w:type="dxa"/>
            <w:vAlign w:val="center"/>
          </w:tcPr>
          <w:p w14:paraId="1BDD0C06">
            <w:pPr>
              <w:jc w:val="center"/>
              <w:rPr>
                <w:szCs w:val="21"/>
              </w:rPr>
            </w:pPr>
            <w:r>
              <w:rPr>
                <w:szCs w:val="21"/>
              </w:rPr>
              <w:t>工业广场</w:t>
            </w:r>
          </w:p>
        </w:tc>
        <w:tc>
          <w:tcPr>
            <w:tcW w:w="1134" w:type="dxa"/>
            <w:vAlign w:val="center"/>
          </w:tcPr>
          <w:p w14:paraId="7B97C858">
            <w:pPr>
              <w:jc w:val="center"/>
              <w:rPr>
                <w:szCs w:val="21"/>
              </w:rPr>
            </w:pPr>
            <w:r>
              <w:rPr>
                <w:rFonts w:eastAsiaTheme="minorEastAsia"/>
                <w:kern w:val="0"/>
                <w:szCs w:val="21"/>
              </w:rPr>
              <w:t>旱地</w:t>
            </w:r>
          </w:p>
        </w:tc>
        <w:tc>
          <w:tcPr>
            <w:tcW w:w="1134" w:type="dxa"/>
            <w:vAlign w:val="center"/>
          </w:tcPr>
          <w:p w14:paraId="23513168">
            <w:pPr>
              <w:jc w:val="center"/>
              <w:rPr>
                <w:szCs w:val="21"/>
              </w:rPr>
            </w:pPr>
            <w:r>
              <w:rPr>
                <w:szCs w:val="21"/>
              </w:rPr>
              <w:t>1.8545</w:t>
            </w:r>
          </w:p>
        </w:tc>
        <w:tc>
          <w:tcPr>
            <w:tcW w:w="1417" w:type="dxa"/>
            <w:vAlign w:val="center"/>
          </w:tcPr>
          <w:p w14:paraId="44E42ED0">
            <w:pPr>
              <w:jc w:val="center"/>
              <w:rPr>
                <w:rFonts w:eastAsiaTheme="minorEastAsia"/>
                <w:szCs w:val="21"/>
              </w:rPr>
            </w:pPr>
            <w:r>
              <w:rPr>
                <w:rFonts w:eastAsiaTheme="minorEastAsia"/>
                <w:szCs w:val="21"/>
              </w:rPr>
              <w:t>0.4</w:t>
            </w:r>
          </w:p>
        </w:tc>
        <w:tc>
          <w:tcPr>
            <w:tcW w:w="1136" w:type="dxa"/>
            <w:vAlign w:val="center"/>
          </w:tcPr>
          <w:p w14:paraId="30F00D89">
            <w:pPr>
              <w:jc w:val="center"/>
              <w:rPr>
                <w:color w:val="000000"/>
                <w:szCs w:val="21"/>
              </w:rPr>
            </w:pPr>
            <w:r>
              <w:rPr>
                <w:color w:val="000000"/>
                <w:szCs w:val="21"/>
              </w:rPr>
              <w:t>7418</w:t>
            </w:r>
          </w:p>
        </w:tc>
        <w:tc>
          <w:tcPr>
            <w:tcW w:w="1699" w:type="dxa"/>
            <w:vAlign w:val="center"/>
          </w:tcPr>
          <w:p w14:paraId="7505D321">
            <w:pPr>
              <w:jc w:val="center"/>
              <w:rPr>
                <w:color w:val="000000"/>
                <w:szCs w:val="21"/>
              </w:rPr>
            </w:pPr>
            <w:r>
              <w:rPr>
                <w:color w:val="000000"/>
                <w:szCs w:val="21"/>
              </w:rPr>
              <w:t>耕作层3709m</w:t>
            </w:r>
            <w:r>
              <w:rPr>
                <w:color w:val="000000"/>
                <w:szCs w:val="21"/>
                <w:vertAlign w:val="superscript"/>
              </w:rPr>
              <w:t>3</w:t>
            </w:r>
            <w:r>
              <w:rPr>
                <w:color w:val="000000"/>
                <w:szCs w:val="21"/>
              </w:rPr>
              <w:t>-</w:t>
            </w:r>
          </w:p>
        </w:tc>
      </w:tr>
      <w:tr w14:paraId="7981E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3369" w:type="dxa"/>
            <w:gridSpan w:val="2"/>
            <w:vAlign w:val="center"/>
          </w:tcPr>
          <w:p w14:paraId="36131BD5">
            <w:pPr>
              <w:jc w:val="center"/>
              <w:rPr>
                <w:color w:val="000000" w:themeColor="text1"/>
                <w:kern w:val="0"/>
                <w:szCs w:val="21"/>
              </w:rPr>
            </w:pPr>
            <w:r>
              <w:rPr>
                <w:color w:val="000000" w:themeColor="text1"/>
                <w:kern w:val="0"/>
                <w:szCs w:val="21"/>
              </w:rPr>
              <w:t>合计</w:t>
            </w:r>
          </w:p>
        </w:tc>
        <w:tc>
          <w:tcPr>
            <w:tcW w:w="1134" w:type="dxa"/>
            <w:vAlign w:val="center"/>
          </w:tcPr>
          <w:p w14:paraId="45D95682">
            <w:pPr>
              <w:jc w:val="center"/>
              <w:rPr>
                <w:color w:val="000000" w:themeColor="text1"/>
                <w:kern w:val="0"/>
                <w:szCs w:val="21"/>
              </w:rPr>
            </w:pPr>
            <w:r>
              <w:rPr>
                <w:color w:val="000000" w:themeColor="text1"/>
                <w:kern w:val="0"/>
                <w:szCs w:val="21"/>
              </w:rPr>
              <w:t>2.4148</w:t>
            </w:r>
          </w:p>
        </w:tc>
        <w:tc>
          <w:tcPr>
            <w:tcW w:w="1417" w:type="dxa"/>
            <w:vAlign w:val="center"/>
          </w:tcPr>
          <w:p w14:paraId="16B7B5F5">
            <w:pPr>
              <w:jc w:val="center"/>
              <w:rPr>
                <w:color w:val="000000" w:themeColor="text1"/>
                <w:kern w:val="0"/>
                <w:szCs w:val="21"/>
              </w:rPr>
            </w:pPr>
            <w:r>
              <w:rPr>
                <w:color w:val="000000" w:themeColor="text1"/>
                <w:kern w:val="0"/>
                <w:szCs w:val="21"/>
              </w:rPr>
              <w:t>-</w:t>
            </w:r>
          </w:p>
        </w:tc>
        <w:tc>
          <w:tcPr>
            <w:tcW w:w="1136" w:type="dxa"/>
            <w:vAlign w:val="center"/>
          </w:tcPr>
          <w:p w14:paraId="1C31B574">
            <w:pPr>
              <w:widowControl/>
              <w:jc w:val="center"/>
              <w:textAlignment w:val="center"/>
              <w:rPr>
                <w:color w:val="000000"/>
                <w:kern w:val="0"/>
                <w:szCs w:val="21"/>
              </w:rPr>
            </w:pPr>
            <w:r>
              <w:rPr>
                <w:color w:val="000000"/>
                <w:szCs w:val="21"/>
              </w:rPr>
              <w:t>7545.82</w:t>
            </w:r>
          </w:p>
        </w:tc>
        <w:tc>
          <w:tcPr>
            <w:tcW w:w="1699" w:type="dxa"/>
            <w:vAlign w:val="center"/>
          </w:tcPr>
          <w:p w14:paraId="2AEFEBE1">
            <w:pPr>
              <w:jc w:val="center"/>
              <w:rPr>
                <w:color w:val="000000"/>
                <w:szCs w:val="21"/>
              </w:rPr>
            </w:pPr>
            <w:r>
              <w:rPr>
                <w:color w:val="000000"/>
                <w:szCs w:val="21"/>
              </w:rPr>
              <w:t>-</w:t>
            </w:r>
          </w:p>
        </w:tc>
      </w:tr>
    </w:tbl>
    <w:p w14:paraId="2ADEF7E3">
      <w:pPr>
        <w:tabs>
          <w:tab w:val="left" w:pos="611"/>
        </w:tabs>
        <w:spacing w:line="360" w:lineRule="auto"/>
        <w:ind w:firstLine="480" w:firstLineChars="200"/>
        <w:rPr>
          <w:sz w:val="24"/>
        </w:rPr>
      </w:pPr>
      <w:r>
        <w:rPr>
          <w:sz w:val="24"/>
        </w:rPr>
        <w:t>通过表4-13可知，本方案共需覆土量约</w:t>
      </w:r>
      <w:r>
        <w:rPr>
          <w:sz w:val="24"/>
          <w:lang w:val="zh-CN"/>
        </w:rPr>
        <w:t>7545.82</w:t>
      </w:r>
      <w:r>
        <w:rPr>
          <w:sz w:val="24"/>
        </w:rPr>
        <w:t>m</w:t>
      </w:r>
      <w:r>
        <w:rPr>
          <w:sz w:val="24"/>
          <w:vertAlign w:val="superscript"/>
        </w:rPr>
        <w:t>3</w:t>
      </w:r>
      <w:r>
        <w:rPr>
          <w:sz w:val="24"/>
        </w:rPr>
        <w:t>。</w:t>
      </w:r>
    </w:p>
    <w:p w14:paraId="33AC1F0E">
      <w:pPr>
        <w:spacing w:line="360" w:lineRule="auto"/>
        <w:ind w:firstLine="480" w:firstLineChars="200"/>
        <w:rPr>
          <w:sz w:val="24"/>
          <w:lang w:val="zh-CN"/>
        </w:rPr>
      </w:pPr>
      <w:r>
        <w:rPr>
          <w:sz w:val="24"/>
        </w:rPr>
        <w:t>2）土源供应分析</w:t>
      </w:r>
    </w:p>
    <w:p w14:paraId="690C2E1B">
      <w:pPr>
        <w:spacing w:line="360" w:lineRule="auto"/>
        <w:ind w:firstLine="480" w:firstLineChars="200"/>
        <w:rPr>
          <w:bCs/>
          <w:sz w:val="24"/>
        </w:rPr>
      </w:pPr>
      <w:r>
        <w:rPr>
          <w:rFonts w:hint="eastAsia" w:ascii="宋体" w:hAnsi="宋体" w:cs="宋体"/>
          <w:bCs/>
          <w:sz w:val="24"/>
        </w:rPr>
        <w:t>①</w:t>
      </w:r>
      <w:r>
        <w:rPr>
          <w:bCs/>
          <w:sz w:val="24"/>
        </w:rPr>
        <w:t>表土来源分析</w:t>
      </w:r>
    </w:p>
    <w:p w14:paraId="395C40E5">
      <w:pPr>
        <w:spacing w:line="360" w:lineRule="auto"/>
        <w:ind w:firstLine="480" w:firstLineChars="200"/>
        <w:rPr>
          <w:rFonts w:eastAsiaTheme="minorEastAsia"/>
          <w:b/>
          <w:szCs w:val="21"/>
        </w:rPr>
      </w:pPr>
      <w:r>
        <w:rPr>
          <w:bCs/>
          <w:sz w:val="24"/>
        </w:rPr>
        <w:t>根据调查，本矿在前期开采了部分页岩矿，但已停采多年，后期也不进行开采，所以现场没有可剥离表土供复垦使用，本方案决定外购，在前期踏勘与业主沟通得知，由于业主制砖原材料无法通过开采所得，所以业主为维持经营，原材料一直外购，外购矿种为砖瓦用页岩矿，通过业主了解，制砖原材料来源为周边公司或矿山开采剥离表土和上覆岩层，后期边开采边剥离，表土厚度和土壤质量能满足复垦林地要求。其次，拟采用矿山表土和上覆岩层剥离具有持续性，且本方案复垦期时间短，因此，在复垦时，直接将土从剥离区运往复垦区，因此，本方案表土来源于业主原材料来源公司或矿山为开采而剥离的表土。</w:t>
      </w:r>
    </w:p>
    <w:p w14:paraId="6360C404">
      <w:pPr>
        <w:spacing w:line="360" w:lineRule="auto"/>
        <w:ind w:firstLine="480" w:firstLineChars="200"/>
        <w:rPr>
          <w:bCs/>
          <w:sz w:val="24"/>
        </w:rPr>
      </w:pPr>
      <w:r>
        <w:rPr>
          <w:rFonts w:hint="eastAsia" w:ascii="宋体" w:hAnsi="宋体" w:cs="宋体"/>
          <w:bCs/>
          <w:sz w:val="24"/>
        </w:rPr>
        <w:t>②</w:t>
      </w:r>
      <w:r>
        <w:rPr>
          <w:bCs/>
          <w:sz w:val="24"/>
        </w:rPr>
        <w:t>表土数量和质量分析</w:t>
      </w:r>
    </w:p>
    <w:p w14:paraId="27828768">
      <w:pPr>
        <w:spacing w:line="360" w:lineRule="auto"/>
        <w:ind w:firstLine="480" w:firstLineChars="200"/>
        <w:rPr>
          <w:bCs/>
          <w:sz w:val="24"/>
        </w:rPr>
      </w:pPr>
      <w:r>
        <w:rPr>
          <w:bCs/>
          <w:sz w:val="24"/>
        </w:rPr>
        <w:t>通过计算，复垦共需覆土7545.82m</w:t>
      </w:r>
      <w:r>
        <w:rPr>
          <w:bCs/>
          <w:sz w:val="24"/>
          <w:vertAlign w:val="superscript"/>
        </w:rPr>
        <w:t>3</w:t>
      </w:r>
      <w:r>
        <w:rPr>
          <w:bCs/>
          <w:sz w:val="24"/>
        </w:rPr>
        <w:t>，共需客土7545.82m</w:t>
      </w:r>
      <w:r>
        <w:rPr>
          <w:bCs/>
          <w:sz w:val="24"/>
          <w:vertAlign w:val="superscript"/>
        </w:rPr>
        <w:t>3</w:t>
      </w:r>
      <w:r>
        <w:rPr>
          <w:bCs/>
          <w:sz w:val="24"/>
        </w:rPr>
        <w:t>。外购区域为业主购买原材料所在矿山开采剥离表土，距离复垦区直距约4km，拟开采区土层厚0.75～1.50m，平均厚1.00m，土壤有机质、PH值等指标达到复垦取土需求，同时由于土层较厚，且剥离区面积较大，因此，剥离区远远能满足本项目区复垦需土，土壤厚度、质量、肥力和其他理化指标能满足林木生长需要。通过与业主沟通，矿山目前制砖原材料来源于周边矿山及开采区废料，本方案拟将复垦用土从废料中扣除用于复垦，废料中包含表土和开采剥离地层岩石。</w:t>
      </w:r>
    </w:p>
    <w:p w14:paraId="19AA83D0">
      <w:pPr>
        <w:spacing w:line="360" w:lineRule="auto"/>
        <w:ind w:firstLine="480" w:firstLineChars="200"/>
        <w:rPr>
          <w:sz w:val="24"/>
          <w:lang w:val="zh-CN"/>
        </w:rPr>
      </w:pPr>
      <w:r>
        <w:rPr>
          <w:sz w:val="24"/>
        </w:rPr>
        <w:t>3）土源供需平衡分析</w:t>
      </w:r>
    </w:p>
    <w:p w14:paraId="2CD984ED">
      <w:pPr>
        <w:spacing w:line="360" w:lineRule="auto"/>
        <w:ind w:firstLine="480" w:firstLineChars="200"/>
        <w:rPr>
          <w:sz w:val="24"/>
          <w:lang w:val="zh-CN"/>
        </w:rPr>
      </w:pPr>
      <w:r>
        <w:rPr>
          <w:sz w:val="24"/>
          <w:lang w:val="zh-CN"/>
        </w:rPr>
        <w:t>综上分析，经计算复垦责任范围所需回覆表土自然方量为</w:t>
      </w:r>
      <w:r>
        <w:rPr>
          <w:bCs/>
          <w:sz w:val="24"/>
        </w:rPr>
        <w:t>7545.82</w:t>
      </w:r>
      <w:r>
        <w:rPr>
          <w:sz w:val="24"/>
        </w:rPr>
        <w:t>m</w:t>
      </w:r>
      <w:r>
        <w:rPr>
          <w:sz w:val="24"/>
          <w:vertAlign w:val="superscript"/>
        </w:rPr>
        <w:t>3</w:t>
      </w:r>
      <w:r>
        <w:rPr>
          <w:sz w:val="24"/>
          <w:lang w:val="zh-CN"/>
        </w:rPr>
        <w:t>；外购复垦表土7545.82</w:t>
      </w:r>
      <w:r>
        <w:rPr>
          <w:sz w:val="24"/>
        </w:rPr>
        <w:t>m</w:t>
      </w:r>
      <w:r>
        <w:rPr>
          <w:sz w:val="24"/>
          <w:vertAlign w:val="superscript"/>
        </w:rPr>
        <w:t>3</w:t>
      </w:r>
      <w:r>
        <w:rPr>
          <w:sz w:val="24"/>
          <w:lang w:val="zh-CN"/>
        </w:rPr>
        <w:t>。因此，本项目通过外购供土，能够达到土资源供需平衡。</w:t>
      </w:r>
    </w:p>
    <w:p w14:paraId="0021F56E">
      <w:pPr>
        <w:pStyle w:val="5"/>
        <w:spacing w:beforeLines="50" w:afterLines="50" w:line="360" w:lineRule="auto"/>
        <w:rPr>
          <w:b w:val="0"/>
          <w:sz w:val="28"/>
          <w:szCs w:val="28"/>
        </w:rPr>
      </w:pPr>
      <w:bookmarkStart w:id="145" w:name="_Toc481328205"/>
      <w:bookmarkStart w:id="146" w:name="_Toc43851672"/>
      <w:r>
        <w:rPr>
          <w:b w:val="0"/>
          <w:sz w:val="28"/>
          <w:szCs w:val="28"/>
        </w:rPr>
        <w:t>（四）土地复垦质量要求</w:t>
      </w:r>
      <w:bookmarkEnd w:id="145"/>
      <w:bookmarkEnd w:id="146"/>
    </w:p>
    <w:p w14:paraId="46FA9A61">
      <w:pPr>
        <w:widowControl/>
        <w:spacing w:line="360" w:lineRule="auto"/>
        <w:ind w:firstLine="480" w:firstLineChars="200"/>
        <w:jc w:val="left"/>
        <w:rPr>
          <w:sz w:val="24"/>
          <w:lang w:val="zh-CN"/>
        </w:rPr>
      </w:pPr>
      <w:r>
        <w:rPr>
          <w:sz w:val="24"/>
          <w:lang w:val="zh-CN"/>
        </w:rPr>
        <w:t>1、复垦后旱地复垦质量控制标准见表4-15。</w:t>
      </w:r>
    </w:p>
    <w:p w14:paraId="0AB76161">
      <w:pPr>
        <w:adjustRightInd w:val="0"/>
        <w:snapToGrid w:val="0"/>
        <w:spacing w:line="360" w:lineRule="auto"/>
        <w:jc w:val="center"/>
        <w:rPr>
          <w:b/>
          <w:szCs w:val="21"/>
          <w:lang w:val="zh-CN"/>
        </w:rPr>
      </w:pPr>
      <w:bookmarkStart w:id="147" w:name="_Toc481328206"/>
      <w:r>
        <w:rPr>
          <w:b/>
          <w:szCs w:val="21"/>
          <w:lang w:val="zh-CN"/>
        </w:rPr>
        <w:t>表4-15  西南山地丘陵区旱地复垦质量控制标准</w:t>
      </w:r>
    </w:p>
    <w:tbl>
      <w:tblPr>
        <w:tblStyle w:val="29"/>
        <w:tblW w:w="8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912"/>
        <w:gridCol w:w="1414"/>
        <w:gridCol w:w="2516"/>
        <w:gridCol w:w="3301"/>
      </w:tblGrid>
      <w:tr w14:paraId="7F5C5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exact"/>
          <w:jc w:val="center"/>
        </w:trPr>
        <w:tc>
          <w:tcPr>
            <w:tcW w:w="1729" w:type="dxa"/>
            <w:gridSpan w:val="2"/>
            <w:vAlign w:val="center"/>
          </w:tcPr>
          <w:p w14:paraId="290844C2">
            <w:pPr>
              <w:jc w:val="center"/>
            </w:pPr>
            <w:r>
              <w:t>复垦方向</w:t>
            </w:r>
          </w:p>
        </w:tc>
        <w:tc>
          <w:tcPr>
            <w:tcW w:w="1414" w:type="dxa"/>
            <w:vAlign w:val="center"/>
          </w:tcPr>
          <w:p w14:paraId="734C90EC">
            <w:pPr>
              <w:jc w:val="center"/>
            </w:pPr>
            <w:r>
              <w:t>指标类型</w:t>
            </w:r>
          </w:p>
        </w:tc>
        <w:tc>
          <w:tcPr>
            <w:tcW w:w="2516" w:type="dxa"/>
            <w:vAlign w:val="center"/>
          </w:tcPr>
          <w:p w14:paraId="18BD8C97">
            <w:pPr>
              <w:jc w:val="center"/>
            </w:pPr>
            <w:r>
              <w:t>基本指标</w:t>
            </w:r>
          </w:p>
        </w:tc>
        <w:tc>
          <w:tcPr>
            <w:tcW w:w="3301" w:type="dxa"/>
            <w:vAlign w:val="center"/>
          </w:tcPr>
          <w:p w14:paraId="5859FD73">
            <w:pPr>
              <w:jc w:val="center"/>
            </w:pPr>
            <w:r>
              <w:t>控制标准</w:t>
            </w:r>
          </w:p>
        </w:tc>
      </w:tr>
      <w:tr w14:paraId="7C5E3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exact"/>
          <w:jc w:val="center"/>
        </w:trPr>
        <w:tc>
          <w:tcPr>
            <w:tcW w:w="817" w:type="dxa"/>
            <w:vMerge w:val="restart"/>
            <w:vAlign w:val="center"/>
          </w:tcPr>
          <w:p w14:paraId="7908D324">
            <w:r>
              <w:t>耕地</w:t>
            </w:r>
          </w:p>
        </w:tc>
        <w:tc>
          <w:tcPr>
            <w:tcW w:w="912" w:type="dxa"/>
            <w:vMerge w:val="restart"/>
            <w:vAlign w:val="center"/>
          </w:tcPr>
          <w:p w14:paraId="1116217C">
            <w:pPr>
              <w:jc w:val="center"/>
            </w:pPr>
            <w:r>
              <w:t>旱地</w:t>
            </w:r>
          </w:p>
        </w:tc>
        <w:tc>
          <w:tcPr>
            <w:tcW w:w="1414" w:type="dxa"/>
            <w:vAlign w:val="center"/>
          </w:tcPr>
          <w:p w14:paraId="18E8D0CA">
            <w:pPr>
              <w:jc w:val="center"/>
            </w:pPr>
            <w:r>
              <w:t>地形</w:t>
            </w:r>
          </w:p>
        </w:tc>
        <w:tc>
          <w:tcPr>
            <w:tcW w:w="2516" w:type="dxa"/>
            <w:vAlign w:val="center"/>
          </w:tcPr>
          <w:p w14:paraId="2528CBD0">
            <w:pPr>
              <w:jc w:val="center"/>
            </w:pPr>
            <w:r>
              <w:t>地面坡度/（°）</w:t>
            </w:r>
          </w:p>
        </w:tc>
        <w:tc>
          <w:tcPr>
            <w:tcW w:w="3301" w:type="dxa"/>
            <w:vAlign w:val="center"/>
          </w:tcPr>
          <w:p w14:paraId="554078FC">
            <w:pPr>
              <w:jc w:val="center"/>
            </w:pPr>
            <w:r>
              <w:t>≤25</w:t>
            </w:r>
          </w:p>
        </w:tc>
      </w:tr>
      <w:tr w14:paraId="75700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exact"/>
          <w:jc w:val="center"/>
        </w:trPr>
        <w:tc>
          <w:tcPr>
            <w:tcW w:w="817" w:type="dxa"/>
            <w:vMerge w:val="continue"/>
            <w:vAlign w:val="center"/>
          </w:tcPr>
          <w:p w14:paraId="5C56B2A7"/>
        </w:tc>
        <w:tc>
          <w:tcPr>
            <w:tcW w:w="912" w:type="dxa"/>
            <w:vMerge w:val="continue"/>
            <w:vAlign w:val="center"/>
          </w:tcPr>
          <w:p w14:paraId="0F22CB43">
            <w:pPr>
              <w:jc w:val="center"/>
            </w:pPr>
          </w:p>
        </w:tc>
        <w:tc>
          <w:tcPr>
            <w:tcW w:w="1414" w:type="dxa"/>
            <w:vMerge w:val="restart"/>
            <w:vAlign w:val="center"/>
          </w:tcPr>
          <w:p w14:paraId="04224116">
            <w:pPr>
              <w:jc w:val="center"/>
            </w:pPr>
            <w:r>
              <w:t>土壤质量</w:t>
            </w:r>
          </w:p>
        </w:tc>
        <w:tc>
          <w:tcPr>
            <w:tcW w:w="2516" w:type="dxa"/>
            <w:vAlign w:val="center"/>
          </w:tcPr>
          <w:p w14:paraId="20487255">
            <w:pPr>
              <w:jc w:val="center"/>
            </w:pPr>
            <w:r>
              <w:t>有效土层厚度/cm</w:t>
            </w:r>
          </w:p>
        </w:tc>
        <w:tc>
          <w:tcPr>
            <w:tcW w:w="3301" w:type="dxa"/>
            <w:vAlign w:val="center"/>
          </w:tcPr>
          <w:p w14:paraId="3A4BD0E2">
            <w:pPr>
              <w:jc w:val="center"/>
            </w:pPr>
            <w:r>
              <w:t>≥40</w:t>
            </w:r>
          </w:p>
        </w:tc>
      </w:tr>
      <w:tr w14:paraId="4A77E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jc w:val="center"/>
        </w:trPr>
        <w:tc>
          <w:tcPr>
            <w:tcW w:w="817" w:type="dxa"/>
            <w:vMerge w:val="continue"/>
            <w:vAlign w:val="center"/>
          </w:tcPr>
          <w:p w14:paraId="794A3EDC"/>
        </w:tc>
        <w:tc>
          <w:tcPr>
            <w:tcW w:w="912" w:type="dxa"/>
            <w:vMerge w:val="continue"/>
            <w:vAlign w:val="center"/>
          </w:tcPr>
          <w:p w14:paraId="40C27EA8">
            <w:pPr>
              <w:jc w:val="center"/>
            </w:pPr>
          </w:p>
        </w:tc>
        <w:tc>
          <w:tcPr>
            <w:tcW w:w="1414" w:type="dxa"/>
            <w:vMerge w:val="continue"/>
            <w:vAlign w:val="center"/>
          </w:tcPr>
          <w:p w14:paraId="2AEA465D">
            <w:pPr>
              <w:jc w:val="center"/>
            </w:pPr>
          </w:p>
        </w:tc>
        <w:tc>
          <w:tcPr>
            <w:tcW w:w="2516" w:type="dxa"/>
            <w:vAlign w:val="center"/>
          </w:tcPr>
          <w:p w14:paraId="28BAF679">
            <w:pPr>
              <w:jc w:val="center"/>
            </w:pPr>
            <w:r>
              <w:t>土壤容重/（g/cm</w:t>
            </w:r>
            <w:r>
              <w:rPr>
                <w:vertAlign w:val="superscript"/>
              </w:rPr>
              <w:t>3</w:t>
            </w:r>
            <w:r>
              <w:t>）</w:t>
            </w:r>
          </w:p>
        </w:tc>
        <w:tc>
          <w:tcPr>
            <w:tcW w:w="3301" w:type="dxa"/>
            <w:vAlign w:val="center"/>
          </w:tcPr>
          <w:p w14:paraId="2A3024D7">
            <w:pPr>
              <w:jc w:val="center"/>
            </w:pPr>
            <w:r>
              <w:t>≤1.4</w:t>
            </w:r>
          </w:p>
        </w:tc>
      </w:tr>
      <w:tr w14:paraId="4DB3F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exact"/>
          <w:jc w:val="center"/>
        </w:trPr>
        <w:tc>
          <w:tcPr>
            <w:tcW w:w="817" w:type="dxa"/>
            <w:vMerge w:val="continue"/>
            <w:vAlign w:val="center"/>
          </w:tcPr>
          <w:p w14:paraId="020FF194"/>
        </w:tc>
        <w:tc>
          <w:tcPr>
            <w:tcW w:w="912" w:type="dxa"/>
            <w:vMerge w:val="continue"/>
            <w:vAlign w:val="center"/>
          </w:tcPr>
          <w:p w14:paraId="62E8D8A8">
            <w:pPr>
              <w:jc w:val="center"/>
            </w:pPr>
          </w:p>
        </w:tc>
        <w:tc>
          <w:tcPr>
            <w:tcW w:w="1414" w:type="dxa"/>
            <w:vMerge w:val="continue"/>
            <w:vAlign w:val="center"/>
          </w:tcPr>
          <w:p w14:paraId="561BC04A">
            <w:pPr>
              <w:jc w:val="center"/>
            </w:pPr>
          </w:p>
        </w:tc>
        <w:tc>
          <w:tcPr>
            <w:tcW w:w="2516" w:type="dxa"/>
            <w:vAlign w:val="center"/>
          </w:tcPr>
          <w:p w14:paraId="723A48EA">
            <w:pPr>
              <w:jc w:val="center"/>
            </w:pPr>
            <w:r>
              <w:t>土壤质地</w:t>
            </w:r>
          </w:p>
        </w:tc>
        <w:tc>
          <w:tcPr>
            <w:tcW w:w="3301" w:type="dxa"/>
            <w:vAlign w:val="center"/>
          </w:tcPr>
          <w:p w14:paraId="2542106A">
            <w:pPr>
              <w:jc w:val="center"/>
            </w:pPr>
            <w:r>
              <w:t>砂质壤土至壤质粘土</w:t>
            </w:r>
          </w:p>
        </w:tc>
      </w:tr>
      <w:tr w14:paraId="7F77E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exact"/>
          <w:jc w:val="center"/>
        </w:trPr>
        <w:tc>
          <w:tcPr>
            <w:tcW w:w="817" w:type="dxa"/>
            <w:vMerge w:val="continue"/>
            <w:vAlign w:val="center"/>
          </w:tcPr>
          <w:p w14:paraId="2E162772"/>
        </w:tc>
        <w:tc>
          <w:tcPr>
            <w:tcW w:w="912" w:type="dxa"/>
            <w:vMerge w:val="continue"/>
            <w:vAlign w:val="center"/>
          </w:tcPr>
          <w:p w14:paraId="43B0585F">
            <w:pPr>
              <w:jc w:val="center"/>
            </w:pPr>
          </w:p>
        </w:tc>
        <w:tc>
          <w:tcPr>
            <w:tcW w:w="1414" w:type="dxa"/>
            <w:vMerge w:val="continue"/>
            <w:vAlign w:val="center"/>
          </w:tcPr>
          <w:p w14:paraId="08465613">
            <w:pPr>
              <w:jc w:val="center"/>
            </w:pPr>
          </w:p>
        </w:tc>
        <w:tc>
          <w:tcPr>
            <w:tcW w:w="2516" w:type="dxa"/>
            <w:vAlign w:val="center"/>
          </w:tcPr>
          <w:p w14:paraId="3D6BEE5A">
            <w:pPr>
              <w:jc w:val="center"/>
            </w:pPr>
            <w:r>
              <w:t>砾石含量/%</w:t>
            </w:r>
          </w:p>
        </w:tc>
        <w:tc>
          <w:tcPr>
            <w:tcW w:w="3301" w:type="dxa"/>
            <w:vAlign w:val="center"/>
          </w:tcPr>
          <w:p w14:paraId="51F8662B">
            <w:pPr>
              <w:jc w:val="center"/>
            </w:pPr>
            <w:r>
              <w:t>≤15</w:t>
            </w:r>
          </w:p>
        </w:tc>
      </w:tr>
      <w:tr w14:paraId="5DDCA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exact"/>
          <w:jc w:val="center"/>
        </w:trPr>
        <w:tc>
          <w:tcPr>
            <w:tcW w:w="817" w:type="dxa"/>
            <w:vMerge w:val="continue"/>
            <w:vAlign w:val="center"/>
          </w:tcPr>
          <w:p w14:paraId="74B03EA5"/>
        </w:tc>
        <w:tc>
          <w:tcPr>
            <w:tcW w:w="912" w:type="dxa"/>
            <w:vMerge w:val="continue"/>
            <w:vAlign w:val="center"/>
          </w:tcPr>
          <w:p w14:paraId="215BF642">
            <w:pPr>
              <w:jc w:val="center"/>
            </w:pPr>
          </w:p>
        </w:tc>
        <w:tc>
          <w:tcPr>
            <w:tcW w:w="1414" w:type="dxa"/>
            <w:vMerge w:val="continue"/>
            <w:vAlign w:val="center"/>
          </w:tcPr>
          <w:p w14:paraId="7AB0224A">
            <w:pPr>
              <w:jc w:val="center"/>
            </w:pPr>
          </w:p>
        </w:tc>
        <w:tc>
          <w:tcPr>
            <w:tcW w:w="2516" w:type="dxa"/>
            <w:vAlign w:val="center"/>
          </w:tcPr>
          <w:p w14:paraId="0896F3EE">
            <w:pPr>
              <w:jc w:val="center"/>
            </w:pPr>
            <w:r>
              <w:t>pH值</w:t>
            </w:r>
          </w:p>
        </w:tc>
        <w:tc>
          <w:tcPr>
            <w:tcW w:w="3301" w:type="dxa"/>
            <w:vAlign w:val="center"/>
          </w:tcPr>
          <w:p w14:paraId="23A3215F">
            <w:pPr>
              <w:jc w:val="center"/>
            </w:pPr>
            <w:r>
              <w:t>5.5-8.0</w:t>
            </w:r>
          </w:p>
        </w:tc>
      </w:tr>
      <w:tr w14:paraId="38B36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exact"/>
          <w:jc w:val="center"/>
        </w:trPr>
        <w:tc>
          <w:tcPr>
            <w:tcW w:w="817" w:type="dxa"/>
            <w:vMerge w:val="continue"/>
            <w:vAlign w:val="center"/>
          </w:tcPr>
          <w:p w14:paraId="2D463FD8"/>
        </w:tc>
        <w:tc>
          <w:tcPr>
            <w:tcW w:w="912" w:type="dxa"/>
            <w:vMerge w:val="continue"/>
            <w:vAlign w:val="center"/>
          </w:tcPr>
          <w:p w14:paraId="3D06336E">
            <w:pPr>
              <w:jc w:val="center"/>
            </w:pPr>
          </w:p>
        </w:tc>
        <w:tc>
          <w:tcPr>
            <w:tcW w:w="1414" w:type="dxa"/>
            <w:vMerge w:val="continue"/>
            <w:vAlign w:val="center"/>
          </w:tcPr>
          <w:p w14:paraId="0B6C9411">
            <w:pPr>
              <w:jc w:val="center"/>
            </w:pPr>
          </w:p>
        </w:tc>
        <w:tc>
          <w:tcPr>
            <w:tcW w:w="2516" w:type="dxa"/>
            <w:vAlign w:val="center"/>
          </w:tcPr>
          <w:p w14:paraId="1E05BFD0">
            <w:pPr>
              <w:jc w:val="center"/>
            </w:pPr>
            <w:r>
              <w:t>有机质/%</w:t>
            </w:r>
          </w:p>
        </w:tc>
        <w:tc>
          <w:tcPr>
            <w:tcW w:w="3301" w:type="dxa"/>
            <w:vAlign w:val="center"/>
          </w:tcPr>
          <w:p w14:paraId="720B0751">
            <w:pPr>
              <w:jc w:val="center"/>
            </w:pPr>
            <w:r>
              <w:t>≥1</w:t>
            </w:r>
          </w:p>
        </w:tc>
      </w:tr>
      <w:tr w14:paraId="6E79F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817" w:type="dxa"/>
            <w:vMerge w:val="continue"/>
            <w:vAlign w:val="center"/>
          </w:tcPr>
          <w:p w14:paraId="61F1E4BC"/>
        </w:tc>
        <w:tc>
          <w:tcPr>
            <w:tcW w:w="912" w:type="dxa"/>
            <w:vMerge w:val="continue"/>
            <w:vAlign w:val="center"/>
          </w:tcPr>
          <w:p w14:paraId="1D2252F2">
            <w:pPr>
              <w:jc w:val="center"/>
            </w:pPr>
          </w:p>
        </w:tc>
        <w:tc>
          <w:tcPr>
            <w:tcW w:w="1414" w:type="dxa"/>
            <w:vMerge w:val="restart"/>
            <w:vAlign w:val="center"/>
          </w:tcPr>
          <w:p w14:paraId="6D3E6C74">
            <w:pPr>
              <w:jc w:val="center"/>
            </w:pPr>
            <w:r>
              <w:t>配套设施</w:t>
            </w:r>
          </w:p>
        </w:tc>
        <w:tc>
          <w:tcPr>
            <w:tcW w:w="2516" w:type="dxa"/>
            <w:vAlign w:val="center"/>
          </w:tcPr>
          <w:p w14:paraId="63C597F3">
            <w:pPr>
              <w:jc w:val="center"/>
            </w:pPr>
            <w:r>
              <w:t>排水</w:t>
            </w:r>
          </w:p>
        </w:tc>
        <w:tc>
          <w:tcPr>
            <w:tcW w:w="3301" w:type="dxa"/>
            <w:vMerge w:val="restart"/>
            <w:vAlign w:val="center"/>
          </w:tcPr>
          <w:p w14:paraId="7E25700A">
            <w:pPr>
              <w:jc w:val="center"/>
            </w:pPr>
            <w:r>
              <w:t>满足耕种要求</w:t>
            </w:r>
          </w:p>
        </w:tc>
      </w:tr>
      <w:tr w14:paraId="4643B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exact"/>
          <w:jc w:val="center"/>
        </w:trPr>
        <w:tc>
          <w:tcPr>
            <w:tcW w:w="817" w:type="dxa"/>
            <w:vMerge w:val="continue"/>
            <w:vAlign w:val="center"/>
          </w:tcPr>
          <w:p w14:paraId="4170C3FD"/>
        </w:tc>
        <w:tc>
          <w:tcPr>
            <w:tcW w:w="912" w:type="dxa"/>
            <w:vMerge w:val="continue"/>
            <w:vAlign w:val="center"/>
          </w:tcPr>
          <w:p w14:paraId="37A92B0D">
            <w:pPr>
              <w:jc w:val="center"/>
            </w:pPr>
          </w:p>
        </w:tc>
        <w:tc>
          <w:tcPr>
            <w:tcW w:w="1414" w:type="dxa"/>
            <w:vMerge w:val="continue"/>
            <w:vAlign w:val="center"/>
          </w:tcPr>
          <w:p w14:paraId="3F77AF84">
            <w:pPr>
              <w:jc w:val="center"/>
            </w:pPr>
          </w:p>
        </w:tc>
        <w:tc>
          <w:tcPr>
            <w:tcW w:w="2516" w:type="dxa"/>
            <w:vAlign w:val="center"/>
          </w:tcPr>
          <w:p w14:paraId="7A385793">
            <w:pPr>
              <w:jc w:val="center"/>
            </w:pPr>
            <w:r>
              <w:t>道路</w:t>
            </w:r>
          </w:p>
        </w:tc>
        <w:tc>
          <w:tcPr>
            <w:tcW w:w="3301" w:type="dxa"/>
            <w:vMerge w:val="continue"/>
            <w:vAlign w:val="center"/>
          </w:tcPr>
          <w:p w14:paraId="4C89FF9E">
            <w:pPr>
              <w:jc w:val="center"/>
            </w:pPr>
          </w:p>
        </w:tc>
      </w:tr>
      <w:tr w14:paraId="42871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exact"/>
          <w:jc w:val="center"/>
        </w:trPr>
        <w:tc>
          <w:tcPr>
            <w:tcW w:w="817" w:type="dxa"/>
            <w:vMerge w:val="continue"/>
            <w:vAlign w:val="center"/>
          </w:tcPr>
          <w:p w14:paraId="511C7F90"/>
        </w:tc>
        <w:tc>
          <w:tcPr>
            <w:tcW w:w="912" w:type="dxa"/>
            <w:vMerge w:val="continue"/>
            <w:vAlign w:val="center"/>
          </w:tcPr>
          <w:p w14:paraId="773FF03C">
            <w:pPr>
              <w:jc w:val="center"/>
            </w:pPr>
          </w:p>
        </w:tc>
        <w:tc>
          <w:tcPr>
            <w:tcW w:w="1414" w:type="dxa"/>
            <w:vMerge w:val="continue"/>
            <w:vAlign w:val="center"/>
          </w:tcPr>
          <w:p w14:paraId="522425F4">
            <w:pPr>
              <w:jc w:val="center"/>
            </w:pPr>
          </w:p>
        </w:tc>
        <w:tc>
          <w:tcPr>
            <w:tcW w:w="2516" w:type="dxa"/>
            <w:vAlign w:val="center"/>
          </w:tcPr>
          <w:p w14:paraId="51F36CF5">
            <w:pPr>
              <w:jc w:val="center"/>
            </w:pPr>
            <w:r>
              <w:t>林网</w:t>
            </w:r>
          </w:p>
        </w:tc>
        <w:tc>
          <w:tcPr>
            <w:tcW w:w="3301" w:type="dxa"/>
            <w:vMerge w:val="continue"/>
            <w:vAlign w:val="center"/>
          </w:tcPr>
          <w:p w14:paraId="749EA56C">
            <w:pPr>
              <w:jc w:val="center"/>
            </w:pPr>
          </w:p>
        </w:tc>
      </w:tr>
      <w:tr w14:paraId="3E02E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exact"/>
          <w:jc w:val="center"/>
        </w:trPr>
        <w:tc>
          <w:tcPr>
            <w:tcW w:w="817" w:type="dxa"/>
            <w:vMerge w:val="continue"/>
            <w:vAlign w:val="center"/>
          </w:tcPr>
          <w:p w14:paraId="6FDBFF5E"/>
        </w:tc>
        <w:tc>
          <w:tcPr>
            <w:tcW w:w="912" w:type="dxa"/>
            <w:vMerge w:val="continue"/>
            <w:vAlign w:val="center"/>
          </w:tcPr>
          <w:p w14:paraId="602D8D2C">
            <w:pPr>
              <w:jc w:val="center"/>
            </w:pPr>
          </w:p>
        </w:tc>
        <w:tc>
          <w:tcPr>
            <w:tcW w:w="1414" w:type="dxa"/>
            <w:vAlign w:val="center"/>
          </w:tcPr>
          <w:p w14:paraId="09A01C80">
            <w:pPr>
              <w:jc w:val="center"/>
            </w:pPr>
            <w:r>
              <w:t>生产力水平</w:t>
            </w:r>
          </w:p>
        </w:tc>
        <w:tc>
          <w:tcPr>
            <w:tcW w:w="2516" w:type="dxa"/>
            <w:vAlign w:val="center"/>
          </w:tcPr>
          <w:p w14:paraId="7C5890C5">
            <w:pPr>
              <w:jc w:val="center"/>
            </w:pPr>
            <w:r>
              <w:t>产量/（kg/hm</w:t>
            </w:r>
            <w:r>
              <w:rPr>
                <w:vertAlign w:val="superscript"/>
              </w:rPr>
              <w:t>2</w:t>
            </w:r>
            <w:r>
              <w:t>）</w:t>
            </w:r>
          </w:p>
        </w:tc>
        <w:tc>
          <w:tcPr>
            <w:tcW w:w="3301" w:type="dxa"/>
            <w:vAlign w:val="center"/>
          </w:tcPr>
          <w:p w14:paraId="6F55BF43">
            <w:pPr>
              <w:jc w:val="center"/>
            </w:pPr>
            <w:r>
              <w:t>四年后达到周边地区同等土地利用类型水平</w:t>
            </w:r>
          </w:p>
        </w:tc>
      </w:tr>
    </w:tbl>
    <w:p w14:paraId="1DE4E5B7">
      <w:pPr>
        <w:widowControl/>
        <w:spacing w:line="360" w:lineRule="auto"/>
        <w:ind w:firstLine="480" w:firstLineChars="200"/>
        <w:rPr>
          <w:sz w:val="24"/>
          <w:lang w:val="zh-CN"/>
        </w:rPr>
      </w:pPr>
      <w:r>
        <w:rPr>
          <w:sz w:val="24"/>
          <w:lang w:val="zh-CN"/>
        </w:rPr>
        <w:t>2、复垦为有林地和其他草地的质量控制要求参考《土地复垦质量控制标准》(TD/T 1036-2013)中表D.8西南山地丘陵区土地复垦质量控制标准，其复垦标准详见表4-16和表4-17。</w:t>
      </w:r>
    </w:p>
    <w:p w14:paraId="25F472A7">
      <w:pPr>
        <w:widowControl/>
        <w:spacing w:line="360" w:lineRule="auto"/>
        <w:ind w:firstLine="480" w:firstLineChars="200"/>
        <w:rPr>
          <w:sz w:val="24"/>
          <w:lang w:val="zh-CN"/>
        </w:rPr>
      </w:pPr>
    </w:p>
    <w:p w14:paraId="587F7336">
      <w:pPr>
        <w:widowControl/>
        <w:spacing w:line="360" w:lineRule="auto"/>
        <w:ind w:firstLine="480" w:firstLineChars="200"/>
        <w:rPr>
          <w:sz w:val="24"/>
          <w:lang w:val="zh-CN"/>
        </w:rPr>
      </w:pPr>
    </w:p>
    <w:p w14:paraId="4F4461BA">
      <w:pPr>
        <w:widowControl/>
        <w:spacing w:line="360" w:lineRule="auto"/>
        <w:ind w:firstLine="480" w:firstLineChars="200"/>
        <w:rPr>
          <w:sz w:val="24"/>
          <w:lang w:val="zh-CN"/>
        </w:rPr>
      </w:pPr>
    </w:p>
    <w:p w14:paraId="5984C8B7">
      <w:pPr>
        <w:widowControl/>
        <w:spacing w:line="360" w:lineRule="auto"/>
        <w:ind w:firstLine="480" w:firstLineChars="200"/>
        <w:rPr>
          <w:sz w:val="24"/>
          <w:lang w:val="zh-CN"/>
        </w:rPr>
      </w:pPr>
    </w:p>
    <w:p w14:paraId="6A2CA644">
      <w:pPr>
        <w:widowControl/>
        <w:spacing w:line="360" w:lineRule="auto"/>
        <w:ind w:firstLine="480" w:firstLineChars="200"/>
        <w:rPr>
          <w:sz w:val="24"/>
          <w:lang w:val="zh-CN"/>
        </w:rPr>
      </w:pPr>
    </w:p>
    <w:p w14:paraId="71C61539">
      <w:pPr>
        <w:adjustRightInd w:val="0"/>
        <w:snapToGrid w:val="0"/>
        <w:spacing w:beforeLines="50" w:line="360" w:lineRule="auto"/>
        <w:jc w:val="center"/>
        <w:rPr>
          <w:b/>
          <w:szCs w:val="21"/>
          <w:lang w:val="zh-CN"/>
        </w:rPr>
      </w:pPr>
      <w:r>
        <w:rPr>
          <w:b/>
          <w:szCs w:val="21"/>
          <w:lang w:val="zh-CN"/>
        </w:rPr>
        <w:t>表4-1</w:t>
      </w:r>
      <w:r>
        <w:rPr>
          <w:b/>
          <w:szCs w:val="21"/>
        </w:rPr>
        <w:t>6</w:t>
      </w:r>
      <w:r>
        <w:rPr>
          <w:b/>
          <w:szCs w:val="21"/>
          <w:lang w:val="zh-CN"/>
        </w:rPr>
        <w:t>西南山地丘陵区有林地土地复垦质量控制标准</w:t>
      </w:r>
    </w:p>
    <w:tbl>
      <w:tblPr>
        <w:tblStyle w:val="29"/>
        <w:tblW w:w="90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446"/>
        <w:gridCol w:w="872"/>
        <w:gridCol w:w="2150"/>
        <w:gridCol w:w="2301"/>
        <w:gridCol w:w="2809"/>
      </w:tblGrid>
      <w:tr w14:paraId="6E309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blHeader/>
          <w:jc w:val="center"/>
        </w:trPr>
        <w:tc>
          <w:tcPr>
            <w:tcW w:w="914" w:type="dxa"/>
            <w:gridSpan w:val="2"/>
            <w:vAlign w:val="center"/>
          </w:tcPr>
          <w:p w14:paraId="723B4585">
            <w:pPr>
              <w:contextualSpacing/>
              <w:jc w:val="center"/>
              <w:rPr>
                <w:szCs w:val="21"/>
              </w:rPr>
            </w:pPr>
            <w:r>
              <w:rPr>
                <w:szCs w:val="21"/>
              </w:rPr>
              <w:t>复垦</w:t>
            </w:r>
          </w:p>
          <w:p w14:paraId="47FAF451">
            <w:pPr>
              <w:contextualSpacing/>
              <w:jc w:val="center"/>
              <w:rPr>
                <w:szCs w:val="21"/>
              </w:rPr>
            </w:pPr>
            <w:r>
              <w:rPr>
                <w:szCs w:val="21"/>
              </w:rPr>
              <w:t>方向</w:t>
            </w:r>
          </w:p>
        </w:tc>
        <w:tc>
          <w:tcPr>
            <w:tcW w:w="872" w:type="dxa"/>
            <w:vAlign w:val="center"/>
          </w:tcPr>
          <w:p w14:paraId="01257FC5">
            <w:pPr>
              <w:contextualSpacing/>
              <w:jc w:val="center"/>
              <w:rPr>
                <w:szCs w:val="21"/>
              </w:rPr>
            </w:pPr>
            <w:r>
              <w:rPr>
                <w:szCs w:val="21"/>
              </w:rPr>
              <w:t>指标</w:t>
            </w:r>
          </w:p>
          <w:p w14:paraId="20626817">
            <w:pPr>
              <w:contextualSpacing/>
              <w:jc w:val="center"/>
              <w:rPr>
                <w:szCs w:val="21"/>
              </w:rPr>
            </w:pPr>
            <w:r>
              <w:rPr>
                <w:szCs w:val="21"/>
              </w:rPr>
              <w:t>类型</w:t>
            </w:r>
          </w:p>
        </w:tc>
        <w:tc>
          <w:tcPr>
            <w:tcW w:w="2150" w:type="dxa"/>
            <w:vAlign w:val="center"/>
          </w:tcPr>
          <w:p w14:paraId="01438954">
            <w:pPr>
              <w:contextualSpacing/>
              <w:jc w:val="center"/>
              <w:rPr>
                <w:szCs w:val="21"/>
              </w:rPr>
            </w:pPr>
            <w:r>
              <w:rPr>
                <w:szCs w:val="21"/>
              </w:rPr>
              <w:t>基本指标</w:t>
            </w:r>
          </w:p>
        </w:tc>
        <w:tc>
          <w:tcPr>
            <w:tcW w:w="2301" w:type="dxa"/>
            <w:vAlign w:val="center"/>
          </w:tcPr>
          <w:p w14:paraId="11A95E4D">
            <w:pPr>
              <w:contextualSpacing/>
              <w:jc w:val="center"/>
              <w:rPr>
                <w:szCs w:val="21"/>
              </w:rPr>
            </w:pPr>
            <w:r>
              <w:rPr>
                <w:szCs w:val="21"/>
              </w:rPr>
              <w:t>控制标准</w:t>
            </w:r>
          </w:p>
        </w:tc>
        <w:tc>
          <w:tcPr>
            <w:tcW w:w="2809" w:type="dxa"/>
            <w:vAlign w:val="center"/>
          </w:tcPr>
          <w:p w14:paraId="2397EE6A">
            <w:pPr>
              <w:contextualSpacing/>
              <w:jc w:val="center"/>
              <w:rPr>
                <w:szCs w:val="21"/>
              </w:rPr>
            </w:pPr>
            <w:r>
              <w:rPr>
                <w:szCs w:val="21"/>
              </w:rPr>
              <w:t>复垦后指标</w:t>
            </w:r>
          </w:p>
        </w:tc>
      </w:tr>
      <w:tr w14:paraId="0C3AD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68" w:type="dxa"/>
            <w:vMerge w:val="restart"/>
            <w:vAlign w:val="center"/>
          </w:tcPr>
          <w:p w14:paraId="02EE46A8">
            <w:pPr>
              <w:contextualSpacing/>
              <w:jc w:val="center"/>
              <w:rPr>
                <w:szCs w:val="21"/>
              </w:rPr>
            </w:pPr>
            <w:r>
              <w:rPr>
                <w:szCs w:val="21"/>
              </w:rPr>
              <w:t>林地</w:t>
            </w:r>
          </w:p>
        </w:tc>
        <w:tc>
          <w:tcPr>
            <w:tcW w:w="446" w:type="dxa"/>
            <w:vMerge w:val="restart"/>
            <w:vAlign w:val="center"/>
          </w:tcPr>
          <w:p w14:paraId="3C66AE24">
            <w:pPr>
              <w:contextualSpacing/>
              <w:jc w:val="center"/>
              <w:rPr>
                <w:szCs w:val="21"/>
              </w:rPr>
            </w:pPr>
            <w:r>
              <w:rPr>
                <w:szCs w:val="21"/>
              </w:rPr>
              <w:t>有林地</w:t>
            </w:r>
          </w:p>
        </w:tc>
        <w:tc>
          <w:tcPr>
            <w:tcW w:w="872" w:type="dxa"/>
            <w:vMerge w:val="restart"/>
            <w:vAlign w:val="center"/>
          </w:tcPr>
          <w:p w14:paraId="1FF0A0EF">
            <w:pPr>
              <w:contextualSpacing/>
              <w:jc w:val="center"/>
              <w:rPr>
                <w:szCs w:val="21"/>
              </w:rPr>
            </w:pPr>
            <w:r>
              <w:rPr>
                <w:szCs w:val="21"/>
              </w:rPr>
              <w:t>土壤</w:t>
            </w:r>
          </w:p>
          <w:p w14:paraId="74541696">
            <w:pPr>
              <w:contextualSpacing/>
              <w:jc w:val="center"/>
              <w:rPr>
                <w:szCs w:val="21"/>
              </w:rPr>
            </w:pPr>
            <w:r>
              <w:rPr>
                <w:szCs w:val="21"/>
              </w:rPr>
              <w:t>质量</w:t>
            </w:r>
          </w:p>
        </w:tc>
        <w:tc>
          <w:tcPr>
            <w:tcW w:w="2150" w:type="dxa"/>
            <w:vAlign w:val="center"/>
          </w:tcPr>
          <w:p w14:paraId="7B281081">
            <w:pPr>
              <w:contextualSpacing/>
              <w:jc w:val="center"/>
              <w:rPr>
                <w:szCs w:val="21"/>
              </w:rPr>
            </w:pPr>
            <w:r>
              <w:rPr>
                <w:szCs w:val="21"/>
              </w:rPr>
              <w:t>有效土层厚度/cm</w:t>
            </w:r>
          </w:p>
        </w:tc>
        <w:tc>
          <w:tcPr>
            <w:tcW w:w="2301" w:type="dxa"/>
            <w:vAlign w:val="center"/>
          </w:tcPr>
          <w:p w14:paraId="6DE365EE">
            <w:pPr>
              <w:contextualSpacing/>
              <w:jc w:val="center"/>
              <w:rPr>
                <w:szCs w:val="21"/>
              </w:rPr>
            </w:pPr>
            <w:r>
              <w:rPr>
                <w:szCs w:val="21"/>
              </w:rPr>
              <w:t>≥30</w:t>
            </w:r>
          </w:p>
        </w:tc>
        <w:tc>
          <w:tcPr>
            <w:tcW w:w="2809" w:type="dxa"/>
            <w:vAlign w:val="center"/>
          </w:tcPr>
          <w:p w14:paraId="72227B14">
            <w:pPr>
              <w:contextualSpacing/>
              <w:jc w:val="center"/>
              <w:rPr>
                <w:szCs w:val="21"/>
              </w:rPr>
            </w:pPr>
            <w:r>
              <w:rPr>
                <w:szCs w:val="21"/>
              </w:rPr>
              <w:t>30</w:t>
            </w:r>
          </w:p>
        </w:tc>
      </w:tr>
      <w:tr w14:paraId="0E2C3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68" w:type="dxa"/>
            <w:vMerge w:val="continue"/>
            <w:vAlign w:val="center"/>
          </w:tcPr>
          <w:p w14:paraId="686406A4">
            <w:pPr>
              <w:contextualSpacing/>
              <w:jc w:val="center"/>
              <w:rPr>
                <w:szCs w:val="21"/>
              </w:rPr>
            </w:pPr>
          </w:p>
        </w:tc>
        <w:tc>
          <w:tcPr>
            <w:tcW w:w="446" w:type="dxa"/>
            <w:vMerge w:val="continue"/>
            <w:vAlign w:val="center"/>
          </w:tcPr>
          <w:p w14:paraId="697779C8">
            <w:pPr>
              <w:contextualSpacing/>
              <w:jc w:val="center"/>
              <w:rPr>
                <w:szCs w:val="21"/>
              </w:rPr>
            </w:pPr>
          </w:p>
        </w:tc>
        <w:tc>
          <w:tcPr>
            <w:tcW w:w="872" w:type="dxa"/>
            <w:vMerge w:val="continue"/>
            <w:vAlign w:val="center"/>
          </w:tcPr>
          <w:p w14:paraId="727DE2EA">
            <w:pPr>
              <w:contextualSpacing/>
              <w:jc w:val="center"/>
              <w:rPr>
                <w:szCs w:val="21"/>
              </w:rPr>
            </w:pPr>
          </w:p>
        </w:tc>
        <w:tc>
          <w:tcPr>
            <w:tcW w:w="2150" w:type="dxa"/>
            <w:vAlign w:val="center"/>
          </w:tcPr>
          <w:p w14:paraId="77C2588D">
            <w:pPr>
              <w:contextualSpacing/>
              <w:jc w:val="center"/>
              <w:rPr>
                <w:szCs w:val="21"/>
              </w:rPr>
            </w:pPr>
            <w:r>
              <w:rPr>
                <w:szCs w:val="21"/>
              </w:rPr>
              <w:t>土壤容重/（g/cm3）</w:t>
            </w:r>
          </w:p>
        </w:tc>
        <w:tc>
          <w:tcPr>
            <w:tcW w:w="2301" w:type="dxa"/>
            <w:vAlign w:val="center"/>
          </w:tcPr>
          <w:p w14:paraId="46909BFA">
            <w:pPr>
              <w:contextualSpacing/>
              <w:jc w:val="center"/>
              <w:rPr>
                <w:szCs w:val="21"/>
              </w:rPr>
            </w:pPr>
            <w:r>
              <w:rPr>
                <w:szCs w:val="21"/>
              </w:rPr>
              <w:t>≤1.5</w:t>
            </w:r>
          </w:p>
        </w:tc>
        <w:tc>
          <w:tcPr>
            <w:tcW w:w="2809" w:type="dxa"/>
            <w:vAlign w:val="center"/>
          </w:tcPr>
          <w:p w14:paraId="203272D4">
            <w:pPr>
              <w:contextualSpacing/>
              <w:jc w:val="center"/>
              <w:rPr>
                <w:szCs w:val="21"/>
              </w:rPr>
            </w:pPr>
            <w:r>
              <w:rPr>
                <w:szCs w:val="21"/>
              </w:rPr>
              <w:t>≤1.5</w:t>
            </w:r>
          </w:p>
        </w:tc>
      </w:tr>
      <w:tr w14:paraId="5A004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68" w:type="dxa"/>
            <w:vMerge w:val="continue"/>
            <w:vAlign w:val="center"/>
          </w:tcPr>
          <w:p w14:paraId="506C9511">
            <w:pPr>
              <w:contextualSpacing/>
              <w:jc w:val="center"/>
              <w:rPr>
                <w:szCs w:val="21"/>
              </w:rPr>
            </w:pPr>
          </w:p>
        </w:tc>
        <w:tc>
          <w:tcPr>
            <w:tcW w:w="446" w:type="dxa"/>
            <w:vMerge w:val="continue"/>
            <w:vAlign w:val="center"/>
          </w:tcPr>
          <w:p w14:paraId="267D744D">
            <w:pPr>
              <w:contextualSpacing/>
              <w:jc w:val="center"/>
              <w:rPr>
                <w:szCs w:val="21"/>
              </w:rPr>
            </w:pPr>
          </w:p>
        </w:tc>
        <w:tc>
          <w:tcPr>
            <w:tcW w:w="872" w:type="dxa"/>
            <w:vMerge w:val="continue"/>
            <w:vAlign w:val="center"/>
          </w:tcPr>
          <w:p w14:paraId="6CEFAF55">
            <w:pPr>
              <w:contextualSpacing/>
              <w:jc w:val="center"/>
              <w:rPr>
                <w:szCs w:val="21"/>
              </w:rPr>
            </w:pPr>
          </w:p>
        </w:tc>
        <w:tc>
          <w:tcPr>
            <w:tcW w:w="2150" w:type="dxa"/>
            <w:vAlign w:val="center"/>
          </w:tcPr>
          <w:p w14:paraId="74335230">
            <w:pPr>
              <w:contextualSpacing/>
              <w:jc w:val="center"/>
              <w:rPr>
                <w:szCs w:val="21"/>
              </w:rPr>
            </w:pPr>
            <w:r>
              <w:rPr>
                <w:szCs w:val="21"/>
              </w:rPr>
              <w:t>土壤质地</w:t>
            </w:r>
          </w:p>
        </w:tc>
        <w:tc>
          <w:tcPr>
            <w:tcW w:w="2301" w:type="dxa"/>
            <w:vAlign w:val="center"/>
          </w:tcPr>
          <w:p w14:paraId="78B5AABB">
            <w:pPr>
              <w:contextualSpacing/>
              <w:jc w:val="center"/>
              <w:rPr>
                <w:szCs w:val="21"/>
              </w:rPr>
            </w:pPr>
            <w:r>
              <w:rPr>
                <w:szCs w:val="21"/>
              </w:rPr>
              <w:t>砂土至砂质粘土</w:t>
            </w:r>
          </w:p>
        </w:tc>
        <w:tc>
          <w:tcPr>
            <w:tcW w:w="2809" w:type="dxa"/>
            <w:vAlign w:val="center"/>
          </w:tcPr>
          <w:p w14:paraId="0AE46BC8">
            <w:pPr>
              <w:contextualSpacing/>
              <w:jc w:val="center"/>
              <w:rPr>
                <w:szCs w:val="21"/>
              </w:rPr>
            </w:pPr>
            <w:r>
              <w:rPr>
                <w:szCs w:val="21"/>
              </w:rPr>
              <w:t>壤质土</w:t>
            </w:r>
          </w:p>
        </w:tc>
      </w:tr>
      <w:tr w14:paraId="3D6C2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68" w:type="dxa"/>
            <w:vMerge w:val="continue"/>
            <w:vAlign w:val="center"/>
          </w:tcPr>
          <w:p w14:paraId="2ADBB60F">
            <w:pPr>
              <w:contextualSpacing/>
              <w:jc w:val="center"/>
              <w:rPr>
                <w:szCs w:val="21"/>
              </w:rPr>
            </w:pPr>
          </w:p>
        </w:tc>
        <w:tc>
          <w:tcPr>
            <w:tcW w:w="446" w:type="dxa"/>
            <w:vMerge w:val="continue"/>
            <w:vAlign w:val="center"/>
          </w:tcPr>
          <w:p w14:paraId="458CE513">
            <w:pPr>
              <w:contextualSpacing/>
              <w:jc w:val="center"/>
              <w:rPr>
                <w:szCs w:val="21"/>
              </w:rPr>
            </w:pPr>
          </w:p>
        </w:tc>
        <w:tc>
          <w:tcPr>
            <w:tcW w:w="872" w:type="dxa"/>
            <w:vMerge w:val="continue"/>
            <w:vAlign w:val="center"/>
          </w:tcPr>
          <w:p w14:paraId="34016AF1">
            <w:pPr>
              <w:contextualSpacing/>
              <w:jc w:val="center"/>
              <w:rPr>
                <w:szCs w:val="21"/>
              </w:rPr>
            </w:pPr>
          </w:p>
        </w:tc>
        <w:tc>
          <w:tcPr>
            <w:tcW w:w="2150" w:type="dxa"/>
            <w:vAlign w:val="center"/>
          </w:tcPr>
          <w:p w14:paraId="7B4A22CB">
            <w:pPr>
              <w:contextualSpacing/>
              <w:jc w:val="center"/>
              <w:rPr>
                <w:szCs w:val="21"/>
              </w:rPr>
            </w:pPr>
            <w:r>
              <w:rPr>
                <w:szCs w:val="21"/>
              </w:rPr>
              <w:t>砾石含量/%</w:t>
            </w:r>
          </w:p>
        </w:tc>
        <w:tc>
          <w:tcPr>
            <w:tcW w:w="2301" w:type="dxa"/>
            <w:vAlign w:val="center"/>
          </w:tcPr>
          <w:p w14:paraId="4894338B">
            <w:pPr>
              <w:contextualSpacing/>
              <w:jc w:val="center"/>
              <w:rPr>
                <w:szCs w:val="21"/>
              </w:rPr>
            </w:pPr>
            <w:r>
              <w:rPr>
                <w:szCs w:val="21"/>
              </w:rPr>
              <w:t>≤50</w:t>
            </w:r>
          </w:p>
        </w:tc>
        <w:tc>
          <w:tcPr>
            <w:tcW w:w="2809" w:type="dxa"/>
            <w:vAlign w:val="center"/>
          </w:tcPr>
          <w:p w14:paraId="6404AEAF">
            <w:pPr>
              <w:contextualSpacing/>
              <w:jc w:val="center"/>
              <w:rPr>
                <w:szCs w:val="21"/>
              </w:rPr>
            </w:pPr>
            <w:r>
              <w:rPr>
                <w:szCs w:val="21"/>
              </w:rPr>
              <w:t>≤30</w:t>
            </w:r>
          </w:p>
        </w:tc>
      </w:tr>
      <w:tr w14:paraId="10973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68" w:type="dxa"/>
            <w:vMerge w:val="continue"/>
            <w:vAlign w:val="center"/>
          </w:tcPr>
          <w:p w14:paraId="0A43DA03">
            <w:pPr>
              <w:contextualSpacing/>
              <w:jc w:val="center"/>
              <w:rPr>
                <w:szCs w:val="21"/>
              </w:rPr>
            </w:pPr>
          </w:p>
        </w:tc>
        <w:tc>
          <w:tcPr>
            <w:tcW w:w="446" w:type="dxa"/>
            <w:vMerge w:val="continue"/>
            <w:vAlign w:val="center"/>
          </w:tcPr>
          <w:p w14:paraId="1AE570A4">
            <w:pPr>
              <w:contextualSpacing/>
              <w:jc w:val="center"/>
              <w:rPr>
                <w:szCs w:val="21"/>
              </w:rPr>
            </w:pPr>
          </w:p>
        </w:tc>
        <w:tc>
          <w:tcPr>
            <w:tcW w:w="872" w:type="dxa"/>
            <w:vMerge w:val="continue"/>
            <w:vAlign w:val="center"/>
          </w:tcPr>
          <w:p w14:paraId="50765F84">
            <w:pPr>
              <w:contextualSpacing/>
              <w:jc w:val="center"/>
              <w:rPr>
                <w:szCs w:val="21"/>
              </w:rPr>
            </w:pPr>
          </w:p>
        </w:tc>
        <w:tc>
          <w:tcPr>
            <w:tcW w:w="2150" w:type="dxa"/>
            <w:vAlign w:val="center"/>
          </w:tcPr>
          <w:p w14:paraId="1D1525E7">
            <w:pPr>
              <w:contextualSpacing/>
              <w:jc w:val="center"/>
              <w:rPr>
                <w:szCs w:val="21"/>
              </w:rPr>
            </w:pPr>
            <w:r>
              <w:rPr>
                <w:szCs w:val="21"/>
              </w:rPr>
              <w:t>pH值</w:t>
            </w:r>
          </w:p>
        </w:tc>
        <w:tc>
          <w:tcPr>
            <w:tcW w:w="2301" w:type="dxa"/>
            <w:vAlign w:val="center"/>
          </w:tcPr>
          <w:p w14:paraId="6A702C03">
            <w:pPr>
              <w:contextualSpacing/>
              <w:jc w:val="center"/>
              <w:rPr>
                <w:szCs w:val="21"/>
              </w:rPr>
            </w:pPr>
            <w:r>
              <w:rPr>
                <w:szCs w:val="21"/>
              </w:rPr>
              <w:t>5.5-8.0</w:t>
            </w:r>
          </w:p>
        </w:tc>
        <w:tc>
          <w:tcPr>
            <w:tcW w:w="2809" w:type="dxa"/>
            <w:vAlign w:val="center"/>
          </w:tcPr>
          <w:p w14:paraId="16FF6056">
            <w:pPr>
              <w:contextualSpacing/>
              <w:jc w:val="center"/>
              <w:rPr>
                <w:szCs w:val="21"/>
              </w:rPr>
            </w:pPr>
            <w:r>
              <w:rPr>
                <w:szCs w:val="21"/>
              </w:rPr>
              <w:t>5.5-8.0</w:t>
            </w:r>
          </w:p>
        </w:tc>
      </w:tr>
      <w:tr w14:paraId="46809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68" w:type="dxa"/>
            <w:vMerge w:val="continue"/>
            <w:vAlign w:val="center"/>
          </w:tcPr>
          <w:p w14:paraId="61873FCE">
            <w:pPr>
              <w:contextualSpacing/>
              <w:jc w:val="center"/>
              <w:rPr>
                <w:szCs w:val="21"/>
              </w:rPr>
            </w:pPr>
          </w:p>
        </w:tc>
        <w:tc>
          <w:tcPr>
            <w:tcW w:w="446" w:type="dxa"/>
            <w:vMerge w:val="continue"/>
            <w:vAlign w:val="center"/>
          </w:tcPr>
          <w:p w14:paraId="5B2A92CD">
            <w:pPr>
              <w:contextualSpacing/>
              <w:jc w:val="center"/>
              <w:rPr>
                <w:szCs w:val="21"/>
              </w:rPr>
            </w:pPr>
          </w:p>
        </w:tc>
        <w:tc>
          <w:tcPr>
            <w:tcW w:w="872" w:type="dxa"/>
            <w:vMerge w:val="continue"/>
            <w:vAlign w:val="center"/>
          </w:tcPr>
          <w:p w14:paraId="0F961A77">
            <w:pPr>
              <w:contextualSpacing/>
              <w:jc w:val="center"/>
              <w:rPr>
                <w:szCs w:val="21"/>
              </w:rPr>
            </w:pPr>
          </w:p>
        </w:tc>
        <w:tc>
          <w:tcPr>
            <w:tcW w:w="2150" w:type="dxa"/>
            <w:vAlign w:val="center"/>
          </w:tcPr>
          <w:p w14:paraId="7FDC5599">
            <w:pPr>
              <w:contextualSpacing/>
              <w:jc w:val="center"/>
              <w:rPr>
                <w:szCs w:val="21"/>
              </w:rPr>
            </w:pPr>
            <w:r>
              <w:rPr>
                <w:szCs w:val="21"/>
              </w:rPr>
              <w:t>有机质/%</w:t>
            </w:r>
          </w:p>
        </w:tc>
        <w:tc>
          <w:tcPr>
            <w:tcW w:w="2301" w:type="dxa"/>
            <w:vAlign w:val="center"/>
          </w:tcPr>
          <w:p w14:paraId="42A660BE">
            <w:pPr>
              <w:contextualSpacing/>
              <w:jc w:val="center"/>
              <w:rPr>
                <w:szCs w:val="21"/>
              </w:rPr>
            </w:pPr>
            <w:r>
              <w:rPr>
                <w:szCs w:val="21"/>
              </w:rPr>
              <w:t>≥1.0</w:t>
            </w:r>
          </w:p>
        </w:tc>
        <w:tc>
          <w:tcPr>
            <w:tcW w:w="2809" w:type="dxa"/>
            <w:vAlign w:val="center"/>
          </w:tcPr>
          <w:p w14:paraId="02DFC6A6">
            <w:pPr>
              <w:contextualSpacing/>
              <w:jc w:val="center"/>
              <w:rPr>
                <w:szCs w:val="21"/>
              </w:rPr>
            </w:pPr>
            <w:r>
              <w:rPr>
                <w:szCs w:val="21"/>
              </w:rPr>
              <w:t>≥1.0</w:t>
            </w:r>
          </w:p>
        </w:tc>
      </w:tr>
      <w:tr w14:paraId="5FD24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exact"/>
          <w:jc w:val="center"/>
        </w:trPr>
        <w:tc>
          <w:tcPr>
            <w:tcW w:w="468" w:type="dxa"/>
            <w:vMerge w:val="continue"/>
            <w:vAlign w:val="center"/>
          </w:tcPr>
          <w:p w14:paraId="41736F6D">
            <w:pPr>
              <w:contextualSpacing/>
              <w:jc w:val="center"/>
              <w:rPr>
                <w:szCs w:val="21"/>
              </w:rPr>
            </w:pPr>
          </w:p>
        </w:tc>
        <w:tc>
          <w:tcPr>
            <w:tcW w:w="446" w:type="dxa"/>
            <w:vMerge w:val="continue"/>
            <w:vAlign w:val="center"/>
          </w:tcPr>
          <w:p w14:paraId="748A123F">
            <w:pPr>
              <w:contextualSpacing/>
              <w:jc w:val="center"/>
              <w:rPr>
                <w:szCs w:val="21"/>
              </w:rPr>
            </w:pPr>
          </w:p>
        </w:tc>
        <w:tc>
          <w:tcPr>
            <w:tcW w:w="872" w:type="dxa"/>
            <w:vAlign w:val="center"/>
          </w:tcPr>
          <w:p w14:paraId="5261B54C">
            <w:pPr>
              <w:contextualSpacing/>
              <w:jc w:val="center"/>
              <w:rPr>
                <w:szCs w:val="21"/>
              </w:rPr>
            </w:pPr>
            <w:r>
              <w:rPr>
                <w:szCs w:val="21"/>
              </w:rPr>
              <w:t>配套</w:t>
            </w:r>
          </w:p>
          <w:p w14:paraId="09CC30B9">
            <w:pPr>
              <w:contextualSpacing/>
              <w:jc w:val="center"/>
              <w:rPr>
                <w:szCs w:val="21"/>
              </w:rPr>
            </w:pPr>
            <w:r>
              <w:rPr>
                <w:szCs w:val="21"/>
              </w:rPr>
              <w:t>设施</w:t>
            </w:r>
          </w:p>
        </w:tc>
        <w:tc>
          <w:tcPr>
            <w:tcW w:w="2150" w:type="dxa"/>
            <w:vAlign w:val="center"/>
          </w:tcPr>
          <w:p w14:paraId="2AB8E89F">
            <w:pPr>
              <w:contextualSpacing/>
              <w:jc w:val="center"/>
              <w:rPr>
                <w:szCs w:val="21"/>
              </w:rPr>
            </w:pPr>
            <w:r>
              <w:rPr>
                <w:szCs w:val="21"/>
              </w:rPr>
              <w:t>道路</w:t>
            </w:r>
          </w:p>
        </w:tc>
        <w:tc>
          <w:tcPr>
            <w:tcW w:w="2301" w:type="dxa"/>
            <w:vAlign w:val="center"/>
          </w:tcPr>
          <w:p w14:paraId="32DB4B62">
            <w:pPr>
              <w:contextualSpacing/>
              <w:jc w:val="center"/>
              <w:rPr>
                <w:szCs w:val="21"/>
              </w:rPr>
            </w:pPr>
            <w:r>
              <w:rPr>
                <w:szCs w:val="21"/>
              </w:rPr>
              <w:t>达到当地本行业工程建设标准要求</w:t>
            </w:r>
          </w:p>
        </w:tc>
        <w:tc>
          <w:tcPr>
            <w:tcW w:w="2809" w:type="dxa"/>
            <w:vAlign w:val="center"/>
          </w:tcPr>
          <w:p w14:paraId="76466728">
            <w:pPr>
              <w:contextualSpacing/>
              <w:jc w:val="center"/>
              <w:rPr>
                <w:szCs w:val="21"/>
              </w:rPr>
            </w:pPr>
            <w:r>
              <w:rPr>
                <w:szCs w:val="21"/>
              </w:rPr>
              <w:t>不新建道路</w:t>
            </w:r>
          </w:p>
        </w:tc>
      </w:tr>
      <w:tr w14:paraId="3AC2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exact"/>
          <w:jc w:val="center"/>
        </w:trPr>
        <w:tc>
          <w:tcPr>
            <w:tcW w:w="468" w:type="dxa"/>
            <w:vMerge w:val="continue"/>
            <w:vAlign w:val="center"/>
          </w:tcPr>
          <w:p w14:paraId="24855F7B">
            <w:pPr>
              <w:contextualSpacing/>
              <w:jc w:val="center"/>
              <w:rPr>
                <w:szCs w:val="21"/>
              </w:rPr>
            </w:pPr>
          </w:p>
        </w:tc>
        <w:tc>
          <w:tcPr>
            <w:tcW w:w="446" w:type="dxa"/>
            <w:vMerge w:val="continue"/>
            <w:vAlign w:val="center"/>
          </w:tcPr>
          <w:p w14:paraId="379D0F47">
            <w:pPr>
              <w:contextualSpacing/>
              <w:jc w:val="center"/>
              <w:rPr>
                <w:szCs w:val="21"/>
              </w:rPr>
            </w:pPr>
          </w:p>
        </w:tc>
        <w:tc>
          <w:tcPr>
            <w:tcW w:w="872" w:type="dxa"/>
            <w:vMerge w:val="restart"/>
            <w:vAlign w:val="center"/>
          </w:tcPr>
          <w:p w14:paraId="4E6A6EFB">
            <w:pPr>
              <w:contextualSpacing/>
              <w:jc w:val="center"/>
              <w:rPr>
                <w:szCs w:val="21"/>
              </w:rPr>
            </w:pPr>
            <w:r>
              <w:rPr>
                <w:szCs w:val="21"/>
              </w:rPr>
              <w:t>生产力水平</w:t>
            </w:r>
          </w:p>
        </w:tc>
        <w:tc>
          <w:tcPr>
            <w:tcW w:w="2150" w:type="dxa"/>
            <w:vAlign w:val="center"/>
          </w:tcPr>
          <w:p w14:paraId="489170EB">
            <w:pPr>
              <w:contextualSpacing/>
              <w:jc w:val="center"/>
              <w:rPr>
                <w:szCs w:val="21"/>
              </w:rPr>
            </w:pPr>
            <w:r>
              <w:rPr>
                <w:szCs w:val="21"/>
              </w:rPr>
              <w:t>定植密度/（株/hm</w:t>
            </w:r>
            <w:r>
              <w:rPr>
                <w:szCs w:val="21"/>
                <w:vertAlign w:val="superscript"/>
              </w:rPr>
              <w:t>2</w:t>
            </w:r>
            <w:r>
              <w:rPr>
                <w:szCs w:val="21"/>
              </w:rPr>
              <w:t>）</w:t>
            </w:r>
          </w:p>
        </w:tc>
        <w:tc>
          <w:tcPr>
            <w:tcW w:w="2301" w:type="dxa"/>
            <w:vAlign w:val="center"/>
          </w:tcPr>
          <w:p w14:paraId="465C4FBD">
            <w:pPr>
              <w:contextualSpacing/>
              <w:jc w:val="center"/>
              <w:rPr>
                <w:szCs w:val="21"/>
              </w:rPr>
            </w:pPr>
            <w:r>
              <w:rPr>
                <w:szCs w:val="21"/>
              </w:rPr>
              <w:t>满足《造林作业设计规程》（LY/T1607）要求</w:t>
            </w:r>
          </w:p>
        </w:tc>
        <w:tc>
          <w:tcPr>
            <w:tcW w:w="2809" w:type="dxa"/>
            <w:vAlign w:val="center"/>
          </w:tcPr>
          <w:p w14:paraId="75148275">
            <w:pPr>
              <w:contextualSpacing/>
              <w:jc w:val="center"/>
              <w:rPr>
                <w:szCs w:val="21"/>
              </w:rPr>
            </w:pPr>
            <w:r>
              <w:rPr>
                <w:color w:val="000000"/>
                <w:kern w:val="0"/>
                <w:szCs w:val="21"/>
              </w:rPr>
              <w:t>1株/12m</w:t>
            </w:r>
            <w:r>
              <w:rPr>
                <w:color w:val="000000"/>
                <w:kern w:val="0"/>
                <w:szCs w:val="21"/>
                <w:vertAlign w:val="superscript"/>
              </w:rPr>
              <w:t>2</w:t>
            </w:r>
          </w:p>
        </w:tc>
      </w:tr>
      <w:tr w14:paraId="38F1F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68" w:type="dxa"/>
            <w:vMerge w:val="continue"/>
            <w:vAlign w:val="center"/>
          </w:tcPr>
          <w:p w14:paraId="258CC5BB">
            <w:pPr>
              <w:contextualSpacing/>
              <w:jc w:val="center"/>
              <w:rPr>
                <w:szCs w:val="21"/>
              </w:rPr>
            </w:pPr>
          </w:p>
        </w:tc>
        <w:tc>
          <w:tcPr>
            <w:tcW w:w="446" w:type="dxa"/>
            <w:vMerge w:val="continue"/>
            <w:vAlign w:val="center"/>
          </w:tcPr>
          <w:p w14:paraId="498D5744">
            <w:pPr>
              <w:contextualSpacing/>
              <w:jc w:val="center"/>
              <w:rPr>
                <w:szCs w:val="21"/>
              </w:rPr>
            </w:pPr>
          </w:p>
        </w:tc>
        <w:tc>
          <w:tcPr>
            <w:tcW w:w="872" w:type="dxa"/>
            <w:vMerge w:val="continue"/>
            <w:vAlign w:val="center"/>
          </w:tcPr>
          <w:p w14:paraId="2FAC0252">
            <w:pPr>
              <w:contextualSpacing/>
              <w:jc w:val="center"/>
              <w:rPr>
                <w:szCs w:val="21"/>
              </w:rPr>
            </w:pPr>
          </w:p>
        </w:tc>
        <w:tc>
          <w:tcPr>
            <w:tcW w:w="2150" w:type="dxa"/>
            <w:vAlign w:val="center"/>
          </w:tcPr>
          <w:p w14:paraId="12214D16">
            <w:pPr>
              <w:contextualSpacing/>
              <w:jc w:val="center"/>
              <w:rPr>
                <w:szCs w:val="21"/>
              </w:rPr>
            </w:pPr>
            <w:r>
              <w:rPr>
                <w:szCs w:val="21"/>
              </w:rPr>
              <w:t>郁闭度</w:t>
            </w:r>
          </w:p>
        </w:tc>
        <w:tc>
          <w:tcPr>
            <w:tcW w:w="2301" w:type="dxa"/>
            <w:vAlign w:val="center"/>
          </w:tcPr>
          <w:p w14:paraId="77D3C328">
            <w:pPr>
              <w:contextualSpacing/>
              <w:jc w:val="center"/>
              <w:rPr>
                <w:szCs w:val="21"/>
              </w:rPr>
            </w:pPr>
            <w:r>
              <w:rPr>
                <w:szCs w:val="21"/>
              </w:rPr>
              <w:t>≥0.30</w:t>
            </w:r>
          </w:p>
        </w:tc>
        <w:tc>
          <w:tcPr>
            <w:tcW w:w="2809" w:type="dxa"/>
            <w:vAlign w:val="center"/>
          </w:tcPr>
          <w:p w14:paraId="38554AAD">
            <w:pPr>
              <w:contextualSpacing/>
              <w:jc w:val="center"/>
              <w:rPr>
                <w:szCs w:val="21"/>
              </w:rPr>
            </w:pPr>
            <w:r>
              <w:rPr>
                <w:szCs w:val="21"/>
              </w:rPr>
              <w:t>≥0.30</w:t>
            </w:r>
          </w:p>
        </w:tc>
      </w:tr>
    </w:tbl>
    <w:p w14:paraId="02852DFB">
      <w:pPr>
        <w:adjustRightInd w:val="0"/>
        <w:snapToGrid w:val="0"/>
        <w:spacing w:line="360" w:lineRule="auto"/>
        <w:jc w:val="center"/>
        <w:rPr>
          <w:b/>
          <w:szCs w:val="21"/>
          <w:lang w:val="zh-CN"/>
        </w:rPr>
      </w:pPr>
    </w:p>
    <w:p w14:paraId="67E23495">
      <w:pPr>
        <w:adjustRightInd w:val="0"/>
        <w:snapToGrid w:val="0"/>
        <w:spacing w:line="360" w:lineRule="auto"/>
        <w:jc w:val="center"/>
        <w:rPr>
          <w:b/>
          <w:szCs w:val="21"/>
          <w:lang w:val="zh-CN"/>
        </w:rPr>
      </w:pPr>
      <w:r>
        <w:rPr>
          <w:b/>
          <w:szCs w:val="21"/>
          <w:lang w:val="zh-CN"/>
        </w:rPr>
        <w:t>表4-17  西南山地丘陵区其他草地复垦质量控制标准</w:t>
      </w:r>
    </w:p>
    <w:tbl>
      <w:tblPr>
        <w:tblStyle w:val="29"/>
        <w:tblW w:w="9137"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586"/>
        <w:gridCol w:w="673"/>
        <w:gridCol w:w="1398"/>
        <w:gridCol w:w="2085"/>
        <w:gridCol w:w="4395"/>
      </w:tblGrid>
      <w:tr w14:paraId="135ECD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tblHeader/>
          <w:jc w:val="center"/>
        </w:trPr>
        <w:tc>
          <w:tcPr>
            <w:tcW w:w="1259" w:type="dxa"/>
            <w:gridSpan w:val="2"/>
            <w:tcBorders>
              <w:top w:val="single" w:color="auto" w:sz="4" w:space="0"/>
            </w:tcBorders>
            <w:vAlign w:val="center"/>
          </w:tcPr>
          <w:p w14:paraId="790F68F0">
            <w:pPr>
              <w:contextualSpacing/>
              <w:jc w:val="center"/>
              <w:rPr>
                <w:szCs w:val="21"/>
              </w:rPr>
            </w:pPr>
            <w:r>
              <w:rPr>
                <w:szCs w:val="21"/>
              </w:rPr>
              <w:t>复垦方向</w:t>
            </w:r>
          </w:p>
        </w:tc>
        <w:tc>
          <w:tcPr>
            <w:tcW w:w="1398" w:type="dxa"/>
            <w:tcBorders>
              <w:top w:val="single" w:color="auto" w:sz="4" w:space="0"/>
            </w:tcBorders>
            <w:vAlign w:val="center"/>
          </w:tcPr>
          <w:p w14:paraId="509B2922">
            <w:pPr>
              <w:contextualSpacing/>
              <w:jc w:val="center"/>
              <w:rPr>
                <w:szCs w:val="21"/>
              </w:rPr>
            </w:pPr>
            <w:r>
              <w:rPr>
                <w:szCs w:val="21"/>
              </w:rPr>
              <w:t>指标类型</w:t>
            </w:r>
          </w:p>
        </w:tc>
        <w:tc>
          <w:tcPr>
            <w:tcW w:w="2085" w:type="dxa"/>
            <w:tcBorders>
              <w:top w:val="single" w:color="auto" w:sz="4" w:space="0"/>
            </w:tcBorders>
            <w:vAlign w:val="center"/>
          </w:tcPr>
          <w:p w14:paraId="2367986C">
            <w:pPr>
              <w:contextualSpacing/>
              <w:jc w:val="center"/>
              <w:rPr>
                <w:szCs w:val="21"/>
              </w:rPr>
            </w:pPr>
            <w:r>
              <w:rPr>
                <w:szCs w:val="21"/>
              </w:rPr>
              <w:t>基本指标</w:t>
            </w:r>
          </w:p>
        </w:tc>
        <w:tc>
          <w:tcPr>
            <w:tcW w:w="4395" w:type="dxa"/>
            <w:tcBorders>
              <w:top w:val="single" w:color="auto" w:sz="4" w:space="0"/>
            </w:tcBorders>
            <w:vAlign w:val="center"/>
          </w:tcPr>
          <w:p w14:paraId="6561DA4B">
            <w:pPr>
              <w:contextualSpacing/>
              <w:jc w:val="center"/>
              <w:rPr>
                <w:szCs w:val="21"/>
              </w:rPr>
            </w:pPr>
            <w:r>
              <w:rPr>
                <w:szCs w:val="21"/>
              </w:rPr>
              <w:t>控制标准</w:t>
            </w:r>
          </w:p>
        </w:tc>
      </w:tr>
      <w:tr w14:paraId="6F3B65D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restart"/>
            <w:vAlign w:val="center"/>
          </w:tcPr>
          <w:p w14:paraId="03840A82">
            <w:pPr>
              <w:contextualSpacing/>
              <w:jc w:val="center"/>
              <w:rPr>
                <w:szCs w:val="21"/>
              </w:rPr>
            </w:pPr>
            <w:r>
              <w:rPr>
                <w:szCs w:val="21"/>
              </w:rPr>
              <w:t>草地</w:t>
            </w:r>
          </w:p>
        </w:tc>
        <w:tc>
          <w:tcPr>
            <w:tcW w:w="673" w:type="dxa"/>
            <w:vMerge w:val="restart"/>
            <w:vAlign w:val="center"/>
          </w:tcPr>
          <w:p w14:paraId="6B0D46F9">
            <w:pPr>
              <w:contextualSpacing/>
              <w:jc w:val="center"/>
              <w:rPr>
                <w:szCs w:val="21"/>
              </w:rPr>
            </w:pPr>
            <w:r>
              <w:rPr>
                <w:szCs w:val="21"/>
              </w:rPr>
              <w:t>其他草地</w:t>
            </w:r>
          </w:p>
        </w:tc>
        <w:tc>
          <w:tcPr>
            <w:tcW w:w="1398" w:type="dxa"/>
            <w:vMerge w:val="restart"/>
            <w:vAlign w:val="center"/>
          </w:tcPr>
          <w:p w14:paraId="5EC1D288">
            <w:pPr>
              <w:contextualSpacing/>
              <w:jc w:val="center"/>
              <w:rPr>
                <w:szCs w:val="21"/>
              </w:rPr>
            </w:pPr>
            <w:r>
              <w:rPr>
                <w:szCs w:val="21"/>
              </w:rPr>
              <w:t>土壤质量</w:t>
            </w:r>
          </w:p>
        </w:tc>
        <w:tc>
          <w:tcPr>
            <w:tcW w:w="2085" w:type="dxa"/>
            <w:vAlign w:val="center"/>
          </w:tcPr>
          <w:p w14:paraId="41D874EC">
            <w:pPr>
              <w:contextualSpacing/>
              <w:jc w:val="center"/>
              <w:rPr>
                <w:szCs w:val="21"/>
              </w:rPr>
            </w:pPr>
            <w:r>
              <w:rPr>
                <w:szCs w:val="21"/>
              </w:rPr>
              <w:t>有效土层厚度(cm)</w:t>
            </w:r>
          </w:p>
        </w:tc>
        <w:tc>
          <w:tcPr>
            <w:tcW w:w="4395" w:type="dxa"/>
            <w:vAlign w:val="center"/>
          </w:tcPr>
          <w:p w14:paraId="49D40062">
            <w:pPr>
              <w:contextualSpacing/>
              <w:jc w:val="center"/>
              <w:rPr>
                <w:szCs w:val="21"/>
              </w:rPr>
            </w:pPr>
            <w:r>
              <w:rPr>
                <w:szCs w:val="21"/>
              </w:rPr>
              <w:t>≥10</w:t>
            </w:r>
          </w:p>
        </w:tc>
      </w:tr>
      <w:tr w14:paraId="6657E2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continue"/>
            <w:vAlign w:val="center"/>
          </w:tcPr>
          <w:p w14:paraId="19F5F19F">
            <w:pPr>
              <w:contextualSpacing/>
              <w:jc w:val="center"/>
              <w:rPr>
                <w:szCs w:val="21"/>
              </w:rPr>
            </w:pPr>
          </w:p>
        </w:tc>
        <w:tc>
          <w:tcPr>
            <w:tcW w:w="673" w:type="dxa"/>
            <w:vMerge w:val="continue"/>
            <w:vAlign w:val="center"/>
          </w:tcPr>
          <w:p w14:paraId="01E5A0EF">
            <w:pPr>
              <w:contextualSpacing/>
              <w:jc w:val="center"/>
              <w:rPr>
                <w:szCs w:val="21"/>
              </w:rPr>
            </w:pPr>
          </w:p>
        </w:tc>
        <w:tc>
          <w:tcPr>
            <w:tcW w:w="1398" w:type="dxa"/>
            <w:vMerge w:val="continue"/>
            <w:vAlign w:val="center"/>
          </w:tcPr>
          <w:p w14:paraId="307BE028">
            <w:pPr>
              <w:contextualSpacing/>
              <w:jc w:val="center"/>
              <w:rPr>
                <w:szCs w:val="21"/>
              </w:rPr>
            </w:pPr>
          </w:p>
        </w:tc>
        <w:tc>
          <w:tcPr>
            <w:tcW w:w="2085" w:type="dxa"/>
            <w:vAlign w:val="center"/>
          </w:tcPr>
          <w:p w14:paraId="33388565">
            <w:pPr>
              <w:contextualSpacing/>
              <w:jc w:val="center"/>
              <w:rPr>
                <w:szCs w:val="21"/>
              </w:rPr>
            </w:pPr>
            <w:r>
              <w:rPr>
                <w:szCs w:val="21"/>
              </w:rPr>
              <w:t>土壤容重（g/cm</w:t>
            </w:r>
            <w:r>
              <w:rPr>
                <w:szCs w:val="21"/>
                <w:vertAlign w:val="superscript"/>
              </w:rPr>
              <w:t>3</w:t>
            </w:r>
            <w:r>
              <w:rPr>
                <w:szCs w:val="21"/>
              </w:rPr>
              <w:t>）</w:t>
            </w:r>
          </w:p>
        </w:tc>
        <w:tc>
          <w:tcPr>
            <w:tcW w:w="4395" w:type="dxa"/>
            <w:vAlign w:val="center"/>
          </w:tcPr>
          <w:p w14:paraId="05BDF053">
            <w:pPr>
              <w:contextualSpacing/>
              <w:jc w:val="center"/>
              <w:rPr>
                <w:szCs w:val="21"/>
              </w:rPr>
            </w:pPr>
            <w:r>
              <w:rPr>
                <w:szCs w:val="21"/>
              </w:rPr>
              <w:t>≤1.45</w:t>
            </w:r>
          </w:p>
        </w:tc>
      </w:tr>
      <w:tr w14:paraId="0D1374C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continue"/>
            <w:vAlign w:val="center"/>
          </w:tcPr>
          <w:p w14:paraId="13D887F8">
            <w:pPr>
              <w:contextualSpacing/>
              <w:jc w:val="center"/>
              <w:rPr>
                <w:szCs w:val="21"/>
              </w:rPr>
            </w:pPr>
          </w:p>
        </w:tc>
        <w:tc>
          <w:tcPr>
            <w:tcW w:w="673" w:type="dxa"/>
            <w:vMerge w:val="continue"/>
            <w:vAlign w:val="center"/>
          </w:tcPr>
          <w:p w14:paraId="013005DD">
            <w:pPr>
              <w:contextualSpacing/>
              <w:jc w:val="center"/>
              <w:rPr>
                <w:szCs w:val="21"/>
              </w:rPr>
            </w:pPr>
          </w:p>
        </w:tc>
        <w:tc>
          <w:tcPr>
            <w:tcW w:w="1398" w:type="dxa"/>
            <w:vMerge w:val="continue"/>
            <w:vAlign w:val="center"/>
          </w:tcPr>
          <w:p w14:paraId="7E12FD6C">
            <w:pPr>
              <w:contextualSpacing/>
              <w:jc w:val="center"/>
              <w:rPr>
                <w:szCs w:val="21"/>
              </w:rPr>
            </w:pPr>
          </w:p>
        </w:tc>
        <w:tc>
          <w:tcPr>
            <w:tcW w:w="2085" w:type="dxa"/>
            <w:vAlign w:val="center"/>
          </w:tcPr>
          <w:p w14:paraId="20D220EF">
            <w:pPr>
              <w:contextualSpacing/>
              <w:jc w:val="center"/>
              <w:rPr>
                <w:szCs w:val="21"/>
              </w:rPr>
            </w:pPr>
            <w:r>
              <w:rPr>
                <w:szCs w:val="21"/>
              </w:rPr>
              <w:t>土壤质地</w:t>
            </w:r>
          </w:p>
        </w:tc>
        <w:tc>
          <w:tcPr>
            <w:tcW w:w="4395" w:type="dxa"/>
            <w:vAlign w:val="center"/>
          </w:tcPr>
          <w:p w14:paraId="2082A6BD">
            <w:pPr>
              <w:contextualSpacing/>
              <w:jc w:val="center"/>
              <w:rPr>
                <w:szCs w:val="21"/>
              </w:rPr>
            </w:pPr>
            <w:r>
              <w:rPr>
                <w:szCs w:val="21"/>
              </w:rPr>
              <w:t>砂质壤土至壤质粘土</w:t>
            </w:r>
          </w:p>
        </w:tc>
      </w:tr>
      <w:tr w14:paraId="24A447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continue"/>
            <w:vAlign w:val="center"/>
          </w:tcPr>
          <w:p w14:paraId="7BF9116D">
            <w:pPr>
              <w:contextualSpacing/>
              <w:jc w:val="center"/>
              <w:rPr>
                <w:szCs w:val="21"/>
              </w:rPr>
            </w:pPr>
          </w:p>
        </w:tc>
        <w:tc>
          <w:tcPr>
            <w:tcW w:w="673" w:type="dxa"/>
            <w:vMerge w:val="continue"/>
            <w:vAlign w:val="center"/>
          </w:tcPr>
          <w:p w14:paraId="29FC2AF6">
            <w:pPr>
              <w:contextualSpacing/>
              <w:jc w:val="center"/>
              <w:rPr>
                <w:szCs w:val="21"/>
              </w:rPr>
            </w:pPr>
          </w:p>
        </w:tc>
        <w:tc>
          <w:tcPr>
            <w:tcW w:w="1398" w:type="dxa"/>
            <w:vMerge w:val="continue"/>
            <w:vAlign w:val="center"/>
          </w:tcPr>
          <w:p w14:paraId="1E916BD6">
            <w:pPr>
              <w:contextualSpacing/>
              <w:jc w:val="center"/>
              <w:rPr>
                <w:szCs w:val="21"/>
              </w:rPr>
            </w:pPr>
          </w:p>
        </w:tc>
        <w:tc>
          <w:tcPr>
            <w:tcW w:w="2085" w:type="dxa"/>
            <w:vAlign w:val="center"/>
          </w:tcPr>
          <w:p w14:paraId="2E2DB896">
            <w:pPr>
              <w:contextualSpacing/>
              <w:jc w:val="center"/>
              <w:rPr>
                <w:szCs w:val="21"/>
              </w:rPr>
            </w:pPr>
            <w:r>
              <w:rPr>
                <w:szCs w:val="21"/>
              </w:rPr>
              <w:t>砾石含量（%）</w:t>
            </w:r>
          </w:p>
        </w:tc>
        <w:tc>
          <w:tcPr>
            <w:tcW w:w="4395" w:type="dxa"/>
            <w:vAlign w:val="center"/>
          </w:tcPr>
          <w:p w14:paraId="52C5C828">
            <w:pPr>
              <w:contextualSpacing/>
              <w:jc w:val="center"/>
              <w:rPr>
                <w:szCs w:val="21"/>
              </w:rPr>
            </w:pPr>
            <w:r>
              <w:rPr>
                <w:szCs w:val="21"/>
              </w:rPr>
              <w:t>≤50</w:t>
            </w:r>
          </w:p>
        </w:tc>
      </w:tr>
      <w:tr w14:paraId="0815B4F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continue"/>
            <w:vAlign w:val="center"/>
          </w:tcPr>
          <w:p w14:paraId="39AC0475">
            <w:pPr>
              <w:contextualSpacing/>
              <w:jc w:val="center"/>
              <w:rPr>
                <w:szCs w:val="21"/>
              </w:rPr>
            </w:pPr>
          </w:p>
        </w:tc>
        <w:tc>
          <w:tcPr>
            <w:tcW w:w="673" w:type="dxa"/>
            <w:vMerge w:val="continue"/>
            <w:vAlign w:val="center"/>
          </w:tcPr>
          <w:p w14:paraId="39F3E2B7">
            <w:pPr>
              <w:contextualSpacing/>
              <w:jc w:val="center"/>
              <w:rPr>
                <w:szCs w:val="21"/>
              </w:rPr>
            </w:pPr>
          </w:p>
        </w:tc>
        <w:tc>
          <w:tcPr>
            <w:tcW w:w="1398" w:type="dxa"/>
            <w:vMerge w:val="continue"/>
            <w:vAlign w:val="center"/>
          </w:tcPr>
          <w:p w14:paraId="717B12C2">
            <w:pPr>
              <w:contextualSpacing/>
              <w:jc w:val="center"/>
              <w:rPr>
                <w:szCs w:val="21"/>
              </w:rPr>
            </w:pPr>
          </w:p>
        </w:tc>
        <w:tc>
          <w:tcPr>
            <w:tcW w:w="2085" w:type="dxa"/>
            <w:vAlign w:val="center"/>
          </w:tcPr>
          <w:p w14:paraId="50455436">
            <w:pPr>
              <w:contextualSpacing/>
              <w:jc w:val="center"/>
              <w:rPr>
                <w:szCs w:val="21"/>
              </w:rPr>
            </w:pPr>
            <w:r>
              <w:rPr>
                <w:szCs w:val="21"/>
              </w:rPr>
              <w:t>pH值</w:t>
            </w:r>
          </w:p>
        </w:tc>
        <w:tc>
          <w:tcPr>
            <w:tcW w:w="4395" w:type="dxa"/>
            <w:vAlign w:val="center"/>
          </w:tcPr>
          <w:p w14:paraId="405CBCC1">
            <w:pPr>
              <w:contextualSpacing/>
              <w:jc w:val="center"/>
              <w:rPr>
                <w:szCs w:val="21"/>
              </w:rPr>
            </w:pPr>
            <w:r>
              <w:rPr>
                <w:szCs w:val="21"/>
              </w:rPr>
              <w:t>5.5-8.0</w:t>
            </w:r>
          </w:p>
        </w:tc>
      </w:tr>
      <w:tr w14:paraId="66A9471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continue"/>
            <w:vAlign w:val="center"/>
          </w:tcPr>
          <w:p w14:paraId="338E937E">
            <w:pPr>
              <w:contextualSpacing/>
              <w:jc w:val="center"/>
              <w:rPr>
                <w:szCs w:val="21"/>
              </w:rPr>
            </w:pPr>
          </w:p>
        </w:tc>
        <w:tc>
          <w:tcPr>
            <w:tcW w:w="673" w:type="dxa"/>
            <w:vMerge w:val="continue"/>
            <w:vAlign w:val="center"/>
          </w:tcPr>
          <w:p w14:paraId="50E090DD">
            <w:pPr>
              <w:contextualSpacing/>
              <w:jc w:val="center"/>
              <w:rPr>
                <w:szCs w:val="21"/>
              </w:rPr>
            </w:pPr>
          </w:p>
        </w:tc>
        <w:tc>
          <w:tcPr>
            <w:tcW w:w="1398" w:type="dxa"/>
            <w:vMerge w:val="continue"/>
            <w:vAlign w:val="center"/>
          </w:tcPr>
          <w:p w14:paraId="1530DFB8">
            <w:pPr>
              <w:contextualSpacing/>
              <w:jc w:val="center"/>
              <w:rPr>
                <w:szCs w:val="21"/>
              </w:rPr>
            </w:pPr>
          </w:p>
        </w:tc>
        <w:tc>
          <w:tcPr>
            <w:tcW w:w="2085" w:type="dxa"/>
            <w:vAlign w:val="center"/>
          </w:tcPr>
          <w:p w14:paraId="7DDB64C1">
            <w:pPr>
              <w:contextualSpacing/>
              <w:jc w:val="center"/>
              <w:rPr>
                <w:szCs w:val="21"/>
              </w:rPr>
            </w:pPr>
            <w:r>
              <w:rPr>
                <w:szCs w:val="21"/>
              </w:rPr>
              <w:t>有机质(g/kg)</w:t>
            </w:r>
          </w:p>
        </w:tc>
        <w:tc>
          <w:tcPr>
            <w:tcW w:w="4395" w:type="dxa"/>
            <w:vAlign w:val="center"/>
          </w:tcPr>
          <w:p w14:paraId="2118A555">
            <w:pPr>
              <w:contextualSpacing/>
              <w:jc w:val="center"/>
              <w:rPr>
                <w:szCs w:val="21"/>
              </w:rPr>
            </w:pPr>
            <w:r>
              <w:rPr>
                <w:szCs w:val="21"/>
              </w:rPr>
              <w:t>≥1</w:t>
            </w:r>
          </w:p>
        </w:tc>
      </w:tr>
      <w:tr w14:paraId="7D23E4B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continue"/>
            <w:vAlign w:val="center"/>
          </w:tcPr>
          <w:p w14:paraId="1DE3F66E">
            <w:pPr>
              <w:contextualSpacing/>
              <w:jc w:val="center"/>
              <w:rPr>
                <w:szCs w:val="21"/>
              </w:rPr>
            </w:pPr>
          </w:p>
        </w:tc>
        <w:tc>
          <w:tcPr>
            <w:tcW w:w="673" w:type="dxa"/>
            <w:vMerge w:val="continue"/>
            <w:vAlign w:val="center"/>
          </w:tcPr>
          <w:p w14:paraId="5DAEB536">
            <w:pPr>
              <w:contextualSpacing/>
              <w:jc w:val="center"/>
              <w:rPr>
                <w:szCs w:val="21"/>
              </w:rPr>
            </w:pPr>
          </w:p>
        </w:tc>
        <w:tc>
          <w:tcPr>
            <w:tcW w:w="1398" w:type="dxa"/>
            <w:vMerge w:val="restart"/>
            <w:vAlign w:val="center"/>
          </w:tcPr>
          <w:p w14:paraId="185408E4">
            <w:pPr>
              <w:contextualSpacing/>
              <w:jc w:val="center"/>
              <w:rPr>
                <w:szCs w:val="21"/>
              </w:rPr>
            </w:pPr>
            <w:r>
              <w:rPr>
                <w:szCs w:val="21"/>
              </w:rPr>
              <w:t>配套设施</w:t>
            </w:r>
          </w:p>
        </w:tc>
        <w:tc>
          <w:tcPr>
            <w:tcW w:w="2085" w:type="dxa"/>
            <w:vAlign w:val="center"/>
          </w:tcPr>
          <w:p w14:paraId="6A9605AF">
            <w:pPr>
              <w:contextualSpacing/>
              <w:jc w:val="center"/>
              <w:rPr>
                <w:szCs w:val="21"/>
              </w:rPr>
            </w:pPr>
            <w:r>
              <w:rPr>
                <w:szCs w:val="21"/>
              </w:rPr>
              <w:t>灌溉</w:t>
            </w:r>
          </w:p>
        </w:tc>
        <w:tc>
          <w:tcPr>
            <w:tcW w:w="4395" w:type="dxa"/>
            <w:vMerge w:val="restart"/>
            <w:vAlign w:val="center"/>
          </w:tcPr>
          <w:p w14:paraId="0E3C5D3E">
            <w:pPr>
              <w:contextualSpacing/>
              <w:jc w:val="center"/>
              <w:rPr>
                <w:szCs w:val="21"/>
              </w:rPr>
            </w:pPr>
            <w:r>
              <w:rPr>
                <w:szCs w:val="21"/>
              </w:rPr>
              <w:t>满足种植要求</w:t>
            </w:r>
          </w:p>
        </w:tc>
      </w:tr>
      <w:tr w14:paraId="34BDC96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0" w:hRule="atLeast"/>
          <w:jc w:val="center"/>
        </w:trPr>
        <w:tc>
          <w:tcPr>
            <w:tcW w:w="586" w:type="dxa"/>
            <w:vMerge w:val="continue"/>
            <w:vAlign w:val="center"/>
          </w:tcPr>
          <w:p w14:paraId="7100F2DB">
            <w:pPr>
              <w:contextualSpacing/>
              <w:jc w:val="center"/>
              <w:rPr>
                <w:szCs w:val="21"/>
              </w:rPr>
            </w:pPr>
          </w:p>
        </w:tc>
        <w:tc>
          <w:tcPr>
            <w:tcW w:w="673" w:type="dxa"/>
            <w:vMerge w:val="continue"/>
            <w:vAlign w:val="center"/>
          </w:tcPr>
          <w:p w14:paraId="3798C399">
            <w:pPr>
              <w:contextualSpacing/>
              <w:jc w:val="center"/>
              <w:rPr>
                <w:szCs w:val="21"/>
              </w:rPr>
            </w:pPr>
          </w:p>
        </w:tc>
        <w:tc>
          <w:tcPr>
            <w:tcW w:w="1398" w:type="dxa"/>
            <w:vMerge w:val="continue"/>
            <w:vAlign w:val="center"/>
          </w:tcPr>
          <w:p w14:paraId="4914117C">
            <w:pPr>
              <w:contextualSpacing/>
              <w:jc w:val="center"/>
              <w:rPr>
                <w:szCs w:val="21"/>
              </w:rPr>
            </w:pPr>
          </w:p>
        </w:tc>
        <w:tc>
          <w:tcPr>
            <w:tcW w:w="2085" w:type="dxa"/>
            <w:vAlign w:val="center"/>
          </w:tcPr>
          <w:p w14:paraId="7E24D9F8">
            <w:pPr>
              <w:contextualSpacing/>
              <w:jc w:val="center"/>
              <w:rPr>
                <w:szCs w:val="21"/>
              </w:rPr>
            </w:pPr>
            <w:r>
              <w:rPr>
                <w:szCs w:val="21"/>
              </w:rPr>
              <w:t>道路</w:t>
            </w:r>
          </w:p>
        </w:tc>
        <w:tc>
          <w:tcPr>
            <w:tcW w:w="4395" w:type="dxa"/>
            <w:vMerge w:val="continue"/>
            <w:vAlign w:val="center"/>
          </w:tcPr>
          <w:p w14:paraId="06EF83FD">
            <w:pPr>
              <w:contextualSpacing/>
              <w:jc w:val="center"/>
              <w:rPr>
                <w:szCs w:val="21"/>
              </w:rPr>
            </w:pPr>
          </w:p>
        </w:tc>
      </w:tr>
      <w:tr w14:paraId="2E953D6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rHeight w:val="20" w:hRule="atLeast"/>
          <w:jc w:val="center"/>
        </w:trPr>
        <w:tc>
          <w:tcPr>
            <w:tcW w:w="586" w:type="dxa"/>
            <w:vMerge w:val="continue"/>
            <w:vAlign w:val="center"/>
          </w:tcPr>
          <w:p w14:paraId="69A62C68">
            <w:pPr>
              <w:contextualSpacing/>
              <w:jc w:val="center"/>
              <w:rPr>
                <w:szCs w:val="21"/>
              </w:rPr>
            </w:pPr>
          </w:p>
        </w:tc>
        <w:tc>
          <w:tcPr>
            <w:tcW w:w="673" w:type="dxa"/>
            <w:vMerge w:val="continue"/>
            <w:vAlign w:val="center"/>
          </w:tcPr>
          <w:p w14:paraId="51F0FB91">
            <w:pPr>
              <w:contextualSpacing/>
              <w:jc w:val="center"/>
              <w:rPr>
                <w:szCs w:val="21"/>
              </w:rPr>
            </w:pPr>
          </w:p>
        </w:tc>
        <w:tc>
          <w:tcPr>
            <w:tcW w:w="1398" w:type="dxa"/>
            <w:vMerge w:val="restart"/>
            <w:vAlign w:val="center"/>
          </w:tcPr>
          <w:p w14:paraId="225280BF">
            <w:pPr>
              <w:contextualSpacing/>
              <w:jc w:val="center"/>
              <w:rPr>
                <w:szCs w:val="21"/>
              </w:rPr>
            </w:pPr>
            <w:r>
              <w:rPr>
                <w:szCs w:val="21"/>
              </w:rPr>
              <w:t>生产力水平</w:t>
            </w:r>
          </w:p>
        </w:tc>
        <w:tc>
          <w:tcPr>
            <w:tcW w:w="2085" w:type="dxa"/>
            <w:vAlign w:val="center"/>
          </w:tcPr>
          <w:p w14:paraId="06A78FC8">
            <w:pPr>
              <w:contextualSpacing/>
              <w:jc w:val="center"/>
              <w:rPr>
                <w:szCs w:val="21"/>
              </w:rPr>
            </w:pPr>
            <w:r>
              <w:rPr>
                <w:szCs w:val="21"/>
              </w:rPr>
              <w:t>覆盖度/%</w:t>
            </w:r>
          </w:p>
        </w:tc>
        <w:tc>
          <w:tcPr>
            <w:tcW w:w="4395" w:type="dxa"/>
            <w:vAlign w:val="center"/>
          </w:tcPr>
          <w:p w14:paraId="6DF05D2E">
            <w:pPr>
              <w:contextualSpacing/>
              <w:jc w:val="center"/>
              <w:rPr>
                <w:szCs w:val="21"/>
              </w:rPr>
            </w:pPr>
            <w:r>
              <w:rPr>
                <w:szCs w:val="21"/>
              </w:rPr>
              <w:t>≥40</w:t>
            </w:r>
          </w:p>
        </w:tc>
      </w:tr>
      <w:tr w14:paraId="42729CE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586" w:type="dxa"/>
            <w:vMerge w:val="continue"/>
            <w:tcBorders>
              <w:bottom w:val="single" w:color="auto" w:sz="4" w:space="0"/>
            </w:tcBorders>
            <w:vAlign w:val="center"/>
          </w:tcPr>
          <w:p w14:paraId="6BB53FF2">
            <w:pPr>
              <w:contextualSpacing/>
              <w:jc w:val="center"/>
              <w:rPr>
                <w:szCs w:val="21"/>
              </w:rPr>
            </w:pPr>
          </w:p>
        </w:tc>
        <w:tc>
          <w:tcPr>
            <w:tcW w:w="673" w:type="dxa"/>
            <w:vMerge w:val="continue"/>
            <w:tcBorders>
              <w:bottom w:val="single" w:color="auto" w:sz="4" w:space="0"/>
            </w:tcBorders>
            <w:vAlign w:val="center"/>
          </w:tcPr>
          <w:p w14:paraId="59F44142">
            <w:pPr>
              <w:contextualSpacing/>
              <w:jc w:val="center"/>
              <w:rPr>
                <w:szCs w:val="21"/>
              </w:rPr>
            </w:pPr>
          </w:p>
        </w:tc>
        <w:tc>
          <w:tcPr>
            <w:tcW w:w="1398" w:type="dxa"/>
            <w:vMerge w:val="continue"/>
            <w:tcBorders>
              <w:bottom w:val="single" w:color="auto" w:sz="4" w:space="0"/>
            </w:tcBorders>
            <w:vAlign w:val="center"/>
          </w:tcPr>
          <w:p w14:paraId="2D9D17B5">
            <w:pPr>
              <w:contextualSpacing/>
              <w:jc w:val="center"/>
              <w:rPr>
                <w:szCs w:val="21"/>
              </w:rPr>
            </w:pPr>
          </w:p>
        </w:tc>
        <w:tc>
          <w:tcPr>
            <w:tcW w:w="2085" w:type="dxa"/>
            <w:tcBorders>
              <w:bottom w:val="single" w:color="auto" w:sz="4" w:space="0"/>
            </w:tcBorders>
            <w:vAlign w:val="center"/>
          </w:tcPr>
          <w:p w14:paraId="351F5718">
            <w:pPr>
              <w:contextualSpacing/>
              <w:jc w:val="center"/>
              <w:rPr>
                <w:szCs w:val="21"/>
              </w:rPr>
            </w:pPr>
            <w:r>
              <w:rPr>
                <w:szCs w:val="21"/>
              </w:rPr>
              <w:t>产量（kg/hm</w:t>
            </w:r>
            <w:r>
              <w:rPr>
                <w:szCs w:val="21"/>
                <w:vertAlign w:val="superscript"/>
              </w:rPr>
              <w:t>2</w:t>
            </w:r>
            <w:r>
              <w:rPr>
                <w:szCs w:val="21"/>
              </w:rPr>
              <w:t>）</w:t>
            </w:r>
          </w:p>
        </w:tc>
        <w:tc>
          <w:tcPr>
            <w:tcW w:w="4395" w:type="dxa"/>
            <w:tcBorders>
              <w:bottom w:val="single" w:color="auto" w:sz="4" w:space="0"/>
            </w:tcBorders>
            <w:vAlign w:val="center"/>
          </w:tcPr>
          <w:p w14:paraId="7D65E703">
            <w:pPr>
              <w:contextualSpacing/>
              <w:jc w:val="center"/>
              <w:rPr>
                <w:szCs w:val="21"/>
              </w:rPr>
            </w:pPr>
            <w:r>
              <w:rPr>
                <w:szCs w:val="21"/>
              </w:rPr>
              <w:t>4年后达到周边地区同等土地利用类型水平</w:t>
            </w:r>
          </w:p>
        </w:tc>
      </w:tr>
    </w:tbl>
    <w:p w14:paraId="5B64E2C7">
      <w:pPr>
        <w:keepNext/>
        <w:keepLines/>
        <w:pageBreakBefore/>
        <w:tabs>
          <w:tab w:val="left" w:pos="284"/>
        </w:tabs>
        <w:spacing w:before="340" w:after="240" w:line="360" w:lineRule="auto"/>
        <w:jc w:val="center"/>
        <w:outlineLvl w:val="0"/>
        <w:rPr>
          <w:b/>
          <w:bCs/>
          <w:kern w:val="44"/>
          <w:sz w:val="32"/>
          <w:szCs w:val="32"/>
        </w:rPr>
      </w:pPr>
      <w:bookmarkStart w:id="148" w:name="_Toc43851673"/>
      <w:r>
        <w:rPr>
          <w:b/>
          <w:bCs/>
          <w:kern w:val="44"/>
          <w:sz w:val="32"/>
          <w:szCs w:val="32"/>
        </w:rPr>
        <w:t>第五章矿山地质环境治理与土地复垦工程</w:t>
      </w:r>
      <w:bookmarkEnd w:id="147"/>
      <w:bookmarkEnd w:id="148"/>
    </w:p>
    <w:p w14:paraId="0292A738">
      <w:pPr>
        <w:keepNext/>
        <w:keepLines/>
        <w:adjustRightInd w:val="0"/>
        <w:spacing w:beforeLines="50" w:afterLines="50" w:line="360" w:lineRule="auto"/>
        <w:jc w:val="left"/>
        <w:textAlignment w:val="baseline"/>
        <w:outlineLvl w:val="0"/>
        <w:rPr>
          <w:kern w:val="0"/>
          <w:sz w:val="30"/>
          <w:szCs w:val="30"/>
        </w:rPr>
      </w:pPr>
      <w:bookmarkStart w:id="149" w:name="_Toc481328207"/>
      <w:bookmarkStart w:id="150" w:name="_Toc43851674"/>
      <w:bookmarkStart w:id="151" w:name="_Toc480537441"/>
      <w:r>
        <w:rPr>
          <w:kern w:val="0"/>
          <w:sz w:val="30"/>
          <w:szCs w:val="30"/>
        </w:rPr>
        <w:t>一、矿山地质环境保护与土地复垦预防</w:t>
      </w:r>
      <w:bookmarkEnd w:id="149"/>
      <w:bookmarkEnd w:id="150"/>
      <w:bookmarkEnd w:id="151"/>
    </w:p>
    <w:p w14:paraId="0B23053E">
      <w:pPr>
        <w:pStyle w:val="5"/>
        <w:spacing w:beforeLines="50" w:afterLines="50" w:line="360" w:lineRule="auto"/>
        <w:rPr>
          <w:b w:val="0"/>
          <w:sz w:val="24"/>
          <w:szCs w:val="24"/>
        </w:rPr>
      </w:pPr>
      <w:bookmarkStart w:id="152" w:name="_Toc480537442"/>
      <w:bookmarkStart w:id="153" w:name="_Toc43851675"/>
      <w:bookmarkStart w:id="154" w:name="_Toc481328208"/>
      <w:r>
        <w:rPr>
          <w:b w:val="0"/>
          <w:sz w:val="24"/>
          <w:szCs w:val="24"/>
        </w:rPr>
        <w:t>（</w:t>
      </w:r>
      <w:r>
        <w:rPr>
          <w:b w:val="0"/>
          <w:sz w:val="28"/>
          <w:szCs w:val="28"/>
        </w:rPr>
        <w:t>一）目标任务</w:t>
      </w:r>
      <w:bookmarkEnd w:id="152"/>
      <w:bookmarkEnd w:id="153"/>
      <w:bookmarkEnd w:id="154"/>
    </w:p>
    <w:p w14:paraId="10F1BD1A">
      <w:pPr>
        <w:spacing w:line="360" w:lineRule="auto"/>
        <w:ind w:firstLine="480" w:firstLineChars="200"/>
        <w:jc w:val="left"/>
        <w:rPr>
          <w:sz w:val="24"/>
        </w:rPr>
      </w:pPr>
      <w:r>
        <w:rPr>
          <w:sz w:val="24"/>
        </w:rPr>
        <w:t>1、目标</w:t>
      </w:r>
    </w:p>
    <w:p w14:paraId="658B92DF">
      <w:pPr>
        <w:spacing w:line="360" w:lineRule="auto"/>
        <w:ind w:firstLine="480" w:firstLineChars="200"/>
        <w:rPr>
          <w:sz w:val="24"/>
          <w:lang w:val="zh-CN"/>
        </w:rPr>
      </w:pPr>
      <w:r>
        <w:rPr>
          <w:sz w:val="24"/>
          <w:lang w:val="zh-CN"/>
        </w:rPr>
        <w:t>坚持科学发展，最大限度地避免或减轻采矿活动引发的矿山环境地质问题和地质灾害危害，减少对地质环境的影响和破坏，减轻对地形地貌景观及含水层的影响和破坏，最大限度和修复矿山地质环境；依据土地复垦适宜性评价结果，确定拟复垦土地的地类、面积和复垦率，落实复垦后土地利用结构调整，使其达到可利用状态，努力创建绿色矿山，使矿业经济科学、和谐、持续发展，预期达到一个安全、卫生舒适的工作生活环境并造福于后人。</w:t>
      </w:r>
    </w:p>
    <w:p w14:paraId="1BE3E904">
      <w:pPr>
        <w:spacing w:line="360" w:lineRule="auto"/>
        <w:ind w:firstLine="480" w:firstLineChars="200"/>
        <w:jc w:val="left"/>
        <w:rPr>
          <w:sz w:val="24"/>
        </w:rPr>
      </w:pPr>
      <w:r>
        <w:rPr>
          <w:sz w:val="24"/>
        </w:rPr>
        <w:t>2、任务</w:t>
      </w:r>
    </w:p>
    <w:p w14:paraId="09C97332">
      <w:pPr>
        <w:spacing w:line="360" w:lineRule="auto"/>
        <w:ind w:firstLine="480" w:firstLineChars="200"/>
        <w:rPr>
          <w:sz w:val="24"/>
          <w:lang w:val="zh-CN"/>
        </w:rPr>
      </w:pPr>
      <w:r>
        <w:rPr>
          <w:sz w:val="24"/>
          <w:lang w:val="zh-CN"/>
        </w:rPr>
        <w:t>1）对矿山生产期间存在的和引发的矿山地质环境问题进行监测，发现问题及时上报和预警，并请地质环境监测部门专家对矿山监测、治理工作进行指导。</w:t>
      </w:r>
    </w:p>
    <w:p w14:paraId="6E1D2558">
      <w:pPr>
        <w:spacing w:line="360" w:lineRule="auto"/>
        <w:ind w:firstLine="480" w:firstLineChars="200"/>
        <w:rPr>
          <w:sz w:val="24"/>
          <w:lang w:val="zh-CN"/>
        </w:rPr>
      </w:pPr>
      <w:r>
        <w:rPr>
          <w:sz w:val="24"/>
          <w:lang w:val="zh-CN"/>
        </w:rPr>
        <w:t>2）编制并实施闭矿恢复治理方案，使矿山开发破坏的地形地貌景观和土地资源得以恢复。对工业广场等配套设施地面各类建筑物所占用的建设用地进行恢复治理与土地复垦，按照所属土地类型的不同，采取不同的治理措施，使其恢复原有的地形地貌及土地利用类型。</w:t>
      </w:r>
    </w:p>
    <w:p w14:paraId="01F84390">
      <w:pPr>
        <w:spacing w:line="360" w:lineRule="auto"/>
        <w:ind w:firstLine="480" w:firstLineChars="200"/>
        <w:rPr>
          <w:sz w:val="24"/>
          <w:lang w:val="zh-CN"/>
        </w:rPr>
      </w:pPr>
      <w:r>
        <w:rPr>
          <w:sz w:val="24"/>
          <w:lang w:val="zh-CN"/>
        </w:rPr>
        <w:t>3）矿山开发破坏的地形地貌景观和土地资源完成恢复治理和土地复垦措施后，采取管护措施，保证恢复后的地形地貌景观的可持久性。</w:t>
      </w:r>
    </w:p>
    <w:p w14:paraId="515CF547">
      <w:pPr>
        <w:spacing w:line="360" w:lineRule="auto"/>
        <w:ind w:firstLine="480" w:firstLineChars="200"/>
        <w:rPr>
          <w:sz w:val="24"/>
          <w:lang w:val="zh-CN"/>
        </w:rPr>
      </w:pPr>
      <w:r>
        <w:rPr>
          <w:sz w:val="24"/>
          <w:lang w:val="zh-CN"/>
        </w:rPr>
        <w:t>4）持续对矿山地质环境与地质灾害进行监测和土地损毁与土地复垦效果监测等。</w:t>
      </w:r>
    </w:p>
    <w:p w14:paraId="269C3975">
      <w:pPr>
        <w:spacing w:line="360" w:lineRule="auto"/>
        <w:ind w:firstLine="480" w:firstLineChars="200"/>
        <w:rPr>
          <w:sz w:val="24"/>
          <w:lang w:val="zh-CN"/>
        </w:rPr>
      </w:pPr>
      <w:r>
        <w:rPr>
          <w:sz w:val="24"/>
          <w:lang w:val="zh-CN"/>
        </w:rPr>
        <w:t>5）在经济合理的基础上，进行矿山地质环境保护与土地复垦工程经费估算，提出保护与复垦保障措施，进行社会、环境、经济效益分析。</w:t>
      </w:r>
    </w:p>
    <w:p w14:paraId="05A6FE4C">
      <w:pPr>
        <w:pStyle w:val="5"/>
        <w:spacing w:beforeLines="50" w:afterLines="50" w:line="360" w:lineRule="auto"/>
        <w:rPr>
          <w:b w:val="0"/>
          <w:sz w:val="28"/>
          <w:szCs w:val="28"/>
        </w:rPr>
      </w:pPr>
      <w:bookmarkStart w:id="155" w:name="_Toc480537443"/>
      <w:bookmarkStart w:id="156" w:name="_Toc481328209"/>
      <w:bookmarkStart w:id="157" w:name="_Toc43851676"/>
      <w:r>
        <w:rPr>
          <w:b w:val="0"/>
          <w:sz w:val="28"/>
          <w:szCs w:val="28"/>
        </w:rPr>
        <w:t>（二）主要技术措施</w:t>
      </w:r>
      <w:bookmarkEnd w:id="155"/>
      <w:bookmarkEnd w:id="156"/>
      <w:bookmarkEnd w:id="157"/>
    </w:p>
    <w:p w14:paraId="1D101E61">
      <w:pPr>
        <w:spacing w:line="360" w:lineRule="auto"/>
        <w:ind w:firstLine="480" w:firstLineChars="200"/>
        <w:rPr>
          <w:sz w:val="24"/>
          <w:lang w:val="zh-CN"/>
        </w:rPr>
      </w:pPr>
      <w:r>
        <w:rPr>
          <w:sz w:val="24"/>
          <w:lang w:val="zh-CN"/>
        </w:rPr>
        <w:t>按照“统一规划、源头控制、防复结合”的原则，根据项目特点、生产方式与工艺等，制定该矿山地质环境保护与土地复垦项目的预防与控制措施如下：</w:t>
      </w:r>
    </w:p>
    <w:p w14:paraId="523DD79D">
      <w:pPr>
        <w:spacing w:line="360" w:lineRule="auto"/>
        <w:ind w:firstLine="480" w:firstLineChars="200"/>
        <w:rPr>
          <w:sz w:val="24"/>
          <w:lang w:val="zh-CN"/>
        </w:rPr>
      </w:pPr>
      <w:r>
        <w:rPr>
          <w:sz w:val="24"/>
          <w:lang w:val="zh-CN"/>
        </w:rPr>
        <w:t>1、做好土地利用总体规划衔接，优化土地结构</w:t>
      </w:r>
    </w:p>
    <w:p w14:paraId="702025C7">
      <w:pPr>
        <w:spacing w:line="360" w:lineRule="auto"/>
        <w:ind w:firstLine="480" w:firstLineChars="200"/>
        <w:rPr>
          <w:sz w:val="24"/>
          <w:lang w:val="zh-CN"/>
        </w:rPr>
      </w:pPr>
      <w:r>
        <w:rPr>
          <w:sz w:val="24"/>
          <w:lang w:val="zh-CN"/>
        </w:rPr>
        <w:t>本项目确定复垦方向时，以当地土地利用总体规划为指导，做好与当地土地利用总体规划的衔接。在此基础上，遵循优化土地利用结构，提高土地利用效益的原则，尽量将原来的未利用地恢复为农用地，并保证复垦后耕地面积不减少或有增加，保障项目区内的耕地动态总量平衡，达到“占一补一”要求。</w:t>
      </w:r>
    </w:p>
    <w:p w14:paraId="0D8EBAD0">
      <w:pPr>
        <w:spacing w:line="360" w:lineRule="auto"/>
        <w:ind w:firstLine="480" w:firstLineChars="200"/>
        <w:rPr>
          <w:sz w:val="24"/>
          <w:lang w:val="zh-CN"/>
        </w:rPr>
      </w:pPr>
      <w:r>
        <w:rPr>
          <w:sz w:val="24"/>
          <w:lang w:val="zh-CN"/>
        </w:rPr>
        <w:t>2、统一规划复垦工作</w:t>
      </w:r>
    </w:p>
    <w:p w14:paraId="41CE5D99">
      <w:pPr>
        <w:spacing w:line="360" w:lineRule="auto"/>
        <w:ind w:firstLine="480" w:firstLineChars="200"/>
        <w:rPr>
          <w:sz w:val="24"/>
          <w:lang w:val="zh-CN"/>
        </w:rPr>
      </w:pPr>
      <w:r>
        <w:rPr>
          <w:sz w:val="24"/>
          <w:lang w:val="zh-CN"/>
        </w:rPr>
        <w:t>按照本项目的生产特点，统一规划，合理安排复垦工作计划。根据生产能力，分阶段对采场实施开采，避免一次性对土地的大面积损毁。</w:t>
      </w:r>
    </w:p>
    <w:p w14:paraId="09461886">
      <w:pPr>
        <w:spacing w:line="360" w:lineRule="auto"/>
        <w:ind w:firstLine="480" w:firstLineChars="200"/>
        <w:rPr>
          <w:sz w:val="24"/>
          <w:lang w:val="zh-CN"/>
        </w:rPr>
      </w:pPr>
      <w:r>
        <w:rPr>
          <w:sz w:val="24"/>
          <w:lang w:val="zh-CN"/>
        </w:rPr>
        <w:t>3、做好土地所有权人的协调工作</w:t>
      </w:r>
    </w:p>
    <w:p w14:paraId="525F236F">
      <w:pPr>
        <w:spacing w:line="360" w:lineRule="auto"/>
        <w:ind w:firstLine="480" w:firstLineChars="200"/>
        <w:rPr>
          <w:sz w:val="24"/>
          <w:lang w:val="zh-CN"/>
        </w:rPr>
      </w:pPr>
      <w:r>
        <w:rPr>
          <w:sz w:val="24"/>
          <w:lang w:val="zh-CN"/>
        </w:rPr>
        <w:t>在确定复垦后土地用途时征求土地所有权人的意见，做好临时用地的租用、补偿工作，保证矿山工作的顺利开展，也保障复垦后当地群众的土地权益不受侵犯，避免引起土地权属纠纷。</w:t>
      </w:r>
    </w:p>
    <w:p w14:paraId="4EF7517D">
      <w:pPr>
        <w:spacing w:line="360" w:lineRule="auto"/>
        <w:ind w:firstLine="480" w:firstLineChars="200"/>
        <w:rPr>
          <w:sz w:val="24"/>
          <w:lang w:val="zh-CN"/>
        </w:rPr>
      </w:pPr>
      <w:r>
        <w:rPr>
          <w:sz w:val="24"/>
          <w:lang w:val="zh-CN"/>
        </w:rPr>
        <w:t>4、地形地貌景观和土地资源破坏的预防措施</w:t>
      </w:r>
    </w:p>
    <w:p w14:paraId="742C619C">
      <w:pPr>
        <w:spacing w:line="360" w:lineRule="auto"/>
        <w:ind w:firstLine="480" w:firstLineChars="200"/>
        <w:rPr>
          <w:sz w:val="24"/>
          <w:lang w:val="zh-CN"/>
        </w:rPr>
      </w:pPr>
      <w:r>
        <w:rPr>
          <w:sz w:val="24"/>
          <w:lang w:val="zh-CN"/>
        </w:rPr>
        <w:t>现场施工作业机具在施工中严格管理，划定活动范围，不得在道路、经常意外的地方行驶和作业，保持路外植被不被破坏。在施工结束后，要立即对施工现场进行回填和平整，并尽可能覆土、压实、工程回填物应首先考虑弃土、弃石和弃渣，并力求做到“挖填平衡”，不得产生弃土。原材料用尽后，应及时进行矿山土地复垦工作，恢复原有地貌。</w:t>
      </w:r>
    </w:p>
    <w:p w14:paraId="306C7102">
      <w:pPr>
        <w:spacing w:line="360" w:lineRule="auto"/>
        <w:ind w:firstLine="480" w:firstLineChars="200"/>
        <w:rPr>
          <w:sz w:val="24"/>
          <w:lang w:val="zh-CN"/>
        </w:rPr>
      </w:pPr>
      <w:r>
        <w:rPr>
          <w:sz w:val="24"/>
          <w:lang w:val="zh-CN"/>
        </w:rPr>
        <w:t>5、防治废水、废弃污染物污染土壤</w:t>
      </w:r>
    </w:p>
    <w:p w14:paraId="66DB1C97">
      <w:pPr>
        <w:spacing w:line="360" w:lineRule="auto"/>
        <w:ind w:firstLine="480" w:firstLineChars="200"/>
        <w:rPr>
          <w:sz w:val="24"/>
          <w:lang w:val="zh-CN"/>
        </w:rPr>
      </w:pPr>
      <w:r>
        <w:rPr>
          <w:sz w:val="24"/>
          <w:lang w:val="zh-CN"/>
        </w:rPr>
        <w:t>禁止不按照规定排放废气、废水、废渣等。矿山开发建设过程中产生的三废产物应全部拉运至联合站集中处理，最大限度的减少污染。</w:t>
      </w:r>
    </w:p>
    <w:p w14:paraId="4B22476C">
      <w:pPr>
        <w:spacing w:line="360" w:lineRule="auto"/>
        <w:ind w:firstLine="480" w:firstLineChars="200"/>
        <w:rPr>
          <w:sz w:val="24"/>
          <w:lang w:val="zh-CN"/>
        </w:rPr>
      </w:pPr>
      <w:r>
        <w:rPr>
          <w:sz w:val="24"/>
          <w:lang w:val="zh-CN"/>
        </w:rPr>
        <w:t>6、环境保护的预防措施</w:t>
      </w:r>
    </w:p>
    <w:p w14:paraId="2808938B">
      <w:pPr>
        <w:spacing w:line="360" w:lineRule="auto"/>
        <w:ind w:firstLine="480" w:firstLineChars="200"/>
        <w:rPr>
          <w:sz w:val="24"/>
          <w:lang w:val="zh-CN"/>
        </w:rPr>
      </w:pPr>
      <w:r>
        <w:rPr>
          <w:sz w:val="24"/>
          <w:lang w:val="zh-CN"/>
        </w:rPr>
        <w:t>矿山开采过程中，工业广场经常洒水，以减少粉尘污染，装卸有粉尘的材料时，要洒水湿润或仓库内进行，粉尘达到国家环保机构规定的空气中粉尘量。对噪音超标的机械设备，采用装消音器、隔音材料、隔音内衬、噪音棚等措施降低噪音，施工机械设备噪声一般控制在80~110分贝之间，汽车噪声控制住90分贝以内，职工营区休息时间段噪音控制在30分贝以下。矿山生产采用湿润作业、降尘作业、白天作业，不产生影响周边居民正常生产生活的粉尘、噪音和废弃物。</w:t>
      </w:r>
    </w:p>
    <w:p w14:paraId="1117A048">
      <w:pPr>
        <w:spacing w:line="360" w:lineRule="auto"/>
        <w:ind w:firstLine="480" w:firstLineChars="200"/>
        <w:rPr>
          <w:sz w:val="24"/>
          <w:lang w:val="zh-CN"/>
        </w:rPr>
      </w:pPr>
    </w:p>
    <w:p w14:paraId="63A0A3ED">
      <w:pPr>
        <w:pStyle w:val="5"/>
        <w:spacing w:beforeLines="50" w:afterLines="50" w:line="360" w:lineRule="auto"/>
        <w:rPr>
          <w:b w:val="0"/>
          <w:sz w:val="24"/>
          <w:szCs w:val="24"/>
        </w:rPr>
      </w:pPr>
      <w:bookmarkStart w:id="158" w:name="_Toc480537444"/>
      <w:bookmarkStart w:id="159" w:name="_Toc43851677"/>
      <w:bookmarkStart w:id="160" w:name="_Toc481328210"/>
      <w:r>
        <w:rPr>
          <w:b w:val="0"/>
          <w:sz w:val="28"/>
          <w:szCs w:val="28"/>
        </w:rPr>
        <w:t>（三）主要工程量</w:t>
      </w:r>
      <w:bookmarkEnd w:id="158"/>
      <w:bookmarkEnd w:id="159"/>
      <w:bookmarkEnd w:id="160"/>
    </w:p>
    <w:p w14:paraId="52E8F8C4">
      <w:pPr>
        <w:spacing w:line="360" w:lineRule="auto"/>
        <w:ind w:firstLine="480" w:firstLineChars="200"/>
        <w:rPr>
          <w:sz w:val="24"/>
          <w:lang w:val="zh-CN"/>
        </w:rPr>
      </w:pPr>
      <w:r>
        <w:rPr>
          <w:sz w:val="24"/>
          <w:lang w:val="zh-CN"/>
        </w:rPr>
        <w:t>上述技术措施已在实际生产中执行，因此不纳入本方案。</w:t>
      </w:r>
    </w:p>
    <w:p w14:paraId="6F6F5F74">
      <w:pPr>
        <w:keepNext/>
        <w:keepLines/>
        <w:adjustRightInd w:val="0"/>
        <w:spacing w:beforeLines="50" w:afterLines="50" w:line="360" w:lineRule="auto"/>
        <w:jc w:val="left"/>
        <w:textAlignment w:val="baseline"/>
        <w:outlineLvl w:val="0"/>
        <w:rPr>
          <w:kern w:val="0"/>
          <w:sz w:val="30"/>
          <w:szCs w:val="30"/>
        </w:rPr>
      </w:pPr>
      <w:bookmarkStart w:id="161" w:name="_Toc480537445"/>
      <w:bookmarkStart w:id="162" w:name="_Toc481328211"/>
      <w:bookmarkStart w:id="163" w:name="_Toc43851678"/>
      <w:r>
        <w:rPr>
          <w:kern w:val="0"/>
          <w:sz w:val="30"/>
          <w:szCs w:val="30"/>
        </w:rPr>
        <w:t>二、矿山地质灾害治理</w:t>
      </w:r>
      <w:bookmarkEnd w:id="161"/>
      <w:bookmarkEnd w:id="162"/>
      <w:bookmarkEnd w:id="163"/>
    </w:p>
    <w:p w14:paraId="7114C9F8">
      <w:pPr>
        <w:pStyle w:val="5"/>
        <w:spacing w:beforeLines="50" w:afterLines="50" w:line="360" w:lineRule="auto"/>
        <w:rPr>
          <w:b w:val="0"/>
          <w:sz w:val="28"/>
          <w:szCs w:val="28"/>
        </w:rPr>
      </w:pPr>
      <w:bookmarkStart w:id="164" w:name="_Toc480537446"/>
      <w:bookmarkStart w:id="165" w:name="_Toc481328212"/>
      <w:bookmarkStart w:id="166" w:name="_Toc43851679"/>
      <w:r>
        <w:rPr>
          <w:b w:val="0"/>
          <w:sz w:val="28"/>
          <w:szCs w:val="28"/>
        </w:rPr>
        <w:t>（一）目标任务</w:t>
      </w:r>
      <w:bookmarkEnd w:id="164"/>
      <w:bookmarkEnd w:id="165"/>
      <w:bookmarkEnd w:id="166"/>
    </w:p>
    <w:p w14:paraId="00A1AB11">
      <w:pPr>
        <w:spacing w:line="360" w:lineRule="auto"/>
        <w:ind w:firstLine="480" w:firstLineChars="200"/>
        <w:rPr>
          <w:sz w:val="24"/>
        </w:rPr>
      </w:pPr>
      <w:r>
        <w:rPr>
          <w:sz w:val="24"/>
        </w:rPr>
        <w:t>1、目标</w:t>
      </w:r>
    </w:p>
    <w:p w14:paraId="41E7DF07">
      <w:pPr>
        <w:spacing w:line="360" w:lineRule="auto"/>
        <w:ind w:firstLine="480" w:firstLineChars="200"/>
        <w:rPr>
          <w:sz w:val="24"/>
          <w:lang w:val="zh-CN"/>
        </w:rPr>
      </w:pPr>
      <w:r>
        <w:rPr>
          <w:sz w:val="24"/>
        </w:rPr>
        <w:t>通过地质灾害及隐患的有效治理，为矿山地质环境保护打好基础，进而改善矿山地质环境、生态环境，构建“绿色矿山”，为矿山及周围社会经济发展提供保障。矿山地质环境治理工作规范矿山生产建设等工程活动，使矿产资源得到充分合理的开采利用，确保矿山生产与环境保护协调发展，促进人与自然和谐相处，实现矿区的可持续发展。</w:t>
      </w:r>
    </w:p>
    <w:p w14:paraId="76C9E523">
      <w:pPr>
        <w:spacing w:line="360" w:lineRule="auto"/>
        <w:ind w:firstLine="480" w:firstLineChars="200"/>
        <w:jc w:val="left"/>
        <w:rPr>
          <w:sz w:val="24"/>
        </w:rPr>
      </w:pPr>
      <w:r>
        <w:rPr>
          <w:sz w:val="24"/>
        </w:rPr>
        <w:t>2、任务</w:t>
      </w:r>
    </w:p>
    <w:p w14:paraId="2C7C16F4">
      <w:pPr>
        <w:spacing w:line="360" w:lineRule="auto"/>
        <w:ind w:firstLine="480" w:firstLineChars="200"/>
        <w:rPr>
          <w:sz w:val="24"/>
        </w:rPr>
      </w:pPr>
      <w:r>
        <w:rPr>
          <w:sz w:val="24"/>
        </w:rPr>
        <w:t>1）对存在的和开发的矿山地质环境问题与地质灾害进行检查，发现问题及时上报和预警，并请地质环境监测部门对矿区地质灾害点进行监督指导。</w:t>
      </w:r>
    </w:p>
    <w:p w14:paraId="5795B2D6">
      <w:pPr>
        <w:spacing w:line="360" w:lineRule="auto"/>
        <w:ind w:firstLine="480" w:firstLineChars="200"/>
        <w:rPr>
          <w:sz w:val="24"/>
        </w:rPr>
      </w:pPr>
      <w:r>
        <w:rPr>
          <w:sz w:val="24"/>
        </w:rPr>
        <w:t>2）持续对矿山地质环境与地质灾害进行监测。在经济合理的基础上，进行矿山地质灾害治理工程的经费概算，提出地质灾害治理保障措施，进行社会、环境、经济效益分析。</w:t>
      </w:r>
    </w:p>
    <w:p w14:paraId="1B6EE500">
      <w:pPr>
        <w:pStyle w:val="5"/>
        <w:spacing w:beforeLines="50" w:afterLines="50" w:line="360" w:lineRule="auto"/>
        <w:rPr>
          <w:b w:val="0"/>
          <w:sz w:val="28"/>
          <w:szCs w:val="28"/>
        </w:rPr>
      </w:pPr>
      <w:bookmarkStart w:id="167" w:name="_Toc481328213"/>
      <w:bookmarkStart w:id="168" w:name="_Toc43851680"/>
      <w:r>
        <w:rPr>
          <w:b w:val="0"/>
          <w:sz w:val="28"/>
          <w:szCs w:val="28"/>
        </w:rPr>
        <w:t>（二）</w:t>
      </w:r>
      <w:bookmarkEnd w:id="167"/>
      <w:r>
        <w:rPr>
          <w:b w:val="0"/>
          <w:sz w:val="28"/>
          <w:szCs w:val="28"/>
        </w:rPr>
        <w:t>工程设计及技术措施</w:t>
      </w:r>
      <w:bookmarkEnd w:id="168"/>
    </w:p>
    <w:p w14:paraId="74CB6ECF">
      <w:pPr>
        <w:spacing w:line="360" w:lineRule="auto"/>
        <w:ind w:firstLine="480" w:firstLineChars="200"/>
        <w:rPr>
          <w:sz w:val="24"/>
          <w:lang w:val="zh-CN"/>
        </w:rPr>
      </w:pPr>
      <w:r>
        <w:rPr>
          <w:sz w:val="24"/>
          <w:lang w:val="zh-CN"/>
        </w:rPr>
        <w:t>根据开发利用方案的矿山开采设计，同时结合野外现场调查，最终确定本项目可能诱发的地质灾害种类为崩塌、滑坡，针对其地质灾害而设计的防治工程主要包括以下几个方面：</w:t>
      </w:r>
    </w:p>
    <w:p w14:paraId="6B7F3171">
      <w:pPr>
        <w:spacing w:line="360" w:lineRule="auto"/>
        <w:ind w:firstLine="480" w:firstLineChars="200"/>
        <w:rPr>
          <w:sz w:val="24"/>
        </w:rPr>
      </w:pPr>
      <w:r>
        <w:rPr>
          <w:sz w:val="24"/>
        </w:rPr>
        <w:t>1、最终边坡危岩清理</w:t>
      </w:r>
    </w:p>
    <w:p w14:paraId="62A828B4">
      <w:pPr>
        <w:spacing w:line="360" w:lineRule="auto"/>
        <w:ind w:firstLine="480" w:firstLineChars="200"/>
        <w:rPr>
          <w:sz w:val="24"/>
        </w:rPr>
      </w:pPr>
      <w:r>
        <w:rPr>
          <w:sz w:val="24"/>
        </w:rPr>
        <w:t>矿山开采形成的最终边坡会长期暴露风化，边坡危岩易发生崩落，威胁到矿山生产设备和人员的安全，因此需要对最终边坡进行清危。采用机械（单斗挖掘机，斗容1m</w:t>
      </w:r>
      <w:r>
        <w:rPr>
          <w:sz w:val="24"/>
          <w:vertAlign w:val="superscript"/>
        </w:rPr>
        <w:t>3</w:t>
      </w:r>
      <w:r>
        <w:rPr>
          <w:sz w:val="24"/>
        </w:rPr>
        <w:t>）清理，清理的渣土直接填埋在工业广场。通过矿山地质环境问题预测图测算，本矿山预计边坡危岩清理面积5600m</w:t>
      </w:r>
      <w:r>
        <w:rPr>
          <w:sz w:val="24"/>
          <w:vertAlign w:val="superscript"/>
        </w:rPr>
        <w:t>2</w:t>
      </w:r>
      <w:r>
        <w:rPr>
          <w:sz w:val="24"/>
        </w:rPr>
        <w:t>，平均按照0.2m的清理厚度，预测清理方量为1120m</w:t>
      </w:r>
      <w:r>
        <w:rPr>
          <w:sz w:val="24"/>
          <w:vertAlign w:val="superscript"/>
        </w:rPr>
        <w:t>3</w:t>
      </w:r>
      <w:r>
        <w:rPr>
          <w:sz w:val="24"/>
        </w:rPr>
        <w:t>。</w:t>
      </w:r>
    </w:p>
    <w:p w14:paraId="126693DF">
      <w:pPr>
        <w:spacing w:line="360" w:lineRule="auto"/>
        <w:ind w:firstLine="480" w:firstLineChars="200"/>
        <w:rPr>
          <w:sz w:val="24"/>
        </w:rPr>
      </w:pPr>
      <w:r>
        <w:rPr>
          <w:sz w:val="24"/>
        </w:rPr>
        <w:t>2、最终边坡复绿郁闭</w:t>
      </w:r>
    </w:p>
    <w:p w14:paraId="2C34A4F5">
      <w:pPr>
        <w:spacing w:line="360" w:lineRule="auto"/>
        <w:ind w:firstLine="480" w:firstLineChars="200"/>
        <w:rPr>
          <w:sz w:val="24"/>
        </w:rPr>
      </w:pPr>
      <w:r>
        <w:rPr>
          <w:sz w:val="24"/>
        </w:rPr>
        <w:t>结合土地复垦工程措施，对矿山开采形成的最终边坡采取种植攀爬类植物、客土喷播种草等综合复绿郁闭措施，以修复景观和提高边坡整体稳定性。</w:t>
      </w:r>
    </w:p>
    <w:p w14:paraId="0E4FA551">
      <w:pPr>
        <w:spacing w:line="360" w:lineRule="auto"/>
        <w:ind w:firstLine="480" w:firstLineChars="200"/>
        <w:rPr>
          <w:sz w:val="24"/>
        </w:rPr>
      </w:pPr>
      <w:r>
        <w:rPr>
          <w:sz w:val="24"/>
        </w:rPr>
        <w:t>3、最终边坡区变形监测</w:t>
      </w:r>
    </w:p>
    <w:p w14:paraId="593B0954">
      <w:pPr>
        <w:spacing w:line="360" w:lineRule="auto"/>
        <w:ind w:firstLine="480" w:firstLineChars="200"/>
        <w:rPr>
          <w:sz w:val="24"/>
        </w:rPr>
      </w:pPr>
      <w:r>
        <w:rPr>
          <w:sz w:val="24"/>
        </w:rPr>
        <w:t>（1）滑坡、崩塌和变形相关因素监测</w:t>
      </w:r>
    </w:p>
    <w:p w14:paraId="1F8659D6">
      <w:pPr>
        <w:spacing w:line="360" w:lineRule="auto"/>
        <w:ind w:firstLine="480" w:firstLineChars="200"/>
        <w:rPr>
          <w:sz w:val="24"/>
        </w:rPr>
      </w:pPr>
      <w:r>
        <w:rPr>
          <w:sz w:val="24"/>
        </w:rPr>
        <w:t>主要采取气象、地震、人类工程活动、宏观变形地质监测等监测方法。气象监测主要以降雨为主（实时雨量或收集资料）；地震监测主要以收集资料为主；人类工程活动主要监测开挖、削坡、加载等对滑坡、崩塌形成、变形的影响；滑坡、崩塌宏观变形地质监测主要采取定时、定路线、定点调查滑坡、崩塌出现的宏观变形情况（裂缝的发生和发展、地面隆起、沉降、坍塌、鼓胀、建筑物变形、开裂等）以及与变形有关的异常现象（地声、地下水或地表水异常，动物异常等），并做好详细记录。</w:t>
      </w:r>
    </w:p>
    <w:p w14:paraId="258DA785">
      <w:pPr>
        <w:spacing w:line="460" w:lineRule="exact"/>
        <w:ind w:firstLine="480" w:firstLineChars="200"/>
        <w:rPr>
          <w:sz w:val="24"/>
        </w:rPr>
      </w:pPr>
      <w:r>
        <w:rPr>
          <w:sz w:val="24"/>
        </w:rPr>
        <w:t>（2）滑坡、崩塌变形绝对位移监测</w:t>
      </w:r>
    </w:p>
    <w:p w14:paraId="4386B576">
      <w:pPr>
        <w:spacing w:line="460" w:lineRule="exact"/>
        <w:ind w:firstLine="480" w:firstLineChars="200"/>
        <w:rPr>
          <w:sz w:val="24"/>
        </w:rPr>
      </w:pPr>
      <w:r>
        <w:rPr>
          <w:sz w:val="24"/>
        </w:rPr>
        <w:t>在矿区西侧方向形成的最终边坡开展变形监测，监测技术要求按《崩塌、滑坡、泥石流监测规范》（DZ/T0221-2006）开展。具体为：在西侧岩质边坡布设2个监测点，沿采场西侧边坡布置2条监测线。即共布设2条监测线和2个监测点。监测线采用人工定期巡视为主，观察采场边坡有无危岩或裂缝。监测点的监测方法采用全站仪测量各监测点三维绝对位移量。</w:t>
      </w:r>
    </w:p>
    <w:p w14:paraId="11394B90">
      <w:pPr>
        <w:spacing w:line="460" w:lineRule="exact"/>
        <w:ind w:firstLine="480" w:firstLineChars="200"/>
        <w:rPr>
          <w:sz w:val="24"/>
        </w:rPr>
      </w:pPr>
      <w:r>
        <w:rPr>
          <w:sz w:val="24"/>
        </w:rPr>
        <w:t>（3）监测技术要求</w:t>
      </w:r>
    </w:p>
    <w:p w14:paraId="509FA32D">
      <w:pPr>
        <w:spacing w:line="460" w:lineRule="exact"/>
        <w:ind w:firstLine="480" w:firstLineChars="200"/>
        <w:rPr>
          <w:sz w:val="24"/>
        </w:rPr>
      </w:pPr>
      <w:r>
        <w:rPr>
          <w:sz w:val="24"/>
        </w:rPr>
        <w:t>监测频率为正常情况下1个月一次，在汛期、雨季、预报期等情况下加密监测。监测工作由矿山业主自行或委托专业监测单位开展，监测过程中根据边坡监测变形情况按《崩塌、滑坡、泥石流监测规范》（DZ/T0221-2006）开展变形破坏预报。对边坡失稳形成崩塌、滑坡等地质灾害的，及时委托专业资质单位开展地质灾害勘查、设计和治理工作。</w:t>
      </w:r>
    </w:p>
    <w:p w14:paraId="1C7A7C62">
      <w:pPr>
        <w:spacing w:line="460" w:lineRule="exact"/>
        <w:ind w:firstLine="480" w:firstLineChars="200"/>
        <w:rPr>
          <w:sz w:val="24"/>
        </w:rPr>
      </w:pPr>
      <w:r>
        <w:rPr>
          <w:sz w:val="24"/>
        </w:rPr>
        <w:t>4、矿区安全警示措施</w:t>
      </w:r>
    </w:p>
    <w:p w14:paraId="4E02BA2C">
      <w:pPr>
        <w:spacing w:line="460" w:lineRule="exact"/>
        <w:ind w:firstLine="480" w:firstLineChars="200"/>
        <w:rPr>
          <w:sz w:val="24"/>
          <w:lang w:val="zh-CN"/>
        </w:rPr>
      </w:pPr>
      <w:r>
        <w:rPr>
          <w:sz w:val="24"/>
          <w:lang w:val="zh-CN"/>
        </w:rPr>
        <w:t>为防止人畜掉入采坑内，在矿山采矿边界设置安全警示，共设置</w:t>
      </w:r>
      <w:r>
        <w:rPr>
          <w:sz w:val="24"/>
        </w:rPr>
        <w:t>8个警示标志</w:t>
      </w:r>
      <w:r>
        <w:rPr>
          <w:sz w:val="24"/>
          <w:lang w:val="zh-CN"/>
        </w:rPr>
        <w:t>。</w:t>
      </w:r>
    </w:p>
    <w:p w14:paraId="0D02A888">
      <w:pPr>
        <w:pStyle w:val="5"/>
        <w:spacing w:beforeLines="50" w:afterLines="50" w:line="360" w:lineRule="auto"/>
        <w:rPr>
          <w:b w:val="0"/>
          <w:sz w:val="24"/>
          <w:szCs w:val="24"/>
        </w:rPr>
      </w:pPr>
      <w:bookmarkStart w:id="169" w:name="_Toc43851681"/>
      <w:r>
        <w:rPr>
          <w:b w:val="0"/>
          <w:sz w:val="28"/>
          <w:szCs w:val="28"/>
        </w:rPr>
        <w:t>（三）主要工程量</w:t>
      </w:r>
      <w:bookmarkEnd w:id="169"/>
    </w:p>
    <w:p w14:paraId="03B65D64">
      <w:pPr>
        <w:spacing w:line="460" w:lineRule="exact"/>
        <w:ind w:firstLine="480" w:firstLineChars="200"/>
        <w:rPr>
          <w:sz w:val="24"/>
        </w:rPr>
      </w:pPr>
      <w:bookmarkStart w:id="170" w:name="_Toc480537450"/>
      <w:bookmarkStart w:id="171" w:name="_Toc481328216"/>
      <w:r>
        <w:rPr>
          <w:sz w:val="24"/>
        </w:rPr>
        <w:t>1、最终边坡危岩清理</w:t>
      </w:r>
    </w:p>
    <w:p w14:paraId="03A0883A">
      <w:pPr>
        <w:spacing w:line="460" w:lineRule="exact"/>
        <w:ind w:firstLine="480" w:firstLineChars="200"/>
        <w:rPr>
          <w:sz w:val="24"/>
        </w:rPr>
      </w:pPr>
      <w:r>
        <w:rPr>
          <w:sz w:val="24"/>
        </w:rPr>
        <w:t>根据矿山后期形成的边坡情况，预计边坡危岩清理面积5600m</w:t>
      </w:r>
      <w:r>
        <w:rPr>
          <w:sz w:val="24"/>
          <w:vertAlign w:val="superscript"/>
        </w:rPr>
        <w:t>2</w:t>
      </w:r>
      <w:r>
        <w:rPr>
          <w:sz w:val="24"/>
        </w:rPr>
        <w:t>，平均按照0.2m的清理厚度，预测清理方量为1120m</w:t>
      </w:r>
      <w:r>
        <w:rPr>
          <w:sz w:val="24"/>
          <w:vertAlign w:val="superscript"/>
        </w:rPr>
        <w:t>3</w:t>
      </w:r>
      <w:r>
        <w:rPr>
          <w:sz w:val="24"/>
        </w:rPr>
        <w:t>。</w:t>
      </w:r>
    </w:p>
    <w:p w14:paraId="09A76A48">
      <w:pPr>
        <w:spacing w:line="460" w:lineRule="exact"/>
        <w:ind w:firstLine="480" w:firstLineChars="200"/>
        <w:rPr>
          <w:sz w:val="24"/>
        </w:rPr>
      </w:pPr>
      <w:r>
        <w:rPr>
          <w:sz w:val="24"/>
        </w:rPr>
        <w:t>2、最终边坡复绿郁闭</w:t>
      </w:r>
    </w:p>
    <w:p w14:paraId="63F9A8DD">
      <w:pPr>
        <w:spacing w:line="460" w:lineRule="exact"/>
        <w:ind w:firstLine="480" w:firstLineChars="200"/>
        <w:rPr>
          <w:sz w:val="24"/>
        </w:rPr>
      </w:pPr>
      <w:r>
        <w:rPr>
          <w:sz w:val="24"/>
        </w:rPr>
        <w:t>最终边坡复绿郁闭工程主要工程量和经费纳入土地复垦边坡区植被重建工程措施，此处不再重复计算工程量和经费。</w:t>
      </w:r>
    </w:p>
    <w:p w14:paraId="0E4D0622">
      <w:pPr>
        <w:spacing w:line="460" w:lineRule="exact"/>
        <w:ind w:firstLine="480" w:firstLineChars="200"/>
        <w:rPr>
          <w:sz w:val="24"/>
        </w:rPr>
      </w:pPr>
      <w:r>
        <w:rPr>
          <w:sz w:val="24"/>
        </w:rPr>
        <w:t>3、警示标志设置</w:t>
      </w:r>
    </w:p>
    <w:p w14:paraId="1208FD61">
      <w:pPr>
        <w:spacing w:line="460" w:lineRule="exact"/>
        <w:ind w:firstLine="480" w:firstLineChars="200"/>
        <w:rPr>
          <w:sz w:val="24"/>
        </w:rPr>
      </w:pPr>
      <w:r>
        <w:rPr>
          <w:sz w:val="24"/>
        </w:rPr>
        <w:t>共设置警示标志8个。布置于采场边坡上部和底部平台靠近边坡侧。</w:t>
      </w:r>
    </w:p>
    <w:p w14:paraId="48409204">
      <w:pPr>
        <w:spacing w:line="460" w:lineRule="exact"/>
        <w:ind w:firstLine="480" w:firstLineChars="200"/>
        <w:rPr>
          <w:sz w:val="24"/>
        </w:rPr>
      </w:pPr>
      <w:r>
        <w:rPr>
          <w:sz w:val="24"/>
        </w:rPr>
        <w:t>4、最终边坡区变形监测</w:t>
      </w:r>
    </w:p>
    <w:p w14:paraId="5375D5E8">
      <w:pPr>
        <w:spacing w:line="460" w:lineRule="exact"/>
        <w:ind w:firstLine="480" w:firstLineChars="200"/>
        <w:rPr>
          <w:sz w:val="24"/>
        </w:rPr>
      </w:pPr>
      <w:r>
        <w:rPr>
          <w:sz w:val="24"/>
        </w:rPr>
        <w:t>最终边坡区变形监测工程量统计见下表5-1：</w:t>
      </w:r>
    </w:p>
    <w:p w14:paraId="21AAD652">
      <w:pPr>
        <w:adjustRightInd w:val="0"/>
        <w:snapToGrid w:val="0"/>
        <w:spacing w:line="360" w:lineRule="auto"/>
        <w:jc w:val="center"/>
        <w:rPr>
          <w:b/>
          <w:szCs w:val="21"/>
          <w:lang w:val="zh-CN"/>
        </w:rPr>
      </w:pPr>
    </w:p>
    <w:p w14:paraId="31E9C119">
      <w:pPr>
        <w:adjustRightInd w:val="0"/>
        <w:snapToGrid w:val="0"/>
        <w:spacing w:line="360" w:lineRule="auto"/>
        <w:jc w:val="center"/>
        <w:rPr>
          <w:b/>
          <w:szCs w:val="21"/>
          <w:lang w:val="zh-CN"/>
        </w:rPr>
      </w:pPr>
    </w:p>
    <w:p w14:paraId="3B082395">
      <w:pPr>
        <w:adjustRightInd w:val="0"/>
        <w:snapToGrid w:val="0"/>
        <w:spacing w:line="360" w:lineRule="auto"/>
        <w:jc w:val="center"/>
        <w:rPr>
          <w:b/>
          <w:szCs w:val="21"/>
          <w:lang w:val="zh-CN"/>
        </w:rPr>
      </w:pPr>
    </w:p>
    <w:p w14:paraId="1675D0A1">
      <w:pPr>
        <w:adjustRightInd w:val="0"/>
        <w:snapToGrid w:val="0"/>
        <w:spacing w:line="360" w:lineRule="auto"/>
        <w:jc w:val="center"/>
        <w:rPr>
          <w:b/>
          <w:szCs w:val="21"/>
          <w:lang w:val="zh-CN"/>
        </w:rPr>
      </w:pPr>
      <w:r>
        <w:rPr>
          <w:b/>
          <w:szCs w:val="21"/>
          <w:lang w:val="zh-CN"/>
        </w:rPr>
        <w:t>表5-</w:t>
      </w:r>
      <w:r>
        <w:rPr>
          <w:b/>
          <w:szCs w:val="21"/>
        </w:rPr>
        <w:t>1</w:t>
      </w:r>
      <w:r>
        <w:rPr>
          <w:b/>
          <w:szCs w:val="21"/>
          <w:lang w:val="zh-CN"/>
        </w:rPr>
        <w:t>最终边坡区变形监测工程量表</w:t>
      </w:r>
    </w:p>
    <w:tbl>
      <w:tblPr>
        <w:tblStyle w:val="29"/>
        <w:tblW w:w="91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12"/>
        <w:gridCol w:w="1128"/>
        <w:gridCol w:w="962"/>
        <w:gridCol w:w="1385"/>
        <w:gridCol w:w="3117"/>
      </w:tblGrid>
      <w:tr w14:paraId="030FF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2512" w:type="dxa"/>
            <w:vAlign w:val="center"/>
          </w:tcPr>
          <w:p w14:paraId="250DF177">
            <w:pPr>
              <w:spacing w:line="360" w:lineRule="exact"/>
              <w:jc w:val="center"/>
              <w:rPr>
                <w:color w:val="000000"/>
                <w:kern w:val="0"/>
                <w:szCs w:val="21"/>
              </w:rPr>
            </w:pPr>
            <w:r>
              <w:rPr>
                <w:color w:val="000000"/>
                <w:kern w:val="0"/>
                <w:szCs w:val="21"/>
              </w:rPr>
              <w:t>项目</w:t>
            </w:r>
          </w:p>
        </w:tc>
        <w:tc>
          <w:tcPr>
            <w:tcW w:w="1128" w:type="dxa"/>
            <w:vAlign w:val="center"/>
          </w:tcPr>
          <w:p w14:paraId="51FEFE87">
            <w:pPr>
              <w:spacing w:line="360" w:lineRule="exact"/>
              <w:jc w:val="center"/>
              <w:rPr>
                <w:color w:val="000000"/>
                <w:kern w:val="0"/>
                <w:szCs w:val="21"/>
              </w:rPr>
            </w:pPr>
            <w:r>
              <w:rPr>
                <w:color w:val="000000"/>
                <w:kern w:val="0"/>
                <w:szCs w:val="21"/>
              </w:rPr>
              <w:t>监测时间</w:t>
            </w:r>
          </w:p>
        </w:tc>
        <w:tc>
          <w:tcPr>
            <w:tcW w:w="962" w:type="dxa"/>
            <w:vAlign w:val="center"/>
          </w:tcPr>
          <w:p w14:paraId="6C5C6201">
            <w:pPr>
              <w:spacing w:line="360" w:lineRule="exact"/>
              <w:jc w:val="center"/>
              <w:rPr>
                <w:color w:val="000000"/>
                <w:kern w:val="0"/>
                <w:szCs w:val="21"/>
              </w:rPr>
            </w:pPr>
            <w:r>
              <w:rPr>
                <w:color w:val="000000"/>
                <w:kern w:val="0"/>
                <w:szCs w:val="21"/>
              </w:rPr>
              <w:t>单位</w:t>
            </w:r>
          </w:p>
        </w:tc>
        <w:tc>
          <w:tcPr>
            <w:tcW w:w="1385" w:type="dxa"/>
            <w:vAlign w:val="center"/>
          </w:tcPr>
          <w:p w14:paraId="7DCBA61D">
            <w:pPr>
              <w:spacing w:line="360" w:lineRule="exact"/>
              <w:jc w:val="center"/>
              <w:rPr>
                <w:color w:val="000000"/>
                <w:kern w:val="0"/>
                <w:szCs w:val="21"/>
              </w:rPr>
            </w:pPr>
            <w:r>
              <w:rPr>
                <w:color w:val="000000"/>
                <w:kern w:val="0"/>
                <w:szCs w:val="21"/>
              </w:rPr>
              <w:t>工程量</w:t>
            </w:r>
          </w:p>
        </w:tc>
        <w:tc>
          <w:tcPr>
            <w:tcW w:w="3117" w:type="dxa"/>
            <w:vAlign w:val="center"/>
          </w:tcPr>
          <w:p w14:paraId="0E97F1DF">
            <w:pPr>
              <w:spacing w:line="360" w:lineRule="exact"/>
              <w:jc w:val="center"/>
              <w:rPr>
                <w:color w:val="000000"/>
                <w:kern w:val="0"/>
                <w:szCs w:val="21"/>
              </w:rPr>
            </w:pPr>
            <w:r>
              <w:rPr>
                <w:color w:val="000000"/>
                <w:kern w:val="0"/>
                <w:szCs w:val="21"/>
              </w:rPr>
              <w:t>备注</w:t>
            </w:r>
          </w:p>
        </w:tc>
      </w:tr>
      <w:tr w14:paraId="52996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2512" w:type="dxa"/>
            <w:vAlign w:val="center"/>
          </w:tcPr>
          <w:p w14:paraId="25445F3B">
            <w:pPr>
              <w:spacing w:line="360" w:lineRule="exact"/>
              <w:jc w:val="center"/>
              <w:rPr>
                <w:color w:val="000000"/>
                <w:kern w:val="0"/>
                <w:szCs w:val="21"/>
              </w:rPr>
            </w:pPr>
            <w:r>
              <w:rPr>
                <w:color w:val="000000"/>
                <w:kern w:val="0"/>
                <w:szCs w:val="21"/>
              </w:rPr>
              <w:t>滑坡、崩塌形成和变形相关因素监测</w:t>
            </w:r>
            <w:r>
              <w:rPr>
                <w:kern w:val="0"/>
                <w:szCs w:val="21"/>
              </w:rPr>
              <w:t>（人工巡查）</w:t>
            </w:r>
          </w:p>
        </w:tc>
        <w:tc>
          <w:tcPr>
            <w:tcW w:w="1128" w:type="dxa"/>
            <w:vAlign w:val="center"/>
          </w:tcPr>
          <w:p w14:paraId="231E7871">
            <w:pPr>
              <w:spacing w:line="360" w:lineRule="exact"/>
              <w:jc w:val="center"/>
              <w:rPr>
                <w:color w:val="000000"/>
                <w:kern w:val="0"/>
                <w:szCs w:val="21"/>
              </w:rPr>
            </w:pPr>
            <w:r>
              <w:rPr>
                <w:color w:val="000000"/>
                <w:kern w:val="0"/>
                <w:szCs w:val="21"/>
              </w:rPr>
              <w:t>0.1年</w:t>
            </w:r>
          </w:p>
        </w:tc>
        <w:tc>
          <w:tcPr>
            <w:tcW w:w="962" w:type="dxa"/>
            <w:vAlign w:val="center"/>
          </w:tcPr>
          <w:p w14:paraId="5A8615BD">
            <w:pPr>
              <w:spacing w:line="360" w:lineRule="exact"/>
              <w:jc w:val="center"/>
              <w:rPr>
                <w:color w:val="000000"/>
                <w:kern w:val="0"/>
                <w:szCs w:val="21"/>
              </w:rPr>
            </w:pPr>
            <w:r>
              <w:rPr>
                <w:color w:val="000000"/>
                <w:kern w:val="0"/>
                <w:szCs w:val="21"/>
              </w:rPr>
              <w:t>次</w:t>
            </w:r>
          </w:p>
        </w:tc>
        <w:tc>
          <w:tcPr>
            <w:tcW w:w="1385" w:type="dxa"/>
            <w:vAlign w:val="center"/>
          </w:tcPr>
          <w:p w14:paraId="745CFEB1">
            <w:pPr>
              <w:spacing w:line="360" w:lineRule="exact"/>
              <w:jc w:val="center"/>
              <w:rPr>
                <w:color w:val="000000"/>
                <w:kern w:val="0"/>
                <w:szCs w:val="21"/>
              </w:rPr>
            </w:pPr>
            <w:r>
              <w:rPr>
                <w:color w:val="000000"/>
                <w:kern w:val="0"/>
                <w:szCs w:val="21"/>
              </w:rPr>
              <w:t>2</w:t>
            </w:r>
          </w:p>
        </w:tc>
        <w:tc>
          <w:tcPr>
            <w:tcW w:w="3117" w:type="dxa"/>
            <w:vAlign w:val="center"/>
          </w:tcPr>
          <w:p w14:paraId="6F30AA50">
            <w:pPr>
              <w:spacing w:line="360" w:lineRule="exact"/>
              <w:jc w:val="center"/>
              <w:rPr>
                <w:color w:val="000000"/>
                <w:kern w:val="0"/>
                <w:szCs w:val="21"/>
              </w:rPr>
            </w:pPr>
            <w:r>
              <w:rPr>
                <w:color w:val="000000"/>
                <w:kern w:val="0"/>
                <w:szCs w:val="21"/>
              </w:rPr>
              <w:t>按汛期5-10月平均2次/月，非汛期平均1月一次计</w:t>
            </w:r>
          </w:p>
        </w:tc>
      </w:tr>
      <w:tr w14:paraId="1CE19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512" w:type="dxa"/>
            <w:vAlign w:val="center"/>
          </w:tcPr>
          <w:p w14:paraId="5F045334">
            <w:pPr>
              <w:spacing w:line="360" w:lineRule="exact"/>
              <w:jc w:val="center"/>
              <w:rPr>
                <w:color w:val="000000"/>
                <w:kern w:val="0"/>
                <w:szCs w:val="21"/>
              </w:rPr>
            </w:pPr>
            <w:r>
              <w:rPr>
                <w:color w:val="000000"/>
                <w:kern w:val="0"/>
                <w:szCs w:val="21"/>
              </w:rPr>
              <w:t>滑坡、崩塌变形绝对位移监测</w:t>
            </w:r>
            <w:r>
              <w:rPr>
                <w:kern w:val="0"/>
                <w:szCs w:val="21"/>
              </w:rPr>
              <w:t>（全站仪监测）</w:t>
            </w:r>
          </w:p>
        </w:tc>
        <w:tc>
          <w:tcPr>
            <w:tcW w:w="1128" w:type="dxa"/>
            <w:vAlign w:val="center"/>
          </w:tcPr>
          <w:p w14:paraId="4A6489CF">
            <w:pPr>
              <w:spacing w:line="360" w:lineRule="exact"/>
              <w:jc w:val="center"/>
              <w:rPr>
                <w:color w:val="000000"/>
                <w:kern w:val="0"/>
                <w:szCs w:val="21"/>
              </w:rPr>
            </w:pPr>
            <w:r>
              <w:rPr>
                <w:color w:val="000000"/>
                <w:kern w:val="0"/>
                <w:szCs w:val="21"/>
              </w:rPr>
              <w:t>0.1年</w:t>
            </w:r>
          </w:p>
        </w:tc>
        <w:tc>
          <w:tcPr>
            <w:tcW w:w="962" w:type="dxa"/>
            <w:vAlign w:val="center"/>
          </w:tcPr>
          <w:p w14:paraId="0C27E39C">
            <w:pPr>
              <w:spacing w:line="360" w:lineRule="exact"/>
              <w:jc w:val="center"/>
              <w:rPr>
                <w:color w:val="000000"/>
                <w:kern w:val="0"/>
                <w:szCs w:val="21"/>
              </w:rPr>
            </w:pPr>
            <w:r>
              <w:rPr>
                <w:color w:val="000000"/>
                <w:kern w:val="0"/>
                <w:szCs w:val="21"/>
              </w:rPr>
              <w:t>次</w:t>
            </w:r>
          </w:p>
        </w:tc>
        <w:tc>
          <w:tcPr>
            <w:tcW w:w="1385" w:type="dxa"/>
            <w:vAlign w:val="center"/>
          </w:tcPr>
          <w:p w14:paraId="347698A4">
            <w:pPr>
              <w:spacing w:line="360" w:lineRule="exact"/>
              <w:jc w:val="center"/>
              <w:rPr>
                <w:color w:val="000000"/>
                <w:kern w:val="0"/>
                <w:szCs w:val="21"/>
              </w:rPr>
            </w:pPr>
            <w:r>
              <w:rPr>
                <w:color w:val="000000"/>
                <w:kern w:val="0"/>
                <w:szCs w:val="21"/>
              </w:rPr>
              <w:t>2</w:t>
            </w:r>
          </w:p>
        </w:tc>
        <w:tc>
          <w:tcPr>
            <w:tcW w:w="3117" w:type="dxa"/>
            <w:vAlign w:val="center"/>
          </w:tcPr>
          <w:p w14:paraId="38F49359">
            <w:pPr>
              <w:spacing w:line="360" w:lineRule="exact"/>
              <w:jc w:val="center"/>
              <w:rPr>
                <w:color w:val="000000"/>
                <w:kern w:val="0"/>
                <w:szCs w:val="21"/>
              </w:rPr>
            </w:pPr>
            <w:r>
              <w:rPr>
                <w:color w:val="000000"/>
                <w:kern w:val="0"/>
                <w:szCs w:val="21"/>
              </w:rPr>
              <w:t>按汛期5-10月平均2次/月，非汛期平均1月一次计</w:t>
            </w:r>
          </w:p>
        </w:tc>
      </w:tr>
    </w:tbl>
    <w:p w14:paraId="650EBD7E">
      <w:pPr>
        <w:keepNext/>
        <w:keepLines/>
        <w:adjustRightInd w:val="0"/>
        <w:spacing w:beforeLines="50" w:afterLines="50" w:line="360" w:lineRule="auto"/>
        <w:jc w:val="left"/>
        <w:textAlignment w:val="baseline"/>
        <w:outlineLvl w:val="0"/>
        <w:rPr>
          <w:kern w:val="0"/>
          <w:sz w:val="30"/>
          <w:szCs w:val="30"/>
        </w:rPr>
      </w:pPr>
      <w:bookmarkStart w:id="172" w:name="_Toc43851682"/>
      <w:r>
        <w:rPr>
          <w:kern w:val="0"/>
          <w:sz w:val="30"/>
          <w:szCs w:val="30"/>
        </w:rPr>
        <w:t>三、矿区土地复垦</w:t>
      </w:r>
      <w:bookmarkEnd w:id="170"/>
      <w:bookmarkEnd w:id="171"/>
      <w:bookmarkEnd w:id="172"/>
    </w:p>
    <w:p w14:paraId="12D96FD9">
      <w:pPr>
        <w:pStyle w:val="5"/>
        <w:spacing w:beforeLines="50" w:afterLines="50" w:line="360" w:lineRule="auto"/>
        <w:rPr>
          <w:b w:val="0"/>
          <w:sz w:val="28"/>
          <w:szCs w:val="28"/>
        </w:rPr>
      </w:pPr>
      <w:bookmarkStart w:id="173" w:name="_Toc43851683"/>
      <w:bookmarkStart w:id="174" w:name="_Toc481328217"/>
      <w:r>
        <w:rPr>
          <w:b w:val="0"/>
          <w:sz w:val="28"/>
          <w:szCs w:val="28"/>
        </w:rPr>
        <w:t>（一）目标任务</w:t>
      </w:r>
      <w:bookmarkEnd w:id="173"/>
      <w:bookmarkEnd w:id="174"/>
    </w:p>
    <w:p w14:paraId="5B3CE2EB">
      <w:pPr>
        <w:autoSpaceDE w:val="0"/>
        <w:autoSpaceDN w:val="0"/>
        <w:spacing w:line="360" w:lineRule="auto"/>
        <w:ind w:firstLine="480" w:firstLineChars="200"/>
        <w:rPr>
          <w:rFonts w:eastAsiaTheme="minorEastAsia"/>
          <w:sz w:val="24"/>
        </w:rPr>
      </w:pPr>
      <w:r>
        <w:rPr>
          <w:sz w:val="24"/>
          <w:lang w:val="en-GB"/>
        </w:rPr>
        <w:t>根据项目确定的复垦责任范围，确定了拟复垦土地的面积情况，并通过复垦适宜性评价，明确了各个复垦单元的复垦方向。本方案复垦责任范围面积为2.4148hm</w:t>
      </w:r>
      <w:r>
        <w:rPr>
          <w:sz w:val="24"/>
          <w:vertAlign w:val="superscript"/>
          <w:lang w:val="en-GB"/>
        </w:rPr>
        <w:t>2</w:t>
      </w:r>
      <w:r>
        <w:rPr>
          <w:sz w:val="24"/>
          <w:lang w:val="en-GB"/>
        </w:rPr>
        <w:t>。其中1.8545</w:t>
      </w:r>
      <w:r>
        <w:rPr>
          <w:sz w:val="24"/>
          <w:lang w:val="zh-CN"/>
        </w:rPr>
        <w:t>hm</w:t>
      </w:r>
      <w:r>
        <w:rPr>
          <w:sz w:val="24"/>
          <w:vertAlign w:val="superscript"/>
          <w:lang w:val="zh-CN"/>
        </w:rPr>
        <w:t>2</w:t>
      </w:r>
      <w:r>
        <w:rPr>
          <w:sz w:val="24"/>
          <w:lang w:val="zh-CN"/>
        </w:rPr>
        <w:t>复垦为旱地，</w:t>
      </w:r>
      <w:r>
        <w:rPr>
          <w:sz w:val="24"/>
          <w:lang w:val="en-GB"/>
        </w:rPr>
        <w:t>0.3652hm</w:t>
      </w:r>
      <w:r>
        <w:rPr>
          <w:sz w:val="24"/>
          <w:vertAlign w:val="superscript"/>
          <w:lang w:val="en-GB"/>
        </w:rPr>
        <w:t>2</w:t>
      </w:r>
      <w:r>
        <w:rPr>
          <w:sz w:val="24"/>
          <w:lang w:val="en-GB"/>
        </w:rPr>
        <w:t>复垦为有林地，0.1951hm</w:t>
      </w:r>
      <w:r>
        <w:rPr>
          <w:sz w:val="24"/>
          <w:vertAlign w:val="superscript"/>
          <w:lang w:val="en-GB"/>
        </w:rPr>
        <w:t>2</w:t>
      </w:r>
      <w:r>
        <w:rPr>
          <w:sz w:val="24"/>
          <w:lang w:val="en-GB"/>
        </w:rPr>
        <w:t>复垦为其他草地，复垦率为100%。</w:t>
      </w:r>
      <w:r>
        <w:rPr>
          <w:rFonts w:eastAsiaTheme="minorEastAsia"/>
          <w:sz w:val="24"/>
        </w:rPr>
        <w:t>复垦前后土地利用结构调整见</w:t>
      </w:r>
      <w:r>
        <w:rPr>
          <w:rFonts w:eastAsiaTheme="minorEastAsia"/>
          <w:sz w:val="24"/>
          <w:lang w:val="zh-CN"/>
        </w:rPr>
        <w:t>表5-</w:t>
      </w:r>
      <w:r>
        <w:rPr>
          <w:rFonts w:eastAsiaTheme="minorEastAsia"/>
          <w:sz w:val="24"/>
        </w:rPr>
        <w:t>2。</w:t>
      </w:r>
    </w:p>
    <w:p w14:paraId="5CF97820">
      <w:pPr>
        <w:jc w:val="center"/>
        <w:rPr>
          <w:rFonts w:eastAsiaTheme="minorEastAsia"/>
          <w:b/>
          <w:szCs w:val="21"/>
        </w:rPr>
      </w:pPr>
      <w:r>
        <w:rPr>
          <w:rFonts w:eastAsiaTheme="minorEastAsia"/>
          <w:b/>
          <w:szCs w:val="21"/>
        </w:rPr>
        <w:t>表5-2复垦前后土地利用结构调整表</w:t>
      </w:r>
    </w:p>
    <w:tbl>
      <w:tblPr>
        <w:tblStyle w:val="29"/>
        <w:tblW w:w="8600" w:type="dxa"/>
        <w:jc w:val="center"/>
        <w:tblLayout w:type="autofit"/>
        <w:tblCellMar>
          <w:top w:w="0" w:type="dxa"/>
          <w:left w:w="108" w:type="dxa"/>
          <w:bottom w:w="0" w:type="dxa"/>
          <w:right w:w="108" w:type="dxa"/>
        </w:tblCellMar>
      </w:tblPr>
      <w:tblGrid>
        <w:gridCol w:w="426"/>
        <w:gridCol w:w="2225"/>
        <w:gridCol w:w="531"/>
        <w:gridCol w:w="1909"/>
        <w:gridCol w:w="1150"/>
        <w:gridCol w:w="1150"/>
        <w:gridCol w:w="1260"/>
      </w:tblGrid>
      <w:tr w14:paraId="7E1A98CB">
        <w:tblPrEx>
          <w:tblCellMar>
            <w:top w:w="0" w:type="dxa"/>
            <w:left w:w="108" w:type="dxa"/>
            <w:bottom w:w="0" w:type="dxa"/>
            <w:right w:w="108" w:type="dxa"/>
          </w:tblCellMar>
        </w:tblPrEx>
        <w:trPr>
          <w:trHeight w:val="342" w:hRule="atLeast"/>
          <w:jc w:val="center"/>
        </w:trPr>
        <w:tc>
          <w:tcPr>
            <w:tcW w:w="2620" w:type="dxa"/>
            <w:gridSpan w:val="2"/>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677590C">
            <w:pPr>
              <w:widowControl/>
              <w:jc w:val="center"/>
              <w:rPr>
                <w:color w:val="000000"/>
                <w:kern w:val="0"/>
                <w:szCs w:val="21"/>
              </w:rPr>
            </w:pPr>
            <w:bookmarkStart w:id="175" w:name="_Toc481328218"/>
            <w:r>
              <w:rPr>
                <w:color w:val="000000"/>
                <w:kern w:val="0"/>
                <w:szCs w:val="21"/>
              </w:rPr>
              <w:t>一级地类</w:t>
            </w:r>
          </w:p>
        </w:tc>
        <w:tc>
          <w:tcPr>
            <w:tcW w:w="2420" w:type="dxa"/>
            <w:gridSpan w:val="2"/>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65524FE0">
            <w:pPr>
              <w:widowControl/>
              <w:jc w:val="center"/>
              <w:rPr>
                <w:color w:val="000000"/>
                <w:kern w:val="0"/>
                <w:szCs w:val="21"/>
              </w:rPr>
            </w:pPr>
            <w:r>
              <w:rPr>
                <w:color w:val="000000"/>
                <w:kern w:val="0"/>
                <w:szCs w:val="21"/>
              </w:rPr>
              <w:t>二级地类</w:t>
            </w:r>
          </w:p>
        </w:tc>
        <w:tc>
          <w:tcPr>
            <w:tcW w:w="2300" w:type="dxa"/>
            <w:gridSpan w:val="2"/>
            <w:tcBorders>
              <w:top w:val="single" w:color="auto" w:sz="4" w:space="0"/>
              <w:left w:val="nil"/>
              <w:bottom w:val="single" w:color="auto" w:sz="4" w:space="0"/>
              <w:right w:val="single" w:color="auto" w:sz="4" w:space="0"/>
            </w:tcBorders>
            <w:shd w:val="clear" w:color="auto" w:fill="auto"/>
            <w:noWrap/>
            <w:vAlign w:val="center"/>
          </w:tcPr>
          <w:p w14:paraId="5B785F89">
            <w:pPr>
              <w:widowControl/>
              <w:jc w:val="center"/>
              <w:rPr>
                <w:color w:val="000000"/>
                <w:kern w:val="0"/>
                <w:szCs w:val="21"/>
              </w:rPr>
            </w:pPr>
            <w:r>
              <w:rPr>
                <w:color w:val="000000"/>
                <w:kern w:val="0"/>
                <w:szCs w:val="21"/>
              </w:rPr>
              <w:t>面积（hm</w:t>
            </w:r>
            <w:r>
              <w:rPr>
                <w:color w:val="000000"/>
                <w:kern w:val="0"/>
                <w:szCs w:val="21"/>
                <w:vertAlign w:val="superscript"/>
              </w:rPr>
              <w:t>2</w:t>
            </w:r>
            <w:r>
              <w:rPr>
                <w:color w:val="000000"/>
                <w:kern w:val="0"/>
                <w:szCs w:val="21"/>
              </w:rPr>
              <w:t>）</w:t>
            </w:r>
          </w:p>
        </w:tc>
        <w:tc>
          <w:tcPr>
            <w:tcW w:w="1260"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4ACDF49">
            <w:pPr>
              <w:widowControl/>
              <w:jc w:val="center"/>
              <w:rPr>
                <w:color w:val="000000"/>
                <w:kern w:val="0"/>
                <w:szCs w:val="21"/>
              </w:rPr>
            </w:pPr>
            <w:r>
              <w:rPr>
                <w:color w:val="000000"/>
                <w:kern w:val="0"/>
                <w:szCs w:val="21"/>
              </w:rPr>
              <w:t>变幅</w:t>
            </w:r>
          </w:p>
        </w:tc>
      </w:tr>
      <w:tr w14:paraId="56FF5EBF">
        <w:tblPrEx>
          <w:tblCellMar>
            <w:top w:w="0" w:type="dxa"/>
            <w:left w:w="108" w:type="dxa"/>
            <w:bottom w:w="0" w:type="dxa"/>
            <w:right w:w="108" w:type="dxa"/>
          </w:tblCellMar>
        </w:tblPrEx>
        <w:trPr>
          <w:trHeight w:val="342" w:hRule="atLeast"/>
          <w:jc w:val="center"/>
        </w:trPr>
        <w:tc>
          <w:tcPr>
            <w:tcW w:w="2620" w:type="dxa"/>
            <w:gridSpan w:val="2"/>
            <w:vMerge w:val="continue"/>
            <w:tcBorders>
              <w:top w:val="single" w:color="auto" w:sz="4" w:space="0"/>
              <w:left w:val="single" w:color="auto" w:sz="4" w:space="0"/>
              <w:bottom w:val="single" w:color="auto" w:sz="4" w:space="0"/>
              <w:right w:val="single" w:color="auto" w:sz="4" w:space="0"/>
            </w:tcBorders>
            <w:vAlign w:val="center"/>
          </w:tcPr>
          <w:p w14:paraId="71DCA95A">
            <w:pPr>
              <w:widowControl/>
              <w:jc w:val="left"/>
              <w:rPr>
                <w:color w:val="000000"/>
                <w:kern w:val="0"/>
                <w:szCs w:val="21"/>
              </w:rPr>
            </w:pPr>
          </w:p>
        </w:tc>
        <w:tc>
          <w:tcPr>
            <w:tcW w:w="2420" w:type="dxa"/>
            <w:gridSpan w:val="2"/>
            <w:vMerge w:val="continue"/>
            <w:tcBorders>
              <w:top w:val="single" w:color="auto" w:sz="4" w:space="0"/>
              <w:left w:val="single" w:color="auto" w:sz="4" w:space="0"/>
              <w:bottom w:val="single" w:color="auto" w:sz="4" w:space="0"/>
              <w:right w:val="single" w:color="auto" w:sz="4" w:space="0"/>
            </w:tcBorders>
            <w:vAlign w:val="center"/>
          </w:tcPr>
          <w:p w14:paraId="1E4354B2">
            <w:pPr>
              <w:widowControl/>
              <w:jc w:val="left"/>
              <w:rPr>
                <w:color w:val="000000"/>
                <w:kern w:val="0"/>
                <w:szCs w:val="21"/>
              </w:rPr>
            </w:pPr>
          </w:p>
        </w:tc>
        <w:tc>
          <w:tcPr>
            <w:tcW w:w="1150" w:type="dxa"/>
            <w:tcBorders>
              <w:top w:val="nil"/>
              <w:left w:val="nil"/>
              <w:bottom w:val="single" w:color="auto" w:sz="4" w:space="0"/>
              <w:right w:val="single" w:color="auto" w:sz="4" w:space="0"/>
            </w:tcBorders>
            <w:shd w:val="clear" w:color="auto" w:fill="auto"/>
            <w:noWrap/>
            <w:vAlign w:val="center"/>
          </w:tcPr>
          <w:p w14:paraId="0AF992CA">
            <w:pPr>
              <w:widowControl/>
              <w:jc w:val="center"/>
              <w:rPr>
                <w:color w:val="000000"/>
                <w:kern w:val="0"/>
                <w:szCs w:val="21"/>
              </w:rPr>
            </w:pPr>
            <w:r>
              <w:rPr>
                <w:color w:val="000000"/>
                <w:kern w:val="0"/>
                <w:szCs w:val="21"/>
              </w:rPr>
              <w:t>复垦前</w:t>
            </w:r>
          </w:p>
        </w:tc>
        <w:tc>
          <w:tcPr>
            <w:tcW w:w="1150" w:type="dxa"/>
            <w:tcBorders>
              <w:top w:val="nil"/>
              <w:left w:val="nil"/>
              <w:bottom w:val="single" w:color="auto" w:sz="4" w:space="0"/>
              <w:right w:val="single" w:color="auto" w:sz="4" w:space="0"/>
            </w:tcBorders>
            <w:shd w:val="clear" w:color="auto" w:fill="auto"/>
            <w:noWrap/>
            <w:vAlign w:val="center"/>
          </w:tcPr>
          <w:p w14:paraId="379C8D00">
            <w:pPr>
              <w:widowControl/>
              <w:jc w:val="center"/>
              <w:rPr>
                <w:color w:val="000000"/>
                <w:kern w:val="0"/>
                <w:szCs w:val="21"/>
              </w:rPr>
            </w:pPr>
            <w:r>
              <w:rPr>
                <w:color w:val="000000"/>
                <w:kern w:val="0"/>
                <w:szCs w:val="21"/>
              </w:rPr>
              <w:t>复垦后</w:t>
            </w:r>
          </w:p>
        </w:tc>
        <w:tc>
          <w:tcPr>
            <w:tcW w:w="1260" w:type="dxa"/>
            <w:vMerge w:val="continue"/>
            <w:tcBorders>
              <w:top w:val="single" w:color="auto" w:sz="4" w:space="0"/>
              <w:left w:val="single" w:color="auto" w:sz="4" w:space="0"/>
              <w:bottom w:val="single" w:color="auto" w:sz="4" w:space="0"/>
              <w:right w:val="single" w:color="auto" w:sz="4" w:space="0"/>
            </w:tcBorders>
            <w:vAlign w:val="center"/>
          </w:tcPr>
          <w:p w14:paraId="4F82FFA1">
            <w:pPr>
              <w:widowControl/>
              <w:jc w:val="left"/>
              <w:rPr>
                <w:color w:val="000000"/>
                <w:kern w:val="0"/>
                <w:szCs w:val="21"/>
              </w:rPr>
            </w:pPr>
          </w:p>
        </w:tc>
      </w:tr>
      <w:tr w14:paraId="6B8734A8">
        <w:trPr>
          <w:trHeight w:val="342" w:hRule="atLeast"/>
          <w:jc w:val="center"/>
        </w:trPr>
        <w:tc>
          <w:tcPr>
            <w:tcW w:w="395" w:type="dxa"/>
            <w:tcBorders>
              <w:top w:val="nil"/>
              <w:left w:val="single" w:color="auto" w:sz="4" w:space="0"/>
              <w:bottom w:val="single" w:color="auto" w:sz="4" w:space="0"/>
              <w:right w:val="single" w:color="auto" w:sz="4" w:space="0"/>
            </w:tcBorders>
            <w:shd w:val="clear" w:color="auto" w:fill="auto"/>
            <w:noWrap/>
            <w:vAlign w:val="center"/>
          </w:tcPr>
          <w:p w14:paraId="7526E08D">
            <w:pPr>
              <w:widowControl/>
              <w:jc w:val="center"/>
              <w:rPr>
                <w:color w:val="000000"/>
                <w:kern w:val="0"/>
                <w:szCs w:val="21"/>
              </w:rPr>
            </w:pPr>
            <w:r>
              <w:rPr>
                <w:color w:val="000000"/>
                <w:kern w:val="0"/>
                <w:szCs w:val="21"/>
              </w:rPr>
              <w:t>01</w:t>
            </w:r>
          </w:p>
        </w:tc>
        <w:tc>
          <w:tcPr>
            <w:tcW w:w="2225" w:type="dxa"/>
            <w:tcBorders>
              <w:top w:val="nil"/>
              <w:left w:val="nil"/>
              <w:bottom w:val="single" w:color="auto" w:sz="4" w:space="0"/>
              <w:right w:val="single" w:color="auto" w:sz="4" w:space="0"/>
            </w:tcBorders>
            <w:shd w:val="clear" w:color="auto" w:fill="auto"/>
            <w:noWrap/>
            <w:vAlign w:val="center"/>
          </w:tcPr>
          <w:p w14:paraId="5CCB1625">
            <w:pPr>
              <w:widowControl/>
              <w:jc w:val="center"/>
              <w:rPr>
                <w:color w:val="000000"/>
                <w:kern w:val="0"/>
                <w:szCs w:val="21"/>
              </w:rPr>
            </w:pPr>
            <w:r>
              <w:rPr>
                <w:color w:val="000000"/>
                <w:kern w:val="0"/>
                <w:szCs w:val="21"/>
              </w:rPr>
              <w:t>耕地</w:t>
            </w:r>
          </w:p>
        </w:tc>
        <w:tc>
          <w:tcPr>
            <w:tcW w:w="511" w:type="dxa"/>
            <w:tcBorders>
              <w:top w:val="nil"/>
              <w:left w:val="nil"/>
              <w:bottom w:val="single" w:color="auto" w:sz="4" w:space="0"/>
              <w:right w:val="single" w:color="auto" w:sz="4" w:space="0"/>
            </w:tcBorders>
            <w:shd w:val="clear" w:color="auto" w:fill="auto"/>
            <w:noWrap/>
            <w:vAlign w:val="center"/>
          </w:tcPr>
          <w:p w14:paraId="4A9B9373">
            <w:pPr>
              <w:widowControl/>
              <w:jc w:val="center"/>
              <w:rPr>
                <w:color w:val="000000"/>
                <w:kern w:val="0"/>
                <w:szCs w:val="21"/>
              </w:rPr>
            </w:pPr>
            <w:r>
              <w:rPr>
                <w:color w:val="000000"/>
                <w:kern w:val="0"/>
                <w:szCs w:val="21"/>
              </w:rPr>
              <w:t>011</w:t>
            </w:r>
          </w:p>
        </w:tc>
        <w:tc>
          <w:tcPr>
            <w:tcW w:w="1909" w:type="dxa"/>
            <w:tcBorders>
              <w:top w:val="nil"/>
              <w:left w:val="nil"/>
              <w:bottom w:val="single" w:color="auto" w:sz="4" w:space="0"/>
              <w:right w:val="single" w:color="auto" w:sz="4" w:space="0"/>
            </w:tcBorders>
            <w:shd w:val="clear" w:color="auto" w:fill="auto"/>
            <w:noWrap/>
            <w:vAlign w:val="center"/>
          </w:tcPr>
          <w:p w14:paraId="2204EFCC">
            <w:pPr>
              <w:widowControl/>
              <w:jc w:val="center"/>
              <w:rPr>
                <w:color w:val="000000"/>
                <w:kern w:val="0"/>
                <w:szCs w:val="21"/>
              </w:rPr>
            </w:pPr>
            <w:r>
              <w:rPr>
                <w:color w:val="000000"/>
                <w:kern w:val="0"/>
                <w:szCs w:val="21"/>
              </w:rPr>
              <w:t>旱地</w:t>
            </w:r>
          </w:p>
        </w:tc>
        <w:tc>
          <w:tcPr>
            <w:tcW w:w="1150" w:type="dxa"/>
            <w:tcBorders>
              <w:top w:val="nil"/>
              <w:left w:val="nil"/>
              <w:bottom w:val="single" w:color="auto" w:sz="4" w:space="0"/>
              <w:right w:val="single" w:color="auto" w:sz="4" w:space="0"/>
            </w:tcBorders>
            <w:shd w:val="clear" w:color="auto" w:fill="auto"/>
            <w:noWrap/>
            <w:vAlign w:val="center"/>
          </w:tcPr>
          <w:p w14:paraId="591CD8C5">
            <w:pPr>
              <w:widowControl/>
              <w:jc w:val="center"/>
              <w:rPr>
                <w:color w:val="000000"/>
                <w:kern w:val="0"/>
                <w:szCs w:val="21"/>
              </w:rPr>
            </w:pPr>
            <w:r>
              <w:rPr>
                <w:color w:val="000000"/>
                <w:kern w:val="0"/>
                <w:szCs w:val="21"/>
              </w:rPr>
              <w:t>0.8593</w:t>
            </w:r>
          </w:p>
        </w:tc>
        <w:tc>
          <w:tcPr>
            <w:tcW w:w="1150" w:type="dxa"/>
            <w:tcBorders>
              <w:top w:val="nil"/>
              <w:left w:val="nil"/>
              <w:bottom w:val="single" w:color="auto" w:sz="4" w:space="0"/>
              <w:right w:val="single" w:color="auto" w:sz="4" w:space="0"/>
            </w:tcBorders>
            <w:shd w:val="clear" w:color="auto" w:fill="auto"/>
            <w:noWrap/>
            <w:vAlign w:val="center"/>
          </w:tcPr>
          <w:p w14:paraId="28C1D848">
            <w:pPr>
              <w:widowControl/>
              <w:jc w:val="center"/>
              <w:rPr>
                <w:color w:val="000000"/>
                <w:kern w:val="0"/>
                <w:szCs w:val="21"/>
              </w:rPr>
            </w:pPr>
            <w:r>
              <w:rPr>
                <w:color w:val="000000"/>
                <w:kern w:val="0"/>
                <w:szCs w:val="21"/>
              </w:rPr>
              <w:t>1.8545</w:t>
            </w:r>
          </w:p>
        </w:tc>
        <w:tc>
          <w:tcPr>
            <w:tcW w:w="1260" w:type="dxa"/>
            <w:tcBorders>
              <w:top w:val="nil"/>
              <w:left w:val="nil"/>
              <w:bottom w:val="single" w:color="auto" w:sz="4" w:space="0"/>
              <w:right w:val="single" w:color="auto" w:sz="4" w:space="0"/>
            </w:tcBorders>
            <w:shd w:val="clear" w:color="auto" w:fill="auto"/>
            <w:noWrap/>
            <w:vAlign w:val="center"/>
          </w:tcPr>
          <w:p w14:paraId="261DCD45">
            <w:pPr>
              <w:widowControl/>
              <w:jc w:val="center"/>
              <w:rPr>
                <w:color w:val="000000"/>
                <w:kern w:val="0"/>
                <w:szCs w:val="21"/>
              </w:rPr>
            </w:pPr>
            <w:r>
              <w:rPr>
                <w:color w:val="000000"/>
                <w:kern w:val="0"/>
                <w:szCs w:val="21"/>
              </w:rPr>
              <w:t>+115.82%</w:t>
            </w:r>
          </w:p>
        </w:tc>
      </w:tr>
      <w:tr w14:paraId="7EE74060">
        <w:tblPrEx>
          <w:tblCellMar>
            <w:top w:w="0" w:type="dxa"/>
            <w:left w:w="108" w:type="dxa"/>
            <w:bottom w:w="0" w:type="dxa"/>
            <w:right w:w="108" w:type="dxa"/>
          </w:tblCellMar>
        </w:tblPrEx>
        <w:trPr>
          <w:trHeight w:val="342" w:hRule="atLeast"/>
          <w:jc w:val="center"/>
        </w:trPr>
        <w:tc>
          <w:tcPr>
            <w:tcW w:w="395" w:type="dxa"/>
            <w:vMerge w:val="restart"/>
            <w:tcBorders>
              <w:top w:val="nil"/>
              <w:left w:val="single" w:color="auto" w:sz="4" w:space="0"/>
              <w:bottom w:val="single" w:color="000000" w:sz="4" w:space="0"/>
              <w:right w:val="single" w:color="auto" w:sz="4" w:space="0"/>
            </w:tcBorders>
            <w:shd w:val="clear" w:color="auto" w:fill="auto"/>
            <w:noWrap/>
            <w:vAlign w:val="center"/>
          </w:tcPr>
          <w:p w14:paraId="1FA8945F">
            <w:pPr>
              <w:widowControl/>
              <w:jc w:val="center"/>
              <w:rPr>
                <w:color w:val="000000"/>
                <w:kern w:val="0"/>
                <w:szCs w:val="21"/>
              </w:rPr>
            </w:pPr>
            <w:r>
              <w:rPr>
                <w:color w:val="000000"/>
                <w:kern w:val="0"/>
                <w:szCs w:val="21"/>
              </w:rPr>
              <w:t>03</w:t>
            </w:r>
          </w:p>
        </w:tc>
        <w:tc>
          <w:tcPr>
            <w:tcW w:w="2225" w:type="dxa"/>
            <w:vMerge w:val="restart"/>
            <w:tcBorders>
              <w:top w:val="nil"/>
              <w:left w:val="single" w:color="auto" w:sz="4" w:space="0"/>
              <w:bottom w:val="single" w:color="000000" w:sz="4" w:space="0"/>
              <w:right w:val="single" w:color="auto" w:sz="4" w:space="0"/>
            </w:tcBorders>
            <w:shd w:val="clear" w:color="auto" w:fill="auto"/>
            <w:noWrap/>
            <w:vAlign w:val="center"/>
          </w:tcPr>
          <w:p w14:paraId="7F24F20D">
            <w:pPr>
              <w:widowControl/>
              <w:jc w:val="center"/>
              <w:rPr>
                <w:color w:val="000000"/>
                <w:kern w:val="0"/>
                <w:szCs w:val="21"/>
              </w:rPr>
            </w:pPr>
            <w:r>
              <w:rPr>
                <w:color w:val="000000"/>
                <w:kern w:val="0"/>
                <w:szCs w:val="21"/>
              </w:rPr>
              <w:t>林地</w:t>
            </w:r>
          </w:p>
        </w:tc>
        <w:tc>
          <w:tcPr>
            <w:tcW w:w="511" w:type="dxa"/>
            <w:tcBorders>
              <w:top w:val="nil"/>
              <w:left w:val="nil"/>
              <w:bottom w:val="single" w:color="auto" w:sz="4" w:space="0"/>
              <w:right w:val="single" w:color="auto" w:sz="4" w:space="0"/>
            </w:tcBorders>
            <w:shd w:val="clear" w:color="auto" w:fill="auto"/>
            <w:noWrap/>
            <w:vAlign w:val="center"/>
          </w:tcPr>
          <w:p w14:paraId="14E66D05">
            <w:pPr>
              <w:widowControl/>
              <w:jc w:val="center"/>
              <w:rPr>
                <w:color w:val="000000"/>
                <w:kern w:val="0"/>
                <w:szCs w:val="21"/>
              </w:rPr>
            </w:pPr>
            <w:r>
              <w:rPr>
                <w:color w:val="000000"/>
                <w:kern w:val="0"/>
                <w:szCs w:val="21"/>
              </w:rPr>
              <w:t>031</w:t>
            </w:r>
          </w:p>
        </w:tc>
        <w:tc>
          <w:tcPr>
            <w:tcW w:w="1909" w:type="dxa"/>
            <w:tcBorders>
              <w:top w:val="nil"/>
              <w:left w:val="nil"/>
              <w:bottom w:val="single" w:color="auto" w:sz="4" w:space="0"/>
              <w:right w:val="single" w:color="auto" w:sz="4" w:space="0"/>
            </w:tcBorders>
            <w:shd w:val="clear" w:color="auto" w:fill="auto"/>
            <w:noWrap/>
            <w:vAlign w:val="center"/>
          </w:tcPr>
          <w:p w14:paraId="7C88BD4B">
            <w:pPr>
              <w:widowControl/>
              <w:jc w:val="center"/>
              <w:rPr>
                <w:color w:val="000000"/>
                <w:kern w:val="0"/>
                <w:szCs w:val="21"/>
              </w:rPr>
            </w:pPr>
            <w:r>
              <w:rPr>
                <w:color w:val="000000"/>
                <w:kern w:val="0"/>
                <w:szCs w:val="21"/>
              </w:rPr>
              <w:t>有林地</w:t>
            </w:r>
          </w:p>
        </w:tc>
        <w:tc>
          <w:tcPr>
            <w:tcW w:w="1150" w:type="dxa"/>
            <w:tcBorders>
              <w:top w:val="nil"/>
              <w:left w:val="nil"/>
              <w:bottom w:val="single" w:color="auto" w:sz="4" w:space="0"/>
              <w:right w:val="single" w:color="auto" w:sz="4" w:space="0"/>
            </w:tcBorders>
            <w:shd w:val="clear" w:color="auto" w:fill="auto"/>
            <w:noWrap/>
            <w:vAlign w:val="center"/>
          </w:tcPr>
          <w:p w14:paraId="0BCA03E0">
            <w:pPr>
              <w:widowControl/>
              <w:jc w:val="center"/>
              <w:rPr>
                <w:color w:val="000000"/>
                <w:kern w:val="0"/>
                <w:szCs w:val="21"/>
              </w:rPr>
            </w:pPr>
            <w:r>
              <w:rPr>
                <w:color w:val="000000"/>
                <w:kern w:val="0"/>
                <w:szCs w:val="21"/>
              </w:rPr>
              <w:t>0.0999</w:t>
            </w:r>
          </w:p>
        </w:tc>
        <w:tc>
          <w:tcPr>
            <w:tcW w:w="1150" w:type="dxa"/>
            <w:tcBorders>
              <w:top w:val="nil"/>
              <w:left w:val="nil"/>
              <w:bottom w:val="single" w:color="auto" w:sz="4" w:space="0"/>
              <w:right w:val="single" w:color="auto" w:sz="4" w:space="0"/>
            </w:tcBorders>
            <w:shd w:val="clear" w:color="auto" w:fill="auto"/>
            <w:noWrap/>
            <w:vAlign w:val="center"/>
          </w:tcPr>
          <w:p w14:paraId="70A373FF">
            <w:pPr>
              <w:widowControl/>
              <w:jc w:val="center"/>
              <w:rPr>
                <w:color w:val="000000"/>
                <w:kern w:val="0"/>
                <w:szCs w:val="21"/>
              </w:rPr>
            </w:pPr>
            <w:r>
              <w:rPr>
                <w:color w:val="000000"/>
                <w:kern w:val="0"/>
                <w:szCs w:val="21"/>
              </w:rPr>
              <w:t>0.3652</w:t>
            </w:r>
          </w:p>
        </w:tc>
        <w:tc>
          <w:tcPr>
            <w:tcW w:w="1260" w:type="dxa"/>
            <w:tcBorders>
              <w:top w:val="nil"/>
              <w:left w:val="nil"/>
              <w:bottom w:val="single" w:color="auto" w:sz="4" w:space="0"/>
              <w:right w:val="single" w:color="auto" w:sz="4" w:space="0"/>
            </w:tcBorders>
            <w:shd w:val="clear" w:color="auto" w:fill="auto"/>
            <w:noWrap/>
            <w:vAlign w:val="center"/>
          </w:tcPr>
          <w:p w14:paraId="470B3BB2">
            <w:pPr>
              <w:widowControl/>
              <w:jc w:val="center"/>
              <w:rPr>
                <w:color w:val="000000"/>
                <w:kern w:val="0"/>
                <w:szCs w:val="21"/>
              </w:rPr>
            </w:pPr>
            <w:r>
              <w:rPr>
                <w:color w:val="000000"/>
                <w:kern w:val="0"/>
                <w:szCs w:val="21"/>
              </w:rPr>
              <w:t>+265.57%</w:t>
            </w:r>
          </w:p>
        </w:tc>
      </w:tr>
      <w:tr w14:paraId="3369D68B">
        <w:tblPrEx>
          <w:tblCellMar>
            <w:top w:w="0" w:type="dxa"/>
            <w:left w:w="108" w:type="dxa"/>
            <w:bottom w:w="0" w:type="dxa"/>
            <w:right w:w="108" w:type="dxa"/>
          </w:tblCellMar>
        </w:tblPrEx>
        <w:trPr>
          <w:trHeight w:val="342" w:hRule="atLeast"/>
          <w:jc w:val="center"/>
        </w:trPr>
        <w:tc>
          <w:tcPr>
            <w:tcW w:w="395" w:type="dxa"/>
            <w:vMerge w:val="continue"/>
            <w:tcBorders>
              <w:top w:val="nil"/>
              <w:left w:val="single" w:color="auto" w:sz="4" w:space="0"/>
              <w:bottom w:val="single" w:color="000000" w:sz="4" w:space="0"/>
              <w:right w:val="single" w:color="auto" w:sz="4" w:space="0"/>
            </w:tcBorders>
            <w:vAlign w:val="center"/>
          </w:tcPr>
          <w:p w14:paraId="7F6D0B3E">
            <w:pPr>
              <w:widowControl/>
              <w:jc w:val="left"/>
              <w:rPr>
                <w:color w:val="000000"/>
                <w:kern w:val="0"/>
                <w:szCs w:val="21"/>
              </w:rPr>
            </w:pPr>
          </w:p>
        </w:tc>
        <w:tc>
          <w:tcPr>
            <w:tcW w:w="2225" w:type="dxa"/>
            <w:vMerge w:val="continue"/>
            <w:tcBorders>
              <w:top w:val="nil"/>
              <w:left w:val="single" w:color="auto" w:sz="4" w:space="0"/>
              <w:bottom w:val="single" w:color="000000" w:sz="4" w:space="0"/>
              <w:right w:val="single" w:color="auto" w:sz="4" w:space="0"/>
            </w:tcBorders>
            <w:vAlign w:val="center"/>
          </w:tcPr>
          <w:p w14:paraId="120F835A">
            <w:pPr>
              <w:widowControl/>
              <w:jc w:val="left"/>
              <w:rPr>
                <w:color w:val="000000"/>
                <w:kern w:val="0"/>
                <w:szCs w:val="21"/>
              </w:rPr>
            </w:pPr>
          </w:p>
        </w:tc>
        <w:tc>
          <w:tcPr>
            <w:tcW w:w="511" w:type="dxa"/>
            <w:tcBorders>
              <w:top w:val="nil"/>
              <w:left w:val="nil"/>
              <w:bottom w:val="single" w:color="auto" w:sz="4" w:space="0"/>
              <w:right w:val="single" w:color="auto" w:sz="4" w:space="0"/>
            </w:tcBorders>
            <w:shd w:val="clear" w:color="auto" w:fill="auto"/>
            <w:noWrap/>
            <w:vAlign w:val="center"/>
          </w:tcPr>
          <w:p w14:paraId="5BF62A62">
            <w:pPr>
              <w:widowControl/>
              <w:jc w:val="center"/>
              <w:rPr>
                <w:color w:val="000000"/>
                <w:kern w:val="0"/>
                <w:szCs w:val="21"/>
              </w:rPr>
            </w:pPr>
            <w:r>
              <w:rPr>
                <w:color w:val="000000"/>
                <w:kern w:val="0"/>
                <w:szCs w:val="21"/>
              </w:rPr>
              <w:t>033</w:t>
            </w:r>
          </w:p>
        </w:tc>
        <w:tc>
          <w:tcPr>
            <w:tcW w:w="1909" w:type="dxa"/>
            <w:tcBorders>
              <w:top w:val="nil"/>
              <w:left w:val="nil"/>
              <w:bottom w:val="single" w:color="auto" w:sz="4" w:space="0"/>
              <w:right w:val="single" w:color="auto" w:sz="4" w:space="0"/>
            </w:tcBorders>
            <w:shd w:val="clear" w:color="auto" w:fill="auto"/>
            <w:noWrap/>
            <w:vAlign w:val="center"/>
          </w:tcPr>
          <w:p w14:paraId="1FBE2AF0">
            <w:pPr>
              <w:widowControl/>
              <w:jc w:val="center"/>
              <w:rPr>
                <w:color w:val="000000"/>
                <w:kern w:val="0"/>
                <w:szCs w:val="21"/>
              </w:rPr>
            </w:pPr>
            <w:r>
              <w:rPr>
                <w:color w:val="000000"/>
                <w:kern w:val="0"/>
                <w:szCs w:val="21"/>
              </w:rPr>
              <w:t>其他林地</w:t>
            </w:r>
          </w:p>
        </w:tc>
        <w:tc>
          <w:tcPr>
            <w:tcW w:w="1150" w:type="dxa"/>
            <w:tcBorders>
              <w:top w:val="nil"/>
              <w:left w:val="nil"/>
              <w:bottom w:val="single" w:color="auto" w:sz="4" w:space="0"/>
              <w:right w:val="single" w:color="auto" w:sz="4" w:space="0"/>
            </w:tcBorders>
            <w:shd w:val="clear" w:color="auto" w:fill="auto"/>
            <w:noWrap/>
            <w:vAlign w:val="center"/>
          </w:tcPr>
          <w:p w14:paraId="3315B778">
            <w:pPr>
              <w:widowControl/>
              <w:jc w:val="center"/>
              <w:rPr>
                <w:color w:val="000000"/>
                <w:kern w:val="0"/>
                <w:szCs w:val="21"/>
              </w:rPr>
            </w:pPr>
            <w:r>
              <w:rPr>
                <w:color w:val="000000"/>
                <w:kern w:val="0"/>
                <w:szCs w:val="21"/>
              </w:rPr>
              <w:t>0.3962</w:t>
            </w:r>
          </w:p>
        </w:tc>
        <w:tc>
          <w:tcPr>
            <w:tcW w:w="1150" w:type="dxa"/>
            <w:tcBorders>
              <w:top w:val="nil"/>
              <w:left w:val="nil"/>
              <w:bottom w:val="single" w:color="auto" w:sz="4" w:space="0"/>
              <w:right w:val="single" w:color="auto" w:sz="4" w:space="0"/>
            </w:tcBorders>
            <w:shd w:val="clear" w:color="auto" w:fill="auto"/>
            <w:noWrap/>
            <w:vAlign w:val="center"/>
          </w:tcPr>
          <w:p w14:paraId="3693F4D7">
            <w:pPr>
              <w:widowControl/>
              <w:jc w:val="center"/>
              <w:rPr>
                <w:color w:val="000000"/>
                <w:kern w:val="0"/>
                <w:szCs w:val="21"/>
              </w:rPr>
            </w:pPr>
            <w:r>
              <w:rPr>
                <w:color w:val="000000"/>
                <w:kern w:val="0"/>
                <w:szCs w:val="21"/>
              </w:rPr>
              <w:t>0</w:t>
            </w:r>
          </w:p>
        </w:tc>
        <w:tc>
          <w:tcPr>
            <w:tcW w:w="1260" w:type="dxa"/>
            <w:tcBorders>
              <w:top w:val="nil"/>
              <w:left w:val="nil"/>
              <w:bottom w:val="single" w:color="auto" w:sz="4" w:space="0"/>
              <w:right w:val="single" w:color="auto" w:sz="4" w:space="0"/>
            </w:tcBorders>
            <w:shd w:val="clear" w:color="auto" w:fill="auto"/>
            <w:noWrap/>
            <w:vAlign w:val="center"/>
          </w:tcPr>
          <w:p w14:paraId="3CA10288">
            <w:pPr>
              <w:widowControl/>
              <w:jc w:val="center"/>
              <w:rPr>
                <w:color w:val="000000"/>
                <w:kern w:val="0"/>
                <w:szCs w:val="21"/>
              </w:rPr>
            </w:pPr>
            <w:r>
              <w:rPr>
                <w:color w:val="000000"/>
                <w:kern w:val="0"/>
                <w:szCs w:val="21"/>
              </w:rPr>
              <w:t>-100.00%</w:t>
            </w:r>
          </w:p>
        </w:tc>
      </w:tr>
      <w:tr w14:paraId="462D3B3C">
        <w:tblPrEx>
          <w:tblCellMar>
            <w:top w:w="0" w:type="dxa"/>
            <w:left w:w="108" w:type="dxa"/>
            <w:bottom w:w="0" w:type="dxa"/>
            <w:right w:w="108" w:type="dxa"/>
          </w:tblCellMar>
        </w:tblPrEx>
        <w:trPr>
          <w:trHeight w:val="342" w:hRule="atLeast"/>
          <w:jc w:val="center"/>
        </w:trPr>
        <w:tc>
          <w:tcPr>
            <w:tcW w:w="395" w:type="dxa"/>
            <w:tcBorders>
              <w:top w:val="nil"/>
              <w:left w:val="single" w:color="auto" w:sz="4" w:space="0"/>
              <w:bottom w:val="single" w:color="auto" w:sz="4" w:space="0"/>
              <w:right w:val="single" w:color="auto" w:sz="4" w:space="0"/>
            </w:tcBorders>
            <w:shd w:val="clear" w:color="auto" w:fill="auto"/>
            <w:noWrap/>
            <w:vAlign w:val="center"/>
          </w:tcPr>
          <w:p w14:paraId="18E9FA85">
            <w:pPr>
              <w:widowControl/>
              <w:jc w:val="center"/>
              <w:rPr>
                <w:color w:val="000000"/>
                <w:kern w:val="0"/>
                <w:szCs w:val="21"/>
              </w:rPr>
            </w:pPr>
            <w:r>
              <w:rPr>
                <w:color w:val="000000"/>
                <w:kern w:val="0"/>
                <w:szCs w:val="21"/>
              </w:rPr>
              <w:t>04</w:t>
            </w:r>
          </w:p>
        </w:tc>
        <w:tc>
          <w:tcPr>
            <w:tcW w:w="2225" w:type="dxa"/>
            <w:tcBorders>
              <w:top w:val="nil"/>
              <w:left w:val="nil"/>
              <w:bottom w:val="single" w:color="auto" w:sz="4" w:space="0"/>
              <w:right w:val="single" w:color="auto" w:sz="4" w:space="0"/>
            </w:tcBorders>
            <w:shd w:val="clear" w:color="auto" w:fill="auto"/>
            <w:noWrap/>
            <w:vAlign w:val="center"/>
          </w:tcPr>
          <w:p w14:paraId="630D2AA4">
            <w:pPr>
              <w:widowControl/>
              <w:jc w:val="center"/>
              <w:rPr>
                <w:color w:val="000000"/>
                <w:kern w:val="0"/>
                <w:szCs w:val="21"/>
              </w:rPr>
            </w:pPr>
            <w:r>
              <w:rPr>
                <w:color w:val="000000"/>
                <w:kern w:val="0"/>
                <w:szCs w:val="21"/>
              </w:rPr>
              <w:t>草地</w:t>
            </w:r>
          </w:p>
        </w:tc>
        <w:tc>
          <w:tcPr>
            <w:tcW w:w="511" w:type="dxa"/>
            <w:tcBorders>
              <w:top w:val="nil"/>
              <w:left w:val="nil"/>
              <w:bottom w:val="single" w:color="auto" w:sz="4" w:space="0"/>
              <w:right w:val="single" w:color="auto" w:sz="4" w:space="0"/>
            </w:tcBorders>
            <w:shd w:val="clear" w:color="auto" w:fill="auto"/>
            <w:noWrap/>
            <w:vAlign w:val="center"/>
          </w:tcPr>
          <w:p w14:paraId="3D4FDB3C">
            <w:pPr>
              <w:widowControl/>
              <w:jc w:val="center"/>
              <w:rPr>
                <w:color w:val="000000"/>
                <w:kern w:val="0"/>
                <w:szCs w:val="21"/>
              </w:rPr>
            </w:pPr>
            <w:r>
              <w:rPr>
                <w:color w:val="000000"/>
                <w:kern w:val="0"/>
                <w:szCs w:val="21"/>
              </w:rPr>
              <w:t>043</w:t>
            </w:r>
          </w:p>
        </w:tc>
        <w:tc>
          <w:tcPr>
            <w:tcW w:w="1909" w:type="dxa"/>
            <w:tcBorders>
              <w:top w:val="nil"/>
              <w:left w:val="nil"/>
              <w:bottom w:val="single" w:color="auto" w:sz="4" w:space="0"/>
              <w:right w:val="single" w:color="auto" w:sz="4" w:space="0"/>
            </w:tcBorders>
            <w:shd w:val="clear" w:color="auto" w:fill="auto"/>
            <w:noWrap/>
            <w:vAlign w:val="center"/>
          </w:tcPr>
          <w:p w14:paraId="0F788D1E">
            <w:pPr>
              <w:widowControl/>
              <w:jc w:val="center"/>
              <w:rPr>
                <w:color w:val="000000"/>
                <w:kern w:val="0"/>
                <w:szCs w:val="21"/>
              </w:rPr>
            </w:pPr>
            <w:r>
              <w:rPr>
                <w:color w:val="000000"/>
                <w:kern w:val="0"/>
                <w:szCs w:val="21"/>
              </w:rPr>
              <w:t>其他草地</w:t>
            </w:r>
          </w:p>
        </w:tc>
        <w:tc>
          <w:tcPr>
            <w:tcW w:w="1150" w:type="dxa"/>
            <w:tcBorders>
              <w:top w:val="nil"/>
              <w:left w:val="nil"/>
              <w:bottom w:val="single" w:color="auto" w:sz="4" w:space="0"/>
              <w:right w:val="single" w:color="auto" w:sz="4" w:space="0"/>
            </w:tcBorders>
            <w:shd w:val="clear" w:color="auto" w:fill="auto"/>
            <w:noWrap/>
            <w:vAlign w:val="center"/>
          </w:tcPr>
          <w:p w14:paraId="5F10090F">
            <w:pPr>
              <w:widowControl/>
              <w:jc w:val="center"/>
              <w:rPr>
                <w:color w:val="000000"/>
                <w:kern w:val="0"/>
                <w:szCs w:val="21"/>
              </w:rPr>
            </w:pPr>
            <w:r>
              <w:rPr>
                <w:color w:val="000000"/>
                <w:kern w:val="0"/>
                <w:szCs w:val="21"/>
              </w:rPr>
              <w:t>0</w:t>
            </w:r>
          </w:p>
        </w:tc>
        <w:tc>
          <w:tcPr>
            <w:tcW w:w="1150" w:type="dxa"/>
            <w:tcBorders>
              <w:top w:val="nil"/>
              <w:left w:val="nil"/>
              <w:bottom w:val="single" w:color="auto" w:sz="4" w:space="0"/>
              <w:right w:val="single" w:color="auto" w:sz="4" w:space="0"/>
            </w:tcBorders>
            <w:shd w:val="clear" w:color="auto" w:fill="auto"/>
            <w:noWrap/>
            <w:vAlign w:val="center"/>
          </w:tcPr>
          <w:p w14:paraId="2ECB3661">
            <w:pPr>
              <w:widowControl/>
              <w:jc w:val="center"/>
              <w:rPr>
                <w:color w:val="000000"/>
                <w:kern w:val="0"/>
                <w:szCs w:val="21"/>
              </w:rPr>
            </w:pPr>
            <w:r>
              <w:rPr>
                <w:color w:val="000000"/>
                <w:kern w:val="0"/>
                <w:szCs w:val="21"/>
              </w:rPr>
              <w:t>0.1951</w:t>
            </w:r>
          </w:p>
        </w:tc>
        <w:tc>
          <w:tcPr>
            <w:tcW w:w="1260" w:type="dxa"/>
            <w:tcBorders>
              <w:top w:val="nil"/>
              <w:left w:val="nil"/>
              <w:bottom w:val="single" w:color="auto" w:sz="4" w:space="0"/>
              <w:right w:val="single" w:color="auto" w:sz="4" w:space="0"/>
            </w:tcBorders>
            <w:shd w:val="clear" w:color="auto" w:fill="auto"/>
            <w:noWrap/>
            <w:vAlign w:val="center"/>
          </w:tcPr>
          <w:p w14:paraId="39940555">
            <w:pPr>
              <w:widowControl/>
              <w:jc w:val="center"/>
              <w:rPr>
                <w:color w:val="000000"/>
                <w:kern w:val="0"/>
                <w:szCs w:val="21"/>
              </w:rPr>
            </w:pPr>
            <w:r>
              <w:rPr>
                <w:color w:val="000000"/>
                <w:kern w:val="0"/>
                <w:szCs w:val="21"/>
              </w:rPr>
              <w:t>+100.00%</w:t>
            </w:r>
          </w:p>
        </w:tc>
      </w:tr>
      <w:tr w14:paraId="40604DBD">
        <w:tblPrEx>
          <w:tblCellMar>
            <w:top w:w="0" w:type="dxa"/>
            <w:left w:w="108" w:type="dxa"/>
            <w:bottom w:w="0" w:type="dxa"/>
            <w:right w:w="108" w:type="dxa"/>
          </w:tblCellMar>
        </w:tblPrEx>
        <w:trPr>
          <w:trHeight w:val="342" w:hRule="atLeast"/>
          <w:jc w:val="center"/>
        </w:trPr>
        <w:tc>
          <w:tcPr>
            <w:tcW w:w="395" w:type="dxa"/>
            <w:tcBorders>
              <w:top w:val="nil"/>
              <w:left w:val="single" w:color="auto" w:sz="4" w:space="0"/>
              <w:bottom w:val="single" w:color="auto" w:sz="4" w:space="0"/>
              <w:right w:val="single" w:color="auto" w:sz="4" w:space="0"/>
            </w:tcBorders>
            <w:shd w:val="clear" w:color="auto" w:fill="auto"/>
            <w:noWrap/>
            <w:vAlign w:val="center"/>
          </w:tcPr>
          <w:p w14:paraId="755FA1BF">
            <w:pPr>
              <w:widowControl/>
              <w:jc w:val="center"/>
              <w:rPr>
                <w:color w:val="000000"/>
                <w:kern w:val="0"/>
                <w:szCs w:val="21"/>
              </w:rPr>
            </w:pPr>
            <w:r>
              <w:rPr>
                <w:color w:val="000000"/>
                <w:kern w:val="0"/>
                <w:szCs w:val="21"/>
              </w:rPr>
              <w:t>06</w:t>
            </w:r>
          </w:p>
        </w:tc>
        <w:tc>
          <w:tcPr>
            <w:tcW w:w="2225" w:type="dxa"/>
            <w:tcBorders>
              <w:top w:val="nil"/>
              <w:left w:val="nil"/>
              <w:bottom w:val="single" w:color="auto" w:sz="4" w:space="0"/>
              <w:right w:val="single" w:color="auto" w:sz="4" w:space="0"/>
            </w:tcBorders>
            <w:shd w:val="clear" w:color="auto" w:fill="auto"/>
            <w:noWrap/>
            <w:vAlign w:val="center"/>
          </w:tcPr>
          <w:p w14:paraId="5AD534E3">
            <w:pPr>
              <w:widowControl/>
              <w:jc w:val="center"/>
              <w:rPr>
                <w:color w:val="000000"/>
                <w:kern w:val="0"/>
                <w:szCs w:val="21"/>
              </w:rPr>
            </w:pPr>
            <w:r>
              <w:rPr>
                <w:color w:val="000000"/>
                <w:kern w:val="0"/>
                <w:szCs w:val="21"/>
              </w:rPr>
              <w:t>工矿仓储用地</w:t>
            </w:r>
          </w:p>
        </w:tc>
        <w:tc>
          <w:tcPr>
            <w:tcW w:w="511" w:type="dxa"/>
            <w:tcBorders>
              <w:top w:val="nil"/>
              <w:left w:val="nil"/>
              <w:bottom w:val="single" w:color="auto" w:sz="4" w:space="0"/>
              <w:right w:val="single" w:color="auto" w:sz="4" w:space="0"/>
            </w:tcBorders>
            <w:shd w:val="clear" w:color="auto" w:fill="auto"/>
            <w:noWrap/>
            <w:vAlign w:val="center"/>
          </w:tcPr>
          <w:p w14:paraId="2C476930">
            <w:pPr>
              <w:widowControl/>
              <w:jc w:val="center"/>
              <w:rPr>
                <w:color w:val="000000"/>
                <w:kern w:val="0"/>
                <w:szCs w:val="21"/>
              </w:rPr>
            </w:pPr>
            <w:r>
              <w:rPr>
                <w:color w:val="000000"/>
                <w:kern w:val="0"/>
                <w:szCs w:val="21"/>
              </w:rPr>
              <w:t>062</w:t>
            </w:r>
          </w:p>
        </w:tc>
        <w:tc>
          <w:tcPr>
            <w:tcW w:w="1909" w:type="dxa"/>
            <w:tcBorders>
              <w:top w:val="nil"/>
              <w:left w:val="nil"/>
              <w:bottom w:val="single" w:color="auto" w:sz="4" w:space="0"/>
              <w:right w:val="single" w:color="auto" w:sz="4" w:space="0"/>
            </w:tcBorders>
            <w:shd w:val="clear" w:color="auto" w:fill="auto"/>
            <w:noWrap/>
            <w:vAlign w:val="center"/>
          </w:tcPr>
          <w:p w14:paraId="58C6C7B6">
            <w:pPr>
              <w:widowControl/>
              <w:jc w:val="center"/>
              <w:rPr>
                <w:color w:val="000000"/>
                <w:kern w:val="0"/>
                <w:szCs w:val="21"/>
              </w:rPr>
            </w:pPr>
            <w:r>
              <w:rPr>
                <w:color w:val="000000"/>
                <w:kern w:val="0"/>
                <w:szCs w:val="21"/>
              </w:rPr>
              <w:t>采矿用地</w:t>
            </w:r>
          </w:p>
        </w:tc>
        <w:tc>
          <w:tcPr>
            <w:tcW w:w="1150" w:type="dxa"/>
            <w:tcBorders>
              <w:top w:val="nil"/>
              <w:left w:val="nil"/>
              <w:bottom w:val="single" w:color="auto" w:sz="4" w:space="0"/>
              <w:right w:val="single" w:color="auto" w:sz="4" w:space="0"/>
            </w:tcBorders>
            <w:shd w:val="clear" w:color="auto" w:fill="auto"/>
            <w:noWrap/>
            <w:vAlign w:val="center"/>
          </w:tcPr>
          <w:p w14:paraId="43E4BA17">
            <w:pPr>
              <w:widowControl/>
              <w:jc w:val="center"/>
              <w:rPr>
                <w:color w:val="000000"/>
                <w:kern w:val="0"/>
                <w:szCs w:val="21"/>
              </w:rPr>
            </w:pPr>
            <w:r>
              <w:rPr>
                <w:color w:val="000000"/>
                <w:kern w:val="0"/>
                <w:szCs w:val="21"/>
              </w:rPr>
              <w:t>0.7997</w:t>
            </w:r>
          </w:p>
        </w:tc>
        <w:tc>
          <w:tcPr>
            <w:tcW w:w="1150" w:type="dxa"/>
            <w:tcBorders>
              <w:top w:val="nil"/>
              <w:left w:val="nil"/>
              <w:bottom w:val="single" w:color="auto" w:sz="4" w:space="0"/>
              <w:right w:val="single" w:color="auto" w:sz="4" w:space="0"/>
            </w:tcBorders>
            <w:shd w:val="clear" w:color="auto" w:fill="auto"/>
            <w:noWrap/>
            <w:vAlign w:val="center"/>
          </w:tcPr>
          <w:p w14:paraId="58319D58">
            <w:pPr>
              <w:widowControl/>
              <w:jc w:val="center"/>
              <w:rPr>
                <w:color w:val="000000"/>
                <w:kern w:val="0"/>
                <w:szCs w:val="21"/>
              </w:rPr>
            </w:pPr>
            <w:r>
              <w:rPr>
                <w:color w:val="000000"/>
                <w:kern w:val="0"/>
                <w:szCs w:val="21"/>
              </w:rPr>
              <w:t>0</w:t>
            </w:r>
          </w:p>
        </w:tc>
        <w:tc>
          <w:tcPr>
            <w:tcW w:w="1260" w:type="dxa"/>
            <w:tcBorders>
              <w:top w:val="nil"/>
              <w:left w:val="nil"/>
              <w:bottom w:val="single" w:color="auto" w:sz="4" w:space="0"/>
              <w:right w:val="single" w:color="auto" w:sz="4" w:space="0"/>
            </w:tcBorders>
            <w:shd w:val="clear" w:color="auto" w:fill="auto"/>
            <w:noWrap/>
            <w:vAlign w:val="center"/>
          </w:tcPr>
          <w:p w14:paraId="061EF76D">
            <w:pPr>
              <w:widowControl/>
              <w:jc w:val="center"/>
              <w:rPr>
                <w:color w:val="000000"/>
                <w:kern w:val="0"/>
                <w:szCs w:val="21"/>
              </w:rPr>
            </w:pPr>
            <w:r>
              <w:rPr>
                <w:color w:val="000000"/>
                <w:kern w:val="0"/>
                <w:szCs w:val="21"/>
              </w:rPr>
              <w:t>-100.00%</w:t>
            </w:r>
          </w:p>
        </w:tc>
      </w:tr>
      <w:tr w14:paraId="0D74DBAA">
        <w:tblPrEx>
          <w:tblCellMar>
            <w:top w:w="0" w:type="dxa"/>
            <w:left w:w="108" w:type="dxa"/>
            <w:bottom w:w="0" w:type="dxa"/>
            <w:right w:w="108" w:type="dxa"/>
          </w:tblCellMar>
        </w:tblPrEx>
        <w:trPr>
          <w:trHeight w:val="342" w:hRule="atLeast"/>
          <w:jc w:val="center"/>
        </w:trPr>
        <w:tc>
          <w:tcPr>
            <w:tcW w:w="395" w:type="dxa"/>
            <w:tcBorders>
              <w:top w:val="nil"/>
              <w:left w:val="single" w:color="auto" w:sz="4" w:space="0"/>
              <w:bottom w:val="single" w:color="auto" w:sz="4" w:space="0"/>
              <w:right w:val="single" w:color="auto" w:sz="4" w:space="0"/>
            </w:tcBorders>
            <w:shd w:val="clear" w:color="auto" w:fill="auto"/>
            <w:noWrap/>
            <w:vAlign w:val="center"/>
          </w:tcPr>
          <w:p w14:paraId="438085B6">
            <w:pPr>
              <w:widowControl/>
              <w:jc w:val="center"/>
              <w:rPr>
                <w:color w:val="000000"/>
                <w:kern w:val="0"/>
                <w:szCs w:val="21"/>
              </w:rPr>
            </w:pPr>
            <w:r>
              <w:rPr>
                <w:color w:val="000000"/>
                <w:kern w:val="0"/>
                <w:szCs w:val="21"/>
              </w:rPr>
              <w:t>07</w:t>
            </w:r>
          </w:p>
        </w:tc>
        <w:tc>
          <w:tcPr>
            <w:tcW w:w="2225" w:type="dxa"/>
            <w:tcBorders>
              <w:top w:val="nil"/>
              <w:left w:val="nil"/>
              <w:bottom w:val="single" w:color="auto" w:sz="4" w:space="0"/>
              <w:right w:val="single" w:color="auto" w:sz="4" w:space="0"/>
            </w:tcBorders>
            <w:shd w:val="clear" w:color="auto" w:fill="auto"/>
            <w:noWrap/>
            <w:vAlign w:val="center"/>
          </w:tcPr>
          <w:p w14:paraId="1720DA1F">
            <w:pPr>
              <w:widowControl/>
              <w:jc w:val="center"/>
              <w:rPr>
                <w:color w:val="000000"/>
                <w:kern w:val="0"/>
                <w:szCs w:val="21"/>
              </w:rPr>
            </w:pPr>
            <w:r>
              <w:rPr>
                <w:color w:val="000000"/>
                <w:kern w:val="0"/>
                <w:szCs w:val="21"/>
              </w:rPr>
              <w:t>住宅用地</w:t>
            </w:r>
          </w:p>
        </w:tc>
        <w:tc>
          <w:tcPr>
            <w:tcW w:w="511" w:type="dxa"/>
            <w:tcBorders>
              <w:top w:val="nil"/>
              <w:left w:val="nil"/>
              <w:bottom w:val="single" w:color="auto" w:sz="4" w:space="0"/>
              <w:right w:val="single" w:color="auto" w:sz="4" w:space="0"/>
            </w:tcBorders>
            <w:shd w:val="clear" w:color="auto" w:fill="auto"/>
            <w:noWrap/>
            <w:vAlign w:val="center"/>
          </w:tcPr>
          <w:p w14:paraId="525A80EA">
            <w:pPr>
              <w:widowControl/>
              <w:jc w:val="center"/>
              <w:rPr>
                <w:color w:val="000000"/>
                <w:kern w:val="0"/>
                <w:szCs w:val="21"/>
              </w:rPr>
            </w:pPr>
            <w:r>
              <w:rPr>
                <w:color w:val="000000"/>
                <w:kern w:val="0"/>
                <w:szCs w:val="21"/>
              </w:rPr>
              <w:t>071</w:t>
            </w:r>
          </w:p>
        </w:tc>
        <w:tc>
          <w:tcPr>
            <w:tcW w:w="1909" w:type="dxa"/>
            <w:tcBorders>
              <w:top w:val="nil"/>
              <w:left w:val="nil"/>
              <w:bottom w:val="single" w:color="auto" w:sz="4" w:space="0"/>
              <w:right w:val="single" w:color="auto" w:sz="4" w:space="0"/>
            </w:tcBorders>
            <w:shd w:val="clear" w:color="auto" w:fill="auto"/>
            <w:noWrap/>
            <w:vAlign w:val="center"/>
          </w:tcPr>
          <w:p w14:paraId="6C14B808">
            <w:pPr>
              <w:widowControl/>
              <w:jc w:val="center"/>
              <w:rPr>
                <w:color w:val="000000"/>
                <w:kern w:val="0"/>
                <w:szCs w:val="21"/>
              </w:rPr>
            </w:pPr>
            <w:r>
              <w:rPr>
                <w:color w:val="000000"/>
                <w:kern w:val="0"/>
                <w:szCs w:val="21"/>
              </w:rPr>
              <w:t>城镇住宅用地</w:t>
            </w:r>
          </w:p>
        </w:tc>
        <w:tc>
          <w:tcPr>
            <w:tcW w:w="1150" w:type="dxa"/>
            <w:tcBorders>
              <w:top w:val="nil"/>
              <w:left w:val="nil"/>
              <w:bottom w:val="single" w:color="auto" w:sz="4" w:space="0"/>
              <w:right w:val="single" w:color="auto" w:sz="4" w:space="0"/>
            </w:tcBorders>
            <w:shd w:val="clear" w:color="auto" w:fill="auto"/>
            <w:noWrap/>
            <w:vAlign w:val="center"/>
          </w:tcPr>
          <w:p w14:paraId="545CABB5">
            <w:pPr>
              <w:widowControl/>
              <w:jc w:val="center"/>
              <w:rPr>
                <w:color w:val="000000"/>
                <w:kern w:val="0"/>
                <w:szCs w:val="21"/>
              </w:rPr>
            </w:pPr>
            <w:r>
              <w:rPr>
                <w:color w:val="000000"/>
                <w:kern w:val="0"/>
                <w:szCs w:val="21"/>
              </w:rPr>
              <w:t>0.2597</w:t>
            </w:r>
          </w:p>
        </w:tc>
        <w:tc>
          <w:tcPr>
            <w:tcW w:w="1150" w:type="dxa"/>
            <w:tcBorders>
              <w:top w:val="nil"/>
              <w:left w:val="nil"/>
              <w:bottom w:val="single" w:color="auto" w:sz="4" w:space="0"/>
              <w:right w:val="single" w:color="auto" w:sz="4" w:space="0"/>
            </w:tcBorders>
            <w:shd w:val="clear" w:color="auto" w:fill="auto"/>
            <w:noWrap/>
            <w:vAlign w:val="center"/>
          </w:tcPr>
          <w:p w14:paraId="79023C84">
            <w:pPr>
              <w:widowControl/>
              <w:jc w:val="center"/>
              <w:rPr>
                <w:color w:val="000000"/>
                <w:kern w:val="0"/>
                <w:szCs w:val="21"/>
              </w:rPr>
            </w:pPr>
            <w:r>
              <w:rPr>
                <w:color w:val="000000"/>
                <w:kern w:val="0"/>
                <w:szCs w:val="21"/>
              </w:rPr>
              <w:t>0</w:t>
            </w:r>
          </w:p>
        </w:tc>
        <w:tc>
          <w:tcPr>
            <w:tcW w:w="1260" w:type="dxa"/>
            <w:tcBorders>
              <w:top w:val="nil"/>
              <w:left w:val="nil"/>
              <w:bottom w:val="single" w:color="auto" w:sz="4" w:space="0"/>
              <w:right w:val="single" w:color="auto" w:sz="4" w:space="0"/>
            </w:tcBorders>
            <w:shd w:val="clear" w:color="auto" w:fill="auto"/>
            <w:noWrap/>
            <w:vAlign w:val="center"/>
          </w:tcPr>
          <w:p w14:paraId="5AFD6B4C">
            <w:pPr>
              <w:widowControl/>
              <w:jc w:val="center"/>
              <w:rPr>
                <w:color w:val="000000"/>
                <w:kern w:val="0"/>
                <w:szCs w:val="21"/>
              </w:rPr>
            </w:pPr>
            <w:r>
              <w:rPr>
                <w:color w:val="000000"/>
                <w:kern w:val="0"/>
                <w:szCs w:val="21"/>
              </w:rPr>
              <w:t>-100.00%</w:t>
            </w:r>
          </w:p>
        </w:tc>
      </w:tr>
      <w:tr w14:paraId="3E97397A">
        <w:tblPrEx>
          <w:tblCellMar>
            <w:top w:w="0" w:type="dxa"/>
            <w:left w:w="108" w:type="dxa"/>
            <w:bottom w:w="0" w:type="dxa"/>
            <w:right w:w="108" w:type="dxa"/>
          </w:tblCellMar>
        </w:tblPrEx>
        <w:trPr>
          <w:trHeight w:val="342" w:hRule="atLeast"/>
          <w:jc w:val="center"/>
        </w:trPr>
        <w:tc>
          <w:tcPr>
            <w:tcW w:w="5040"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7FF4D332">
            <w:pPr>
              <w:widowControl/>
              <w:jc w:val="center"/>
              <w:rPr>
                <w:color w:val="000000"/>
                <w:kern w:val="0"/>
                <w:szCs w:val="21"/>
              </w:rPr>
            </w:pPr>
            <w:r>
              <w:rPr>
                <w:color w:val="000000"/>
                <w:kern w:val="0"/>
                <w:szCs w:val="21"/>
              </w:rPr>
              <w:t>合计</w:t>
            </w:r>
          </w:p>
        </w:tc>
        <w:tc>
          <w:tcPr>
            <w:tcW w:w="1150" w:type="dxa"/>
            <w:tcBorders>
              <w:top w:val="nil"/>
              <w:left w:val="nil"/>
              <w:bottom w:val="single" w:color="auto" w:sz="4" w:space="0"/>
              <w:right w:val="single" w:color="auto" w:sz="4" w:space="0"/>
            </w:tcBorders>
            <w:shd w:val="clear" w:color="auto" w:fill="auto"/>
            <w:noWrap/>
            <w:vAlign w:val="center"/>
          </w:tcPr>
          <w:p w14:paraId="14A4236F">
            <w:pPr>
              <w:widowControl/>
              <w:jc w:val="center"/>
              <w:rPr>
                <w:color w:val="000000"/>
                <w:kern w:val="0"/>
                <w:szCs w:val="21"/>
              </w:rPr>
            </w:pPr>
            <w:r>
              <w:rPr>
                <w:color w:val="000000"/>
                <w:kern w:val="0"/>
                <w:szCs w:val="21"/>
              </w:rPr>
              <w:t>2.4148</w:t>
            </w:r>
          </w:p>
        </w:tc>
        <w:tc>
          <w:tcPr>
            <w:tcW w:w="1150" w:type="dxa"/>
            <w:tcBorders>
              <w:top w:val="nil"/>
              <w:left w:val="nil"/>
              <w:bottom w:val="single" w:color="auto" w:sz="4" w:space="0"/>
              <w:right w:val="single" w:color="auto" w:sz="4" w:space="0"/>
            </w:tcBorders>
            <w:shd w:val="clear" w:color="auto" w:fill="auto"/>
            <w:noWrap/>
            <w:vAlign w:val="center"/>
          </w:tcPr>
          <w:p w14:paraId="5FFE833C">
            <w:pPr>
              <w:widowControl/>
              <w:jc w:val="center"/>
              <w:rPr>
                <w:color w:val="000000"/>
                <w:kern w:val="0"/>
                <w:szCs w:val="21"/>
              </w:rPr>
            </w:pPr>
            <w:r>
              <w:rPr>
                <w:color w:val="000000"/>
                <w:kern w:val="0"/>
                <w:szCs w:val="21"/>
              </w:rPr>
              <w:t>2.4148</w:t>
            </w:r>
          </w:p>
        </w:tc>
        <w:tc>
          <w:tcPr>
            <w:tcW w:w="1260" w:type="dxa"/>
            <w:tcBorders>
              <w:top w:val="nil"/>
              <w:left w:val="nil"/>
              <w:bottom w:val="single" w:color="auto" w:sz="4" w:space="0"/>
              <w:right w:val="single" w:color="auto" w:sz="4" w:space="0"/>
            </w:tcBorders>
            <w:shd w:val="clear" w:color="auto" w:fill="auto"/>
            <w:noWrap/>
            <w:vAlign w:val="center"/>
          </w:tcPr>
          <w:p w14:paraId="297017D0">
            <w:pPr>
              <w:widowControl/>
              <w:jc w:val="center"/>
              <w:rPr>
                <w:color w:val="000000"/>
                <w:kern w:val="0"/>
                <w:szCs w:val="21"/>
              </w:rPr>
            </w:pPr>
            <w:r>
              <w:rPr>
                <w:color w:val="000000"/>
                <w:kern w:val="0"/>
                <w:szCs w:val="21"/>
              </w:rPr>
              <w:t>0.00%</w:t>
            </w:r>
          </w:p>
        </w:tc>
      </w:tr>
      <w:tr w14:paraId="5B375487">
        <w:tblPrEx>
          <w:tblCellMar>
            <w:top w:w="0" w:type="dxa"/>
            <w:left w:w="108" w:type="dxa"/>
            <w:bottom w:w="0" w:type="dxa"/>
            <w:right w:w="108" w:type="dxa"/>
          </w:tblCellMar>
        </w:tblPrEx>
        <w:trPr>
          <w:trHeight w:val="342" w:hRule="atLeast"/>
          <w:jc w:val="center"/>
        </w:trPr>
        <w:tc>
          <w:tcPr>
            <w:tcW w:w="5040"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14:paraId="74DD186C">
            <w:pPr>
              <w:widowControl/>
              <w:jc w:val="center"/>
              <w:rPr>
                <w:color w:val="000000"/>
                <w:kern w:val="0"/>
                <w:szCs w:val="21"/>
              </w:rPr>
            </w:pPr>
            <w:r>
              <w:rPr>
                <w:color w:val="000000"/>
                <w:kern w:val="0"/>
                <w:szCs w:val="21"/>
              </w:rPr>
              <w:t>土地复垦率</w:t>
            </w:r>
          </w:p>
        </w:tc>
        <w:tc>
          <w:tcPr>
            <w:tcW w:w="3560" w:type="dxa"/>
            <w:gridSpan w:val="3"/>
            <w:tcBorders>
              <w:top w:val="single" w:color="auto" w:sz="4" w:space="0"/>
              <w:left w:val="nil"/>
              <w:bottom w:val="single" w:color="auto" w:sz="4" w:space="0"/>
              <w:right w:val="single" w:color="auto" w:sz="4" w:space="0"/>
            </w:tcBorders>
            <w:shd w:val="clear" w:color="auto" w:fill="auto"/>
            <w:noWrap/>
            <w:vAlign w:val="center"/>
          </w:tcPr>
          <w:p w14:paraId="7C127177">
            <w:pPr>
              <w:widowControl/>
              <w:jc w:val="center"/>
              <w:rPr>
                <w:color w:val="000000"/>
                <w:kern w:val="0"/>
                <w:szCs w:val="21"/>
              </w:rPr>
            </w:pPr>
            <w:r>
              <w:rPr>
                <w:color w:val="000000"/>
                <w:kern w:val="0"/>
                <w:szCs w:val="21"/>
              </w:rPr>
              <w:t>100.00%</w:t>
            </w:r>
          </w:p>
        </w:tc>
      </w:tr>
    </w:tbl>
    <w:p w14:paraId="666B1C16">
      <w:pPr>
        <w:pStyle w:val="5"/>
        <w:spacing w:beforeLines="50" w:afterLines="50" w:line="360" w:lineRule="auto"/>
        <w:rPr>
          <w:b w:val="0"/>
          <w:sz w:val="28"/>
          <w:szCs w:val="28"/>
        </w:rPr>
      </w:pPr>
      <w:bookmarkStart w:id="176" w:name="_Toc43851684"/>
      <w:r>
        <w:rPr>
          <w:b w:val="0"/>
          <w:sz w:val="28"/>
          <w:szCs w:val="28"/>
        </w:rPr>
        <w:t>（二）</w:t>
      </w:r>
      <w:bookmarkEnd w:id="175"/>
      <w:r>
        <w:rPr>
          <w:b w:val="0"/>
          <w:sz w:val="28"/>
          <w:szCs w:val="28"/>
        </w:rPr>
        <w:t>工程设计及技术措施</w:t>
      </w:r>
      <w:bookmarkEnd w:id="176"/>
    </w:p>
    <w:p w14:paraId="1CAAF5E4">
      <w:pPr>
        <w:spacing w:line="360" w:lineRule="auto"/>
        <w:ind w:firstLine="480" w:firstLineChars="200"/>
        <w:rPr>
          <w:sz w:val="24"/>
        </w:rPr>
      </w:pPr>
      <w:r>
        <w:rPr>
          <w:sz w:val="24"/>
        </w:rPr>
        <w:t>1、土壤重构工程</w:t>
      </w:r>
    </w:p>
    <w:p w14:paraId="013CFFE4">
      <w:pPr>
        <w:spacing w:line="360" w:lineRule="auto"/>
        <w:ind w:firstLine="480" w:firstLineChars="200"/>
        <w:rPr>
          <w:kern w:val="0"/>
          <w:sz w:val="24"/>
        </w:rPr>
      </w:pPr>
      <w:r>
        <w:rPr>
          <w:kern w:val="0"/>
          <w:sz w:val="24"/>
        </w:rPr>
        <w:t>（1）表土购买</w:t>
      </w:r>
    </w:p>
    <w:p w14:paraId="0143DE68">
      <w:pPr>
        <w:spacing w:line="360" w:lineRule="auto"/>
        <w:ind w:firstLine="480" w:firstLineChars="200"/>
        <w:rPr>
          <w:kern w:val="0"/>
          <w:sz w:val="24"/>
        </w:rPr>
      </w:pPr>
      <w:r>
        <w:rPr>
          <w:kern w:val="0"/>
          <w:sz w:val="24"/>
        </w:rPr>
        <w:t>表土购买是指将业主购买原材料所在矿山，因开矿剥离的可用于复垦表土购买而来，根据项目区实际，本方案拟购买</w:t>
      </w:r>
      <w:r>
        <w:rPr>
          <w:sz w:val="24"/>
          <w:lang w:val="zh-CN"/>
        </w:rPr>
        <w:t>7545.82m</w:t>
      </w:r>
      <w:r>
        <w:rPr>
          <w:sz w:val="24"/>
          <w:vertAlign w:val="superscript"/>
          <w:lang w:val="zh-CN"/>
        </w:rPr>
        <w:t>3</w:t>
      </w:r>
      <w:r>
        <w:rPr>
          <w:sz w:val="24"/>
          <w:lang w:val="zh-CN"/>
        </w:rPr>
        <w:t>。但是业主原材料来源中含有大量可复垦用的表土，因此，将此工程量纳入矿山生产主体成本中，不再本方案中计算。</w:t>
      </w:r>
    </w:p>
    <w:p w14:paraId="67DCFD71">
      <w:pPr>
        <w:spacing w:line="360" w:lineRule="auto"/>
        <w:ind w:firstLine="480" w:firstLineChars="200"/>
        <w:rPr>
          <w:kern w:val="0"/>
          <w:sz w:val="24"/>
        </w:rPr>
      </w:pPr>
      <w:r>
        <w:rPr>
          <w:kern w:val="0"/>
          <w:sz w:val="24"/>
        </w:rPr>
        <w:t>（2）拆除清理工程</w:t>
      </w:r>
    </w:p>
    <w:p w14:paraId="55C46980">
      <w:pPr>
        <w:spacing w:line="360" w:lineRule="auto"/>
        <w:ind w:firstLine="480" w:firstLineChars="200"/>
        <w:rPr>
          <w:rFonts w:eastAsiaTheme="minorEastAsia"/>
          <w:sz w:val="24"/>
          <w:lang w:bidi="en-US"/>
        </w:rPr>
      </w:pPr>
      <w:r>
        <w:rPr>
          <w:rFonts w:eastAsiaTheme="minorEastAsia"/>
          <w:sz w:val="24"/>
          <w:lang w:bidi="en-US"/>
        </w:rPr>
        <w:t>拆除及清理工程主要包括房屋整体拆除、混凝土地面拆除和清理工程三个部分，详见拆除及处理废渣大样图。</w:t>
      </w:r>
    </w:p>
    <w:p w14:paraId="120209D4">
      <w:pPr>
        <w:spacing w:line="360" w:lineRule="auto"/>
        <w:ind w:firstLine="482" w:firstLineChars="200"/>
        <w:rPr>
          <w:rFonts w:eastAsiaTheme="minorEastAsia"/>
          <w:sz w:val="24"/>
        </w:rPr>
      </w:pPr>
      <w:r>
        <w:rPr>
          <w:rFonts w:eastAsiaTheme="minorEastAsia"/>
          <w:b/>
          <w:sz w:val="24"/>
          <w:lang w:bidi="en-US"/>
        </w:rPr>
        <w:t>房屋整体拆除：</w:t>
      </w:r>
      <w:r>
        <w:rPr>
          <w:rFonts w:eastAsiaTheme="minorEastAsia"/>
          <w:sz w:val="24"/>
          <w:lang w:bidi="en-US"/>
        </w:rPr>
        <w:t>因本项目交通条件良好，适合用房屋整体拆除（机械）拆除方式进行拆除。房屋拆除采用机械方式对房屋、地坪和基础整体进行拆除。拆除的后材料全部外售至当地建设项目区，作为地基充填物。</w:t>
      </w:r>
    </w:p>
    <w:p w14:paraId="699CF7C0">
      <w:pPr>
        <w:spacing w:line="360" w:lineRule="auto"/>
        <w:ind w:firstLine="482" w:firstLineChars="200"/>
        <w:rPr>
          <w:rFonts w:eastAsiaTheme="minorEastAsia"/>
          <w:sz w:val="24"/>
        </w:rPr>
      </w:pPr>
      <w:r>
        <w:rPr>
          <w:rFonts w:eastAsiaTheme="minorEastAsia"/>
          <w:b/>
          <w:sz w:val="24"/>
          <w:lang w:bidi="en-US"/>
        </w:rPr>
        <w:t>混凝土地面拆除：</w:t>
      </w:r>
      <w:r>
        <w:rPr>
          <w:rFonts w:eastAsiaTheme="minorEastAsia"/>
          <w:sz w:val="24"/>
          <w:lang w:bidi="en-US"/>
        </w:rPr>
        <w:t>场地的房屋拆除后，采用机械拆除混凝土面层和垫层。在拆除过程中形成的废渣和房屋拆除的废渣一同进行堆放、集中分类处理。</w:t>
      </w:r>
    </w:p>
    <w:p w14:paraId="2D1AA06C">
      <w:pPr>
        <w:spacing w:line="360" w:lineRule="auto"/>
        <w:ind w:firstLine="482" w:firstLineChars="200"/>
        <w:rPr>
          <w:rFonts w:eastAsiaTheme="minorEastAsia"/>
          <w:sz w:val="24"/>
        </w:rPr>
      </w:pPr>
      <w:r>
        <w:rPr>
          <w:rFonts w:eastAsiaTheme="minorEastAsia"/>
          <w:b/>
          <w:sz w:val="24"/>
          <w:lang w:bidi="en-US"/>
        </w:rPr>
        <w:t>清理工程：</w:t>
      </w:r>
      <w:r>
        <w:rPr>
          <w:rFonts w:eastAsiaTheme="minorEastAsia"/>
          <w:sz w:val="24"/>
          <w:lang w:bidi="en-US"/>
        </w:rPr>
        <w:t>拆除过程中形成的废渣，</w:t>
      </w:r>
      <w:r>
        <w:rPr>
          <w:kern w:val="0"/>
          <w:sz w:val="24"/>
        </w:rPr>
        <w:t>运离项目区用于别处建设项目地基填补</w:t>
      </w:r>
      <w:r>
        <w:rPr>
          <w:rFonts w:eastAsiaTheme="minorEastAsia"/>
          <w:sz w:val="24"/>
          <w:lang w:bidi="en-US"/>
        </w:rPr>
        <w:t>。</w:t>
      </w:r>
    </w:p>
    <w:p w14:paraId="3BC9F219">
      <w:pPr>
        <w:spacing w:line="360" w:lineRule="auto"/>
        <w:jc w:val="left"/>
        <w:rPr>
          <w:rFonts w:eastAsiaTheme="minorEastAsia"/>
          <w:sz w:val="24"/>
        </w:rPr>
      </w:pPr>
      <w:r>
        <w:rPr>
          <w:rFonts w:eastAsiaTheme="minorEastAsia"/>
        </w:rPr>
        <w:drawing>
          <wp:inline distT="0" distB="0" distL="0" distR="0">
            <wp:extent cx="2957830" cy="1842135"/>
            <wp:effectExtent l="19050" t="19050" r="13734" b="24134"/>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noChangeArrowheads="1"/>
                    </pic:cNvPicPr>
                  </pic:nvPicPr>
                  <pic:blipFill>
                    <a:blip r:embed="rId19" cstate="print"/>
                    <a:srcRect/>
                    <a:stretch>
                      <a:fillRect/>
                    </a:stretch>
                  </pic:blipFill>
                  <pic:spPr>
                    <a:xfrm>
                      <a:off x="0" y="0"/>
                      <a:ext cx="2971650" cy="1851228"/>
                    </a:xfrm>
                    <a:prstGeom prst="rect">
                      <a:avLst/>
                    </a:prstGeom>
                    <a:noFill/>
                    <a:ln w="6350" cmpd="sng">
                      <a:solidFill>
                        <a:srgbClr val="000000"/>
                      </a:solidFill>
                      <a:miter lim="800000"/>
                      <a:headEnd/>
                      <a:tailEnd/>
                    </a:ln>
                    <a:effectLst/>
                  </pic:spPr>
                </pic:pic>
              </a:graphicData>
            </a:graphic>
          </wp:inline>
        </w:drawing>
      </w:r>
      <w:r>
        <w:rPr>
          <w:rFonts w:eastAsiaTheme="minorEastAsia"/>
          <w:sz w:val="24"/>
        </w:rPr>
        <w:drawing>
          <wp:inline distT="0" distB="0" distL="0" distR="0">
            <wp:extent cx="2069465" cy="1842770"/>
            <wp:effectExtent l="19050" t="0" r="6814" b="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noChangeArrowheads="1"/>
                    </pic:cNvPicPr>
                  </pic:nvPicPr>
                  <pic:blipFill>
                    <a:blip r:embed="rId20" cstate="print"/>
                    <a:srcRect/>
                    <a:stretch>
                      <a:fillRect/>
                    </a:stretch>
                  </pic:blipFill>
                  <pic:spPr>
                    <a:xfrm>
                      <a:off x="0" y="0"/>
                      <a:ext cx="2069636" cy="1843200"/>
                    </a:xfrm>
                    <a:prstGeom prst="rect">
                      <a:avLst/>
                    </a:prstGeom>
                    <a:noFill/>
                    <a:ln w="9525">
                      <a:noFill/>
                      <a:miter lim="800000"/>
                      <a:headEnd/>
                      <a:tailEnd/>
                    </a:ln>
                  </pic:spPr>
                </pic:pic>
              </a:graphicData>
            </a:graphic>
          </wp:inline>
        </w:drawing>
      </w:r>
    </w:p>
    <w:p w14:paraId="78E19BC1">
      <w:pPr>
        <w:jc w:val="center"/>
        <w:rPr>
          <w:rFonts w:eastAsiaTheme="minorEastAsia"/>
          <w:b/>
          <w:szCs w:val="21"/>
        </w:rPr>
      </w:pPr>
      <w:r>
        <w:rPr>
          <w:rFonts w:eastAsiaTheme="minorEastAsia"/>
          <w:b/>
          <w:szCs w:val="21"/>
        </w:rPr>
        <w:t>图5-2房屋整体拆除大样图图5-3混凝土地面拆除大样图</w:t>
      </w:r>
    </w:p>
    <w:p w14:paraId="35F480F6">
      <w:pPr>
        <w:spacing w:line="360" w:lineRule="auto"/>
        <w:ind w:firstLine="480" w:firstLineChars="200"/>
        <w:rPr>
          <w:kern w:val="0"/>
          <w:sz w:val="24"/>
        </w:rPr>
      </w:pPr>
      <w:r>
        <w:rPr>
          <w:kern w:val="0"/>
          <w:sz w:val="24"/>
        </w:rPr>
        <w:t>采区开采完毕后，应对矿山办公区内的构筑物进行拆除，需要砖瓦砌体82m</w:t>
      </w:r>
      <w:r>
        <w:rPr>
          <w:kern w:val="0"/>
          <w:sz w:val="24"/>
          <w:vertAlign w:val="superscript"/>
        </w:rPr>
        <w:t>3</w:t>
      </w:r>
      <w:r>
        <w:rPr>
          <w:kern w:val="0"/>
          <w:sz w:val="24"/>
        </w:rPr>
        <w:t>，混凝土地面拆除49m</w:t>
      </w:r>
      <w:r>
        <w:rPr>
          <w:kern w:val="0"/>
          <w:sz w:val="24"/>
          <w:vertAlign w:val="superscript"/>
        </w:rPr>
        <w:t>3</w:t>
      </w:r>
      <w:r>
        <w:rPr>
          <w:kern w:val="0"/>
          <w:sz w:val="24"/>
        </w:rPr>
        <w:t>，共需拆除构筑物131m</w:t>
      </w:r>
      <w:r>
        <w:rPr>
          <w:kern w:val="0"/>
          <w:sz w:val="24"/>
          <w:vertAlign w:val="superscript"/>
        </w:rPr>
        <w:t>3</w:t>
      </w:r>
      <w:r>
        <w:rPr>
          <w:kern w:val="0"/>
          <w:sz w:val="24"/>
        </w:rPr>
        <w:t>。砖瓦砌体主要为办公区结构，混凝土地面为厂房区域主要结构。</w:t>
      </w:r>
      <w:r>
        <w:rPr>
          <w:sz w:val="24"/>
        </w:rPr>
        <w:t>清理的废渣拉运到采场采空区进行填埋，平均运距约为50m</w:t>
      </w:r>
      <w:r>
        <w:rPr>
          <w:kern w:val="0"/>
          <w:sz w:val="24"/>
        </w:rPr>
        <w:t>。</w:t>
      </w:r>
    </w:p>
    <w:p w14:paraId="141D2EDA">
      <w:pPr>
        <w:spacing w:line="360" w:lineRule="auto"/>
        <w:ind w:firstLine="480" w:firstLineChars="200"/>
        <w:rPr>
          <w:kern w:val="0"/>
          <w:sz w:val="24"/>
        </w:rPr>
      </w:pPr>
      <w:r>
        <w:rPr>
          <w:kern w:val="0"/>
          <w:sz w:val="24"/>
        </w:rPr>
        <w:t>（3）覆土工程</w:t>
      </w:r>
    </w:p>
    <w:p w14:paraId="5D219AC8">
      <w:pPr>
        <w:spacing w:line="360" w:lineRule="auto"/>
        <w:ind w:firstLine="480" w:firstLineChars="200"/>
        <w:rPr>
          <w:sz w:val="24"/>
        </w:rPr>
      </w:pPr>
      <w:r>
        <w:rPr>
          <w:sz w:val="24"/>
        </w:rPr>
        <w:t>项目区</w:t>
      </w:r>
      <w:r>
        <w:rPr>
          <w:sz w:val="24"/>
          <w:lang w:val="en-GB"/>
        </w:rPr>
        <w:t>1.8545</w:t>
      </w:r>
      <w:r>
        <w:rPr>
          <w:sz w:val="24"/>
          <w:lang w:val="zh-CN"/>
        </w:rPr>
        <w:t>hm</w:t>
      </w:r>
      <w:r>
        <w:rPr>
          <w:sz w:val="24"/>
          <w:vertAlign w:val="superscript"/>
          <w:lang w:val="zh-CN"/>
        </w:rPr>
        <w:t>2</w:t>
      </w:r>
      <w:r>
        <w:rPr>
          <w:sz w:val="24"/>
          <w:lang w:val="zh-CN"/>
        </w:rPr>
        <w:t>复垦为旱地，</w:t>
      </w:r>
      <w:r>
        <w:rPr>
          <w:sz w:val="24"/>
          <w:lang w:val="en-GB"/>
        </w:rPr>
        <w:t>0.3652hm</w:t>
      </w:r>
      <w:r>
        <w:rPr>
          <w:sz w:val="24"/>
          <w:vertAlign w:val="superscript"/>
          <w:lang w:val="en-GB"/>
        </w:rPr>
        <w:t>2</w:t>
      </w:r>
      <w:r>
        <w:rPr>
          <w:sz w:val="24"/>
          <w:lang w:val="en-GB"/>
        </w:rPr>
        <w:t>复垦为有林地，0.1951hm</w:t>
      </w:r>
      <w:r>
        <w:rPr>
          <w:sz w:val="24"/>
          <w:vertAlign w:val="superscript"/>
          <w:lang w:val="en-GB"/>
        </w:rPr>
        <w:t>2</w:t>
      </w:r>
      <w:r>
        <w:rPr>
          <w:sz w:val="24"/>
          <w:lang w:val="en-GB"/>
        </w:rPr>
        <w:t>复垦为其他草地。</w:t>
      </w:r>
      <w:r>
        <w:rPr>
          <w:sz w:val="24"/>
        </w:rPr>
        <w:t>拆除、清理、翻耕后覆土。根据</w:t>
      </w:r>
      <w:r>
        <w:rPr>
          <w:sz w:val="24"/>
          <w:lang w:val="zh-CN"/>
        </w:rPr>
        <w:t>《土地复垦质量控制标准》(TD/T 1036-2013)中表D.8西南山地丘陵区土地复垦质量控制标准</w:t>
      </w:r>
      <w:r>
        <w:rPr>
          <w:sz w:val="24"/>
        </w:rPr>
        <w:t>，复垦为旱地区域覆土厚度为0.4m，复垦为</w:t>
      </w:r>
      <w:r>
        <w:rPr>
          <w:rFonts w:eastAsiaTheme="minorEastAsia"/>
          <w:sz w:val="24"/>
        </w:rPr>
        <w:t>有林地区域采用穴植，覆土方量根据前文坑穴规格计算为7545.82m</w:t>
      </w:r>
      <w:r>
        <w:rPr>
          <w:rFonts w:eastAsiaTheme="minorEastAsia"/>
          <w:sz w:val="24"/>
          <w:vertAlign w:val="superscript"/>
        </w:rPr>
        <w:t>3</w:t>
      </w:r>
      <w:r>
        <w:rPr>
          <w:sz w:val="24"/>
        </w:rPr>
        <w:t>，其他草地采用点播的种植方式，不进行覆土。共计覆土方量为</w:t>
      </w:r>
      <w:r>
        <w:rPr>
          <w:rFonts w:eastAsiaTheme="minorEastAsia"/>
          <w:sz w:val="24"/>
        </w:rPr>
        <w:t>7545.82</w:t>
      </w:r>
      <w:r>
        <w:rPr>
          <w:sz w:val="24"/>
        </w:rPr>
        <w:t>m</w:t>
      </w:r>
      <w:r>
        <w:rPr>
          <w:sz w:val="24"/>
          <w:vertAlign w:val="superscript"/>
        </w:rPr>
        <w:t>3</w:t>
      </w:r>
      <w:r>
        <w:rPr>
          <w:sz w:val="24"/>
        </w:rPr>
        <w:t>。矿山覆土土源直接从剥离区运往复垦区，采用自卸式挖土机运输+74kw推土机推平。</w:t>
      </w:r>
    </w:p>
    <w:p w14:paraId="044792F7">
      <w:pPr>
        <w:spacing w:line="360" w:lineRule="auto"/>
        <w:ind w:firstLine="480" w:firstLineChars="200"/>
        <w:rPr>
          <w:sz w:val="24"/>
        </w:rPr>
      </w:pPr>
      <w:r>
        <w:rPr>
          <w:sz w:val="24"/>
        </w:rPr>
        <w:t>（4）平整工程</w:t>
      </w:r>
    </w:p>
    <w:p w14:paraId="6257E9E0">
      <w:pPr>
        <w:spacing w:line="360" w:lineRule="auto"/>
        <w:ind w:firstLine="480" w:firstLineChars="200"/>
        <w:rPr>
          <w:kern w:val="0"/>
          <w:sz w:val="24"/>
        </w:rPr>
      </w:pPr>
      <w:r>
        <w:rPr>
          <w:rFonts w:eastAsiaTheme="minorEastAsia"/>
          <w:sz w:val="24"/>
        </w:rPr>
        <w:t>对构筑物拆除后的场地进行平整，平整后土地平整度不超过±15cm。</w:t>
      </w:r>
      <w:r>
        <w:rPr>
          <w:color w:val="000000"/>
          <w:sz w:val="24"/>
        </w:rPr>
        <w:t>土地平整之前要确定好平整后的标高及坡度等，平整方式主要为机械平整，借助挖掘、推土机械进行削高填低</w:t>
      </w:r>
      <w:r>
        <w:rPr>
          <w:kern w:val="0"/>
          <w:sz w:val="24"/>
        </w:rPr>
        <w:t>，工程量为2.2197m</w:t>
      </w:r>
      <w:r>
        <w:rPr>
          <w:kern w:val="0"/>
          <w:sz w:val="24"/>
          <w:vertAlign w:val="superscript"/>
        </w:rPr>
        <w:t>2</w:t>
      </w:r>
      <w:r>
        <w:rPr>
          <w:kern w:val="0"/>
          <w:sz w:val="24"/>
        </w:rPr>
        <w:t>。</w:t>
      </w:r>
    </w:p>
    <w:p w14:paraId="13B0A578">
      <w:pPr>
        <w:spacing w:line="360" w:lineRule="auto"/>
        <w:ind w:firstLine="480" w:firstLineChars="200"/>
        <w:rPr>
          <w:kern w:val="0"/>
          <w:sz w:val="24"/>
        </w:rPr>
      </w:pPr>
      <w:r>
        <w:rPr>
          <w:kern w:val="0"/>
          <w:sz w:val="24"/>
        </w:rPr>
        <w:t>（5）生物及化学工程</w:t>
      </w:r>
    </w:p>
    <w:p w14:paraId="5306A045">
      <w:pPr>
        <w:spacing w:line="360" w:lineRule="auto"/>
        <w:ind w:firstLine="480" w:firstLineChars="200"/>
        <w:rPr>
          <w:sz w:val="24"/>
          <w:lang w:val="zh-CN"/>
        </w:rPr>
      </w:pPr>
      <w:r>
        <w:rPr>
          <w:sz w:val="24"/>
          <w:lang w:val="zh-CN"/>
        </w:rPr>
        <w:t>1）废石清理、翻耕拣石，创造深厚绵软的活土层：通过耕作熟化不断拣除土中的石块，同时翻耕可以改善土壤孔隙状况，加深活土层，提高土壤保墒能力，增强通气性，促进微生物活动，提高土壤有效养分，促进作物根系伸展，减少病虫害。翻耕对于培肥土壤都有明显效果。</w:t>
      </w:r>
    </w:p>
    <w:p w14:paraId="7615F4CB">
      <w:pPr>
        <w:spacing w:line="360" w:lineRule="auto"/>
        <w:ind w:firstLine="480" w:firstLineChars="200"/>
        <w:rPr>
          <w:sz w:val="24"/>
          <w:lang w:val="zh-CN"/>
        </w:rPr>
      </w:pPr>
      <w:r>
        <w:rPr>
          <w:sz w:val="24"/>
          <w:lang w:val="zh-CN"/>
        </w:rPr>
        <w:t>2）增施有机肥料，提高土壤肥力：有机质是土壤肥力的重要影响因素，切实提高土壤有机质含量对复垦后土地快速恢复地力有非常重要的意义。在改良土壤过程中，有机肥料和无机肥料配合施用，以有机肥料为主，包括厩肥、人粪尿、堆肥等高能有机肥，可以增加土壤有机质和养分，改良土壤性质，提高土壤肥力。</w:t>
      </w:r>
    </w:p>
    <w:p w14:paraId="079022C4">
      <w:pPr>
        <w:spacing w:line="360" w:lineRule="auto"/>
        <w:ind w:firstLine="480" w:firstLineChars="200"/>
        <w:rPr>
          <w:sz w:val="24"/>
          <w:lang w:val="zh-CN"/>
        </w:rPr>
      </w:pPr>
      <w:r>
        <w:rPr>
          <w:sz w:val="24"/>
          <w:lang w:val="zh-CN"/>
        </w:rPr>
        <w:t>本方案设计使用商品有机肥增加土壤肥力。其中旱地按照3000kg/hm</w:t>
      </w:r>
      <w:r>
        <w:rPr>
          <w:sz w:val="24"/>
          <w:vertAlign w:val="superscript"/>
          <w:lang w:val="zh-CN"/>
        </w:rPr>
        <w:t>2</w:t>
      </w:r>
      <w:r>
        <w:rPr>
          <w:sz w:val="24"/>
          <w:lang w:val="zh-CN"/>
        </w:rPr>
        <w:t>增施，林地按照2000kg/hm</w:t>
      </w:r>
      <w:r>
        <w:rPr>
          <w:sz w:val="24"/>
          <w:vertAlign w:val="superscript"/>
          <w:lang w:val="zh-CN"/>
        </w:rPr>
        <w:t>2</w:t>
      </w:r>
      <w:r>
        <w:rPr>
          <w:sz w:val="24"/>
          <w:lang w:val="zh-CN"/>
        </w:rPr>
        <w:t>增施。</w:t>
      </w:r>
    </w:p>
    <w:p w14:paraId="0D04B280">
      <w:pPr>
        <w:tabs>
          <w:tab w:val="left" w:pos="1620"/>
        </w:tabs>
        <w:spacing w:line="360" w:lineRule="auto"/>
        <w:ind w:firstLine="480" w:firstLineChars="200"/>
        <w:rPr>
          <w:sz w:val="24"/>
        </w:rPr>
      </w:pPr>
      <w:r>
        <w:rPr>
          <w:sz w:val="24"/>
        </w:rPr>
        <w:t>2、植被重建工程</w:t>
      </w:r>
    </w:p>
    <w:p w14:paraId="4771F1C1">
      <w:pPr>
        <w:spacing w:line="360" w:lineRule="auto"/>
        <w:ind w:firstLine="480" w:firstLineChars="200"/>
        <w:rPr>
          <w:sz w:val="24"/>
          <w:lang w:val="zh-CN"/>
        </w:rPr>
      </w:pPr>
      <w:r>
        <w:rPr>
          <w:sz w:val="24"/>
          <w:lang w:val="zh-CN"/>
        </w:rPr>
        <w:t>（1）林地恢复工程</w:t>
      </w:r>
    </w:p>
    <w:p w14:paraId="00D22DC9">
      <w:pPr>
        <w:spacing w:line="360" w:lineRule="auto"/>
        <w:ind w:firstLine="480" w:firstLineChars="200"/>
        <w:rPr>
          <w:sz w:val="24"/>
          <w:lang w:val="zh-CN"/>
        </w:rPr>
      </w:pPr>
      <w:r>
        <w:rPr>
          <w:sz w:val="24"/>
          <w:lang w:val="zh-CN"/>
        </w:rPr>
        <w:t>根据植被筛选原则，</w:t>
      </w:r>
      <w:r>
        <w:rPr>
          <w:rFonts w:eastAsiaTheme="minorEastAsia"/>
          <w:bCs/>
          <w:sz w:val="24"/>
        </w:rPr>
        <w:t>结合实际情况，该区域乡土树种、草种主要有马尾松、柏木、黄荆、爬山虎、高羊茅、苇状羊茅、黑麦草等，各树（草）种生物特性表，详见表5-2。在项目区的周围生长着大量的马尾松、柏木并且生长情况很好。其次，由于项目区处于城市规划区，本方案为了提高植被建设标准，采取“针阔混交、乔草结合”的方式进行复垦，本方案拟设计采用针叶林种为马尾松，马尾松在当地广泛种植，故本方案复垦林地选择栽植马尾松，并在其中撒播狗牙根，其他草地选择栽植爬山虎。</w:t>
      </w:r>
    </w:p>
    <w:p w14:paraId="590008F6">
      <w:pPr>
        <w:jc w:val="center"/>
        <w:rPr>
          <w:rFonts w:eastAsiaTheme="minorEastAsia"/>
          <w:b/>
          <w:szCs w:val="21"/>
        </w:rPr>
      </w:pPr>
      <w:r>
        <w:rPr>
          <w:rFonts w:eastAsiaTheme="minorEastAsia"/>
          <w:b/>
          <w:szCs w:val="21"/>
        </w:rPr>
        <w:t>表5-3选用树（草）种生物学特性表</w:t>
      </w:r>
    </w:p>
    <w:tbl>
      <w:tblPr>
        <w:tblStyle w:val="29"/>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6863"/>
      </w:tblGrid>
      <w:tr w14:paraId="0605C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blHeader/>
          <w:jc w:val="center"/>
        </w:trPr>
        <w:tc>
          <w:tcPr>
            <w:tcW w:w="1857" w:type="dxa"/>
            <w:shd w:val="clear" w:color="auto" w:fill="auto"/>
            <w:vAlign w:val="center"/>
          </w:tcPr>
          <w:p w14:paraId="17DE065E">
            <w:pPr>
              <w:adjustRightInd w:val="0"/>
              <w:snapToGrid w:val="0"/>
              <w:spacing w:line="240" w:lineRule="atLeast"/>
              <w:jc w:val="center"/>
              <w:rPr>
                <w:rFonts w:eastAsiaTheme="minorEastAsia"/>
                <w:szCs w:val="21"/>
              </w:rPr>
            </w:pPr>
            <w:r>
              <w:rPr>
                <w:rFonts w:eastAsiaTheme="minorEastAsia"/>
                <w:szCs w:val="21"/>
              </w:rPr>
              <w:t>树（草）种名称</w:t>
            </w:r>
          </w:p>
        </w:tc>
        <w:tc>
          <w:tcPr>
            <w:tcW w:w="6863" w:type="dxa"/>
            <w:shd w:val="clear" w:color="auto" w:fill="auto"/>
            <w:vAlign w:val="center"/>
          </w:tcPr>
          <w:p w14:paraId="23343DAB">
            <w:pPr>
              <w:adjustRightInd w:val="0"/>
              <w:snapToGrid w:val="0"/>
              <w:spacing w:line="240" w:lineRule="atLeast"/>
              <w:jc w:val="center"/>
              <w:rPr>
                <w:rFonts w:eastAsiaTheme="minorEastAsia"/>
                <w:szCs w:val="21"/>
              </w:rPr>
            </w:pPr>
            <w:r>
              <w:rPr>
                <w:rFonts w:eastAsiaTheme="minorEastAsia"/>
                <w:szCs w:val="21"/>
              </w:rPr>
              <w:t>树（草）种特性</w:t>
            </w:r>
          </w:p>
        </w:tc>
      </w:tr>
      <w:tr w14:paraId="7B56B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57" w:type="dxa"/>
            <w:shd w:val="clear" w:color="auto" w:fill="auto"/>
            <w:vAlign w:val="center"/>
          </w:tcPr>
          <w:p w14:paraId="4FA9F3D1">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柏木</w:t>
            </w:r>
          </w:p>
          <w:p w14:paraId="55D8FA81">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（Cupressus funebris Endl.）</w:t>
            </w:r>
          </w:p>
        </w:tc>
        <w:tc>
          <w:tcPr>
            <w:tcW w:w="6863" w:type="dxa"/>
            <w:shd w:val="clear" w:color="auto" w:fill="auto"/>
            <w:vAlign w:val="center"/>
          </w:tcPr>
          <w:p w14:paraId="27716EEE">
            <w:pPr>
              <w:adjustRightInd w:val="0"/>
              <w:snapToGrid w:val="0"/>
              <w:spacing w:line="240" w:lineRule="atLeast"/>
              <w:rPr>
                <w:rFonts w:eastAsiaTheme="minorEastAsia"/>
                <w:szCs w:val="21"/>
              </w:rPr>
            </w:pPr>
            <w:r>
              <w:rPr>
                <w:rFonts w:eastAsiaTheme="minorEastAsia"/>
                <w:color w:val="333333"/>
                <w:szCs w:val="21"/>
                <w:shd w:val="clear" w:color="auto" w:fill="FFFFFF"/>
              </w:rPr>
              <w:t>柏木喜温暖湿润的气候条件，在年均气温13</w:t>
            </w:r>
            <w:r>
              <w:rPr>
                <w:color w:val="333333"/>
                <w:szCs w:val="21"/>
                <w:shd w:val="clear" w:color="auto" w:fill="FFFFFF"/>
              </w:rPr>
              <w:t>℃</w:t>
            </w:r>
            <w:r>
              <w:rPr>
                <w:rFonts w:eastAsiaTheme="minorEastAsia"/>
                <w:color w:val="333333"/>
                <w:szCs w:val="21"/>
                <w:shd w:val="clear" w:color="auto" w:fill="FFFFFF"/>
              </w:rPr>
              <w:t>-19</w:t>
            </w:r>
            <w:r>
              <w:rPr>
                <w:color w:val="333333"/>
                <w:szCs w:val="21"/>
                <w:shd w:val="clear" w:color="auto" w:fill="FFFFFF"/>
              </w:rPr>
              <w:t>℃</w:t>
            </w:r>
            <w:r>
              <w:rPr>
                <w:rFonts w:eastAsiaTheme="minorEastAsia"/>
                <w:color w:val="333333"/>
                <w:szCs w:val="21"/>
                <w:shd w:val="clear" w:color="auto" w:fill="FFFFFF"/>
              </w:rPr>
              <w:t>，年降雨量1000mm以上，且分配比较均匀，无明显旱季的地方生长良好。对土壤适应性广，中性、微酸性及钙质上均能生长。耐干旱瘠薄，也稍耐水湿，特别是在上层浅薄的钙质紫色土和石灰土上也能正常生长。需有充分上方光照方能生长，但能耐侧方庇荫。主根浅细，侧根发达。耐寒性较强，少有冻害发生。</w:t>
            </w:r>
          </w:p>
        </w:tc>
      </w:tr>
      <w:tr w14:paraId="5FB60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57" w:type="dxa"/>
            <w:shd w:val="clear" w:color="auto" w:fill="auto"/>
            <w:vAlign w:val="center"/>
          </w:tcPr>
          <w:p w14:paraId="637B2486">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马尾松</w:t>
            </w:r>
          </w:p>
          <w:p w14:paraId="31608CFC">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（Pinus massoniana Lamb）</w:t>
            </w:r>
          </w:p>
        </w:tc>
        <w:tc>
          <w:tcPr>
            <w:tcW w:w="6863" w:type="dxa"/>
            <w:shd w:val="clear" w:color="auto" w:fill="auto"/>
            <w:vAlign w:val="center"/>
          </w:tcPr>
          <w:p w14:paraId="00AE5ED7">
            <w:pPr>
              <w:adjustRightInd w:val="0"/>
              <w:snapToGrid w:val="0"/>
              <w:spacing w:line="240" w:lineRule="atLeast"/>
              <w:rPr>
                <w:rFonts w:eastAsiaTheme="minorEastAsia"/>
                <w:szCs w:val="21"/>
              </w:rPr>
            </w:pPr>
            <w:r>
              <w:rPr>
                <w:rFonts w:eastAsiaTheme="minorEastAsia"/>
                <w:color w:val="333333"/>
                <w:szCs w:val="21"/>
                <w:shd w:val="clear" w:color="auto" w:fill="FFFFFF"/>
              </w:rPr>
              <w:t>阳性树种，不耐庇荫，喜光、喜温。适生于年均温13-22</w:t>
            </w:r>
            <w:r>
              <w:rPr>
                <w:color w:val="333333"/>
                <w:szCs w:val="21"/>
                <w:shd w:val="clear" w:color="auto" w:fill="FFFFFF"/>
              </w:rPr>
              <w:t>℃</w:t>
            </w:r>
            <w:r>
              <w:rPr>
                <w:rFonts w:eastAsiaTheme="minorEastAsia"/>
                <w:color w:val="333333"/>
                <w:szCs w:val="21"/>
                <w:shd w:val="clear" w:color="auto" w:fill="FFFFFF"/>
              </w:rPr>
              <w:t>，年降水量800-1800mm，绝对最低温度不到-10</w:t>
            </w:r>
            <w:r>
              <w:rPr>
                <w:color w:val="333333"/>
                <w:szCs w:val="21"/>
                <w:shd w:val="clear" w:color="auto" w:fill="FFFFFF"/>
              </w:rPr>
              <w:t>℃</w:t>
            </w:r>
            <w:r>
              <w:rPr>
                <w:rFonts w:eastAsiaTheme="minorEastAsia"/>
                <w:color w:val="333333"/>
                <w:szCs w:val="21"/>
                <w:shd w:val="clear" w:color="auto" w:fill="FFFFFF"/>
              </w:rPr>
              <w:t>。根系发达，主根明显，有根菌。对土壤要求不严格，喜微酸性土壤，但怕水涝，不耐盐碱，在石砾土、沙质土、粘土、山脊和阳坡的冲刷薄地上，以及陡峭的石山岩缝里都能生长。</w:t>
            </w:r>
          </w:p>
        </w:tc>
      </w:tr>
      <w:tr w14:paraId="6667E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57" w:type="dxa"/>
            <w:shd w:val="clear" w:color="auto" w:fill="auto"/>
            <w:vAlign w:val="center"/>
          </w:tcPr>
          <w:p w14:paraId="4BA770C9">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黄荆</w:t>
            </w:r>
          </w:p>
          <w:p w14:paraId="6E31675E">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（Vitex negundo L）</w:t>
            </w:r>
          </w:p>
        </w:tc>
        <w:tc>
          <w:tcPr>
            <w:tcW w:w="6863" w:type="dxa"/>
            <w:shd w:val="clear" w:color="auto" w:fill="auto"/>
            <w:vAlign w:val="center"/>
          </w:tcPr>
          <w:p w14:paraId="60C3E0B9">
            <w:pPr>
              <w:adjustRightInd w:val="0"/>
              <w:snapToGrid w:val="0"/>
              <w:spacing w:line="240" w:lineRule="atLeast"/>
              <w:rPr>
                <w:rFonts w:eastAsiaTheme="minorEastAsia"/>
                <w:szCs w:val="21"/>
              </w:rPr>
            </w:pPr>
            <w:r>
              <w:rPr>
                <w:rFonts w:eastAsiaTheme="minorEastAsia"/>
                <w:color w:val="333333"/>
                <w:szCs w:val="21"/>
                <w:shd w:val="clear" w:color="auto" w:fill="FFFFFF"/>
              </w:rPr>
              <w:t>喜光，能耐半阴，好肥沃土壤，但亦耐干旱、耐瘠薄和寒冷。萌蘖力强，耐修剪。性喜高温、乾燥和阳光充足的环境，能抗强风，耐旱性、耐寒性付佳，耐阴性稍差，生育适温22-32</w:t>
            </w:r>
            <w:r>
              <w:rPr>
                <w:color w:val="333333"/>
                <w:szCs w:val="21"/>
                <w:shd w:val="clear" w:color="auto" w:fill="FFFFFF"/>
              </w:rPr>
              <w:t>℃</w:t>
            </w:r>
            <w:r>
              <w:rPr>
                <w:rFonts w:eastAsiaTheme="minorEastAsia"/>
                <w:color w:val="333333"/>
                <w:szCs w:val="21"/>
                <w:shd w:val="clear" w:color="auto" w:fill="FFFFFF"/>
              </w:rPr>
              <w:t>。</w:t>
            </w:r>
          </w:p>
        </w:tc>
      </w:tr>
      <w:tr w14:paraId="58D0F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57" w:type="dxa"/>
            <w:shd w:val="clear" w:color="auto" w:fill="auto"/>
            <w:vAlign w:val="center"/>
          </w:tcPr>
          <w:p w14:paraId="383ADB29">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爬山虎（Parthenocissus tricuspidata）</w:t>
            </w:r>
          </w:p>
        </w:tc>
        <w:tc>
          <w:tcPr>
            <w:tcW w:w="6863" w:type="dxa"/>
            <w:shd w:val="clear" w:color="auto" w:fill="auto"/>
            <w:vAlign w:val="center"/>
          </w:tcPr>
          <w:p w14:paraId="63E6E744">
            <w:pPr>
              <w:adjustRightInd w:val="0"/>
              <w:snapToGrid w:val="0"/>
              <w:spacing w:line="240" w:lineRule="atLeast"/>
              <w:jc w:val="left"/>
              <w:rPr>
                <w:rFonts w:eastAsiaTheme="minorEastAsia"/>
                <w:color w:val="333333"/>
                <w:szCs w:val="21"/>
                <w:shd w:val="clear" w:color="auto" w:fill="FFFFFF"/>
              </w:rPr>
            </w:pPr>
            <w:r>
              <w:rPr>
                <w:rFonts w:eastAsiaTheme="minorEastAsia"/>
                <w:color w:val="333333"/>
                <w:szCs w:val="21"/>
                <w:shd w:val="clear" w:color="auto" w:fill="FFFFFF"/>
              </w:rPr>
              <w:t>属多年生大型落叶木质</w:t>
            </w:r>
            <w:r>
              <w:fldChar w:fldCharType="begin"/>
            </w:r>
            <w:r>
              <w:instrText xml:space="preserve"> HYPERLINK "https://baike.baidu.com/item/%E8%97%A4%E6%9C%AC" \t "_blank" </w:instrText>
            </w:r>
            <w:r>
              <w:fldChar w:fldCharType="separate"/>
            </w:r>
            <w:r>
              <w:rPr>
                <w:rFonts w:eastAsiaTheme="minorEastAsia"/>
                <w:color w:val="333333"/>
                <w:szCs w:val="21"/>
                <w:shd w:val="clear" w:color="auto" w:fill="FFFFFF"/>
              </w:rPr>
              <w:t>藤本</w:t>
            </w:r>
            <w:r>
              <w:rPr>
                <w:rFonts w:eastAsiaTheme="minorEastAsia"/>
                <w:color w:val="333333"/>
                <w:szCs w:val="21"/>
                <w:shd w:val="clear" w:color="auto" w:fill="FFFFFF"/>
              </w:rPr>
              <w:fldChar w:fldCharType="end"/>
            </w:r>
            <w:r>
              <w:rPr>
                <w:rFonts w:eastAsiaTheme="minorEastAsia"/>
                <w:color w:val="333333"/>
                <w:szCs w:val="21"/>
                <w:shd w:val="clear" w:color="auto" w:fill="FFFFFF"/>
              </w:rPr>
              <w:t>植物，适应性强，性喜阴湿环境，且不怕强光，耐寒，耐旱，耐贫瘠，气候适应性广泛，在</w:t>
            </w:r>
            <w:r>
              <w:fldChar w:fldCharType="begin"/>
            </w:r>
            <w:r>
              <w:instrText xml:space="preserve"> HYPERLINK "https://baike.baidu.com/item/%E6%9A%96%E6%B8%A9%E5%B8%A6/5140239" \t "_blank" </w:instrText>
            </w:r>
            <w:r>
              <w:fldChar w:fldCharType="separate"/>
            </w:r>
            <w:r>
              <w:rPr>
                <w:rFonts w:eastAsiaTheme="minorEastAsia"/>
                <w:color w:val="333333"/>
                <w:szCs w:val="21"/>
                <w:shd w:val="clear" w:color="auto" w:fill="FFFFFF"/>
              </w:rPr>
              <w:t>暖温带</w:t>
            </w:r>
            <w:r>
              <w:rPr>
                <w:rFonts w:eastAsiaTheme="minorEastAsia"/>
                <w:color w:val="333333"/>
                <w:szCs w:val="21"/>
                <w:shd w:val="clear" w:color="auto" w:fill="FFFFFF"/>
              </w:rPr>
              <w:fldChar w:fldCharType="end"/>
            </w:r>
            <w:r>
              <w:rPr>
                <w:rFonts w:eastAsiaTheme="minorEastAsia"/>
                <w:color w:val="333333"/>
                <w:szCs w:val="21"/>
                <w:shd w:val="clear" w:color="auto" w:fill="FFFFFF"/>
              </w:rPr>
              <w:t>以南冬季也可以保持半常绿或常绿状态。耐修剪，怕积水，对土壤要求不严，阴湿环境或向阳处，均能茁壮生长，但在阴湿、肥沃的土壤中生长最佳。它对二氧化硫和氯化氢等有害气体有较强的抗性，对空气中的灰尘有吸附能力。</w:t>
            </w:r>
          </w:p>
        </w:tc>
      </w:tr>
      <w:tr w14:paraId="2F8CF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57" w:type="dxa"/>
            <w:shd w:val="clear" w:color="auto" w:fill="auto"/>
            <w:vAlign w:val="center"/>
          </w:tcPr>
          <w:p w14:paraId="7B9A338B">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高羊茅</w:t>
            </w:r>
          </w:p>
          <w:p w14:paraId="4C821FB5">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（Festuca elata Keng ex E. Alexeev）</w:t>
            </w:r>
          </w:p>
        </w:tc>
        <w:tc>
          <w:tcPr>
            <w:tcW w:w="6863" w:type="dxa"/>
            <w:shd w:val="clear" w:color="auto" w:fill="auto"/>
            <w:vAlign w:val="center"/>
          </w:tcPr>
          <w:p w14:paraId="4F562ECC">
            <w:pPr>
              <w:adjustRightInd w:val="0"/>
              <w:snapToGrid w:val="0"/>
              <w:spacing w:line="240" w:lineRule="atLeast"/>
              <w:rPr>
                <w:rFonts w:eastAsiaTheme="minorEastAsia"/>
                <w:color w:val="333333"/>
                <w:szCs w:val="21"/>
                <w:shd w:val="clear" w:color="auto" w:fill="FFFFFF"/>
              </w:rPr>
            </w:pPr>
            <w:r>
              <w:rPr>
                <w:rFonts w:eastAsiaTheme="minorEastAsia"/>
                <w:color w:val="333333"/>
                <w:szCs w:val="21"/>
                <w:shd w:val="clear" w:color="auto" w:fill="FFFFFF"/>
              </w:rPr>
              <w:t>性喜寒冷潮湿、温暖的</w:t>
            </w:r>
            <w:r>
              <w:fldChar w:fldCharType="begin"/>
            </w:r>
            <w:r>
              <w:instrText xml:space="preserve"> HYPERLINK "https://baike.so.com/doc/1611583-1703640.html" \t "_blank" </w:instrText>
            </w:r>
            <w:r>
              <w:fldChar w:fldCharType="separate"/>
            </w:r>
            <w:r>
              <w:rPr>
                <w:rFonts w:eastAsiaTheme="minorEastAsia"/>
                <w:color w:val="333333"/>
                <w:szCs w:val="21"/>
                <w:shd w:val="clear" w:color="auto" w:fill="FFFFFF"/>
              </w:rPr>
              <w:t>气候</w:t>
            </w:r>
            <w:r>
              <w:rPr>
                <w:rFonts w:eastAsiaTheme="minorEastAsia"/>
                <w:color w:val="333333"/>
                <w:szCs w:val="21"/>
                <w:shd w:val="clear" w:color="auto" w:fill="FFFFFF"/>
              </w:rPr>
              <w:fldChar w:fldCharType="end"/>
            </w:r>
            <w:r>
              <w:rPr>
                <w:rFonts w:eastAsiaTheme="minorEastAsia"/>
                <w:color w:val="333333"/>
                <w:szCs w:val="21"/>
                <w:shd w:val="clear" w:color="auto" w:fill="FFFFFF"/>
              </w:rPr>
              <w:t>，在肥沃、潮湿、富含</w:t>
            </w:r>
            <w:r>
              <w:fldChar w:fldCharType="begin"/>
            </w:r>
            <w:r>
              <w:instrText xml:space="preserve"> HYPERLINK "https://baike.so.com/doc/116489-122981.html" \t "_blank" </w:instrText>
            </w:r>
            <w:r>
              <w:fldChar w:fldCharType="separate"/>
            </w:r>
            <w:r>
              <w:rPr>
                <w:rFonts w:eastAsiaTheme="minorEastAsia"/>
                <w:color w:val="333333"/>
                <w:szCs w:val="21"/>
                <w:shd w:val="clear" w:color="auto" w:fill="FFFFFF"/>
              </w:rPr>
              <w:t>有机质</w:t>
            </w:r>
            <w:r>
              <w:rPr>
                <w:rFonts w:eastAsiaTheme="minorEastAsia"/>
                <w:color w:val="333333"/>
                <w:szCs w:val="21"/>
                <w:shd w:val="clear" w:color="auto" w:fill="FFFFFF"/>
              </w:rPr>
              <w:fldChar w:fldCharType="end"/>
            </w:r>
            <w:r>
              <w:rPr>
                <w:rFonts w:eastAsiaTheme="minorEastAsia"/>
                <w:color w:val="333333"/>
                <w:szCs w:val="21"/>
                <w:shd w:val="clear" w:color="auto" w:fill="FFFFFF"/>
              </w:rPr>
              <w:t>、pH值为4.7-8.5的细</w:t>
            </w:r>
            <w:r>
              <w:fldChar w:fldCharType="begin"/>
            </w:r>
            <w:r>
              <w:instrText xml:space="preserve"> HYPERLINK "https://baike.so.com/doc/6147307-6360492.html" \t "_blank" </w:instrText>
            </w:r>
            <w:r>
              <w:fldChar w:fldCharType="separate"/>
            </w:r>
            <w:r>
              <w:rPr>
                <w:rFonts w:eastAsiaTheme="minorEastAsia"/>
                <w:color w:val="333333"/>
                <w:szCs w:val="21"/>
                <w:shd w:val="clear" w:color="auto" w:fill="FFFFFF"/>
              </w:rPr>
              <w:t>壤土</w:t>
            </w:r>
            <w:r>
              <w:rPr>
                <w:rFonts w:eastAsiaTheme="minorEastAsia"/>
                <w:color w:val="333333"/>
                <w:szCs w:val="21"/>
                <w:shd w:val="clear" w:color="auto" w:fill="FFFFFF"/>
              </w:rPr>
              <w:fldChar w:fldCharType="end"/>
            </w:r>
            <w:r>
              <w:rPr>
                <w:rFonts w:eastAsiaTheme="minorEastAsia"/>
                <w:color w:val="333333"/>
                <w:szCs w:val="21"/>
                <w:shd w:val="clear" w:color="auto" w:fill="FFFFFF"/>
              </w:rPr>
              <w:t>中生长良好。耐高温;喜光，耐半阴，对</w:t>
            </w:r>
            <w:r>
              <w:fldChar w:fldCharType="begin"/>
            </w:r>
            <w:r>
              <w:instrText xml:space="preserve"> HYPERLINK "https://baike.so.com/doc/2334146-2468689.html" \t "_blank" </w:instrText>
            </w:r>
            <w:r>
              <w:fldChar w:fldCharType="separate"/>
            </w:r>
            <w:r>
              <w:rPr>
                <w:rFonts w:eastAsiaTheme="minorEastAsia"/>
                <w:color w:val="333333"/>
                <w:szCs w:val="21"/>
                <w:shd w:val="clear" w:color="auto" w:fill="FFFFFF"/>
              </w:rPr>
              <w:t>肥料</w:t>
            </w:r>
            <w:r>
              <w:rPr>
                <w:rFonts w:eastAsiaTheme="minorEastAsia"/>
                <w:color w:val="333333"/>
                <w:szCs w:val="21"/>
                <w:shd w:val="clear" w:color="auto" w:fill="FFFFFF"/>
              </w:rPr>
              <w:fldChar w:fldCharType="end"/>
            </w:r>
            <w:r>
              <w:rPr>
                <w:rFonts w:eastAsiaTheme="minorEastAsia"/>
                <w:color w:val="333333"/>
                <w:szCs w:val="21"/>
                <w:shd w:val="clear" w:color="auto" w:fill="FFFFFF"/>
              </w:rPr>
              <w:t>反应敏感，</w:t>
            </w:r>
            <w:r>
              <w:fldChar w:fldCharType="begin"/>
            </w:r>
            <w:r>
              <w:instrText xml:space="preserve"> HYPERLINK "https://baike.so.com/doc/6171690-6384930.html" \t "_blank" </w:instrText>
            </w:r>
            <w:r>
              <w:fldChar w:fldCharType="separate"/>
            </w:r>
            <w:r>
              <w:rPr>
                <w:rFonts w:eastAsiaTheme="minorEastAsia"/>
                <w:color w:val="333333"/>
                <w:szCs w:val="21"/>
                <w:shd w:val="clear" w:color="auto" w:fill="FFFFFF"/>
              </w:rPr>
              <w:t>抗逆性</w:t>
            </w:r>
            <w:r>
              <w:rPr>
                <w:rFonts w:eastAsiaTheme="minorEastAsia"/>
                <w:color w:val="333333"/>
                <w:szCs w:val="21"/>
                <w:shd w:val="clear" w:color="auto" w:fill="FFFFFF"/>
              </w:rPr>
              <w:fldChar w:fldCharType="end"/>
            </w:r>
            <w:r>
              <w:rPr>
                <w:rFonts w:eastAsiaTheme="minorEastAsia"/>
                <w:color w:val="333333"/>
                <w:szCs w:val="21"/>
                <w:shd w:val="clear" w:color="auto" w:fill="FFFFFF"/>
              </w:rPr>
              <w:t>强，耐酸、耐</w:t>
            </w:r>
            <w:r>
              <w:fldChar w:fldCharType="begin"/>
            </w:r>
            <w:r>
              <w:instrText xml:space="preserve"> HYPERLINK "https://baike.so.com/doc/6667186-6881020.html" \t "_blank" </w:instrText>
            </w:r>
            <w:r>
              <w:fldChar w:fldCharType="separate"/>
            </w:r>
            <w:r>
              <w:rPr>
                <w:rFonts w:eastAsiaTheme="minorEastAsia"/>
                <w:color w:val="333333"/>
                <w:szCs w:val="21"/>
                <w:shd w:val="clear" w:color="auto" w:fill="FFFFFF"/>
              </w:rPr>
              <w:t>瘠薄</w:t>
            </w:r>
            <w:r>
              <w:rPr>
                <w:rFonts w:eastAsiaTheme="minorEastAsia"/>
                <w:color w:val="333333"/>
                <w:szCs w:val="21"/>
                <w:shd w:val="clear" w:color="auto" w:fill="FFFFFF"/>
              </w:rPr>
              <w:fldChar w:fldCharType="end"/>
            </w:r>
            <w:r>
              <w:rPr>
                <w:rFonts w:eastAsiaTheme="minorEastAsia"/>
                <w:color w:val="333333"/>
                <w:szCs w:val="21"/>
                <w:shd w:val="clear" w:color="auto" w:fill="FFFFFF"/>
              </w:rPr>
              <w:t>，抗病性强。</w:t>
            </w:r>
          </w:p>
        </w:tc>
      </w:tr>
      <w:tr w14:paraId="03D0F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57" w:type="dxa"/>
            <w:shd w:val="clear" w:color="auto" w:fill="auto"/>
            <w:vAlign w:val="center"/>
          </w:tcPr>
          <w:p w14:paraId="14CB47E6">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苇状羊茅</w:t>
            </w:r>
          </w:p>
          <w:p w14:paraId="723B65E9">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（Festuca arundinacea）</w:t>
            </w:r>
          </w:p>
        </w:tc>
        <w:tc>
          <w:tcPr>
            <w:tcW w:w="6863" w:type="dxa"/>
            <w:shd w:val="clear" w:color="auto" w:fill="auto"/>
            <w:vAlign w:val="center"/>
          </w:tcPr>
          <w:p w14:paraId="2C8803F8">
            <w:pPr>
              <w:adjustRightInd w:val="0"/>
              <w:snapToGrid w:val="0"/>
              <w:spacing w:line="240" w:lineRule="atLeast"/>
              <w:rPr>
                <w:rFonts w:eastAsiaTheme="minorEastAsia"/>
                <w:color w:val="333333"/>
                <w:szCs w:val="21"/>
                <w:shd w:val="clear" w:color="auto" w:fill="FFFFFF"/>
              </w:rPr>
            </w:pPr>
            <w:r>
              <w:rPr>
                <w:rFonts w:eastAsiaTheme="minorEastAsia"/>
                <w:color w:val="333333"/>
                <w:szCs w:val="21"/>
                <w:shd w:val="clear" w:color="auto" w:fill="FFFFFF"/>
              </w:rPr>
              <w:t>是</w:t>
            </w:r>
            <w:r>
              <w:fldChar w:fldCharType="begin"/>
            </w:r>
            <w:r>
              <w:instrText xml:space="preserve"> HYPERLINK "https://baike.so.com/doc/5719802-5932530.html" \t "_blank" </w:instrText>
            </w:r>
            <w:r>
              <w:fldChar w:fldCharType="separate"/>
            </w:r>
            <w:r>
              <w:rPr>
                <w:rFonts w:eastAsiaTheme="minorEastAsia"/>
                <w:color w:val="333333"/>
                <w:szCs w:val="21"/>
                <w:shd w:val="clear" w:color="auto" w:fill="FFFFFF"/>
              </w:rPr>
              <w:t>适应性</w:t>
            </w:r>
            <w:r>
              <w:rPr>
                <w:rFonts w:eastAsiaTheme="minorEastAsia"/>
                <w:color w:val="333333"/>
                <w:szCs w:val="21"/>
                <w:shd w:val="clear" w:color="auto" w:fill="FFFFFF"/>
              </w:rPr>
              <w:fldChar w:fldCharType="end"/>
            </w:r>
            <w:r>
              <w:rPr>
                <w:rFonts w:eastAsiaTheme="minorEastAsia"/>
                <w:color w:val="333333"/>
                <w:szCs w:val="21"/>
                <w:shd w:val="clear" w:color="auto" w:fill="FFFFFF"/>
              </w:rPr>
              <w:t>最广泛的植物之一。它能够在多种气候条件下和生态环境中生长。抗寒又能耐热，耐干旱又能耐潮湿，在冬季-15</w:t>
            </w:r>
            <w:r>
              <w:rPr>
                <w:color w:val="333333"/>
                <w:szCs w:val="21"/>
                <w:shd w:val="clear" w:color="auto" w:fill="FFFFFF"/>
              </w:rPr>
              <w:t>℃</w:t>
            </w:r>
            <w:r>
              <w:rPr>
                <w:rFonts w:eastAsiaTheme="minorEastAsia"/>
                <w:color w:val="333333"/>
                <w:szCs w:val="21"/>
                <w:shd w:val="clear" w:color="auto" w:fill="FFFFFF"/>
              </w:rPr>
              <w:t>的条件下可安全越冬，夏季可耐38</w:t>
            </w:r>
            <w:r>
              <w:rPr>
                <w:color w:val="333333"/>
                <w:szCs w:val="21"/>
                <w:shd w:val="clear" w:color="auto" w:fill="FFFFFF"/>
              </w:rPr>
              <w:t>℃</w:t>
            </w:r>
            <w:r>
              <w:rPr>
                <w:rFonts w:eastAsiaTheme="minorEastAsia"/>
                <w:color w:val="333333"/>
                <w:szCs w:val="21"/>
                <w:shd w:val="clear" w:color="auto" w:fill="FFFFFF"/>
              </w:rPr>
              <w:t>的高温，除砂土和轻质土壤外，</w:t>
            </w:r>
            <w:r>
              <w:fldChar w:fldCharType="begin"/>
            </w:r>
            <w:r>
              <w:instrText xml:space="preserve"> HYPERLINK "https://baike.so.com/doc/5824753-6037571.html" \t "_blank" </w:instrText>
            </w:r>
            <w:r>
              <w:fldChar w:fldCharType="separate"/>
            </w:r>
            <w:r>
              <w:rPr>
                <w:rFonts w:eastAsiaTheme="minorEastAsia"/>
                <w:color w:val="333333"/>
                <w:szCs w:val="21"/>
                <w:shd w:val="clear" w:color="auto" w:fill="FFFFFF"/>
              </w:rPr>
              <w:t>苇状羊茅</w:t>
            </w:r>
            <w:r>
              <w:rPr>
                <w:rFonts w:eastAsiaTheme="minorEastAsia"/>
                <w:color w:val="333333"/>
                <w:szCs w:val="21"/>
                <w:shd w:val="clear" w:color="auto" w:fill="FFFFFF"/>
              </w:rPr>
              <w:fldChar w:fldCharType="end"/>
            </w:r>
            <w:r>
              <w:rPr>
                <w:rFonts w:eastAsiaTheme="minorEastAsia"/>
                <w:color w:val="333333"/>
                <w:szCs w:val="21"/>
                <w:shd w:val="clear" w:color="auto" w:fill="FFFFFF"/>
              </w:rPr>
              <w:t>可在多种类型的土壤上生长，有一定的耐盐能力，可耐pH4.7-9.5的酸碱度。但苇状羊茅最适宜在年降雨量450毫米以上和海拔1500米以下的温暖湿润地区生长，在肥沃，潮湿，粘重的土壤上最繁茂，最适的pH值在5.7-6.0之间。</w:t>
            </w:r>
            <w:r>
              <w:fldChar w:fldCharType="begin"/>
            </w:r>
            <w:r>
              <w:instrText xml:space="preserve"> HYPERLINK "https://baike.so.com/doc/5824753-6037571.html" \t "_blank" </w:instrText>
            </w:r>
            <w:r>
              <w:fldChar w:fldCharType="separate"/>
            </w:r>
            <w:r>
              <w:rPr>
                <w:rFonts w:eastAsiaTheme="minorEastAsia"/>
                <w:color w:val="333333"/>
                <w:szCs w:val="21"/>
                <w:shd w:val="clear" w:color="auto" w:fill="FFFFFF"/>
              </w:rPr>
              <w:t>苇状羊茅</w:t>
            </w:r>
            <w:r>
              <w:rPr>
                <w:rFonts w:eastAsiaTheme="minorEastAsia"/>
                <w:color w:val="333333"/>
                <w:szCs w:val="21"/>
                <w:shd w:val="clear" w:color="auto" w:fill="FFFFFF"/>
              </w:rPr>
              <w:fldChar w:fldCharType="end"/>
            </w:r>
            <w:r>
              <w:rPr>
                <w:rFonts w:eastAsiaTheme="minorEastAsia"/>
                <w:color w:val="333333"/>
                <w:szCs w:val="21"/>
                <w:shd w:val="clear" w:color="auto" w:fill="FFFFFF"/>
              </w:rPr>
              <w:t>长势旺盛，生长迅速，发育正常，春季返青早，秋季可经受1-2次初霜冷冻。</w:t>
            </w:r>
          </w:p>
        </w:tc>
      </w:tr>
      <w:tr w14:paraId="2E460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57" w:type="dxa"/>
            <w:shd w:val="clear" w:color="auto" w:fill="auto"/>
            <w:vAlign w:val="center"/>
          </w:tcPr>
          <w:p w14:paraId="4016FB7A">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黑麦草</w:t>
            </w:r>
          </w:p>
          <w:p w14:paraId="73EAF177">
            <w:pPr>
              <w:adjustRightInd w:val="0"/>
              <w:snapToGrid w:val="0"/>
              <w:spacing w:line="240" w:lineRule="atLeast"/>
              <w:jc w:val="center"/>
              <w:rPr>
                <w:rFonts w:eastAsiaTheme="minorEastAsia"/>
                <w:color w:val="333333"/>
                <w:szCs w:val="21"/>
                <w:shd w:val="clear" w:color="auto" w:fill="FFFFFF"/>
              </w:rPr>
            </w:pPr>
            <w:r>
              <w:rPr>
                <w:rFonts w:eastAsiaTheme="minorEastAsia"/>
                <w:color w:val="333333"/>
                <w:szCs w:val="21"/>
                <w:shd w:val="clear" w:color="auto" w:fill="FFFFFF"/>
              </w:rPr>
              <w:t>(Lolium perenne L)</w:t>
            </w:r>
          </w:p>
        </w:tc>
        <w:tc>
          <w:tcPr>
            <w:tcW w:w="6863" w:type="dxa"/>
            <w:shd w:val="clear" w:color="auto" w:fill="auto"/>
            <w:vAlign w:val="center"/>
          </w:tcPr>
          <w:p w14:paraId="3FCC7A2F">
            <w:pPr>
              <w:adjustRightInd w:val="0"/>
              <w:snapToGrid w:val="0"/>
              <w:spacing w:line="240" w:lineRule="atLeast"/>
              <w:rPr>
                <w:rFonts w:eastAsiaTheme="minorEastAsia"/>
                <w:color w:val="333333"/>
                <w:szCs w:val="21"/>
                <w:shd w:val="clear" w:color="auto" w:fill="FFFFFF"/>
              </w:rPr>
            </w:pPr>
            <w:r>
              <w:rPr>
                <w:rFonts w:eastAsiaTheme="minorEastAsia"/>
                <w:color w:val="333333"/>
                <w:szCs w:val="21"/>
                <w:shd w:val="clear" w:color="auto" w:fill="FFFFFF"/>
              </w:rPr>
              <w:t>高羊茅须根发达，但入土不深，丛生，分蘖很多，种子千粒重2克左右，高羊茅喜温暖湿润土壤，适宜土壤pH为6—7。该草在昼夜温度为12</w:t>
            </w:r>
            <w:r>
              <w:rPr>
                <w:color w:val="333333"/>
                <w:szCs w:val="21"/>
                <w:shd w:val="clear" w:color="auto" w:fill="FFFFFF"/>
              </w:rPr>
              <w:t>℃</w:t>
            </w:r>
            <w:r>
              <w:rPr>
                <w:rFonts w:eastAsiaTheme="minorEastAsia"/>
                <w:color w:val="333333"/>
                <w:szCs w:val="21"/>
                <w:shd w:val="clear" w:color="auto" w:fill="FFFFFF"/>
              </w:rPr>
              <w:t>—27</w:t>
            </w:r>
            <w:r>
              <w:rPr>
                <w:color w:val="333333"/>
                <w:szCs w:val="21"/>
                <w:shd w:val="clear" w:color="auto" w:fill="FFFFFF"/>
              </w:rPr>
              <w:t>℃</w:t>
            </w:r>
            <w:r>
              <w:rPr>
                <w:rFonts w:eastAsiaTheme="minorEastAsia"/>
                <w:color w:val="333333"/>
                <w:szCs w:val="21"/>
                <w:shd w:val="clear" w:color="auto" w:fill="FFFFFF"/>
              </w:rPr>
              <w:t>时再生能力强，光照强，</w:t>
            </w:r>
            <w:r>
              <w:fldChar w:fldCharType="begin"/>
            </w:r>
            <w:r>
              <w:instrText xml:space="preserve"> HYPERLINK "https://baike.so.com/doc/6056480-6269515.html" \t "_blank" </w:instrText>
            </w:r>
            <w:r>
              <w:fldChar w:fldCharType="separate"/>
            </w:r>
            <w:r>
              <w:rPr>
                <w:rFonts w:eastAsiaTheme="minorEastAsia"/>
                <w:color w:val="333333"/>
                <w:szCs w:val="21"/>
                <w:shd w:val="clear" w:color="auto" w:fill="FFFFFF"/>
              </w:rPr>
              <w:t>日照</w:t>
            </w:r>
            <w:r>
              <w:rPr>
                <w:rFonts w:eastAsiaTheme="minorEastAsia"/>
                <w:color w:val="333333"/>
                <w:szCs w:val="21"/>
                <w:shd w:val="clear" w:color="auto" w:fill="FFFFFF"/>
              </w:rPr>
              <w:fldChar w:fldCharType="end"/>
            </w:r>
            <w:r>
              <w:rPr>
                <w:rFonts w:eastAsiaTheme="minorEastAsia"/>
                <w:color w:val="333333"/>
                <w:szCs w:val="21"/>
                <w:shd w:val="clear" w:color="auto" w:fill="FFFFFF"/>
              </w:rPr>
              <w:t>短，温度较低对分蘖有利，遮阳对高羊茅生长不利。高羊茅耐湿，但在排水不良或地下水位过高时不利于高羊茅生长，可在短时间内提供较多青饲料，是春秋季畜禽的良好草资源。景豪园林牧草种植技术。</w:t>
            </w:r>
          </w:p>
        </w:tc>
      </w:tr>
    </w:tbl>
    <w:p w14:paraId="454581F8">
      <w:pPr>
        <w:spacing w:line="360" w:lineRule="auto"/>
        <w:ind w:firstLine="480" w:firstLineChars="200"/>
        <w:rPr>
          <w:sz w:val="24"/>
          <w:lang w:val="zh-CN"/>
        </w:rPr>
      </w:pPr>
      <w:r>
        <w:rPr>
          <w:sz w:val="24"/>
          <w:lang w:val="zh-CN"/>
        </w:rPr>
        <w:t>种植技术参见《造林技术规程》（GB/T15776-2016）和《主要造林树种苗木标准》（川Q790-85）。</w:t>
      </w:r>
    </w:p>
    <w:p w14:paraId="414B89DD">
      <w:pPr>
        <w:spacing w:line="360" w:lineRule="auto"/>
        <w:ind w:firstLine="480" w:firstLineChars="200"/>
        <w:rPr>
          <w:sz w:val="24"/>
          <w:lang w:val="zh-CN"/>
        </w:rPr>
      </w:pPr>
      <w:r>
        <w:rPr>
          <w:sz w:val="24"/>
          <w:lang w:val="zh-CN"/>
        </w:rPr>
        <w:t>整地方式：造林整地方式采用穴状整地，整地规格为60cm×60cnm×60cm，先挖成大明窝，捡尽穴内石块，细土回填至略高于地面10cm。</w:t>
      </w:r>
    </w:p>
    <w:p w14:paraId="2AD33298">
      <w:pPr>
        <w:spacing w:line="360" w:lineRule="auto"/>
        <w:ind w:firstLine="480" w:firstLineChars="200"/>
        <w:rPr>
          <w:sz w:val="24"/>
          <w:lang w:val="zh-CN"/>
        </w:rPr>
      </w:pPr>
      <w:r>
        <w:rPr>
          <w:sz w:val="24"/>
          <w:lang w:val="zh-CN"/>
        </w:rPr>
        <w:t>植苗方法：采用人工造林，以人工植苗方式。人工植苗时应做到苗正根伸、细土壅根、三埋两踩一提苗、栽紧栽稳、深浅适宜、植到窝心、穴面平整，并在林间撒播狗牙根提高复垦标准，撒播标准为40kg/hm</w:t>
      </w:r>
      <w:r>
        <w:rPr>
          <w:sz w:val="24"/>
          <w:vertAlign w:val="superscript"/>
          <w:lang w:val="zh-CN"/>
        </w:rPr>
        <w:t>2</w:t>
      </w:r>
    </w:p>
    <w:p w14:paraId="39184F89">
      <w:pPr>
        <w:spacing w:line="360" w:lineRule="auto"/>
        <w:ind w:firstLine="480" w:firstLineChars="200"/>
        <w:rPr>
          <w:sz w:val="24"/>
          <w:lang w:val="zh-CN"/>
        </w:rPr>
      </w:pPr>
      <w:r>
        <w:rPr>
          <w:sz w:val="24"/>
          <w:lang w:val="zh-CN"/>
        </w:rPr>
        <w:t>植苗时间：选择雨后或阴天土壤湿润时栽植，保证苗木成活。次年秋季检查，造林当年成活率必须达到85%以上，面积合格率达100%；三年成效保存率必须达到80%以上，面积合格率达100%。对成活率达不到85%的地块要及时在当年冬季开展补植。</w:t>
      </w:r>
    </w:p>
    <w:p w14:paraId="541CB948">
      <w:pPr>
        <w:spacing w:line="360" w:lineRule="auto"/>
        <w:ind w:firstLine="480" w:firstLineChars="200"/>
        <w:rPr>
          <w:sz w:val="24"/>
          <w:lang w:val="zh-CN"/>
        </w:rPr>
      </w:pPr>
      <w:r>
        <w:rPr>
          <w:sz w:val="24"/>
          <w:lang w:val="zh-CN"/>
        </w:rPr>
        <w:t>乔木种植规格：本项目设计种植间距为2m×2m，密度为2500株/hm</w:t>
      </w:r>
      <w:r>
        <w:rPr>
          <w:sz w:val="24"/>
          <w:vertAlign w:val="superscript"/>
          <w:lang w:val="zh-CN"/>
        </w:rPr>
        <w:t>2</w:t>
      </w:r>
      <w:r>
        <w:rPr>
          <w:sz w:val="24"/>
          <w:lang w:val="zh-CN"/>
        </w:rPr>
        <w:t>。栽种时，为带裸根栽种，胸径4cm左右，坑穴规格采用0.60m×0.60m×0.60m。在林间撒播狗牙根提高复垦标准，撒播10.96kg，有林地种植面积为0.3652hm</w:t>
      </w:r>
      <w:r>
        <w:rPr>
          <w:sz w:val="24"/>
          <w:vertAlign w:val="superscript"/>
          <w:lang w:val="zh-CN"/>
        </w:rPr>
        <w:t>2</w:t>
      </w:r>
      <w:r>
        <w:rPr>
          <w:sz w:val="24"/>
          <w:lang w:val="zh-CN"/>
        </w:rPr>
        <w:t>，共计913株</w:t>
      </w:r>
      <w:r>
        <w:fldChar w:fldCharType="begin"/>
      </w:r>
      <w:r>
        <w:instrText xml:space="preserve"> HYPERLINK "https://baike.baidu.com/item/%E6%9F%91%E6%A1%94" \t "_blank" </w:instrText>
      </w:r>
      <w:r>
        <w:fldChar w:fldCharType="separate"/>
      </w:r>
      <w:r>
        <w:rPr>
          <w:sz w:val="24"/>
          <w:lang w:val="zh-CN"/>
        </w:rPr>
        <w:t>马尾松</w:t>
      </w:r>
      <w:r>
        <w:rPr>
          <w:sz w:val="24"/>
          <w:lang w:val="zh-CN"/>
        </w:rPr>
        <w:fldChar w:fldCharType="end"/>
      </w:r>
      <w:r>
        <w:rPr>
          <w:sz w:val="24"/>
          <w:lang w:val="zh-CN"/>
        </w:rPr>
        <w:t>。</w:t>
      </w:r>
    </w:p>
    <w:p w14:paraId="2A1D1AAD">
      <w:pPr>
        <w:spacing w:line="360" w:lineRule="auto"/>
        <w:ind w:firstLine="480" w:firstLineChars="200"/>
        <w:rPr>
          <w:sz w:val="24"/>
          <w:lang w:val="zh-CN"/>
        </w:rPr>
      </w:pPr>
      <w:r>
        <w:rPr>
          <w:sz w:val="24"/>
          <w:lang w:val="zh-CN"/>
        </w:rPr>
        <w:t>爬山虎种植规格：本项目设计种植密度按照1m的等间距在坡脚种植。栽种时，在晚春初夏选强壮爬山虎枝条剪成30-40cm长，作为插条。在坡脚和工作平台两侧挖坑15cm左右将插条埋上，注意不要将插条埋反了，每隔一两天浇一次。边坡底部长度为617m，共计栽植617株爬山虎</w:t>
      </w:r>
      <w:r>
        <w:fldChar w:fldCharType="begin"/>
      </w:r>
      <w:r>
        <w:instrText xml:space="preserve"> HYPERLINK "https://baike.baidu.com/item/%E6%9F%91%E6%A1%94" \t "_blank" </w:instrText>
      </w:r>
      <w:r>
        <w:fldChar w:fldCharType="separate"/>
      </w:r>
      <w:r>
        <w:fldChar w:fldCharType="end"/>
      </w:r>
      <w:r>
        <w:rPr>
          <w:sz w:val="24"/>
          <w:lang w:val="zh-CN"/>
        </w:rPr>
        <w:t>。</w:t>
      </w:r>
    </w:p>
    <w:p w14:paraId="360DCE05">
      <w:pPr>
        <w:tabs>
          <w:tab w:val="left" w:pos="1620"/>
        </w:tabs>
        <w:spacing w:line="360" w:lineRule="auto"/>
        <w:ind w:firstLine="480" w:firstLineChars="200"/>
        <w:rPr>
          <w:sz w:val="24"/>
        </w:rPr>
      </w:pPr>
      <w:r>
        <w:rPr>
          <w:sz w:val="24"/>
        </w:rPr>
        <w:t>3、配套工程</w:t>
      </w:r>
    </w:p>
    <w:p w14:paraId="0B37EF5B">
      <w:pPr>
        <w:tabs>
          <w:tab w:val="left" w:pos="1620"/>
        </w:tabs>
        <w:spacing w:line="360" w:lineRule="auto"/>
        <w:ind w:firstLine="480" w:firstLineChars="200"/>
        <w:rPr>
          <w:sz w:val="24"/>
        </w:rPr>
      </w:pPr>
      <w:r>
        <w:rPr>
          <w:sz w:val="24"/>
        </w:rPr>
        <w:t>（1）田埂</w:t>
      </w:r>
    </w:p>
    <w:p w14:paraId="60771B47">
      <w:pPr>
        <w:spacing w:line="360" w:lineRule="auto"/>
        <w:ind w:firstLine="480" w:firstLineChars="200"/>
        <w:rPr>
          <w:kern w:val="0"/>
          <w:sz w:val="24"/>
          <w:highlight w:val="yellow"/>
        </w:rPr>
      </w:pPr>
      <w:r>
        <w:rPr>
          <w:kern w:val="0"/>
          <w:sz w:val="24"/>
        </w:rPr>
        <w:t>在复垦耕地时，应根据复垦后耕地的面积大小划分田块线，一般按照30×40m划分田块线。然后就地取材，依田块线制埂。制埂就地取材，设计上底宽30cm，下底宽50cm，高50cm，梯形断面土埂，田埂累计长度1166m，田埂修筑方量233.2m</w:t>
      </w:r>
      <w:r>
        <w:rPr>
          <w:kern w:val="0"/>
          <w:sz w:val="24"/>
          <w:vertAlign w:val="superscript"/>
        </w:rPr>
        <w:t>3</w:t>
      </w:r>
      <w:r>
        <w:rPr>
          <w:kern w:val="0"/>
          <w:sz w:val="24"/>
        </w:rPr>
        <w:t>。</w:t>
      </w:r>
    </w:p>
    <w:p w14:paraId="59974556">
      <w:pPr>
        <w:spacing w:line="360" w:lineRule="auto"/>
        <w:ind w:firstLine="480" w:firstLineChars="200"/>
        <w:rPr>
          <w:kern w:val="0"/>
          <w:sz w:val="24"/>
        </w:rPr>
      </w:pPr>
      <w:r>
        <w:rPr>
          <w:kern w:val="0"/>
          <w:sz w:val="24"/>
        </w:rPr>
        <w:t>（2）排水沟</w:t>
      </w:r>
    </w:p>
    <w:p w14:paraId="2977FF97">
      <w:pPr>
        <w:spacing w:line="360" w:lineRule="auto"/>
        <w:ind w:firstLine="480" w:firstLineChars="200"/>
        <w:rPr>
          <w:bCs/>
          <w:color w:val="000000"/>
          <w:sz w:val="24"/>
        </w:rPr>
      </w:pPr>
      <w:r>
        <w:rPr>
          <w:bCs/>
          <w:color w:val="000000"/>
          <w:sz w:val="24"/>
        </w:rPr>
        <w:t>本方案设计在</w:t>
      </w:r>
      <w:r>
        <w:rPr>
          <w:sz w:val="24"/>
        </w:rPr>
        <w:t>工业广场修建排灌沟渠</w:t>
      </w:r>
      <w:r>
        <w:rPr>
          <w:bCs/>
          <w:color w:val="000000"/>
          <w:sz w:val="24"/>
        </w:rPr>
        <w:t>，以排出场内汇水。</w:t>
      </w:r>
    </w:p>
    <w:p w14:paraId="15FDAD24">
      <w:pPr>
        <w:spacing w:line="360" w:lineRule="auto"/>
        <w:ind w:firstLine="480" w:firstLineChars="200"/>
        <w:rPr>
          <w:color w:val="000000"/>
          <w:sz w:val="24"/>
        </w:rPr>
      </w:pPr>
      <w:r>
        <w:rPr>
          <w:rFonts w:hint="eastAsia" w:ascii="宋体" w:hAnsi="宋体" w:cs="宋体"/>
          <w:color w:val="000000"/>
          <w:sz w:val="24"/>
        </w:rPr>
        <w:t>①</w:t>
      </w:r>
      <w:r>
        <w:rPr>
          <w:color w:val="000000"/>
          <w:sz w:val="24"/>
        </w:rPr>
        <w:t>排水沟设计流量确定</w:t>
      </w:r>
    </w:p>
    <w:p w14:paraId="1216F325">
      <w:pPr>
        <w:spacing w:line="360" w:lineRule="auto"/>
        <w:ind w:firstLine="480" w:firstLineChars="200"/>
        <w:rPr>
          <w:color w:val="000000"/>
          <w:sz w:val="24"/>
        </w:rPr>
      </w:pPr>
      <w:r>
        <w:rPr>
          <w:color w:val="000000"/>
          <w:sz w:val="24"/>
        </w:rPr>
        <w:t>排水沟流量均采用二十年一遇暴雨排洪标准设计。根据《农田排水工程技术规范》SL/T4-1999的要求，排水沟设计暴雨的历时和排出时间采用一日降雨两日排出，与排洪流量对应。</w:t>
      </w:r>
    </w:p>
    <w:p w14:paraId="3A8EB213">
      <w:pPr>
        <w:spacing w:line="360" w:lineRule="auto"/>
        <w:ind w:firstLine="480" w:firstLineChars="200"/>
        <w:rPr>
          <w:color w:val="000000"/>
          <w:sz w:val="24"/>
        </w:rPr>
      </w:pPr>
      <w:r>
        <w:rPr>
          <w:color w:val="000000"/>
          <w:sz w:val="24"/>
        </w:rPr>
        <w:t>排水沟设计流量按以下公式确定：</w:t>
      </w:r>
    </w:p>
    <w:p w14:paraId="41856030">
      <w:pPr>
        <w:spacing w:line="360" w:lineRule="auto"/>
        <w:ind w:firstLine="480" w:firstLineChars="200"/>
        <w:jc w:val="center"/>
        <w:rPr>
          <w:color w:val="000000"/>
          <w:sz w:val="24"/>
        </w:rPr>
      </w:pPr>
      <w:r>
        <w:rPr>
          <w:color w:val="000000"/>
          <w:sz w:val="24"/>
        </w:rPr>
        <w:t>Q=q</w:t>
      </w:r>
      <w:r>
        <w:rPr>
          <w:color w:val="000000"/>
          <w:sz w:val="24"/>
          <w:vertAlign w:val="subscript"/>
        </w:rPr>
        <w:t>m</w:t>
      </w:r>
      <w:r>
        <w:rPr>
          <w:color w:val="000000"/>
          <w:sz w:val="24"/>
        </w:rPr>
        <w:t>F</w:t>
      </w:r>
    </w:p>
    <w:p w14:paraId="6DF72790">
      <w:pPr>
        <w:spacing w:line="360" w:lineRule="auto"/>
        <w:ind w:firstLine="480" w:firstLineChars="200"/>
        <w:rPr>
          <w:color w:val="000000"/>
          <w:sz w:val="24"/>
        </w:rPr>
      </w:pPr>
      <w:r>
        <w:rPr>
          <w:color w:val="000000"/>
          <w:sz w:val="24"/>
        </w:rPr>
        <w:t>其中：Q—排水设计流量；q</w:t>
      </w:r>
      <w:r>
        <w:rPr>
          <w:color w:val="000000"/>
          <w:sz w:val="24"/>
          <w:vertAlign w:val="subscript"/>
        </w:rPr>
        <w:t>m</w:t>
      </w:r>
      <w:r>
        <w:rPr>
          <w:color w:val="000000"/>
          <w:sz w:val="24"/>
        </w:rPr>
        <w:t>—排水模数；F—排水面积。</w:t>
      </w:r>
    </w:p>
    <w:p w14:paraId="60DF2E2C">
      <w:pPr>
        <w:spacing w:line="360" w:lineRule="auto"/>
        <w:ind w:firstLine="480" w:firstLineChars="200"/>
        <w:rPr>
          <w:color w:val="000000"/>
          <w:sz w:val="24"/>
        </w:rPr>
      </w:pPr>
      <w:r>
        <w:rPr>
          <w:color w:val="000000"/>
          <w:sz w:val="24"/>
        </w:rPr>
        <w:t>山丘区排水模数按以下公式计算：</w:t>
      </w:r>
    </w:p>
    <w:p w14:paraId="34C2C211">
      <w:pPr>
        <w:spacing w:line="360" w:lineRule="auto"/>
        <w:ind w:firstLine="480" w:firstLineChars="200"/>
        <w:jc w:val="center"/>
        <w:rPr>
          <w:color w:val="000000"/>
          <w:sz w:val="24"/>
        </w:rPr>
      </w:pPr>
      <w:r>
        <w:rPr>
          <w:color w:val="000000"/>
          <w:sz w:val="24"/>
        </w:rPr>
        <w:t>F≤10km</w:t>
      </w:r>
      <w:r>
        <w:rPr>
          <w:color w:val="000000"/>
          <w:sz w:val="24"/>
          <w:vertAlign w:val="superscript"/>
        </w:rPr>
        <w:t>2</w:t>
      </w:r>
      <w:r>
        <w:rPr>
          <w:color w:val="000000"/>
          <w:sz w:val="24"/>
        </w:rPr>
        <w:t>时，q</w:t>
      </w:r>
      <w:r>
        <w:rPr>
          <w:color w:val="000000"/>
          <w:sz w:val="24"/>
          <w:vertAlign w:val="subscript"/>
        </w:rPr>
        <w:t>m</w:t>
      </w:r>
      <w:r>
        <w:rPr>
          <w:color w:val="000000"/>
          <w:sz w:val="24"/>
        </w:rPr>
        <w:t>=K</w:t>
      </w:r>
      <w:r>
        <w:rPr>
          <w:color w:val="000000"/>
          <w:sz w:val="24"/>
          <w:vertAlign w:val="subscript"/>
        </w:rPr>
        <w:t>b</w:t>
      </w:r>
      <w:r>
        <w:rPr>
          <w:color w:val="000000"/>
          <w:sz w:val="24"/>
        </w:rPr>
        <w:t>F</w:t>
      </w:r>
      <w:r>
        <w:rPr>
          <w:color w:val="000000"/>
          <w:sz w:val="24"/>
          <w:vertAlign w:val="superscript"/>
        </w:rPr>
        <w:t>n-1</w:t>
      </w:r>
    </w:p>
    <w:p w14:paraId="156AEF12">
      <w:pPr>
        <w:spacing w:line="360" w:lineRule="auto"/>
        <w:ind w:firstLine="480" w:firstLineChars="200"/>
        <w:rPr>
          <w:color w:val="000000"/>
          <w:sz w:val="24"/>
        </w:rPr>
      </w:pPr>
      <w:r>
        <w:rPr>
          <w:color w:val="000000"/>
          <w:sz w:val="24"/>
        </w:rPr>
        <w:t>其中：q</w:t>
      </w:r>
      <w:r>
        <w:rPr>
          <w:color w:val="000000"/>
          <w:sz w:val="24"/>
          <w:vertAlign w:val="subscript"/>
        </w:rPr>
        <w:t>m</w:t>
      </w:r>
      <w:r>
        <w:rPr>
          <w:color w:val="000000"/>
          <w:sz w:val="24"/>
        </w:rPr>
        <w:t>—排水模数，m</w:t>
      </w:r>
      <w:r>
        <w:rPr>
          <w:color w:val="000000"/>
          <w:sz w:val="24"/>
          <w:vertAlign w:val="superscript"/>
        </w:rPr>
        <w:t>3</w:t>
      </w:r>
      <w:r>
        <w:rPr>
          <w:color w:val="000000"/>
          <w:sz w:val="24"/>
        </w:rPr>
        <w:t>/(s.km</w:t>
      </w:r>
      <w:r>
        <w:rPr>
          <w:color w:val="000000"/>
          <w:sz w:val="24"/>
          <w:vertAlign w:val="superscript"/>
        </w:rPr>
        <w:t>2</w:t>
      </w:r>
      <w:r>
        <w:rPr>
          <w:color w:val="000000"/>
          <w:sz w:val="24"/>
        </w:rPr>
        <w:t>)；</w:t>
      </w:r>
    </w:p>
    <w:p w14:paraId="1C044CC4">
      <w:pPr>
        <w:spacing w:line="360" w:lineRule="auto"/>
        <w:ind w:firstLine="1200" w:firstLineChars="500"/>
        <w:rPr>
          <w:color w:val="000000"/>
          <w:sz w:val="24"/>
        </w:rPr>
      </w:pPr>
      <w:r>
        <w:rPr>
          <w:color w:val="000000"/>
          <w:sz w:val="24"/>
        </w:rPr>
        <w:t>F—汇流面积，km</w:t>
      </w:r>
      <w:r>
        <w:rPr>
          <w:color w:val="000000"/>
          <w:sz w:val="24"/>
          <w:vertAlign w:val="superscript"/>
        </w:rPr>
        <w:t>2</w:t>
      </w:r>
      <w:r>
        <w:rPr>
          <w:color w:val="000000"/>
          <w:sz w:val="24"/>
        </w:rPr>
        <w:t>；</w:t>
      </w:r>
    </w:p>
    <w:p w14:paraId="29DB04B6">
      <w:pPr>
        <w:spacing w:line="360" w:lineRule="auto"/>
        <w:ind w:firstLine="1200" w:firstLineChars="500"/>
        <w:rPr>
          <w:color w:val="000000"/>
          <w:sz w:val="24"/>
        </w:rPr>
      </w:pPr>
      <w:r>
        <w:rPr>
          <w:color w:val="000000"/>
          <w:sz w:val="24"/>
        </w:rPr>
        <w:t>K</w:t>
      </w:r>
      <w:r>
        <w:rPr>
          <w:color w:val="000000"/>
          <w:sz w:val="24"/>
          <w:vertAlign w:val="subscript"/>
        </w:rPr>
        <w:t>b</w:t>
      </w:r>
      <w:r>
        <w:rPr>
          <w:color w:val="000000"/>
          <w:sz w:val="24"/>
        </w:rPr>
        <w:t>—径流模数（项目区取14.0）</w:t>
      </w:r>
    </w:p>
    <w:p w14:paraId="04808477">
      <w:pPr>
        <w:spacing w:line="360" w:lineRule="auto"/>
        <w:ind w:firstLine="1200" w:firstLineChars="500"/>
        <w:rPr>
          <w:color w:val="000000"/>
          <w:sz w:val="24"/>
        </w:rPr>
      </w:pPr>
      <w:r>
        <w:rPr>
          <w:color w:val="000000"/>
          <w:sz w:val="24"/>
        </w:rPr>
        <w:t>n—汇水面积指数，当F≤1km</w:t>
      </w:r>
      <w:r>
        <w:rPr>
          <w:color w:val="000000"/>
          <w:sz w:val="24"/>
          <w:vertAlign w:val="superscript"/>
        </w:rPr>
        <w:t>2</w:t>
      </w:r>
      <w:r>
        <w:rPr>
          <w:color w:val="000000"/>
          <w:sz w:val="24"/>
        </w:rPr>
        <w:t>时，取n=1。</w:t>
      </w:r>
    </w:p>
    <w:p w14:paraId="2349BFA8">
      <w:pPr>
        <w:spacing w:line="360" w:lineRule="auto"/>
        <w:ind w:firstLine="480" w:firstLineChars="200"/>
        <w:rPr>
          <w:color w:val="000000"/>
          <w:sz w:val="24"/>
        </w:rPr>
      </w:pPr>
      <w:r>
        <w:rPr>
          <w:rFonts w:hint="eastAsia" w:ascii="宋体" w:hAnsi="宋体" w:cs="宋体"/>
          <w:color w:val="000000"/>
          <w:sz w:val="24"/>
        </w:rPr>
        <w:t>②</w:t>
      </w:r>
      <w:r>
        <w:rPr>
          <w:color w:val="000000"/>
          <w:sz w:val="24"/>
        </w:rPr>
        <w:t>横断面确定</w:t>
      </w:r>
    </w:p>
    <w:p w14:paraId="4D6D5B6E">
      <w:pPr>
        <w:spacing w:line="360" w:lineRule="auto"/>
        <w:ind w:firstLine="480" w:firstLineChars="200"/>
        <w:rPr>
          <w:color w:val="000000"/>
          <w:sz w:val="24"/>
        </w:rPr>
      </w:pPr>
      <w:r>
        <w:rPr>
          <w:color w:val="000000"/>
          <w:sz w:val="24"/>
        </w:rPr>
        <w:t>排水沟一般按均匀流公式设计断面，并按不冲不淤和综合利用的要求进行校核。多泥沙横断面保证冲淤平衡稳定，按以下公式确定：</w:t>
      </w:r>
    </w:p>
    <w:p w14:paraId="3B7E01B3">
      <w:pPr>
        <w:spacing w:line="360" w:lineRule="auto"/>
        <w:ind w:firstLine="480" w:firstLineChars="200"/>
        <w:jc w:val="center"/>
        <w:rPr>
          <w:color w:val="000000"/>
          <w:sz w:val="24"/>
        </w:rPr>
      </w:pPr>
      <w:r>
        <w:rPr>
          <w:color w:val="000000"/>
          <w:sz w:val="24"/>
        </w:rPr>
        <w:t>水深h=αQ</w:t>
      </w:r>
      <w:r>
        <w:rPr>
          <w:color w:val="000000"/>
          <w:sz w:val="24"/>
          <w:vertAlign w:val="superscript"/>
        </w:rPr>
        <w:t>1/3</w:t>
      </w:r>
    </w:p>
    <w:p w14:paraId="5D94AA9F">
      <w:pPr>
        <w:spacing w:line="360" w:lineRule="auto"/>
        <w:ind w:firstLine="480" w:firstLineChars="200"/>
        <w:rPr>
          <w:color w:val="000000"/>
          <w:sz w:val="24"/>
        </w:rPr>
      </w:pPr>
      <w:r>
        <w:rPr>
          <w:color w:val="000000"/>
          <w:sz w:val="24"/>
        </w:rPr>
        <w:t>式中：α—系数，α=0.58-0.94，一般采用0.76</w:t>
      </w:r>
    </w:p>
    <w:p w14:paraId="3F954447">
      <w:pPr>
        <w:spacing w:line="360" w:lineRule="auto"/>
        <w:ind w:firstLine="1200" w:firstLineChars="500"/>
        <w:rPr>
          <w:color w:val="000000"/>
          <w:sz w:val="24"/>
        </w:rPr>
      </w:pPr>
      <w:r>
        <w:rPr>
          <w:color w:val="000000"/>
          <w:sz w:val="24"/>
        </w:rPr>
        <w:t>β—宽深比，当Q=0.05～0.10m</w:t>
      </w:r>
      <w:r>
        <w:rPr>
          <w:color w:val="000000"/>
          <w:sz w:val="24"/>
          <w:vertAlign w:val="superscript"/>
        </w:rPr>
        <w:t>3</w:t>
      </w:r>
      <w:r>
        <w:rPr>
          <w:color w:val="000000"/>
          <w:sz w:val="24"/>
        </w:rPr>
        <w:t>/s时，β=NQ/1/4—m</w:t>
      </w:r>
    </w:p>
    <w:p w14:paraId="627A9691">
      <w:pPr>
        <w:spacing w:line="360" w:lineRule="auto"/>
        <w:ind w:firstLine="1200" w:firstLineChars="500"/>
        <w:rPr>
          <w:color w:val="000000"/>
          <w:sz w:val="24"/>
        </w:rPr>
      </w:pPr>
      <w:r>
        <w:rPr>
          <w:color w:val="000000"/>
          <w:sz w:val="24"/>
        </w:rPr>
        <w:t>N—系数，N=1.8-3.4.一般采用2.6-2.8；Q、m—设计流量和边坡系数。</w:t>
      </w:r>
    </w:p>
    <w:p w14:paraId="43073715">
      <w:pPr>
        <w:spacing w:line="360" w:lineRule="auto"/>
        <w:jc w:val="center"/>
        <w:rPr>
          <w:b/>
        </w:rPr>
      </w:pPr>
      <w:r>
        <w:rPr>
          <w:b/>
        </w:rPr>
        <w:t>表5-3  排水沟尺寸及设计最大径流量表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2"/>
        <w:gridCol w:w="1183"/>
        <w:gridCol w:w="1296"/>
        <w:gridCol w:w="1125"/>
        <w:gridCol w:w="1095"/>
        <w:gridCol w:w="1559"/>
        <w:gridCol w:w="1550"/>
      </w:tblGrid>
      <w:tr w14:paraId="2386C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952" w:type="dxa"/>
            <w:vAlign w:val="center"/>
          </w:tcPr>
          <w:p w14:paraId="3AF8998D">
            <w:pPr>
              <w:widowControl/>
              <w:jc w:val="center"/>
              <w:rPr>
                <w:color w:val="000000"/>
                <w:kern w:val="0"/>
                <w:sz w:val="22"/>
              </w:rPr>
            </w:pPr>
            <w:r>
              <w:rPr>
                <w:color w:val="000000"/>
                <w:kern w:val="0"/>
                <w:sz w:val="22"/>
              </w:rPr>
              <w:t>长度</w:t>
            </w:r>
          </w:p>
        </w:tc>
        <w:tc>
          <w:tcPr>
            <w:tcW w:w="1183" w:type="dxa"/>
            <w:vAlign w:val="center"/>
          </w:tcPr>
          <w:p w14:paraId="242CE34C">
            <w:pPr>
              <w:widowControl/>
              <w:jc w:val="center"/>
              <w:rPr>
                <w:color w:val="000000"/>
                <w:kern w:val="0"/>
                <w:sz w:val="22"/>
              </w:rPr>
            </w:pPr>
            <w:r>
              <w:rPr>
                <w:color w:val="000000"/>
                <w:kern w:val="0"/>
                <w:sz w:val="22"/>
              </w:rPr>
              <w:t>沟深H</w:t>
            </w:r>
          </w:p>
        </w:tc>
        <w:tc>
          <w:tcPr>
            <w:tcW w:w="1296" w:type="dxa"/>
            <w:vAlign w:val="center"/>
          </w:tcPr>
          <w:p w14:paraId="4473BBA2">
            <w:pPr>
              <w:widowControl/>
              <w:jc w:val="center"/>
              <w:rPr>
                <w:color w:val="000000"/>
                <w:kern w:val="0"/>
                <w:sz w:val="22"/>
              </w:rPr>
            </w:pPr>
            <w:r>
              <w:rPr>
                <w:color w:val="000000"/>
                <w:kern w:val="0"/>
                <w:sz w:val="22"/>
              </w:rPr>
              <w:t>有效水深h</w:t>
            </w:r>
          </w:p>
        </w:tc>
        <w:tc>
          <w:tcPr>
            <w:tcW w:w="1125" w:type="dxa"/>
            <w:vAlign w:val="center"/>
          </w:tcPr>
          <w:p w14:paraId="6279CA88">
            <w:pPr>
              <w:widowControl/>
              <w:jc w:val="center"/>
              <w:rPr>
                <w:color w:val="000000"/>
                <w:kern w:val="0"/>
                <w:sz w:val="22"/>
              </w:rPr>
            </w:pPr>
            <w:r>
              <w:rPr>
                <w:color w:val="000000"/>
                <w:kern w:val="0"/>
                <w:sz w:val="22"/>
              </w:rPr>
              <w:t>底宽b</w:t>
            </w:r>
          </w:p>
        </w:tc>
        <w:tc>
          <w:tcPr>
            <w:tcW w:w="1095" w:type="dxa"/>
            <w:vAlign w:val="center"/>
          </w:tcPr>
          <w:p w14:paraId="3F9674E3">
            <w:pPr>
              <w:widowControl/>
              <w:jc w:val="center"/>
              <w:rPr>
                <w:color w:val="000000"/>
                <w:kern w:val="0"/>
                <w:sz w:val="22"/>
              </w:rPr>
            </w:pPr>
            <w:r>
              <w:rPr>
                <w:color w:val="000000"/>
                <w:kern w:val="0"/>
                <w:sz w:val="22"/>
              </w:rPr>
              <w:t>顶宽a</w:t>
            </w:r>
          </w:p>
        </w:tc>
        <w:tc>
          <w:tcPr>
            <w:tcW w:w="1559" w:type="dxa"/>
            <w:vMerge w:val="restart"/>
            <w:vAlign w:val="center"/>
          </w:tcPr>
          <w:p w14:paraId="4746CC52">
            <w:pPr>
              <w:widowControl/>
              <w:jc w:val="center"/>
              <w:rPr>
                <w:color w:val="000000"/>
                <w:kern w:val="0"/>
                <w:sz w:val="22"/>
              </w:rPr>
            </w:pPr>
            <w:r>
              <w:rPr>
                <w:color w:val="000000"/>
                <w:kern w:val="0"/>
                <w:sz w:val="22"/>
              </w:rPr>
              <w:t>设计流量Q</w:t>
            </w:r>
            <w:r>
              <w:rPr>
                <w:color w:val="000000"/>
                <w:kern w:val="0"/>
                <w:sz w:val="22"/>
                <w:vertAlign w:val="subscript"/>
              </w:rPr>
              <w:t>b</w:t>
            </w:r>
            <w:r>
              <w:rPr>
                <w:color w:val="000000"/>
                <w:kern w:val="0"/>
                <w:sz w:val="22"/>
              </w:rPr>
              <w:t>(m</w:t>
            </w:r>
            <w:r>
              <w:rPr>
                <w:color w:val="000000"/>
                <w:kern w:val="0"/>
                <w:sz w:val="22"/>
                <w:vertAlign w:val="superscript"/>
              </w:rPr>
              <w:t>3</w:t>
            </w:r>
            <w:r>
              <w:rPr>
                <w:color w:val="000000"/>
                <w:kern w:val="0"/>
                <w:sz w:val="22"/>
              </w:rPr>
              <w:t>/s)</w:t>
            </w:r>
          </w:p>
        </w:tc>
        <w:tc>
          <w:tcPr>
            <w:tcW w:w="1550" w:type="dxa"/>
            <w:vMerge w:val="restart"/>
            <w:vAlign w:val="center"/>
          </w:tcPr>
          <w:p w14:paraId="6614EB67">
            <w:pPr>
              <w:widowControl/>
              <w:jc w:val="center"/>
              <w:rPr>
                <w:color w:val="000000"/>
                <w:kern w:val="0"/>
                <w:sz w:val="22"/>
              </w:rPr>
            </w:pPr>
            <w:r>
              <w:rPr>
                <w:color w:val="000000"/>
                <w:kern w:val="0"/>
                <w:sz w:val="22"/>
              </w:rPr>
              <w:t>径流量Q(m</w:t>
            </w:r>
            <w:r>
              <w:rPr>
                <w:color w:val="000000"/>
                <w:kern w:val="0"/>
                <w:sz w:val="22"/>
                <w:vertAlign w:val="superscript"/>
              </w:rPr>
              <w:t>3</w:t>
            </w:r>
            <w:r>
              <w:rPr>
                <w:color w:val="000000"/>
                <w:kern w:val="0"/>
                <w:sz w:val="22"/>
              </w:rPr>
              <w:t>/s)</w:t>
            </w:r>
          </w:p>
        </w:tc>
      </w:tr>
      <w:tr w14:paraId="7EC38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952" w:type="dxa"/>
            <w:vAlign w:val="center"/>
          </w:tcPr>
          <w:p w14:paraId="1BFDBB6D">
            <w:pPr>
              <w:widowControl/>
              <w:jc w:val="center"/>
              <w:rPr>
                <w:color w:val="000000"/>
                <w:kern w:val="0"/>
                <w:sz w:val="22"/>
              </w:rPr>
            </w:pPr>
            <w:r>
              <w:rPr>
                <w:color w:val="000000"/>
                <w:kern w:val="0"/>
                <w:sz w:val="22"/>
              </w:rPr>
              <w:t>(m)</w:t>
            </w:r>
          </w:p>
        </w:tc>
        <w:tc>
          <w:tcPr>
            <w:tcW w:w="1183" w:type="dxa"/>
            <w:vAlign w:val="center"/>
          </w:tcPr>
          <w:p w14:paraId="4096F2F2">
            <w:pPr>
              <w:widowControl/>
              <w:jc w:val="center"/>
              <w:rPr>
                <w:color w:val="000000"/>
                <w:kern w:val="0"/>
                <w:sz w:val="22"/>
              </w:rPr>
            </w:pPr>
            <w:r>
              <w:rPr>
                <w:color w:val="000000"/>
                <w:kern w:val="0"/>
                <w:sz w:val="22"/>
              </w:rPr>
              <w:t>(m)</w:t>
            </w:r>
          </w:p>
        </w:tc>
        <w:tc>
          <w:tcPr>
            <w:tcW w:w="1296" w:type="dxa"/>
            <w:vAlign w:val="center"/>
          </w:tcPr>
          <w:p w14:paraId="2F59C8A6">
            <w:pPr>
              <w:widowControl/>
              <w:jc w:val="center"/>
              <w:rPr>
                <w:color w:val="000000"/>
                <w:kern w:val="0"/>
                <w:sz w:val="22"/>
              </w:rPr>
            </w:pPr>
            <w:r>
              <w:rPr>
                <w:color w:val="000000"/>
                <w:kern w:val="0"/>
                <w:sz w:val="22"/>
              </w:rPr>
              <w:t>(m)</w:t>
            </w:r>
          </w:p>
        </w:tc>
        <w:tc>
          <w:tcPr>
            <w:tcW w:w="1125" w:type="dxa"/>
            <w:vAlign w:val="center"/>
          </w:tcPr>
          <w:p w14:paraId="5D61D73F">
            <w:pPr>
              <w:widowControl/>
              <w:jc w:val="center"/>
              <w:rPr>
                <w:color w:val="000000"/>
                <w:kern w:val="0"/>
                <w:sz w:val="22"/>
              </w:rPr>
            </w:pPr>
            <w:r>
              <w:rPr>
                <w:color w:val="000000"/>
                <w:kern w:val="0"/>
                <w:sz w:val="22"/>
              </w:rPr>
              <w:t>(m)</w:t>
            </w:r>
          </w:p>
        </w:tc>
        <w:tc>
          <w:tcPr>
            <w:tcW w:w="1095" w:type="dxa"/>
            <w:vAlign w:val="center"/>
          </w:tcPr>
          <w:p w14:paraId="2484AE09">
            <w:pPr>
              <w:widowControl/>
              <w:jc w:val="center"/>
              <w:rPr>
                <w:color w:val="000000"/>
                <w:kern w:val="0"/>
                <w:sz w:val="22"/>
              </w:rPr>
            </w:pPr>
            <w:r>
              <w:rPr>
                <w:color w:val="000000"/>
                <w:kern w:val="0"/>
                <w:sz w:val="22"/>
              </w:rPr>
              <w:t>(m)</w:t>
            </w:r>
          </w:p>
        </w:tc>
        <w:tc>
          <w:tcPr>
            <w:tcW w:w="1559" w:type="dxa"/>
            <w:vMerge w:val="continue"/>
            <w:vAlign w:val="center"/>
          </w:tcPr>
          <w:p w14:paraId="28C4ED90">
            <w:pPr>
              <w:widowControl/>
              <w:jc w:val="left"/>
              <w:rPr>
                <w:color w:val="000000"/>
                <w:kern w:val="0"/>
                <w:sz w:val="22"/>
              </w:rPr>
            </w:pPr>
          </w:p>
        </w:tc>
        <w:tc>
          <w:tcPr>
            <w:tcW w:w="1550" w:type="dxa"/>
            <w:vMerge w:val="continue"/>
            <w:vAlign w:val="center"/>
          </w:tcPr>
          <w:p w14:paraId="44E7A782">
            <w:pPr>
              <w:widowControl/>
              <w:jc w:val="left"/>
              <w:rPr>
                <w:color w:val="000000"/>
                <w:kern w:val="0"/>
                <w:sz w:val="22"/>
              </w:rPr>
            </w:pPr>
          </w:p>
        </w:tc>
      </w:tr>
      <w:tr w14:paraId="34BEF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952" w:type="dxa"/>
            <w:vAlign w:val="center"/>
          </w:tcPr>
          <w:p w14:paraId="65C482EE">
            <w:pPr>
              <w:widowControl/>
              <w:jc w:val="center"/>
              <w:rPr>
                <w:color w:val="000000"/>
                <w:kern w:val="0"/>
                <w:sz w:val="22"/>
              </w:rPr>
            </w:pPr>
            <w:r>
              <w:rPr>
                <w:color w:val="000000"/>
                <w:kern w:val="0"/>
                <w:sz w:val="22"/>
              </w:rPr>
              <w:t>543</w:t>
            </w:r>
          </w:p>
        </w:tc>
        <w:tc>
          <w:tcPr>
            <w:tcW w:w="1183" w:type="dxa"/>
            <w:vAlign w:val="center"/>
          </w:tcPr>
          <w:p w14:paraId="4A4A82E5">
            <w:pPr>
              <w:widowControl/>
              <w:jc w:val="center"/>
              <w:rPr>
                <w:color w:val="000000"/>
                <w:kern w:val="0"/>
                <w:sz w:val="22"/>
              </w:rPr>
            </w:pPr>
            <w:r>
              <w:rPr>
                <w:color w:val="000000"/>
                <w:kern w:val="0"/>
                <w:sz w:val="22"/>
              </w:rPr>
              <w:t>0.4</w:t>
            </w:r>
          </w:p>
        </w:tc>
        <w:tc>
          <w:tcPr>
            <w:tcW w:w="1296" w:type="dxa"/>
            <w:vAlign w:val="center"/>
          </w:tcPr>
          <w:p w14:paraId="0D0473E2">
            <w:pPr>
              <w:widowControl/>
              <w:jc w:val="center"/>
              <w:rPr>
                <w:color w:val="000000"/>
                <w:kern w:val="0"/>
                <w:sz w:val="22"/>
              </w:rPr>
            </w:pPr>
            <w:r>
              <w:rPr>
                <w:color w:val="000000"/>
                <w:kern w:val="0"/>
                <w:sz w:val="22"/>
              </w:rPr>
              <w:t>0.32</w:t>
            </w:r>
          </w:p>
        </w:tc>
        <w:tc>
          <w:tcPr>
            <w:tcW w:w="1125" w:type="dxa"/>
            <w:vAlign w:val="center"/>
          </w:tcPr>
          <w:p w14:paraId="1BBA4BB6">
            <w:pPr>
              <w:widowControl/>
              <w:jc w:val="center"/>
              <w:rPr>
                <w:color w:val="000000"/>
                <w:kern w:val="0"/>
                <w:sz w:val="22"/>
              </w:rPr>
            </w:pPr>
            <w:r>
              <w:rPr>
                <w:color w:val="000000"/>
                <w:kern w:val="0"/>
                <w:sz w:val="22"/>
              </w:rPr>
              <w:t>0.52</w:t>
            </w:r>
          </w:p>
        </w:tc>
        <w:tc>
          <w:tcPr>
            <w:tcW w:w="1095" w:type="dxa"/>
            <w:vAlign w:val="center"/>
          </w:tcPr>
          <w:p w14:paraId="7A01481E">
            <w:pPr>
              <w:widowControl/>
              <w:jc w:val="center"/>
              <w:rPr>
                <w:color w:val="000000"/>
                <w:kern w:val="0"/>
                <w:sz w:val="22"/>
              </w:rPr>
            </w:pPr>
            <w:r>
              <w:rPr>
                <w:color w:val="000000"/>
                <w:kern w:val="0"/>
                <w:sz w:val="22"/>
              </w:rPr>
              <w:t>0.52</w:t>
            </w:r>
          </w:p>
        </w:tc>
        <w:tc>
          <w:tcPr>
            <w:tcW w:w="1559" w:type="dxa"/>
            <w:vAlign w:val="center"/>
          </w:tcPr>
          <w:p w14:paraId="42706595">
            <w:pPr>
              <w:widowControl/>
              <w:jc w:val="center"/>
              <w:rPr>
                <w:color w:val="000000"/>
                <w:kern w:val="0"/>
                <w:sz w:val="22"/>
              </w:rPr>
            </w:pPr>
            <w:r>
              <w:rPr>
                <w:color w:val="000000"/>
                <w:kern w:val="0"/>
                <w:sz w:val="22"/>
              </w:rPr>
              <w:t>0.25</w:t>
            </w:r>
          </w:p>
        </w:tc>
        <w:tc>
          <w:tcPr>
            <w:tcW w:w="1550" w:type="dxa"/>
            <w:vAlign w:val="center"/>
          </w:tcPr>
          <w:p w14:paraId="1CA95619">
            <w:pPr>
              <w:widowControl/>
              <w:jc w:val="center"/>
              <w:rPr>
                <w:color w:val="000000"/>
                <w:kern w:val="0"/>
                <w:sz w:val="22"/>
              </w:rPr>
            </w:pPr>
            <w:r>
              <w:rPr>
                <w:color w:val="000000"/>
                <w:kern w:val="0"/>
                <w:sz w:val="22"/>
              </w:rPr>
              <w:t>0.15</w:t>
            </w:r>
          </w:p>
        </w:tc>
      </w:tr>
    </w:tbl>
    <w:p w14:paraId="6BEF068F">
      <w:pPr>
        <w:spacing w:line="360" w:lineRule="auto"/>
        <w:ind w:firstLine="480" w:firstLineChars="200"/>
        <w:rPr>
          <w:sz w:val="24"/>
          <w:lang w:val="zh-CN"/>
        </w:rPr>
      </w:pPr>
      <w:r>
        <w:rPr>
          <w:color w:val="000000"/>
          <w:sz w:val="24"/>
        </w:rPr>
        <w:t>经过计算，结合项目区实际情况以及当地传统，确定本方案排水沟类型为：为旱地灌溉、拦截坡面汇水，沿工业广场边缘布设排水沟，采用矩形断面，</w:t>
      </w:r>
      <w:r>
        <w:rPr>
          <w:sz w:val="24"/>
        </w:rPr>
        <w:t>排水沟断面尺寸为0.52*0.4m，采用M7.5浆砌砖筑砌，壁厚0.24m，沟底采用10cm的C20砼底板，沟底纵坡2/1000，</w:t>
      </w:r>
      <w:r>
        <w:rPr>
          <w:color w:val="000000"/>
          <w:sz w:val="24"/>
        </w:rPr>
        <w:t>排水沟修筑长度543m，</w:t>
      </w:r>
      <w:r>
        <w:rPr>
          <w:sz w:val="24"/>
        </w:rPr>
        <w:t>施工时根据实际情况作适当调整</w:t>
      </w:r>
      <w:r>
        <w:rPr>
          <w:sz w:val="24"/>
          <w:lang w:val="zh-CN"/>
        </w:rPr>
        <w:t>。排水沟尾部与邻近的道路边沟相连，以达到汇水外排的目的。</w:t>
      </w:r>
    </w:p>
    <w:p w14:paraId="485AC0D1">
      <w:pPr>
        <w:widowControl/>
        <w:jc w:val="center"/>
        <w:rPr>
          <w:kern w:val="0"/>
          <w:sz w:val="24"/>
        </w:rPr>
      </w:pPr>
      <w:r>
        <w:rPr>
          <w:kern w:val="0"/>
          <w:sz w:val="24"/>
        </w:rPr>
        <w:drawing>
          <wp:inline distT="0" distB="0" distL="0" distR="0">
            <wp:extent cx="5877560" cy="3195955"/>
            <wp:effectExtent l="0" t="0" r="0" b="0"/>
            <wp:docPr id="16" name="图片 16" descr="H:\06项目过程资料\项目评审修改后文件\AppData\Roaming\Tencent\Users\1070675099\QQ\WinTemp\RichOle\9`{V}M8LI)ANRPY3WL6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H:\06项目过程资料\项目评审修改后文件\AppData\Roaming\Tencent\Users\1070675099\QQ\WinTemp\RichOle\9`{V}M8LI)ANRPY3WL6P1$8.png"/>
                    <pic:cNvPicPr>
                      <a:picLocks noChangeAspect="1" noChangeArrowheads="1"/>
                    </pic:cNvPicPr>
                  </pic:nvPicPr>
                  <pic:blipFill>
                    <a:blip r:embed="rId21">
                      <a:extLst>
                        <a:ext uri="{28A0092B-C50C-407E-A947-70E740481C1C}">
                          <a14:useLocalDpi xmlns:a14="http://schemas.microsoft.com/office/drawing/2010/main" val="0"/>
                        </a:ext>
                      </a:extLst>
                    </a:blip>
                    <a:srcRect l="2745"/>
                    <a:stretch>
                      <a:fillRect/>
                    </a:stretch>
                  </pic:blipFill>
                  <pic:spPr>
                    <a:xfrm>
                      <a:off x="0" y="0"/>
                      <a:ext cx="5877738" cy="3196424"/>
                    </a:xfrm>
                    <a:prstGeom prst="rect">
                      <a:avLst/>
                    </a:prstGeom>
                    <a:noFill/>
                    <a:ln>
                      <a:noFill/>
                    </a:ln>
                  </pic:spPr>
                </pic:pic>
              </a:graphicData>
            </a:graphic>
          </wp:inline>
        </w:drawing>
      </w:r>
    </w:p>
    <w:p w14:paraId="3A5F3BB5">
      <w:pPr>
        <w:spacing w:line="360" w:lineRule="auto"/>
        <w:ind w:firstLine="422" w:firstLineChars="200"/>
        <w:jc w:val="center"/>
        <w:rPr>
          <w:b/>
          <w:szCs w:val="21"/>
          <w:lang w:val="zh-CN"/>
        </w:rPr>
      </w:pPr>
      <w:r>
        <w:rPr>
          <w:b/>
          <w:szCs w:val="21"/>
          <w:lang w:val="zh-CN"/>
        </w:rPr>
        <w:t>图5-</w:t>
      </w:r>
      <w:r>
        <w:rPr>
          <w:b/>
          <w:szCs w:val="21"/>
        </w:rPr>
        <w:t>1</w:t>
      </w:r>
      <w:r>
        <w:rPr>
          <w:b/>
          <w:szCs w:val="21"/>
          <w:lang w:val="zh-CN"/>
        </w:rPr>
        <w:t xml:space="preserve">  0.4×0.4m排水沟断面设计图</w:t>
      </w:r>
    </w:p>
    <w:p w14:paraId="4E1A1357">
      <w:pPr>
        <w:spacing w:line="360" w:lineRule="auto"/>
        <w:ind w:firstLine="422" w:firstLineChars="200"/>
        <w:jc w:val="center"/>
        <w:rPr>
          <w:b/>
          <w:szCs w:val="21"/>
          <w:lang w:val="zh-CN"/>
        </w:rPr>
      </w:pPr>
    </w:p>
    <w:p w14:paraId="45AB4620">
      <w:pPr>
        <w:adjustRightInd w:val="0"/>
        <w:snapToGrid w:val="0"/>
        <w:jc w:val="center"/>
        <w:rPr>
          <w:b/>
          <w:szCs w:val="21"/>
          <w:lang w:val="zh-CN"/>
        </w:rPr>
      </w:pPr>
      <w:r>
        <w:rPr>
          <w:b/>
          <w:szCs w:val="21"/>
          <w:lang w:val="zh-CN"/>
        </w:rPr>
        <w:t>表5-</w:t>
      </w:r>
      <w:r>
        <w:rPr>
          <w:b/>
          <w:szCs w:val="21"/>
        </w:rPr>
        <w:t>4</w:t>
      </w:r>
      <w:r>
        <w:rPr>
          <w:b/>
          <w:szCs w:val="21"/>
          <w:lang w:val="zh-CN"/>
        </w:rPr>
        <w:t>排水沟工程量统计表</w:t>
      </w:r>
    </w:p>
    <w:tbl>
      <w:tblPr>
        <w:tblStyle w:val="29"/>
        <w:tblW w:w="9448" w:type="dxa"/>
        <w:jc w:val="center"/>
        <w:tblLayout w:type="autofit"/>
        <w:tblCellMar>
          <w:top w:w="0" w:type="dxa"/>
          <w:left w:w="108" w:type="dxa"/>
          <w:bottom w:w="0" w:type="dxa"/>
          <w:right w:w="108" w:type="dxa"/>
        </w:tblCellMar>
      </w:tblPr>
      <w:tblGrid>
        <w:gridCol w:w="1239"/>
        <w:gridCol w:w="1102"/>
        <w:gridCol w:w="1240"/>
        <w:gridCol w:w="1101"/>
        <w:gridCol w:w="1134"/>
        <w:gridCol w:w="1276"/>
        <w:gridCol w:w="1284"/>
        <w:gridCol w:w="1072"/>
      </w:tblGrid>
      <w:tr w14:paraId="48C2ED2E">
        <w:tblPrEx>
          <w:tblCellMar>
            <w:top w:w="0" w:type="dxa"/>
            <w:left w:w="108" w:type="dxa"/>
            <w:bottom w:w="0" w:type="dxa"/>
            <w:right w:w="108" w:type="dxa"/>
          </w:tblCellMar>
        </w:tblPrEx>
        <w:trPr>
          <w:trHeight w:val="312" w:hRule="atLeast"/>
          <w:jc w:val="center"/>
        </w:trPr>
        <w:tc>
          <w:tcPr>
            <w:tcW w:w="123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AA88323">
            <w:pPr>
              <w:widowControl/>
              <w:jc w:val="center"/>
              <w:rPr>
                <w:color w:val="000000"/>
                <w:kern w:val="0"/>
                <w:szCs w:val="21"/>
              </w:rPr>
            </w:pPr>
            <w:r>
              <w:rPr>
                <w:color w:val="000000"/>
                <w:kern w:val="0"/>
                <w:szCs w:val="21"/>
              </w:rPr>
              <w:t>规格</w:t>
            </w:r>
          </w:p>
        </w:tc>
        <w:tc>
          <w:tcPr>
            <w:tcW w:w="110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046EE68">
            <w:pPr>
              <w:widowControl/>
              <w:jc w:val="center"/>
              <w:rPr>
                <w:color w:val="000000"/>
                <w:kern w:val="0"/>
                <w:szCs w:val="21"/>
              </w:rPr>
            </w:pPr>
            <w:r>
              <w:rPr>
                <w:color w:val="000000"/>
                <w:kern w:val="0"/>
                <w:szCs w:val="21"/>
              </w:rPr>
              <w:t>长度</w:t>
            </w:r>
          </w:p>
        </w:tc>
        <w:tc>
          <w:tcPr>
            <w:tcW w:w="12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B958BEB">
            <w:pPr>
              <w:widowControl/>
              <w:jc w:val="center"/>
              <w:rPr>
                <w:color w:val="000000"/>
                <w:kern w:val="0"/>
                <w:szCs w:val="21"/>
              </w:rPr>
            </w:pPr>
            <w:r>
              <w:rPr>
                <w:color w:val="000000"/>
                <w:kern w:val="0"/>
                <w:szCs w:val="21"/>
              </w:rPr>
              <w:t>土方开挖</w:t>
            </w:r>
          </w:p>
        </w:tc>
        <w:tc>
          <w:tcPr>
            <w:tcW w:w="11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D20FC16">
            <w:pPr>
              <w:widowControl/>
              <w:jc w:val="center"/>
              <w:rPr>
                <w:color w:val="000000"/>
                <w:kern w:val="0"/>
                <w:szCs w:val="21"/>
              </w:rPr>
            </w:pPr>
            <w:r>
              <w:rPr>
                <w:color w:val="000000"/>
                <w:kern w:val="0"/>
                <w:szCs w:val="21"/>
              </w:rPr>
              <w:t>土方回填</w:t>
            </w:r>
          </w:p>
        </w:tc>
        <w:tc>
          <w:tcPr>
            <w:tcW w:w="113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40D5323">
            <w:pPr>
              <w:widowControl/>
              <w:jc w:val="center"/>
              <w:rPr>
                <w:color w:val="000000"/>
                <w:kern w:val="0"/>
                <w:szCs w:val="21"/>
              </w:rPr>
            </w:pPr>
            <w:r>
              <w:rPr>
                <w:color w:val="000000"/>
                <w:kern w:val="0"/>
                <w:szCs w:val="21"/>
              </w:rPr>
              <w:t>M7.5浆砌砖</w:t>
            </w:r>
          </w:p>
        </w:tc>
        <w:tc>
          <w:tcPr>
            <w:tcW w:w="127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2DF5B08">
            <w:pPr>
              <w:widowControl/>
              <w:jc w:val="center"/>
              <w:rPr>
                <w:color w:val="000000"/>
                <w:kern w:val="0"/>
                <w:szCs w:val="21"/>
              </w:rPr>
            </w:pPr>
            <w:r>
              <w:rPr>
                <w:color w:val="000000"/>
                <w:kern w:val="0"/>
                <w:szCs w:val="21"/>
              </w:rPr>
              <w:t>M10砂浆抹平面2cm</w:t>
            </w:r>
          </w:p>
        </w:tc>
        <w:tc>
          <w:tcPr>
            <w:tcW w:w="128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8D39D0D">
            <w:pPr>
              <w:widowControl/>
              <w:jc w:val="center"/>
              <w:rPr>
                <w:color w:val="000000"/>
                <w:kern w:val="0"/>
                <w:szCs w:val="21"/>
              </w:rPr>
            </w:pPr>
            <w:r>
              <w:rPr>
                <w:color w:val="000000"/>
                <w:kern w:val="0"/>
                <w:szCs w:val="21"/>
              </w:rPr>
              <w:t>M10砂浆抹立面2cm</w:t>
            </w:r>
          </w:p>
        </w:tc>
        <w:tc>
          <w:tcPr>
            <w:tcW w:w="107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EA8DC01">
            <w:pPr>
              <w:widowControl/>
              <w:jc w:val="center"/>
              <w:rPr>
                <w:color w:val="000000"/>
                <w:kern w:val="0"/>
                <w:szCs w:val="21"/>
              </w:rPr>
            </w:pPr>
            <w:r>
              <w:rPr>
                <w:color w:val="000000"/>
                <w:kern w:val="0"/>
                <w:szCs w:val="21"/>
              </w:rPr>
              <w:t>C20现浇砼底板</w:t>
            </w:r>
          </w:p>
        </w:tc>
      </w:tr>
      <w:tr w14:paraId="4E323EFA">
        <w:tblPrEx>
          <w:tblCellMar>
            <w:top w:w="0" w:type="dxa"/>
            <w:left w:w="108" w:type="dxa"/>
            <w:bottom w:w="0" w:type="dxa"/>
            <w:right w:w="108" w:type="dxa"/>
          </w:tblCellMar>
        </w:tblPrEx>
        <w:trPr>
          <w:trHeight w:val="312" w:hRule="atLeast"/>
          <w:jc w:val="center"/>
        </w:trPr>
        <w:tc>
          <w:tcPr>
            <w:tcW w:w="1239" w:type="dxa"/>
            <w:vMerge w:val="continue"/>
            <w:tcBorders>
              <w:top w:val="single" w:color="auto" w:sz="4" w:space="0"/>
              <w:left w:val="single" w:color="auto" w:sz="4" w:space="0"/>
              <w:bottom w:val="single" w:color="auto" w:sz="4" w:space="0"/>
              <w:right w:val="single" w:color="auto" w:sz="4" w:space="0"/>
            </w:tcBorders>
            <w:vAlign w:val="center"/>
          </w:tcPr>
          <w:p w14:paraId="6BA8DD84">
            <w:pPr>
              <w:widowControl/>
              <w:jc w:val="left"/>
              <w:rPr>
                <w:color w:val="000000"/>
                <w:kern w:val="0"/>
                <w:szCs w:val="21"/>
              </w:rPr>
            </w:pPr>
          </w:p>
        </w:tc>
        <w:tc>
          <w:tcPr>
            <w:tcW w:w="1102" w:type="dxa"/>
            <w:vMerge w:val="continue"/>
            <w:tcBorders>
              <w:top w:val="single" w:color="auto" w:sz="4" w:space="0"/>
              <w:left w:val="single" w:color="auto" w:sz="4" w:space="0"/>
              <w:bottom w:val="single" w:color="auto" w:sz="4" w:space="0"/>
              <w:right w:val="single" w:color="auto" w:sz="4" w:space="0"/>
            </w:tcBorders>
            <w:vAlign w:val="center"/>
          </w:tcPr>
          <w:p w14:paraId="5683CF84">
            <w:pPr>
              <w:widowControl/>
              <w:jc w:val="left"/>
              <w:rPr>
                <w:color w:val="000000"/>
                <w:kern w:val="0"/>
                <w:szCs w:val="21"/>
              </w:rPr>
            </w:pPr>
          </w:p>
        </w:tc>
        <w:tc>
          <w:tcPr>
            <w:tcW w:w="1240" w:type="dxa"/>
            <w:vMerge w:val="continue"/>
            <w:tcBorders>
              <w:top w:val="single" w:color="auto" w:sz="4" w:space="0"/>
              <w:left w:val="single" w:color="auto" w:sz="4" w:space="0"/>
              <w:bottom w:val="single" w:color="auto" w:sz="4" w:space="0"/>
              <w:right w:val="single" w:color="auto" w:sz="4" w:space="0"/>
            </w:tcBorders>
            <w:vAlign w:val="center"/>
          </w:tcPr>
          <w:p w14:paraId="02D5E8D4">
            <w:pPr>
              <w:widowControl/>
              <w:jc w:val="left"/>
              <w:rPr>
                <w:color w:val="000000"/>
                <w:kern w:val="0"/>
                <w:szCs w:val="21"/>
              </w:rPr>
            </w:pPr>
          </w:p>
        </w:tc>
        <w:tc>
          <w:tcPr>
            <w:tcW w:w="1101" w:type="dxa"/>
            <w:vMerge w:val="continue"/>
            <w:tcBorders>
              <w:top w:val="single" w:color="auto" w:sz="4" w:space="0"/>
              <w:left w:val="single" w:color="auto" w:sz="4" w:space="0"/>
              <w:bottom w:val="single" w:color="auto" w:sz="4" w:space="0"/>
              <w:right w:val="single" w:color="auto" w:sz="4" w:space="0"/>
            </w:tcBorders>
            <w:vAlign w:val="center"/>
          </w:tcPr>
          <w:p w14:paraId="42D49A70">
            <w:pPr>
              <w:widowControl/>
              <w:jc w:val="left"/>
              <w:rPr>
                <w:color w:val="000000"/>
                <w:kern w:val="0"/>
                <w:szCs w:val="21"/>
              </w:rPr>
            </w:pPr>
          </w:p>
        </w:tc>
        <w:tc>
          <w:tcPr>
            <w:tcW w:w="1134" w:type="dxa"/>
            <w:vMerge w:val="continue"/>
            <w:tcBorders>
              <w:top w:val="single" w:color="auto" w:sz="4" w:space="0"/>
              <w:left w:val="single" w:color="auto" w:sz="4" w:space="0"/>
              <w:bottom w:val="single" w:color="auto" w:sz="4" w:space="0"/>
              <w:right w:val="single" w:color="auto" w:sz="4" w:space="0"/>
            </w:tcBorders>
            <w:vAlign w:val="center"/>
          </w:tcPr>
          <w:p w14:paraId="3764AA55">
            <w:pPr>
              <w:widowControl/>
              <w:jc w:val="left"/>
              <w:rPr>
                <w:color w:val="000000"/>
                <w:kern w:val="0"/>
                <w:szCs w:val="21"/>
              </w:rPr>
            </w:pPr>
          </w:p>
        </w:tc>
        <w:tc>
          <w:tcPr>
            <w:tcW w:w="1276" w:type="dxa"/>
            <w:vMerge w:val="continue"/>
            <w:tcBorders>
              <w:top w:val="single" w:color="auto" w:sz="4" w:space="0"/>
              <w:left w:val="single" w:color="auto" w:sz="4" w:space="0"/>
              <w:bottom w:val="single" w:color="auto" w:sz="4" w:space="0"/>
              <w:right w:val="single" w:color="auto" w:sz="4" w:space="0"/>
            </w:tcBorders>
            <w:vAlign w:val="center"/>
          </w:tcPr>
          <w:p w14:paraId="1AC2C7FF">
            <w:pPr>
              <w:widowControl/>
              <w:jc w:val="left"/>
              <w:rPr>
                <w:color w:val="000000"/>
                <w:kern w:val="0"/>
                <w:szCs w:val="21"/>
              </w:rPr>
            </w:pPr>
          </w:p>
        </w:tc>
        <w:tc>
          <w:tcPr>
            <w:tcW w:w="1284" w:type="dxa"/>
            <w:vMerge w:val="continue"/>
            <w:tcBorders>
              <w:top w:val="single" w:color="auto" w:sz="4" w:space="0"/>
              <w:left w:val="single" w:color="auto" w:sz="4" w:space="0"/>
              <w:bottom w:val="single" w:color="auto" w:sz="4" w:space="0"/>
              <w:right w:val="single" w:color="auto" w:sz="4" w:space="0"/>
            </w:tcBorders>
            <w:vAlign w:val="center"/>
          </w:tcPr>
          <w:p w14:paraId="131BD305">
            <w:pPr>
              <w:widowControl/>
              <w:jc w:val="left"/>
              <w:rPr>
                <w:color w:val="000000"/>
                <w:kern w:val="0"/>
                <w:szCs w:val="21"/>
              </w:rPr>
            </w:pPr>
          </w:p>
        </w:tc>
        <w:tc>
          <w:tcPr>
            <w:tcW w:w="1072" w:type="dxa"/>
            <w:vMerge w:val="continue"/>
            <w:tcBorders>
              <w:top w:val="single" w:color="auto" w:sz="4" w:space="0"/>
              <w:left w:val="single" w:color="auto" w:sz="4" w:space="0"/>
              <w:bottom w:val="single" w:color="auto" w:sz="4" w:space="0"/>
              <w:right w:val="single" w:color="auto" w:sz="4" w:space="0"/>
            </w:tcBorders>
            <w:vAlign w:val="center"/>
          </w:tcPr>
          <w:p w14:paraId="009FCB62">
            <w:pPr>
              <w:widowControl/>
              <w:jc w:val="left"/>
              <w:rPr>
                <w:color w:val="000000"/>
                <w:kern w:val="0"/>
                <w:szCs w:val="21"/>
              </w:rPr>
            </w:pPr>
          </w:p>
        </w:tc>
      </w:tr>
      <w:tr w14:paraId="1F2E625A">
        <w:tblPrEx>
          <w:tblCellMar>
            <w:top w:w="0" w:type="dxa"/>
            <w:left w:w="108" w:type="dxa"/>
            <w:bottom w:w="0" w:type="dxa"/>
            <w:right w:w="108" w:type="dxa"/>
          </w:tblCellMar>
        </w:tblPrEx>
        <w:trPr>
          <w:trHeight w:val="305" w:hRule="atLeast"/>
          <w:jc w:val="center"/>
        </w:trPr>
        <w:tc>
          <w:tcPr>
            <w:tcW w:w="1239" w:type="dxa"/>
            <w:tcBorders>
              <w:top w:val="nil"/>
              <w:left w:val="single" w:color="auto" w:sz="4" w:space="0"/>
              <w:bottom w:val="single" w:color="auto" w:sz="4" w:space="0"/>
              <w:right w:val="single" w:color="auto" w:sz="4" w:space="0"/>
            </w:tcBorders>
            <w:shd w:val="clear" w:color="auto" w:fill="auto"/>
            <w:vAlign w:val="center"/>
          </w:tcPr>
          <w:p w14:paraId="2418B624">
            <w:pPr>
              <w:widowControl/>
              <w:jc w:val="center"/>
              <w:rPr>
                <w:color w:val="000000"/>
                <w:kern w:val="0"/>
                <w:szCs w:val="21"/>
              </w:rPr>
            </w:pPr>
            <w:r>
              <w:rPr>
                <w:color w:val="000000"/>
                <w:kern w:val="0"/>
                <w:szCs w:val="21"/>
              </w:rPr>
              <w:t>-</w:t>
            </w:r>
          </w:p>
        </w:tc>
        <w:tc>
          <w:tcPr>
            <w:tcW w:w="1102" w:type="dxa"/>
            <w:tcBorders>
              <w:top w:val="nil"/>
              <w:left w:val="nil"/>
              <w:bottom w:val="single" w:color="auto" w:sz="4" w:space="0"/>
              <w:right w:val="single" w:color="auto" w:sz="4" w:space="0"/>
            </w:tcBorders>
            <w:shd w:val="clear" w:color="auto" w:fill="auto"/>
            <w:vAlign w:val="center"/>
          </w:tcPr>
          <w:p w14:paraId="70EA2C6F">
            <w:pPr>
              <w:widowControl/>
              <w:jc w:val="center"/>
              <w:rPr>
                <w:color w:val="000000"/>
                <w:kern w:val="0"/>
                <w:szCs w:val="21"/>
              </w:rPr>
            </w:pPr>
            <w:r>
              <w:rPr>
                <w:color w:val="000000"/>
                <w:kern w:val="0"/>
                <w:szCs w:val="21"/>
              </w:rPr>
              <w:t>m</w:t>
            </w:r>
          </w:p>
        </w:tc>
        <w:tc>
          <w:tcPr>
            <w:tcW w:w="1240" w:type="dxa"/>
            <w:tcBorders>
              <w:top w:val="nil"/>
              <w:left w:val="nil"/>
              <w:bottom w:val="single" w:color="auto" w:sz="4" w:space="0"/>
              <w:right w:val="single" w:color="auto" w:sz="4" w:space="0"/>
            </w:tcBorders>
            <w:shd w:val="clear" w:color="auto" w:fill="auto"/>
            <w:vAlign w:val="center"/>
          </w:tcPr>
          <w:p w14:paraId="04D3AFE3">
            <w:pPr>
              <w:widowControl/>
              <w:jc w:val="center"/>
              <w:rPr>
                <w:color w:val="000000"/>
                <w:kern w:val="0"/>
                <w:szCs w:val="21"/>
              </w:rPr>
            </w:pPr>
            <w:r>
              <w:rPr>
                <w:color w:val="000000"/>
                <w:kern w:val="0"/>
                <w:szCs w:val="21"/>
              </w:rPr>
              <w:t>m</w:t>
            </w:r>
            <w:r>
              <w:rPr>
                <w:color w:val="000000"/>
                <w:kern w:val="0"/>
                <w:szCs w:val="21"/>
                <w:vertAlign w:val="superscript"/>
              </w:rPr>
              <w:t>3</w:t>
            </w:r>
          </w:p>
        </w:tc>
        <w:tc>
          <w:tcPr>
            <w:tcW w:w="1101" w:type="dxa"/>
            <w:tcBorders>
              <w:top w:val="nil"/>
              <w:left w:val="nil"/>
              <w:bottom w:val="single" w:color="auto" w:sz="4" w:space="0"/>
              <w:right w:val="single" w:color="auto" w:sz="4" w:space="0"/>
            </w:tcBorders>
            <w:shd w:val="clear" w:color="auto" w:fill="auto"/>
            <w:vAlign w:val="center"/>
          </w:tcPr>
          <w:p w14:paraId="4F1BC642">
            <w:pPr>
              <w:widowControl/>
              <w:jc w:val="center"/>
              <w:rPr>
                <w:color w:val="000000"/>
                <w:kern w:val="0"/>
                <w:szCs w:val="21"/>
              </w:rPr>
            </w:pPr>
            <w:r>
              <w:rPr>
                <w:color w:val="000000"/>
                <w:kern w:val="0"/>
                <w:szCs w:val="21"/>
              </w:rPr>
              <w:t>m</w:t>
            </w:r>
            <w:r>
              <w:rPr>
                <w:color w:val="000000"/>
                <w:kern w:val="0"/>
                <w:szCs w:val="21"/>
                <w:vertAlign w:val="superscript"/>
              </w:rPr>
              <w:t>3</w:t>
            </w:r>
          </w:p>
        </w:tc>
        <w:tc>
          <w:tcPr>
            <w:tcW w:w="1134" w:type="dxa"/>
            <w:tcBorders>
              <w:top w:val="nil"/>
              <w:left w:val="nil"/>
              <w:bottom w:val="single" w:color="auto" w:sz="4" w:space="0"/>
              <w:right w:val="single" w:color="auto" w:sz="4" w:space="0"/>
            </w:tcBorders>
            <w:shd w:val="clear" w:color="auto" w:fill="auto"/>
            <w:vAlign w:val="center"/>
          </w:tcPr>
          <w:p w14:paraId="65B944B4">
            <w:pPr>
              <w:widowControl/>
              <w:jc w:val="center"/>
              <w:rPr>
                <w:color w:val="000000"/>
                <w:kern w:val="0"/>
                <w:szCs w:val="21"/>
              </w:rPr>
            </w:pPr>
            <w:r>
              <w:rPr>
                <w:color w:val="000000"/>
                <w:kern w:val="0"/>
                <w:szCs w:val="21"/>
              </w:rPr>
              <w:t>m</w:t>
            </w:r>
            <w:r>
              <w:rPr>
                <w:color w:val="000000"/>
                <w:kern w:val="0"/>
                <w:szCs w:val="21"/>
                <w:vertAlign w:val="superscript"/>
              </w:rPr>
              <w:t>3</w:t>
            </w:r>
          </w:p>
        </w:tc>
        <w:tc>
          <w:tcPr>
            <w:tcW w:w="1276" w:type="dxa"/>
            <w:tcBorders>
              <w:top w:val="nil"/>
              <w:left w:val="nil"/>
              <w:bottom w:val="single" w:color="auto" w:sz="4" w:space="0"/>
              <w:right w:val="single" w:color="auto" w:sz="4" w:space="0"/>
            </w:tcBorders>
            <w:shd w:val="clear" w:color="auto" w:fill="auto"/>
            <w:vAlign w:val="center"/>
          </w:tcPr>
          <w:p w14:paraId="5F7EC773">
            <w:pPr>
              <w:widowControl/>
              <w:jc w:val="center"/>
              <w:rPr>
                <w:color w:val="000000"/>
                <w:kern w:val="0"/>
                <w:szCs w:val="21"/>
              </w:rPr>
            </w:pPr>
            <w:r>
              <w:rPr>
                <w:color w:val="000000"/>
                <w:kern w:val="0"/>
                <w:szCs w:val="21"/>
              </w:rPr>
              <w:t>m</w:t>
            </w:r>
            <w:r>
              <w:rPr>
                <w:color w:val="000000"/>
                <w:kern w:val="0"/>
                <w:szCs w:val="21"/>
                <w:vertAlign w:val="superscript"/>
              </w:rPr>
              <w:t>2</w:t>
            </w:r>
          </w:p>
        </w:tc>
        <w:tc>
          <w:tcPr>
            <w:tcW w:w="1284" w:type="dxa"/>
            <w:tcBorders>
              <w:top w:val="nil"/>
              <w:left w:val="nil"/>
              <w:bottom w:val="single" w:color="auto" w:sz="4" w:space="0"/>
              <w:right w:val="single" w:color="auto" w:sz="4" w:space="0"/>
            </w:tcBorders>
            <w:shd w:val="clear" w:color="auto" w:fill="auto"/>
            <w:vAlign w:val="center"/>
          </w:tcPr>
          <w:p w14:paraId="3DBA8AB4">
            <w:pPr>
              <w:widowControl/>
              <w:jc w:val="center"/>
              <w:rPr>
                <w:color w:val="000000"/>
                <w:kern w:val="0"/>
                <w:szCs w:val="21"/>
              </w:rPr>
            </w:pPr>
            <w:r>
              <w:rPr>
                <w:color w:val="000000"/>
                <w:kern w:val="0"/>
                <w:szCs w:val="21"/>
              </w:rPr>
              <w:t>m</w:t>
            </w:r>
            <w:r>
              <w:rPr>
                <w:color w:val="000000"/>
                <w:kern w:val="0"/>
                <w:szCs w:val="21"/>
                <w:vertAlign w:val="superscript"/>
              </w:rPr>
              <w:t>2</w:t>
            </w:r>
          </w:p>
        </w:tc>
        <w:tc>
          <w:tcPr>
            <w:tcW w:w="1072" w:type="dxa"/>
            <w:tcBorders>
              <w:top w:val="nil"/>
              <w:left w:val="nil"/>
              <w:bottom w:val="single" w:color="auto" w:sz="4" w:space="0"/>
              <w:right w:val="single" w:color="auto" w:sz="4" w:space="0"/>
            </w:tcBorders>
            <w:shd w:val="clear" w:color="auto" w:fill="auto"/>
            <w:vAlign w:val="center"/>
          </w:tcPr>
          <w:p w14:paraId="3141E290">
            <w:pPr>
              <w:widowControl/>
              <w:jc w:val="center"/>
              <w:rPr>
                <w:color w:val="000000"/>
                <w:kern w:val="0"/>
                <w:szCs w:val="21"/>
              </w:rPr>
            </w:pPr>
            <w:r>
              <w:rPr>
                <w:color w:val="000000"/>
                <w:kern w:val="0"/>
                <w:szCs w:val="21"/>
              </w:rPr>
              <w:t>m</w:t>
            </w:r>
            <w:r>
              <w:rPr>
                <w:color w:val="000000"/>
                <w:kern w:val="0"/>
                <w:szCs w:val="21"/>
                <w:vertAlign w:val="superscript"/>
              </w:rPr>
              <w:t>3</w:t>
            </w:r>
          </w:p>
        </w:tc>
      </w:tr>
      <w:tr w14:paraId="5EEFBCCE">
        <w:tblPrEx>
          <w:tblCellMar>
            <w:top w:w="0" w:type="dxa"/>
            <w:left w:w="108" w:type="dxa"/>
            <w:bottom w:w="0" w:type="dxa"/>
            <w:right w:w="108" w:type="dxa"/>
          </w:tblCellMar>
        </w:tblPrEx>
        <w:trPr>
          <w:trHeight w:val="250" w:hRule="atLeast"/>
          <w:jc w:val="center"/>
        </w:trPr>
        <w:tc>
          <w:tcPr>
            <w:tcW w:w="1239" w:type="dxa"/>
            <w:tcBorders>
              <w:top w:val="nil"/>
              <w:left w:val="single" w:color="auto" w:sz="4" w:space="0"/>
              <w:bottom w:val="single" w:color="auto" w:sz="4" w:space="0"/>
              <w:right w:val="single" w:color="auto" w:sz="4" w:space="0"/>
            </w:tcBorders>
            <w:shd w:val="clear" w:color="auto" w:fill="auto"/>
            <w:vAlign w:val="center"/>
          </w:tcPr>
          <w:p w14:paraId="0A779F97">
            <w:pPr>
              <w:widowControl/>
              <w:jc w:val="center"/>
              <w:rPr>
                <w:color w:val="000000"/>
                <w:kern w:val="0"/>
                <w:szCs w:val="21"/>
              </w:rPr>
            </w:pPr>
            <w:r>
              <w:rPr>
                <w:color w:val="000000"/>
                <w:kern w:val="0"/>
                <w:szCs w:val="21"/>
              </w:rPr>
              <w:t>0.4m*0.4m</w:t>
            </w:r>
          </w:p>
        </w:tc>
        <w:tc>
          <w:tcPr>
            <w:tcW w:w="1102" w:type="dxa"/>
            <w:tcBorders>
              <w:top w:val="nil"/>
              <w:left w:val="nil"/>
              <w:bottom w:val="single" w:color="auto" w:sz="4" w:space="0"/>
              <w:right w:val="single" w:color="auto" w:sz="4" w:space="0"/>
            </w:tcBorders>
            <w:shd w:val="clear" w:color="auto" w:fill="auto"/>
            <w:vAlign w:val="center"/>
          </w:tcPr>
          <w:p w14:paraId="166C46E2">
            <w:pPr>
              <w:widowControl/>
              <w:jc w:val="center"/>
              <w:rPr>
                <w:color w:val="000000"/>
                <w:kern w:val="0"/>
                <w:szCs w:val="21"/>
              </w:rPr>
            </w:pPr>
            <w:r>
              <w:rPr>
                <w:color w:val="000000"/>
                <w:kern w:val="0"/>
                <w:szCs w:val="21"/>
              </w:rPr>
              <w:t>543</w:t>
            </w:r>
          </w:p>
        </w:tc>
        <w:tc>
          <w:tcPr>
            <w:tcW w:w="1240" w:type="dxa"/>
            <w:tcBorders>
              <w:top w:val="nil"/>
              <w:left w:val="nil"/>
              <w:bottom w:val="single" w:color="auto" w:sz="4" w:space="0"/>
              <w:right w:val="single" w:color="auto" w:sz="4" w:space="0"/>
            </w:tcBorders>
            <w:shd w:val="clear" w:color="auto" w:fill="auto"/>
            <w:vAlign w:val="center"/>
          </w:tcPr>
          <w:p w14:paraId="79F801C5">
            <w:pPr>
              <w:widowControl/>
              <w:jc w:val="center"/>
              <w:rPr>
                <w:color w:val="000000"/>
                <w:kern w:val="0"/>
                <w:szCs w:val="21"/>
              </w:rPr>
            </w:pPr>
            <w:r>
              <w:rPr>
                <w:color w:val="000000"/>
                <w:kern w:val="0"/>
                <w:szCs w:val="21"/>
              </w:rPr>
              <w:t>348.9</w:t>
            </w:r>
          </w:p>
        </w:tc>
        <w:tc>
          <w:tcPr>
            <w:tcW w:w="1101" w:type="dxa"/>
            <w:tcBorders>
              <w:top w:val="nil"/>
              <w:left w:val="nil"/>
              <w:bottom w:val="single" w:color="auto" w:sz="4" w:space="0"/>
              <w:right w:val="single" w:color="auto" w:sz="4" w:space="0"/>
            </w:tcBorders>
            <w:shd w:val="clear" w:color="auto" w:fill="auto"/>
            <w:vAlign w:val="center"/>
          </w:tcPr>
          <w:p w14:paraId="7176CFA1">
            <w:pPr>
              <w:widowControl/>
              <w:jc w:val="center"/>
              <w:rPr>
                <w:color w:val="000000"/>
                <w:kern w:val="0"/>
                <w:szCs w:val="21"/>
              </w:rPr>
            </w:pPr>
            <w:r>
              <w:rPr>
                <w:color w:val="000000"/>
                <w:kern w:val="0"/>
                <w:szCs w:val="21"/>
              </w:rPr>
              <w:t>77.4</w:t>
            </w:r>
          </w:p>
        </w:tc>
        <w:tc>
          <w:tcPr>
            <w:tcW w:w="1134" w:type="dxa"/>
            <w:tcBorders>
              <w:top w:val="nil"/>
              <w:left w:val="nil"/>
              <w:bottom w:val="single" w:color="auto" w:sz="4" w:space="0"/>
              <w:right w:val="single" w:color="auto" w:sz="4" w:space="0"/>
            </w:tcBorders>
            <w:shd w:val="clear" w:color="auto" w:fill="auto"/>
            <w:vAlign w:val="center"/>
          </w:tcPr>
          <w:p w14:paraId="3D15B695">
            <w:pPr>
              <w:widowControl/>
              <w:jc w:val="center"/>
              <w:rPr>
                <w:color w:val="000000"/>
                <w:kern w:val="0"/>
                <w:szCs w:val="21"/>
              </w:rPr>
            </w:pPr>
            <w:r>
              <w:rPr>
                <w:color w:val="000000"/>
                <w:kern w:val="0"/>
                <w:szCs w:val="21"/>
              </w:rPr>
              <w:t>104.3</w:t>
            </w:r>
          </w:p>
        </w:tc>
        <w:tc>
          <w:tcPr>
            <w:tcW w:w="1276" w:type="dxa"/>
            <w:tcBorders>
              <w:top w:val="nil"/>
              <w:left w:val="nil"/>
              <w:bottom w:val="single" w:color="auto" w:sz="4" w:space="0"/>
              <w:right w:val="single" w:color="auto" w:sz="4" w:space="0"/>
            </w:tcBorders>
            <w:shd w:val="clear" w:color="auto" w:fill="auto"/>
            <w:vAlign w:val="center"/>
          </w:tcPr>
          <w:p w14:paraId="71435828">
            <w:pPr>
              <w:widowControl/>
              <w:jc w:val="center"/>
              <w:rPr>
                <w:color w:val="000000"/>
                <w:kern w:val="0"/>
                <w:szCs w:val="21"/>
              </w:rPr>
            </w:pPr>
            <w:r>
              <w:rPr>
                <w:color w:val="000000"/>
                <w:kern w:val="0"/>
                <w:szCs w:val="21"/>
              </w:rPr>
              <w:t>260.6</w:t>
            </w:r>
          </w:p>
        </w:tc>
        <w:tc>
          <w:tcPr>
            <w:tcW w:w="1284" w:type="dxa"/>
            <w:tcBorders>
              <w:top w:val="nil"/>
              <w:left w:val="nil"/>
              <w:bottom w:val="single" w:color="auto" w:sz="4" w:space="0"/>
              <w:right w:val="single" w:color="auto" w:sz="4" w:space="0"/>
            </w:tcBorders>
            <w:shd w:val="clear" w:color="auto" w:fill="auto"/>
            <w:vAlign w:val="center"/>
          </w:tcPr>
          <w:p w14:paraId="585FC3EE">
            <w:pPr>
              <w:widowControl/>
              <w:jc w:val="center"/>
              <w:rPr>
                <w:color w:val="000000"/>
                <w:kern w:val="0"/>
                <w:szCs w:val="21"/>
              </w:rPr>
            </w:pPr>
            <w:r>
              <w:rPr>
                <w:color w:val="000000"/>
                <w:kern w:val="0"/>
                <w:szCs w:val="21"/>
              </w:rPr>
              <w:t>434.4</w:t>
            </w:r>
          </w:p>
        </w:tc>
        <w:tc>
          <w:tcPr>
            <w:tcW w:w="1072" w:type="dxa"/>
            <w:tcBorders>
              <w:top w:val="nil"/>
              <w:left w:val="nil"/>
              <w:bottom w:val="single" w:color="auto" w:sz="4" w:space="0"/>
              <w:right w:val="single" w:color="auto" w:sz="4" w:space="0"/>
            </w:tcBorders>
            <w:shd w:val="clear" w:color="auto" w:fill="auto"/>
            <w:vAlign w:val="center"/>
          </w:tcPr>
          <w:p w14:paraId="46C9C802">
            <w:pPr>
              <w:widowControl/>
              <w:jc w:val="center"/>
              <w:rPr>
                <w:color w:val="000000"/>
                <w:kern w:val="0"/>
                <w:szCs w:val="21"/>
              </w:rPr>
            </w:pPr>
            <w:r>
              <w:rPr>
                <w:color w:val="000000"/>
                <w:kern w:val="0"/>
                <w:szCs w:val="21"/>
              </w:rPr>
              <w:t>54.3</w:t>
            </w:r>
          </w:p>
        </w:tc>
      </w:tr>
    </w:tbl>
    <w:p w14:paraId="3A49F80B">
      <w:pPr>
        <w:spacing w:line="360" w:lineRule="auto"/>
        <w:ind w:firstLine="480" w:firstLineChars="200"/>
        <w:rPr>
          <w:kern w:val="0"/>
          <w:sz w:val="24"/>
        </w:rPr>
      </w:pPr>
      <w:r>
        <w:rPr>
          <w:kern w:val="0"/>
          <w:sz w:val="24"/>
        </w:rPr>
        <w:t>（3）沉沙凼</w:t>
      </w:r>
    </w:p>
    <w:p w14:paraId="28DDAD16">
      <w:pPr>
        <w:spacing w:line="360" w:lineRule="auto"/>
        <w:ind w:firstLine="480" w:firstLineChars="200"/>
        <w:rPr>
          <w:sz w:val="24"/>
          <w:lang w:val="en-GB"/>
        </w:rPr>
      </w:pPr>
      <w:r>
        <w:rPr>
          <w:sz w:val="24"/>
        </w:rPr>
        <w:t>根据项目区的降水条件和各复垦地块的汇水面积，本方案与排水沟配套设计了沉砂池（长方体），沉砂池容积为1.5m</w:t>
      </w:r>
      <w:r>
        <w:rPr>
          <w:sz w:val="24"/>
          <w:vertAlign w:val="superscript"/>
        </w:rPr>
        <w:t>3</w:t>
      </w:r>
      <w:r>
        <w:rPr>
          <w:sz w:val="24"/>
        </w:rPr>
        <w:t>，长×宽×高=1.5×1.0×1.0m，适用于场地汇水面积较小、排水沟坡降较小的复垦地块。沉砂池均采用M7.5浆砌砖砌筑，两端分别连接排水沟。本方案共设计沉沙凼2个。</w:t>
      </w:r>
    </w:p>
    <w:p w14:paraId="22B9382E">
      <w:pPr>
        <w:pStyle w:val="5"/>
        <w:spacing w:beforeLines="50" w:after="0" w:line="360" w:lineRule="auto"/>
        <w:rPr>
          <w:rFonts w:eastAsiaTheme="minorEastAsia"/>
          <w:b w:val="0"/>
          <w:sz w:val="28"/>
          <w:szCs w:val="28"/>
        </w:rPr>
      </w:pPr>
      <w:bookmarkStart w:id="177" w:name="_Toc43851685"/>
      <w:bookmarkStart w:id="178" w:name="_Toc481328221"/>
      <w:bookmarkStart w:id="179" w:name="_Toc500227884"/>
      <w:r>
        <w:rPr>
          <w:rFonts w:eastAsiaTheme="minorEastAsia"/>
          <w:b w:val="0"/>
          <w:sz w:val="28"/>
          <w:szCs w:val="28"/>
        </w:rPr>
        <w:t>（三）主要工程量</w:t>
      </w:r>
      <w:bookmarkEnd w:id="177"/>
    </w:p>
    <w:p w14:paraId="2959EE3B">
      <w:pPr>
        <w:spacing w:line="360" w:lineRule="auto"/>
        <w:ind w:firstLine="480" w:firstLineChars="200"/>
        <w:rPr>
          <w:rFonts w:eastAsiaTheme="minorEastAsia"/>
          <w:sz w:val="24"/>
          <w:lang w:val="en-GB"/>
        </w:rPr>
      </w:pPr>
      <w:r>
        <w:rPr>
          <w:rFonts w:eastAsiaTheme="minorEastAsia"/>
          <w:sz w:val="24"/>
          <w:lang w:val="en-GB"/>
        </w:rPr>
        <w:t>土地复垦工程量统计详见表5-</w:t>
      </w:r>
      <w:r>
        <w:rPr>
          <w:rFonts w:eastAsiaTheme="minorEastAsia"/>
          <w:sz w:val="24"/>
        </w:rPr>
        <w:t>4</w:t>
      </w:r>
      <w:r>
        <w:rPr>
          <w:rFonts w:eastAsiaTheme="minorEastAsia"/>
          <w:sz w:val="24"/>
          <w:lang w:val="en-GB"/>
        </w:rPr>
        <w:t>。</w:t>
      </w:r>
    </w:p>
    <w:p w14:paraId="284023C8">
      <w:pPr>
        <w:jc w:val="center"/>
        <w:rPr>
          <w:rFonts w:eastAsiaTheme="minorEastAsia"/>
          <w:b/>
          <w:szCs w:val="21"/>
        </w:rPr>
      </w:pPr>
      <w:r>
        <w:rPr>
          <w:rFonts w:eastAsiaTheme="minorEastAsia"/>
          <w:b/>
          <w:szCs w:val="21"/>
        </w:rPr>
        <w:t>表5-4土地复垦工程量统计表</w:t>
      </w:r>
    </w:p>
    <w:tbl>
      <w:tblPr>
        <w:tblStyle w:val="29"/>
        <w:tblW w:w="86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6"/>
        <w:gridCol w:w="4108"/>
        <w:gridCol w:w="1369"/>
        <w:gridCol w:w="1561"/>
      </w:tblGrid>
      <w:tr w14:paraId="29DBA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blHeader/>
        </w:trPr>
        <w:tc>
          <w:tcPr>
            <w:tcW w:w="1586" w:type="dxa"/>
            <w:vAlign w:val="center"/>
          </w:tcPr>
          <w:p w14:paraId="5F870A2F">
            <w:pPr>
              <w:widowControl/>
              <w:jc w:val="center"/>
              <w:rPr>
                <w:rFonts w:eastAsiaTheme="minorEastAsia"/>
                <w:kern w:val="0"/>
                <w:szCs w:val="21"/>
              </w:rPr>
            </w:pPr>
            <w:r>
              <w:rPr>
                <w:rFonts w:eastAsiaTheme="minorEastAsia"/>
                <w:kern w:val="0"/>
                <w:szCs w:val="21"/>
              </w:rPr>
              <w:t>序号</w:t>
            </w:r>
          </w:p>
        </w:tc>
        <w:tc>
          <w:tcPr>
            <w:tcW w:w="4108" w:type="dxa"/>
            <w:vAlign w:val="center"/>
          </w:tcPr>
          <w:p w14:paraId="72148D4E">
            <w:pPr>
              <w:widowControl/>
              <w:jc w:val="center"/>
              <w:rPr>
                <w:rFonts w:eastAsiaTheme="minorEastAsia"/>
                <w:kern w:val="0"/>
                <w:szCs w:val="21"/>
              </w:rPr>
            </w:pPr>
            <w:r>
              <w:rPr>
                <w:rFonts w:eastAsiaTheme="minorEastAsia"/>
                <w:kern w:val="0"/>
                <w:szCs w:val="21"/>
              </w:rPr>
              <w:t>工程名称</w:t>
            </w:r>
          </w:p>
        </w:tc>
        <w:tc>
          <w:tcPr>
            <w:tcW w:w="1369" w:type="dxa"/>
            <w:vAlign w:val="center"/>
          </w:tcPr>
          <w:p w14:paraId="1F7C5062">
            <w:pPr>
              <w:widowControl/>
              <w:jc w:val="center"/>
              <w:rPr>
                <w:rFonts w:eastAsiaTheme="minorEastAsia"/>
                <w:kern w:val="0"/>
                <w:szCs w:val="21"/>
              </w:rPr>
            </w:pPr>
            <w:r>
              <w:rPr>
                <w:rFonts w:eastAsiaTheme="minorEastAsia"/>
                <w:kern w:val="0"/>
                <w:szCs w:val="21"/>
              </w:rPr>
              <w:t>单位</w:t>
            </w:r>
          </w:p>
        </w:tc>
        <w:tc>
          <w:tcPr>
            <w:tcW w:w="1561" w:type="dxa"/>
            <w:vAlign w:val="center"/>
          </w:tcPr>
          <w:p w14:paraId="47BFD4F0">
            <w:pPr>
              <w:widowControl/>
              <w:jc w:val="center"/>
              <w:rPr>
                <w:rFonts w:eastAsiaTheme="minorEastAsia"/>
                <w:kern w:val="0"/>
                <w:szCs w:val="21"/>
              </w:rPr>
            </w:pPr>
            <w:r>
              <w:rPr>
                <w:rFonts w:eastAsiaTheme="minorEastAsia"/>
                <w:kern w:val="0"/>
                <w:szCs w:val="21"/>
              </w:rPr>
              <w:t>数量</w:t>
            </w:r>
          </w:p>
        </w:tc>
      </w:tr>
      <w:tr w14:paraId="4685D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586" w:type="dxa"/>
            <w:vAlign w:val="center"/>
          </w:tcPr>
          <w:p w14:paraId="2737C75C">
            <w:pPr>
              <w:widowControl/>
              <w:jc w:val="center"/>
              <w:rPr>
                <w:rFonts w:eastAsiaTheme="minorEastAsia"/>
                <w:kern w:val="0"/>
                <w:szCs w:val="21"/>
              </w:rPr>
            </w:pPr>
            <w:r>
              <w:rPr>
                <w:rFonts w:eastAsiaTheme="minorEastAsia"/>
                <w:kern w:val="0"/>
                <w:szCs w:val="21"/>
              </w:rPr>
              <w:t>一</w:t>
            </w:r>
          </w:p>
        </w:tc>
        <w:tc>
          <w:tcPr>
            <w:tcW w:w="4108" w:type="dxa"/>
            <w:vAlign w:val="center"/>
          </w:tcPr>
          <w:p w14:paraId="22827986">
            <w:pPr>
              <w:widowControl/>
              <w:jc w:val="center"/>
              <w:rPr>
                <w:rFonts w:eastAsiaTheme="minorEastAsia"/>
                <w:kern w:val="0"/>
                <w:szCs w:val="21"/>
              </w:rPr>
            </w:pPr>
            <w:r>
              <w:rPr>
                <w:rFonts w:eastAsiaTheme="minorEastAsia"/>
                <w:kern w:val="0"/>
                <w:szCs w:val="21"/>
              </w:rPr>
              <w:t>土壤重构工程</w:t>
            </w:r>
          </w:p>
        </w:tc>
        <w:tc>
          <w:tcPr>
            <w:tcW w:w="1369" w:type="dxa"/>
            <w:vAlign w:val="center"/>
          </w:tcPr>
          <w:p w14:paraId="61EA9F8C">
            <w:pPr>
              <w:widowControl/>
              <w:jc w:val="center"/>
              <w:rPr>
                <w:rFonts w:eastAsiaTheme="minorEastAsia"/>
                <w:kern w:val="0"/>
                <w:szCs w:val="21"/>
              </w:rPr>
            </w:pPr>
            <w:r>
              <w:rPr>
                <w:rFonts w:eastAsiaTheme="minorEastAsia"/>
                <w:kern w:val="0"/>
                <w:szCs w:val="21"/>
              </w:rPr>
              <w:t>　</w:t>
            </w:r>
          </w:p>
        </w:tc>
        <w:tc>
          <w:tcPr>
            <w:tcW w:w="1561" w:type="dxa"/>
            <w:vAlign w:val="center"/>
          </w:tcPr>
          <w:p w14:paraId="33C8B9B5">
            <w:pPr>
              <w:widowControl/>
              <w:jc w:val="center"/>
              <w:rPr>
                <w:rFonts w:eastAsiaTheme="minorEastAsia"/>
                <w:kern w:val="0"/>
                <w:szCs w:val="21"/>
              </w:rPr>
            </w:pPr>
            <w:r>
              <w:rPr>
                <w:rFonts w:eastAsiaTheme="minorEastAsia"/>
                <w:kern w:val="0"/>
                <w:szCs w:val="21"/>
              </w:rPr>
              <w:t>　</w:t>
            </w:r>
          </w:p>
        </w:tc>
      </w:tr>
      <w:tr w14:paraId="6E923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591609A5">
            <w:pPr>
              <w:widowControl/>
              <w:jc w:val="center"/>
              <w:rPr>
                <w:rFonts w:eastAsiaTheme="minorEastAsia"/>
                <w:kern w:val="0"/>
                <w:szCs w:val="21"/>
              </w:rPr>
            </w:pPr>
            <w:r>
              <w:rPr>
                <w:rFonts w:eastAsiaTheme="minorEastAsia"/>
                <w:kern w:val="0"/>
                <w:szCs w:val="21"/>
              </w:rPr>
              <w:t>1</w:t>
            </w:r>
          </w:p>
        </w:tc>
        <w:tc>
          <w:tcPr>
            <w:tcW w:w="4108" w:type="dxa"/>
            <w:vAlign w:val="center"/>
          </w:tcPr>
          <w:p w14:paraId="35B820E8">
            <w:pPr>
              <w:widowControl/>
              <w:jc w:val="center"/>
              <w:rPr>
                <w:rFonts w:eastAsiaTheme="minorEastAsia"/>
                <w:kern w:val="0"/>
                <w:szCs w:val="21"/>
              </w:rPr>
            </w:pPr>
            <w:r>
              <w:rPr>
                <w:rFonts w:eastAsiaTheme="minorEastAsia"/>
                <w:kern w:val="0"/>
                <w:szCs w:val="21"/>
              </w:rPr>
              <w:t>拆除工程</w:t>
            </w:r>
          </w:p>
        </w:tc>
        <w:tc>
          <w:tcPr>
            <w:tcW w:w="1369" w:type="dxa"/>
            <w:vAlign w:val="center"/>
          </w:tcPr>
          <w:p w14:paraId="4DBF2DEC">
            <w:pPr>
              <w:widowControl/>
              <w:jc w:val="center"/>
              <w:rPr>
                <w:rFonts w:eastAsiaTheme="minorEastAsia"/>
                <w:kern w:val="0"/>
                <w:szCs w:val="21"/>
              </w:rPr>
            </w:pPr>
            <w:r>
              <w:rPr>
                <w:rFonts w:eastAsiaTheme="minorEastAsia"/>
                <w:kern w:val="0"/>
                <w:szCs w:val="21"/>
              </w:rPr>
              <w:t>　</w:t>
            </w:r>
          </w:p>
        </w:tc>
        <w:tc>
          <w:tcPr>
            <w:tcW w:w="1561" w:type="dxa"/>
            <w:vAlign w:val="center"/>
          </w:tcPr>
          <w:p w14:paraId="6AE14411">
            <w:pPr>
              <w:widowControl/>
              <w:jc w:val="center"/>
              <w:rPr>
                <w:rFonts w:eastAsiaTheme="minorEastAsia"/>
                <w:kern w:val="0"/>
                <w:szCs w:val="21"/>
              </w:rPr>
            </w:pPr>
            <w:r>
              <w:rPr>
                <w:rFonts w:eastAsiaTheme="minorEastAsia"/>
                <w:kern w:val="0"/>
                <w:szCs w:val="21"/>
              </w:rPr>
              <w:t>　</w:t>
            </w:r>
          </w:p>
        </w:tc>
      </w:tr>
      <w:tr w14:paraId="020CA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3D937399">
            <w:pPr>
              <w:widowControl/>
              <w:jc w:val="center"/>
              <w:rPr>
                <w:rFonts w:eastAsiaTheme="minorEastAsia"/>
                <w:kern w:val="0"/>
                <w:szCs w:val="21"/>
              </w:rPr>
            </w:pPr>
            <w:r>
              <w:rPr>
                <w:rFonts w:eastAsiaTheme="minorEastAsia"/>
                <w:kern w:val="0"/>
                <w:szCs w:val="21"/>
              </w:rPr>
              <w:t>（1）</w:t>
            </w:r>
          </w:p>
        </w:tc>
        <w:tc>
          <w:tcPr>
            <w:tcW w:w="4108" w:type="dxa"/>
            <w:vAlign w:val="center"/>
          </w:tcPr>
          <w:p w14:paraId="64D31BC8">
            <w:pPr>
              <w:widowControl/>
              <w:jc w:val="center"/>
              <w:rPr>
                <w:rFonts w:eastAsiaTheme="minorEastAsia"/>
                <w:kern w:val="0"/>
                <w:szCs w:val="21"/>
              </w:rPr>
            </w:pPr>
            <w:r>
              <w:rPr>
                <w:rFonts w:eastAsiaTheme="minorEastAsia"/>
                <w:kern w:val="0"/>
                <w:szCs w:val="21"/>
              </w:rPr>
              <w:t>砌体拆除</w:t>
            </w:r>
          </w:p>
        </w:tc>
        <w:tc>
          <w:tcPr>
            <w:tcW w:w="1369" w:type="dxa"/>
            <w:vAlign w:val="center"/>
          </w:tcPr>
          <w:p w14:paraId="6C42CE37">
            <w:pPr>
              <w:widowControl/>
              <w:jc w:val="center"/>
              <w:rPr>
                <w:rFonts w:eastAsiaTheme="minorEastAsia"/>
                <w:kern w:val="0"/>
                <w:szCs w:val="21"/>
              </w:rPr>
            </w:pPr>
            <w:r>
              <w:rPr>
                <w:rFonts w:eastAsiaTheme="minorEastAsia"/>
                <w:kern w:val="0"/>
                <w:szCs w:val="21"/>
              </w:rPr>
              <w:t>m</w:t>
            </w:r>
            <w:r>
              <w:rPr>
                <w:rFonts w:eastAsiaTheme="minorEastAsia"/>
                <w:kern w:val="0"/>
                <w:szCs w:val="21"/>
                <w:vertAlign w:val="superscript"/>
              </w:rPr>
              <w:t>3</w:t>
            </w:r>
          </w:p>
        </w:tc>
        <w:tc>
          <w:tcPr>
            <w:tcW w:w="1561" w:type="dxa"/>
            <w:vAlign w:val="center"/>
          </w:tcPr>
          <w:p w14:paraId="1C11DC2F">
            <w:pPr>
              <w:widowControl/>
              <w:jc w:val="center"/>
              <w:rPr>
                <w:rFonts w:eastAsiaTheme="minorEastAsia"/>
                <w:kern w:val="0"/>
                <w:szCs w:val="21"/>
              </w:rPr>
            </w:pPr>
            <w:r>
              <w:rPr>
                <w:rFonts w:eastAsiaTheme="minorEastAsia"/>
                <w:kern w:val="0"/>
                <w:szCs w:val="21"/>
              </w:rPr>
              <w:t>82</w:t>
            </w:r>
          </w:p>
        </w:tc>
      </w:tr>
      <w:tr w14:paraId="01237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431C21F8">
            <w:pPr>
              <w:widowControl/>
              <w:jc w:val="center"/>
              <w:rPr>
                <w:rFonts w:eastAsiaTheme="minorEastAsia"/>
                <w:kern w:val="0"/>
                <w:szCs w:val="21"/>
              </w:rPr>
            </w:pPr>
            <w:r>
              <w:rPr>
                <w:rFonts w:eastAsiaTheme="minorEastAsia"/>
                <w:kern w:val="0"/>
                <w:szCs w:val="21"/>
              </w:rPr>
              <w:t>（2）</w:t>
            </w:r>
          </w:p>
        </w:tc>
        <w:tc>
          <w:tcPr>
            <w:tcW w:w="4108" w:type="dxa"/>
            <w:vAlign w:val="center"/>
          </w:tcPr>
          <w:p w14:paraId="5E6638DF">
            <w:pPr>
              <w:widowControl/>
              <w:jc w:val="center"/>
              <w:rPr>
                <w:rFonts w:eastAsiaTheme="minorEastAsia"/>
                <w:kern w:val="0"/>
                <w:szCs w:val="21"/>
              </w:rPr>
            </w:pPr>
            <w:r>
              <w:rPr>
                <w:rFonts w:eastAsiaTheme="minorEastAsia"/>
                <w:kern w:val="0"/>
                <w:szCs w:val="21"/>
              </w:rPr>
              <w:t>混凝土拆除</w:t>
            </w:r>
          </w:p>
        </w:tc>
        <w:tc>
          <w:tcPr>
            <w:tcW w:w="1369" w:type="dxa"/>
            <w:vAlign w:val="center"/>
          </w:tcPr>
          <w:p w14:paraId="4E27AC90">
            <w:pPr>
              <w:widowControl/>
              <w:jc w:val="center"/>
              <w:rPr>
                <w:rFonts w:eastAsiaTheme="minorEastAsia"/>
                <w:kern w:val="0"/>
                <w:szCs w:val="21"/>
              </w:rPr>
            </w:pPr>
            <w:r>
              <w:rPr>
                <w:rFonts w:eastAsiaTheme="minorEastAsia"/>
                <w:kern w:val="0"/>
                <w:szCs w:val="21"/>
              </w:rPr>
              <w:t>m</w:t>
            </w:r>
            <w:r>
              <w:rPr>
                <w:rFonts w:eastAsiaTheme="minorEastAsia"/>
                <w:kern w:val="0"/>
                <w:szCs w:val="21"/>
                <w:vertAlign w:val="superscript"/>
              </w:rPr>
              <w:t>3</w:t>
            </w:r>
          </w:p>
        </w:tc>
        <w:tc>
          <w:tcPr>
            <w:tcW w:w="1561" w:type="dxa"/>
            <w:vAlign w:val="center"/>
          </w:tcPr>
          <w:p w14:paraId="60D85454">
            <w:pPr>
              <w:widowControl/>
              <w:jc w:val="center"/>
              <w:rPr>
                <w:rFonts w:eastAsiaTheme="minorEastAsia"/>
                <w:kern w:val="0"/>
                <w:szCs w:val="21"/>
              </w:rPr>
            </w:pPr>
            <w:r>
              <w:rPr>
                <w:rFonts w:eastAsiaTheme="minorEastAsia"/>
                <w:kern w:val="0"/>
                <w:szCs w:val="21"/>
              </w:rPr>
              <w:t>49</w:t>
            </w:r>
          </w:p>
        </w:tc>
      </w:tr>
      <w:tr w14:paraId="0F8E2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550EF652">
            <w:pPr>
              <w:widowControl/>
              <w:jc w:val="center"/>
              <w:rPr>
                <w:rFonts w:eastAsiaTheme="minorEastAsia"/>
                <w:kern w:val="0"/>
                <w:szCs w:val="21"/>
              </w:rPr>
            </w:pPr>
            <w:r>
              <w:rPr>
                <w:rFonts w:eastAsiaTheme="minorEastAsia"/>
                <w:kern w:val="0"/>
                <w:szCs w:val="21"/>
              </w:rPr>
              <w:t>2</w:t>
            </w:r>
          </w:p>
        </w:tc>
        <w:tc>
          <w:tcPr>
            <w:tcW w:w="4108" w:type="dxa"/>
            <w:vAlign w:val="center"/>
          </w:tcPr>
          <w:p w14:paraId="15C23817">
            <w:pPr>
              <w:widowControl/>
              <w:jc w:val="center"/>
              <w:rPr>
                <w:rFonts w:eastAsiaTheme="minorEastAsia"/>
                <w:kern w:val="0"/>
                <w:szCs w:val="21"/>
              </w:rPr>
            </w:pPr>
            <w:r>
              <w:rPr>
                <w:rFonts w:eastAsiaTheme="minorEastAsia"/>
                <w:kern w:val="0"/>
                <w:szCs w:val="21"/>
              </w:rPr>
              <w:t>废渣清运工程</w:t>
            </w:r>
          </w:p>
        </w:tc>
        <w:tc>
          <w:tcPr>
            <w:tcW w:w="1369" w:type="dxa"/>
            <w:vAlign w:val="center"/>
          </w:tcPr>
          <w:p w14:paraId="3B9DE063">
            <w:pPr>
              <w:widowControl/>
              <w:jc w:val="center"/>
              <w:rPr>
                <w:rFonts w:eastAsiaTheme="minorEastAsia"/>
                <w:kern w:val="0"/>
                <w:szCs w:val="21"/>
              </w:rPr>
            </w:pPr>
            <w:r>
              <w:rPr>
                <w:rFonts w:eastAsiaTheme="minorEastAsia"/>
                <w:kern w:val="0"/>
                <w:szCs w:val="21"/>
              </w:rPr>
              <w:t>　</w:t>
            </w:r>
          </w:p>
        </w:tc>
        <w:tc>
          <w:tcPr>
            <w:tcW w:w="1561" w:type="dxa"/>
            <w:vAlign w:val="center"/>
          </w:tcPr>
          <w:p w14:paraId="7B845623">
            <w:pPr>
              <w:widowControl/>
              <w:jc w:val="center"/>
              <w:rPr>
                <w:rFonts w:eastAsiaTheme="minorEastAsia"/>
                <w:kern w:val="0"/>
                <w:szCs w:val="21"/>
              </w:rPr>
            </w:pPr>
          </w:p>
        </w:tc>
      </w:tr>
      <w:tr w14:paraId="1861F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53CE9EAF">
            <w:pPr>
              <w:widowControl/>
              <w:jc w:val="center"/>
              <w:rPr>
                <w:rFonts w:eastAsiaTheme="minorEastAsia"/>
                <w:kern w:val="0"/>
                <w:szCs w:val="21"/>
              </w:rPr>
            </w:pPr>
            <w:r>
              <w:rPr>
                <w:rFonts w:eastAsiaTheme="minorEastAsia"/>
                <w:kern w:val="0"/>
                <w:szCs w:val="21"/>
              </w:rPr>
              <w:t>（1）</w:t>
            </w:r>
          </w:p>
        </w:tc>
        <w:tc>
          <w:tcPr>
            <w:tcW w:w="4108" w:type="dxa"/>
            <w:vAlign w:val="center"/>
          </w:tcPr>
          <w:p w14:paraId="066A64FB">
            <w:pPr>
              <w:widowControl/>
              <w:jc w:val="center"/>
              <w:rPr>
                <w:rFonts w:eastAsiaTheme="minorEastAsia"/>
                <w:kern w:val="0"/>
                <w:szCs w:val="21"/>
              </w:rPr>
            </w:pPr>
            <w:r>
              <w:rPr>
                <w:rFonts w:eastAsiaTheme="minorEastAsia"/>
                <w:kern w:val="0"/>
                <w:szCs w:val="21"/>
              </w:rPr>
              <w:t>废渣清运</w:t>
            </w:r>
          </w:p>
        </w:tc>
        <w:tc>
          <w:tcPr>
            <w:tcW w:w="1369" w:type="dxa"/>
            <w:vAlign w:val="center"/>
          </w:tcPr>
          <w:p w14:paraId="53D30335">
            <w:pPr>
              <w:widowControl/>
              <w:jc w:val="center"/>
              <w:rPr>
                <w:rFonts w:eastAsiaTheme="minorEastAsia"/>
                <w:kern w:val="0"/>
                <w:szCs w:val="21"/>
              </w:rPr>
            </w:pPr>
            <w:r>
              <w:rPr>
                <w:rFonts w:eastAsiaTheme="minorEastAsia"/>
                <w:kern w:val="0"/>
                <w:szCs w:val="21"/>
              </w:rPr>
              <w:t>m</w:t>
            </w:r>
            <w:r>
              <w:rPr>
                <w:rFonts w:eastAsiaTheme="minorEastAsia"/>
                <w:kern w:val="0"/>
                <w:szCs w:val="21"/>
                <w:vertAlign w:val="superscript"/>
              </w:rPr>
              <w:t>3</w:t>
            </w:r>
          </w:p>
        </w:tc>
        <w:tc>
          <w:tcPr>
            <w:tcW w:w="1561" w:type="dxa"/>
            <w:vAlign w:val="center"/>
          </w:tcPr>
          <w:p w14:paraId="6ABA12CF">
            <w:pPr>
              <w:widowControl/>
              <w:jc w:val="center"/>
              <w:rPr>
                <w:rFonts w:eastAsiaTheme="minorEastAsia"/>
                <w:kern w:val="0"/>
                <w:szCs w:val="21"/>
              </w:rPr>
            </w:pPr>
            <w:r>
              <w:rPr>
                <w:rFonts w:eastAsiaTheme="minorEastAsia"/>
                <w:kern w:val="0"/>
                <w:szCs w:val="21"/>
              </w:rPr>
              <w:t>131</w:t>
            </w:r>
          </w:p>
        </w:tc>
      </w:tr>
      <w:tr w14:paraId="20C68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19FB7F0D">
            <w:pPr>
              <w:widowControl/>
              <w:jc w:val="center"/>
              <w:rPr>
                <w:rFonts w:eastAsiaTheme="minorEastAsia"/>
                <w:kern w:val="0"/>
                <w:szCs w:val="21"/>
              </w:rPr>
            </w:pPr>
            <w:r>
              <w:rPr>
                <w:rFonts w:eastAsiaTheme="minorEastAsia"/>
                <w:kern w:val="0"/>
                <w:szCs w:val="21"/>
              </w:rPr>
              <w:t>3</w:t>
            </w:r>
          </w:p>
        </w:tc>
        <w:tc>
          <w:tcPr>
            <w:tcW w:w="4108" w:type="dxa"/>
            <w:vAlign w:val="center"/>
          </w:tcPr>
          <w:p w14:paraId="45CAB2EC">
            <w:pPr>
              <w:widowControl/>
              <w:jc w:val="center"/>
              <w:rPr>
                <w:rFonts w:eastAsiaTheme="minorEastAsia"/>
                <w:kern w:val="0"/>
                <w:szCs w:val="21"/>
              </w:rPr>
            </w:pPr>
            <w:r>
              <w:rPr>
                <w:rFonts w:eastAsiaTheme="minorEastAsia"/>
                <w:kern w:val="0"/>
                <w:szCs w:val="21"/>
              </w:rPr>
              <w:t>表土工程</w:t>
            </w:r>
          </w:p>
        </w:tc>
        <w:tc>
          <w:tcPr>
            <w:tcW w:w="1369" w:type="dxa"/>
            <w:vAlign w:val="center"/>
          </w:tcPr>
          <w:p w14:paraId="18EF809D">
            <w:pPr>
              <w:widowControl/>
              <w:jc w:val="center"/>
              <w:rPr>
                <w:rFonts w:eastAsiaTheme="minorEastAsia"/>
                <w:kern w:val="0"/>
                <w:szCs w:val="21"/>
              </w:rPr>
            </w:pPr>
            <w:r>
              <w:rPr>
                <w:rFonts w:eastAsiaTheme="minorEastAsia"/>
                <w:kern w:val="0"/>
                <w:szCs w:val="21"/>
              </w:rPr>
              <w:t>　</w:t>
            </w:r>
          </w:p>
        </w:tc>
        <w:tc>
          <w:tcPr>
            <w:tcW w:w="1561" w:type="dxa"/>
            <w:vAlign w:val="center"/>
          </w:tcPr>
          <w:p w14:paraId="11A41E5F">
            <w:pPr>
              <w:widowControl/>
              <w:jc w:val="center"/>
              <w:rPr>
                <w:rFonts w:eastAsiaTheme="minorEastAsia"/>
                <w:kern w:val="0"/>
                <w:szCs w:val="21"/>
              </w:rPr>
            </w:pPr>
          </w:p>
        </w:tc>
      </w:tr>
      <w:tr w14:paraId="4E9D6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3157BAEF">
            <w:pPr>
              <w:widowControl/>
              <w:jc w:val="center"/>
              <w:rPr>
                <w:rFonts w:eastAsiaTheme="minorEastAsia"/>
                <w:kern w:val="0"/>
                <w:szCs w:val="21"/>
              </w:rPr>
            </w:pPr>
            <w:r>
              <w:rPr>
                <w:rFonts w:eastAsiaTheme="minorEastAsia"/>
                <w:kern w:val="0"/>
                <w:szCs w:val="21"/>
              </w:rPr>
              <w:t>（1）</w:t>
            </w:r>
          </w:p>
        </w:tc>
        <w:tc>
          <w:tcPr>
            <w:tcW w:w="4108" w:type="dxa"/>
            <w:vAlign w:val="center"/>
          </w:tcPr>
          <w:p w14:paraId="544A18B4">
            <w:pPr>
              <w:widowControl/>
              <w:jc w:val="center"/>
              <w:rPr>
                <w:rFonts w:eastAsiaTheme="minorEastAsia"/>
                <w:kern w:val="0"/>
                <w:szCs w:val="21"/>
              </w:rPr>
            </w:pPr>
            <w:r>
              <w:rPr>
                <w:rFonts w:eastAsiaTheme="minorEastAsia"/>
                <w:kern w:val="0"/>
                <w:szCs w:val="21"/>
              </w:rPr>
              <w:t>表土回覆</w:t>
            </w:r>
          </w:p>
        </w:tc>
        <w:tc>
          <w:tcPr>
            <w:tcW w:w="1369" w:type="dxa"/>
            <w:vAlign w:val="center"/>
          </w:tcPr>
          <w:p w14:paraId="0A574937">
            <w:pPr>
              <w:widowControl/>
              <w:jc w:val="center"/>
              <w:rPr>
                <w:rFonts w:eastAsiaTheme="minorEastAsia"/>
                <w:kern w:val="0"/>
                <w:szCs w:val="21"/>
              </w:rPr>
            </w:pPr>
            <w:r>
              <w:rPr>
                <w:rFonts w:eastAsiaTheme="minorEastAsia"/>
                <w:kern w:val="0"/>
                <w:szCs w:val="21"/>
              </w:rPr>
              <w:t>m</w:t>
            </w:r>
            <w:r>
              <w:rPr>
                <w:rFonts w:eastAsiaTheme="minorEastAsia"/>
                <w:kern w:val="0"/>
                <w:szCs w:val="21"/>
                <w:vertAlign w:val="superscript"/>
              </w:rPr>
              <w:t>3</w:t>
            </w:r>
          </w:p>
        </w:tc>
        <w:tc>
          <w:tcPr>
            <w:tcW w:w="1561" w:type="dxa"/>
            <w:vAlign w:val="center"/>
          </w:tcPr>
          <w:p w14:paraId="5BE0A87C">
            <w:pPr>
              <w:widowControl/>
              <w:jc w:val="center"/>
              <w:rPr>
                <w:rFonts w:eastAsiaTheme="minorEastAsia"/>
                <w:kern w:val="0"/>
                <w:szCs w:val="21"/>
              </w:rPr>
            </w:pPr>
            <w:r>
              <w:rPr>
                <w:rFonts w:eastAsiaTheme="minorEastAsia"/>
                <w:kern w:val="0"/>
                <w:szCs w:val="21"/>
              </w:rPr>
              <w:t>7545.82</w:t>
            </w:r>
          </w:p>
        </w:tc>
      </w:tr>
      <w:tr w14:paraId="38E05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7A26846A">
            <w:pPr>
              <w:widowControl/>
              <w:jc w:val="center"/>
              <w:rPr>
                <w:rFonts w:eastAsiaTheme="minorEastAsia"/>
                <w:kern w:val="0"/>
                <w:szCs w:val="21"/>
              </w:rPr>
            </w:pPr>
            <w:r>
              <w:rPr>
                <w:rFonts w:eastAsiaTheme="minorEastAsia"/>
                <w:kern w:val="0"/>
                <w:szCs w:val="21"/>
              </w:rPr>
              <w:t>4</w:t>
            </w:r>
          </w:p>
        </w:tc>
        <w:tc>
          <w:tcPr>
            <w:tcW w:w="4108" w:type="dxa"/>
            <w:vAlign w:val="center"/>
          </w:tcPr>
          <w:p w14:paraId="0AF9E42F">
            <w:pPr>
              <w:widowControl/>
              <w:jc w:val="center"/>
              <w:rPr>
                <w:rFonts w:eastAsiaTheme="minorEastAsia"/>
                <w:kern w:val="0"/>
                <w:szCs w:val="21"/>
              </w:rPr>
            </w:pPr>
            <w:r>
              <w:rPr>
                <w:rFonts w:eastAsiaTheme="minorEastAsia"/>
                <w:kern w:val="0"/>
                <w:szCs w:val="21"/>
              </w:rPr>
              <w:t>平整工程</w:t>
            </w:r>
          </w:p>
        </w:tc>
        <w:tc>
          <w:tcPr>
            <w:tcW w:w="1369" w:type="dxa"/>
            <w:vAlign w:val="center"/>
          </w:tcPr>
          <w:p w14:paraId="184FA363">
            <w:pPr>
              <w:widowControl/>
              <w:jc w:val="center"/>
              <w:rPr>
                <w:rFonts w:eastAsiaTheme="minorEastAsia"/>
                <w:kern w:val="0"/>
                <w:szCs w:val="21"/>
              </w:rPr>
            </w:pPr>
          </w:p>
        </w:tc>
        <w:tc>
          <w:tcPr>
            <w:tcW w:w="1561" w:type="dxa"/>
            <w:vAlign w:val="center"/>
          </w:tcPr>
          <w:p w14:paraId="59CABC7D">
            <w:pPr>
              <w:widowControl/>
              <w:jc w:val="center"/>
              <w:rPr>
                <w:rFonts w:eastAsiaTheme="minorEastAsia"/>
                <w:kern w:val="0"/>
                <w:szCs w:val="21"/>
              </w:rPr>
            </w:pPr>
          </w:p>
        </w:tc>
      </w:tr>
      <w:tr w14:paraId="5DCC2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6FCACA35">
            <w:pPr>
              <w:widowControl/>
              <w:jc w:val="center"/>
              <w:rPr>
                <w:rFonts w:eastAsiaTheme="minorEastAsia"/>
                <w:kern w:val="0"/>
                <w:szCs w:val="21"/>
              </w:rPr>
            </w:pPr>
            <w:r>
              <w:rPr>
                <w:rFonts w:eastAsiaTheme="minorEastAsia"/>
                <w:kern w:val="0"/>
                <w:szCs w:val="21"/>
              </w:rPr>
              <w:t>（1）</w:t>
            </w:r>
          </w:p>
        </w:tc>
        <w:tc>
          <w:tcPr>
            <w:tcW w:w="4108" w:type="dxa"/>
            <w:vAlign w:val="center"/>
          </w:tcPr>
          <w:p w14:paraId="5638616D">
            <w:pPr>
              <w:widowControl/>
              <w:jc w:val="center"/>
              <w:rPr>
                <w:rFonts w:eastAsiaTheme="minorEastAsia"/>
                <w:kern w:val="0"/>
                <w:szCs w:val="21"/>
              </w:rPr>
            </w:pPr>
            <w:r>
              <w:rPr>
                <w:rFonts w:eastAsiaTheme="minorEastAsia"/>
                <w:kern w:val="0"/>
                <w:szCs w:val="21"/>
              </w:rPr>
              <w:t>场地平整</w:t>
            </w:r>
          </w:p>
        </w:tc>
        <w:tc>
          <w:tcPr>
            <w:tcW w:w="1369" w:type="dxa"/>
            <w:vAlign w:val="center"/>
          </w:tcPr>
          <w:p w14:paraId="1F6514D4">
            <w:pPr>
              <w:widowControl/>
              <w:jc w:val="center"/>
              <w:rPr>
                <w:rFonts w:eastAsiaTheme="minorEastAsia"/>
                <w:kern w:val="0"/>
                <w:szCs w:val="21"/>
              </w:rPr>
            </w:pPr>
            <w:r>
              <w:rPr>
                <w:rFonts w:eastAsiaTheme="minorEastAsia"/>
                <w:kern w:val="0"/>
                <w:szCs w:val="21"/>
              </w:rPr>
              <w:t>m</w:t>
            </w:r>
            <w:r>
              <w:rPr>
                <w:rFonts w:eastAsiaTheme="minorEastAsia"/>
                <w:kern w:val="0"/>
                <w:szCs w:val="21"/>
                <w:vertAlign w:val="superscript"/>
              </w:rPr>
              <w:t>2</w:t>
            </w:r>
          </w:p>
        </w:tc>
        <w:tc>
          <w:tcPr>
            <w:tcW w:w="1561" w:type="dxa"/>
            <w:vAlign w:val="center"/>
          </w:tcPr>
          <w:p w14:paraId="6C463A54">
            <w:pPr>
              <w:widowControl/>
              <w:jc w:val="center"/>
              <w:rPr>
                <w:rFonts w:eastAsiaTheme="minorEastAsia"/>
                <w:kern w:val="0"/>
                <w:szCs w:val="21"/>
              </w:rPr>
            </w:pPr>
            <w:r>
              <w:rPr>
                <w:rFonts w:eastAsiaTheme="minorEastAsia"/>
                <w:kern w:val="0"/>
                <w:szCs w:val="21"/>
              </w:rPr>
              <w:t>22197</w:t>
            </w:r>
          </w:p>
        </w:tc>
      </w:tr>
      <w:tr w14:paraId="36CE1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0C30BCBB">
            <w:pPr>
              <w:widowControl/>
              <w:jc w:val="center"/>
              <w:rPr>
                <w:rFonts w:eastAsiaTheme="minorEastAsia"/>
                <w:kern w:val="0"/>
                <w:szCs w:val="21"/>
              </w:rPr>
            </w:pPr>
            <w:r>
              <w:rPr>
                <w:rFonts w:eastAsiaTheme="minorEastAsia"/>
                <w:kern w:val="0"/>
                <w:szCs w:val="21"/>
              </w:rPr>
              <w:t>5</w:t>
            </w:r>
          </w:p>
        </w:tc>
        <w:tc>
          <w:tcPr>
            <w:tcW w:w="4108" w:type="dxa"/>
            <w:vAlign w:val="center"/>
          </w:tcPr>
          <w:p w14:paraId="72D8003F">
            <w:pPr>
              <w:widowControl/>
              <w:jc w:val="center"/>
              <w:rPr>
                <w:rFonts w:eastAsiaTheme="minorEastAsia"/>
                <w:kern w:val="0"/>
                <w:szCs w:val="21"/>
              </w:rPr>
            </w:pPr>
            <w:r>
              <w:rPr>
                <w:rFonts w:eastAsiaTheme="minorEastAsia"/>
                <w:kern w:val="0"/>
                <w:szCs w:val="21"/>
              </w:rPr>
              <w:t>生物化学工程</w:t>
            </w:r>
          </w:p>
        </w:tc>
        <w:tc>
          <w:tcPr>
            <w:tcW w:w="1369" w:type="dxa"/>
            <w:vAlign w:val="center"/>
          </w:tcPr>
          <w:p w14:paraId="57ECAFD0">
            <w:pPr>
              <w:widowControl/>
              <w:jc w:val="center"/>
              <w:rPr>
                <w:rFonts w:eastAsiaTheme="minorEastAsia"/>
                <w:kern w:val="0"/>
                <w:szCs w:val="21"/>
              </w:rPr>
            </w:pPr>
            <w:r>
              <w:rPr>
                <w:rFonts w:eastAsiaTheme="minorEastAsia"/>
                <w:kern w:val="0"/>
                <w:szCs w:val="21"/>
              </w:rPr>
              <w:t>　</w:t>
            </w:r>
          </w:p>
        </w:tc>
        <w:tc>
          <w:tcPr>
            <w:tcW w:w="1561" w:type="dxa"/>
            <w:vAlign w:val="center"/>
          </w:tcPr>
          <w:p w14:paraId="6F7FDC33">
            <w:pPr>
              <w:widowControl/>
              <w:jc w:val="center"/>
              <w:rPr>
                <w:rFonts w:eastAsiaTheme="minorEastAsia"/>
                <w:kern w:val="0"/>
                <w:szCs w:val="21"/>
              </w:rPr>
            </w:pPr>
          </w:p>
        </w:tc>
      </w:tr>
      <w:tr w14:paraId="02D25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191F45F8">
            <w:pPr>
              <w:widowControl/>
              <w:jc w:val="center"/>
              <w:rPr>
                <w:rFonts w:eastAsiaTheme="minorEastAsia"/>
                <w:kern w:val="0"/>
                <w:szCs w:val="21"/>
              </w:rPr>
            </w:pPr>
            <w:r>
              <w:rPr>
                <w:rFonts w:eastAsiaTheme="minorEastAsia"/>
                <w:kern w:val="0"/>
                <w:szCs w:val="21"/>
              </w:rPr>
              <w:t>（1）</w:t>
            </w:r>
          </w:p>
        </w:tc>
        <w:tc>
          <w:tcPr>
            <w:tcW w:w="4108" w:type="dxa"/>
            <w:vAlign w:val="center"/>
          </w:tcPr>
          <w:p w14:paraId="72FD9642">
            <w:pPr>
              <w:widowControl/>
              <w:jc w:val="center"/>
              <w:rPr>
                <w:rFonts w:eastAsiaTheme="minorEastAsia"/>
                <w:kern w:val="0"/>
                <w:szCs w:val="21"/>
              </w:rPr>
            </w:pPr>
            <w:r>
              <w:rPr>
                <w:rFonts w:eastAsiaTheme="minorEastAsia"/>
                <w:kern w:val="0"/>
                <w:szCs w:val="21"/>
              </w:rPr>
              <w:t>耕地地力培肥</w:t>
            </w:r>
          </w:p>
        </w:tc>
        <w:tc>
          <w:tcPr>
            <w:tcW w:w="1369" w:type="dxa"/>
            <w:vAlign w:val="center"/>
          </w:tcPr>
          <w:p w14:paraId="30829C7F">
            <w:pPr>
              <w:widowControl/>
              <w:jc w:val="center"/>
              <w:rPr>
                <w:rFonts w:eastAsiaTheme="minorEastAsia"/>
                <w:kern w:val="0"/>
                <w:szCs w:val="21"/>
              </w:rPr>
            </w:pPr>
            <w:r>
              <w:rPr>
                <w:rFonts w:eastAsiaTheme="minorEastAsia"/>
                <w:kern w:val="0"/>
                <w:szCs w:val="21"/>
              </w:rPr>
              <w:t>hm</w:t>
            </w:r>
            <w:r>
              <w:rPr>
                <w:rFonts w:eastAsiaTheme="minorEastAsia"/>
                <w:kern w:val="0"/>
                <w:szCs w:val="21"/>
                <w:vertAlign w:val="superscript"/>
              </w:rPr>
              <w:t>2</w:t>
            </w:r>
          </w:p>
        </w:tc>
        <w:tc>
          <w:tcPr>
            <w:tcW w:w="1561" w:type="dxa"/>
            <w:vAlign w:val="center"/>
          </w:tcPr>
          <w:p w14:paraId="27B00422">
            <w:pPr>
              <w:widowControl/>
              <w:jc w:val="center"/>
              <w:rPr>
                <w:rFonts w:eastAsiaTheme="minorEastAsia"/>
                <w:kern w:val="0"/>
                <w:szCs w:val="21"/>
              </w:rPr>
            </w:pPr>
            <w:r>
              <w:rPr>
                <w:rFonts w:eastAsiaTheme="minorEastAsia"/>
                <w:kern w:val="0"/>
                <w:szCs w:val="21"/>
              </w:rPr>
              <w:t>1.8545</w:t>
            </w:r>
          </w:p>
        </w:tc>
      </w:tr>
      <w:tr w14:paraId="6A9BF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640D56FA">
            <w:pPr>
              <w:widowControl/>
              <w:jc w:val="center"/>
              <w:rPr>
                <w:rFonts w:eastAsiaTheme="minorEastAsia"/>
                <w:kern w:val="0"/>
                <w:szCs w:val="21"/>
              </w:rPr>
            </w:pPr>
            <w:r>
              <w:rPr>
                <w:rFonts w:eastAsiaTheme="minorEastAsia"/>
                <w:kern w:val="0"/>
                <w:szCs w:val="21"/>
              </w:rPr>
              <w:t>（2）</w:t>
            </w:r>
          </w:p>
        </w:tc>
        <w:tc>
          <w:tcPr>
            <w:tcW w:w="4108" w:type="dxa"/>
            <w:vAlign w:val="center"/>
          </w:tcPr>
          <w:p w14:paraId="769243B6">
            <w:pPr>
              <w:widowControl/>
              <w:jc w:val="center"/>
              <w:rPr>
                <w:rFonts w:eastAsiaTheme="minorEastAsia"/>
                <w:kern w:val="0"/>
                <w:szCs w:val="21"/>
              </w:rPr>
            </w:pPr>
            <w:r>
              <w:rPr>
                <w:rFonts w:eastAsiaTheme="minorEastAsia"/>
                <w:kern w:val="0"/>
                <w:szCs w:val="21"/>
              </w:rPr>
              <w:t>林地地力培肥</w:t>
            </w:r>
          </w:p>
        </w:tc>
        <w:tc>
          <w:tcPr>
            <w:tcW w:w="1369" w:type="dxa"/>
            <w:vAlign w:val="center"/>
          </w:tcPr>
          <w:p w14:paraId="3FF001CB">
            <w:pPr>
              <w:widowControl/>
              <w:jc w:val="center"/>
              <w:rPr>
                <w:rFonts w:eastAsiaTheme="minorEastAsia"/>
                <w:kern w:val="0"/>
                <w:szCs w:val="21"/>
              </w:rPr>
            </w:pPr>
            <w:r>
              <w:rPr>
                <w:rFonts w:eastAsiaTheme="minorEastAsia"/>
                <w:kern w:val="0"/>
                <w:szCs w:val="21"/>
              </w:rPr>
              <w:t>hm</w:t>
            </w:r>
            <w:r>
              <w:rPr>
                <w:rFonts w:eastAsiaTheme="minorEastAsia"/>
                <w:kern w:val="0"/>
                <w:szCs w:val="21"/>
                <w:vertAlign w:val="superscript"/>
              </w:rPr>
              <w:t>2</w:t>
            </w:r>
          </w:p>
        </w:tc>
        <w:tc>
          <w:tcPr>
            <w:tcW w:w="1561" w:type="dxa"/>
            <w:vAlign w:val="center"/>
          </w:tcPr>
          <w:p w14:paraId="1428D991">
            <w:pPr>
              <w:widowControl/>
              <w:jc w:val="center"/>
              <w:rPr>
                <w:rFonts w:eastAsiaTheme="minorEastAsia"/>
                <w:kern w:val="0"/>
                <w:szCs w:val="21"/>
              </w:rPr>
            </w:pPr>
            <w:r>
              <w:rPr>
                <w:rFonts w:eastAsiaTheme="minorEastAsia"/>
                <w:kern w:val="0"/>
                <w:szCs w:val="21"/>
              </w:rPr>
              <w:t>0.3652</w:t>
            </w:r>
          </w:p>
        </w:tc>
      </w:tr>
      <w:tr w14:paraId="25E66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57374C8B">
            <w:pPr>
              <w:widowControl/>
              <w:jc w:val="center"/>
              <w:rPr>
                <w:rFonts w:eastAsiaTheme="minorEastAsia"/>
                <w:kern w:val="0"/>
                <w:szCs w:val="21"/>
              </w:rPr>
            </w:pPr>
            <w:r>
              <w:rPr>
                <w:rFonts w:eastAsiaTheme="minorEastAsia"/>
                <w:kern w:val="0"/>
                <w:szCs w:val="21"/>
              </w:rPr>
              <w:t>二</w:t>
            </w:r>
          </w:p>
        </w:tc>
        <w:tc>
          <w:tcPr>
            <w:tcW w:w="4108" w:type="dxa"/>
            <w:vAlign w:val="center"/>
          </w:tcPr>
          <w:p w14:paraId="11BB7B8E">
            <w:pPr>
              <w:widowControl/>
              <w:jc w:val="center"/>
              <w:rPr>
                <w:rFonts w:eastAsiaTheme="minorEastAsia"/>
                <w:kern w:val="0"/>
                <w:szCs w:val="21"/>
              </w:rPr>
            </w:pPr>
            <w:r>
              <w:rPr>
                <w:rFonts w:eastAsiaTheme="minorEastAsia"/>
                <w:kern w:val="0"/>
                <w:szCs w:val="21"/>
              </w:rPr>
              <w:t>植被重建工程</w:t>
            </w:r>
          </w:p>
        </w:tc>
        <w:tc>
          <w:tcPr>
            <w:tcW w:w="1369" w:type="dxa"/>
            <w:vAlign w:val="center"/>
          </w:tcPr>
          <w:p w14:paraId="591A42E8">
            <w:pPr>
              <w:widowControl/>
              <w:jc w:val="center"/>
              <w:rPr>
                <w:rFonts w:eastAsiaTheme="minorEastAsia"/>
                <w:kern w:val="0"/>
                <w:szCs w:val="21"/>
              </w:rPr>
            </w:pPr>
            <w:r>
              <w:rPr>
                <w:rFonts w:eastAsiaTheme="minorEastAsia"/>
                <w:kern w:val="0"/>
                <w:szCs w:val="21"/>
              </w:rPr>
              <w:t>　</w:t>
            </w:r>
          </w:p>
        </w:tc>
        <w:tc>
          <w:tcPr>
            <w:tcW w:w="1561" w:type="dxa"/>
            <w:vAlign w:val="center"/>
          </w:tcPr>
          <w:p w14:paraId="22E919EE">
            <w:pPr>
              <w:widowControl/>
              <w:jc w:val="center"/>
              <w:rPr>
                <w:rFonts w:eastAsiaTheme="minorEastAsia"/>
                <w:kern w:val="0"/>
                <w:szCs w:val="21"/>
              </w:rPr>
            </w:pPr>
          </w:p>
        </w:tc>
      </w:tr>
      <w:tr w14:paraId="552B5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1586" w:type="dxa"/>
            <w:vAlign w:val="center"/>
          </w:tcPr>
          <w:p w14:paraId="1D4F41AC">
            <w:pPr>
              <w:widowControl/>
              <w:jc w:val="center"/>
              <w:rPr>
                <w:rFonts w:eastAsiaTheme="minorEastAsia"/>
                <w:kern w:val="0"/>
                <w:szCs w:val="21"/>
              </w:rPr>
            </w:pPr>
            <w:r>
              <w:rPr>
                <w:rFonts w:eastAsiaTheme="minorEastAsia"/>
                <w:kern w:val="0"/>
                <w:szCs w:val="21"/>
              </w:rPr>
              <w:t>1</w:t>
            </w:r>
          </w:p>
        </w:tc>
        <w:tc>
          <w:tcPr>
            <w:tcW w:w="4108" w:type="dxa"/>
            <w:vAlign w:val="center"/>
          </w:tcPr>
          <w:p w14:paraId="5358FBA0">
            <w:pPr>
              <w:widowControl/>
              <w:jc w:val="center"/>
              <w:rPr>
                <w:rFonts w:eastAsiaTheme="minorEastAsia"/>
                <w:kern w:val="0"/>
                <w:szCs w:val="21"/>
              </w:rPr>
            </w:pPr>
            <w:r>
              <w:rPr>
                <w:rFonts w:eastAsiaTheme="minorEastAsia"/>
                <w:kern w:val="0"/>
                <w:szCs w:val="21"/>
              </w:rPr>
              <w:t>林草恢复工程</w:t>
            </w:r>
          </w:p>
        </w:tc>
        <w:tc>
          <w:tcPr>
            <w:tcW w:w="1369" w:type="dxa"/>
            <w:vAlign w:val="center"/>
          </w:tcPr>
          <w:p w14:paraId="6E45CDEC">
            <w:pPr>
              <w:widowControl/>
              <w:jc w:val="center"/>
              <w:rPr>
                <w:rFonts w:eastAsiaTheme="minorEastAsia"/>
                <w:kern w:val="0"/>
                <w:szCs w:val="21"/>
              </w:rPr>
            </w:pPr>
            <w:r>
              <w:rPr>
                <w:rFonts w:eastAsiaTheme="minorEastAsia"/>
                <w:kern w:val="0"/>
                <w:szCs w:val="21"/>
              </w:rPr>
              <w:t>　</w:t>
            </w:r>
          </w:p>
        </w:tc>
        <w:tc>
          <w:tcPr>
            <w:tcW w:w="1561" w:type="dxa"/>
            <w:vAlign w:val="center"/>
          </w:tcPr>
          <w:p w14:paraId="20BD5947">
            <w:pPr>
              <w:widowControl/>
              <w:jc w:val="center"/>
              <w:rPr>
                <w:rFonts w:eastAsiaTheme="minorEastAsia"/>
                <w:kern w:val="0"/>
                <w:szCs w:val="21"/>
              </w:rPr>
            </w:pPr>
          </w:p>
        </w:tc>
      </w:tr>
      <w:tr w14:paraId="0AA8C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0B03DF2F">
            <w:pPr>
              <w:widowControl/>
              <w:jc w:val="center"/>
              <w:rPr>
                <w:rFonts w:eastAsiaTheme="minorEastAsia"/>
                <w:kern w:val="0"/>
                <w:szCs w:val="21"/>
              </w:rPr>
            </w:pPr>
            <w:r>
              <w:rPr>
                <w:rFonts w:eastAsiaTheme="minorEastAsia"/>
                <w:kern w:val="0"/>
                <w:szCs w:val="21"/>
              </w:rPr>
              <w:t>（1）</w:t>
            </w:r>
          </w:p>
        </w:tc>
        <w:tc>
          <w:tcPr>
            <w:tcW w:w="4108" w:type="dxa"/>
            <w:vAlign w:val="center"/>
          </w:tcPr>
          <w:p w14:paraId="476ACA6E">
            <w:pPr>
              <w:widowControl/>
              <w:jc w:val="center"/>
              <w:rPr>
                <w:rFonts w:eastAsiaTheme="minorEastAsia"/>
                <w:kern w:val="0"/>
                <w:szCs w:val="21"/>
              </w:rPr>
            </w:pPr>
            <w:r>
              <w:rPr>
                <w:rFonts w:eastAsiaTheme="minorEastAsia"/>
                <w:kern w:val="0"/>
                <w:szCs w:val="21"/>
              </w:rPr>
              <w:t>栽植马尾松</w:t>
            </w:r>
          </w:p>
        </w:tc>
        <w:tc>
          <w:tcPr>
            <w:tcW w:w="1369" w:type="dxa"/>
            <w:vAlign w:val="center"/>
          </w:tcPr>
          <w:p w14:paraId="4F774BF6">
            <w:pPr>
              <w:widowControl/>
              <w:jc w:val="center"/>
              <w:rPr>
                <w:rFonts w:eastAsiaTheme="minorEastAsia"/>
                <w:kern w:val="0"/>
                <w:szCs w:val="21"/>
              </w:rPr>
            </w:pPr>
            <w:r>
              <w:rPr>
                <w:rFonts w:eastAsiaTheme="minorEastAsia"/>
                <w:kern w:val="0"/>
                <w:szCs w:val="21"/>
              </w:rPr>
              <w:t>株</w:t>
            </w:r>
          </w:p>
        </w:tc>
        <w:tc>
          <w:tcPr>
            <w:tcW w:w="1561" w:type="dxa"/>
            <w:vAlign w:val="center"/>
          </w:tcPr>
          <w:p w14:paraId="6974545C">
            <w:pPr>
              <w:widowControl/>
              <w:jc w:val="center"/>
              <w:rPr>
                <w:rFonts w:eastAsiaTheme="minorEastAsia"/>
                <w:kern w:val="0"/>
                <w:szCs w:val="21"/>
              </w:rPr>
            </w:pPr>
            <w:r>
              <w:rPr>
                <w:rFonts w:eastAsiaTheme="minorEastAsia"/>
                <w:kern w:val="0"/>
                <w:szCs w:val="21"/>
              </w:rPr>
              <w:t>913</w:t>
            </w:r>
          </w:p>
        </w:tc>
      </w:tr>
      <w:tr w14:paraId="6FAAF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4265840D">
            <w:pPr>
              <w:widowControl/>
              <w:jc w:val="center"/>
              <w:rPr>
                <w:rFonts w:eastAsiaTheme="minorEastAsia"/>
                <w:kern w:val="0"/>
                <w:szCs w:val="21"/>
              </w:rPr>
            </w:pPr>
            <w:r>
              <w:rPr>
                <w:rFonts w:eastAsiaTheme="minorEastAsia"/>
                <w:kern w:val="0"/>
                <w:szCs w:val="21"/>
              </w:rPr>
              <w:t>（2）</w:t>
            </w:r>
          </w:p>
        </w:tc>
        <w:tc>
          <w:tcPr>
            <w:tcW w:w="4108" w:type="dxa"/>
            <w:vAlign w:val="center"/>
          </w:tcPr>
          <w:p w14:paraId="462E2C3E">
            <w:pPr>
              <w:widowControl/>
              <w:jc w:val="center"/>
              <w:rPr>
                <w:rFonts w:eastAsiaTheme="minorEastAsia"/>
                <w:kern w:val="0"/>
                <w:szCs w:val="21"/>
              </w:rPr>
            </w:pPr>
            <w:r>
              <w:rPr>
                <w:rFonts w:eastAsiaTheme="minorEastAsia"/>
                <w:kern w:val="0"/>
                <w:szCs w:val="21"/>
              </w:rPr>
              <w:t>栽植爬山虎</w:t>
            </w:r>
          </w:p>
        </w:tc>
        <w:tc>
          <w:tcPr>
            <w:tcW w:w="1369" w:type="dxa"/>
            <w:vAlign w:val="center"/>
          </w:tcPr>
          <w:p w14:paraId="329BD37D">
            <w:pPr>
              <w:widowControl/>
              <w:jc w:val="center"/>
              <w:rPr>
                <w:rFonts w:eastAsiaTheme="minorEastAsia"/>
                <w:kern w:val="0"/>
                <w:szCs w:val="21"/>
              </w:rPr>
            </w:pPr>
            <w:r>
              <w:rPr>
                <w:rFonts w:eastAsiaTheme="minorEastAsia"/>
                <w:kern w:val="0"/>
                <w:szCs w:val="21"/>
              </w:rPr>
              <w:t>株</w:t>
            </w:r>
          </w:p>
        </w:tc>
        <w:tc>
          <w:tcPr>
            <w:tcW w:w="1561" w:type="dxa"/>
            <w:vAlign w:val="center"/>
          </w:tcPr>
          <w:p w14:paraId="0860DB1E">
            <w:pPr>
              <w:widowControl/>
              <w:jc w:val="center"/>
              <w:rPr>
                <w:rFonts w:eastAsiaTheme="minorEastAsia"/>
                <w:kern w:val="0"/>
                <w:szCs w:val="21"/>
              </w:rPr>
            </w:pPr>
            <w:r>
              <w:rPr>
                <w:rFonts w:eastAsiaTheme="minorEastAsia"/>
                <w:kern w:val="0"/>
                <w:szCs w:val="21"/>
              </w:rPr>
              <w:t>617</w:t>
            </w:r>
          </w:p>
        </w:tc>
      </w:tr>
      <w:tr w14:paraId="0778A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0C6400C1">
            <w:pPr>
              <w:widowControl/>
              <w:jc w:val="center"/>
              <w:rPr>
                <w:rFonts w:eastAsiaTheme="minorEastAsia"/>
                <w:kern w:val="0"/>
                <w:szCs w:val="21"/>
              </w:rPr>
            </w:pPr>
            <w:r>
              <w:rPr>
                <w:rFonts w:eastAsiaTheme="minorEastAsia"/>
                <w:kern w:val="0"/>
                <w:szCs w:val="21"/>
              </w:rPr>
              <w:t>（3）</w:t>
            </w:r>
          </w:p>
        </w:tc>
        <w:tc>
          <w:tcPr>
            <w:tcW w:w="4108" w:type="dxa"/>
            <w:vAlign w:val="center"/>
          </w:tcPr>
          <w:p w14:paraId="0C1C8EDA">
            <w:pPr>
              <w:widowControl/>
              <w:jc w:val="center"/>
              <w:rPr>
                <w:rFonts w:eastAsiaTheme="minorEastAsia"/>
                <w:kern w:val="0"/>
                <w:szCs w:val="21"/>
              </w:rPr>
            </w:pPr>
            <w:r>
              <w:rPr>
                <w:rFonts w:eastAsiaTheme="minorEastAsia"/>
                <w:kern w:val="0"/>
                <w:szCs w:val="21"/>
              </w:rPr>
              <w:t>撒播狗牙根</w:t>
            </w:r>
          </w:p>
        </w:tc>
        <w:tc>
          <w:tcPr>
            <w:tcW w:w="1369" w:type="dxa"/>
            <w:vAlign w:val="center"/>
          </w:tcPr>
          <w:p w14:paraId="08544D5B">
            <w:pPr>
              <w:widowControl/>
              <w:jc w:val="center"/>
              <w:rPr>
                <w:rFonts w:eastAsiaTheme="minorEastAsia"/>
                <w:kern w:val="0"/>
                <w:szCs w:val="21"/>
              </w:rPr>
            </w:pPr>
            <w:r>
              <w:rPr>
                <w:rFonts w:eastAsiaTheme="minorEastAsia"/>
                <w:kern w:val="0"/>
                <w:szCs w:val="21"/>
              </w:rPr>
              <w:t>Kg</w:t>
            </w:r>
          </w:p>
        </w:tc>
        <w:tc>
          <w:tcPr>
            <w:tcW w:w="1561" w:type="dxa"/>
            <w:vAlign w:val="center"/>
          </w:tcPr>
          <w:p w14:paraId="49CFE139">
            <w:pPr>
              <w:widowControl/>
              <w:jc w:val="center"/>
              <w:rPr>
                <w:rFonts w:eastAsiaTheme="minorEastAsia"/>
                <w:kern w:val="0"/>
                <w:szCs w:val="21"/>
              </w:rPr>
            </w:pPr>
            <w:r>
              <w:rPr>
                <w:rFonts w:eastAsiaTheme="minorEastAsia"/>
                <w:kern w:val="0"/>
                <w:szCs w:val="21"/>
              </w:rPr>
              <w:t>10.96</w:t>
            </w:r>
          </w:p>
        </w:tc>
      </w:tr>
      <w:tr w14:paraId="7F95A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16DA9191">
            <w:pPr>
              <w:widowControl/>
              <w:jc w:val="center"/>
              <w:rPr>
                <w:kern w:val="0"/>
                <w:szCs w:val="21"/>
              </w:rPr>
            </w:pPr>
            <w:r>
              <w:rPr>
                <w:kern w:val="0"/>
                <w:szCs w:val="21"/>
              </w:rPr>
              <w:t>三</w:t>
            </w:r>
          </w:p>
        </w:tc>
        <w:tc>
          <w:tcPr>
            <w:tcW w:w="4108" w:type="dxa"/>
            <w:vAlign w:val="center"/>
          </w:tcPr>
          <w:p w14:paraId="3CB59FEB">
            <w:pPr>
              <w:widowControl/>
              <w:jc w:val="center"/>
              <w:rPr>
                <w:kern w:val="0"/>
                <w:szCs w:val="21"/>
              </w:rPr>
            </w:pPr>
            <w:r>
              <w:rPr>
                <w:kern w:val="0"/>
                <w:szCs w:val="21"/>
              </w:rPr>
              <w:t>配套工程</w:t>
            </w:r>
          </w:p>
        </w:tc>
        <w:tc>
          <w:tcPr>
            <w:tcW w:w="1369" w:type="dxa"/>
            <w:vAlign w:val="center"/>
          </w:tcPr>
          <w:p w14:paraId="62B9E6F7">
            <w:pPr>
              <w:widowControl/>
              <w:jc w:val="center"/>
              <w:rPr>
                <w:kern w:val="0"/>
                <w:szCs w:val="21"/>
              </w:rPr>
            </w:pPr>
          </w:p>
        </w:tc>
        <w:tc>
          <w:tcPr>
            <w:tcW w:w="1561" w:type="dxa"/>
            <w:vAlign w:val="center"/>
          </w:tcPr>
          <w:p w14:paraId="15821D52">
            <w:pPr>
              <w:widowControl/>
              <w:jc w:val="center"/>
              <w:rPr>
                <w:kern w:val="0"/>
                <w:szCs w:val="21"/>
              </w:rPr>
            </w:pPr>
          </w:p>
        </w:tc>
      </w:tr>
      <w:tr w14:paraId="01690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586" w:type="dxa"/>
            <w:vAlign w:val="center"/>
          </w:tcPr>
          <w:p w14:paraId="319F9371">
            <w:pPr>
              <w:widowControl/>
              <w:jc w:val="center"/>
              <w:rPr>
                <w:kern w:val="0"/>
                <w:szCs w:val="21"/>
              </w:rPr>
            </w:pPr>
            <w:r>
              <w:rPr>
                <w:kern w:val="0"/>
                <w:szCs w:val="21"/>
              </w:rPr>
              <w:t>1</w:t>
            </w:r>
          </w:p>
        </w:tc>
        <w:tc>
          <w:tcPr>
            <w:tcW w:w="4108" w:type="dxa"/>
            <w:vAlign w:val="center"/>
          </w:tcPr>
          <w:p w14:paraId="7146CC1F">
            <w:pPr>
              <w:widowControl/>
              <w:jc w:val="center"/>
              <w:rPr>
                <w:kern w:val="0"/>
                <w:szCs w:val="21"/>
              </w:rPr>
            </w:pPr>
            <w:r>
              <w:rPr>
                <w:kern w:val="0"/>
                <w:szCs w:val="21"/>
              </w:rPr>
              <w:t>修筑田埂（挖掘机筑土埂）</w:t>
            </w:r>
          </w:p>
        </w:tc>
        <w:tc>
          <w:tcPr>
            <w:tcW w:w="1369" w:type="dxa"/>
            <w:vAlign w:val="center"/>
          </w:tcPr>
          <w:p w14:paraId="29EBC8E3">
            <w:pPr>
              <w:widowControl/>
              <w:jc w:val="center"/>
              <w:rPr>
                <w:kern w:val="0"/>
                <w:szCs w:val="21"/>
              </w:rPr>
            </w:pPr>
            <w:r>
              <w:rPr>
                <w:kern w:val="0"/>
                <w:szCs w:val="21"/>
              </w:rPr>
              <w:t>m</w:t>
            </w:r>
            <w:r>
              <w:rPr>
                <w:kern w:val="0"/>
                <w:szCs w:val="21"/>
                <w:vertAlign w:val="superscript"/>
              </w:rPr>
              <w:t>3</w:t>
            </w:r>
          </w:p>
        </w:tc>
        <w:tc>
          <w:tcPr>
            <w:tcW w:w="1561" w:type="dxa"/>
            <w:vAlign w:val="center"/>
          </w:tcPr>
          <w:p w14:paraId="0C3847F4">
            <w:pPr>
              <w:widowControl/>
              <w:jc w:val="center"/>
              <w:rPr>
                <w:kern w:val="0"/>
                <w:szCs w:val="21"/>
              </w:rPr>
            </w:pPr>
            <w:r>
              <w:rPr>
                <w:kern w:val="0"/>
                <w:szCs w:val="21"/>
              </w:rPr>
              <w:t>233.2</w:t>
            </w:r>
          </w:p>
        </w:tc>
      </w:tr>
      <w:tr w14:paraId="12B9B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1586" w:type="dxa"/>
            <w:vAlign w:val="center"/>
          </w:tcPr>
          <w:p w14:paraId="7AA3484A">
            <w:pPr>
              <w:widowControl/>
              <w:jc w:val="center"/>
              <w:rPr>
                <w:kern w:val="0"/>
                <w:szCs w:val="21"/>
              </w:rPr>
            </w:pPr>
            <w:r>
              <w:rPr>
                <w:kern w:val="0"/>
                <w:szCs w:val="21"/>
              </w:rPr>
              <w:t>2</w:t>
            </w:r>
          </w:p>
        </w:tc>
        <w:tc>
          <w:tcPr>
            <w:tcW w:w="4108" w:type="dxa"/>
            <w:vAlign w:val="center"/>
          </w:tcPr>
          <w:p w14:paraId="6C0615FB">
            <w:pPr>
              <w:widowControl/>
              <w:jc w:val="center"/>
              <w:rPr>
                <w:kern w:val="0"/>
                <w:szCs w:val="21"/>
              </w:rPr>
            </w:pPr>
            <w:r>
              <w:rPr>
                <w:kern w:val="0"/>
                <w:szCs w:val="21"/>
              </w:rPr>
              <w:t>排水沟</w:t>
            </w:r>
          </w:p>
        </w:tc>
        <w:tc>
          <w:tcPr>
            <w:tcW w:w="1369" w:type="dxa"/>
            <w:vAlign w:val="center"/>
          </w:tcPr>
          <w:p w14:paraId="2C164D1A">
            <w:pPr>
              <w:widowControl/>
              <w:jc w:val="center"/>
              <w:rPr>
                <w:kern w:val="0"/>
                <w:szCs w:val="21"/>
              </w:rPr>
            </w:pPr>
            <w:r>
              <w:rPr>
                <w:kern w:val="0"/>
                <w:szCs w:val="21"/>
              </w:rPr>
              <w:t>m</w:t>
            </w:r>
          </w:p>
        </w:tc>
        <w:tc>
          <w:tcPr>
            <w:tcW w:w="1561" w:type="dxa"/>
            <w:vAlign w:val="center"/>
          </w:tcPr>
          <w:p w14:paraId="3C9E6936">
            <w:pPr>
              <w:widowControl/>
              <w:jc w:val="center"/>
              <w:rPr>
                <w:kern w:val="0"/>
                <w:szCs w:val="21"/>
              </w:rPr>
            </w:pPr>
            <w:r>
              <w:rPr>
                <w:kern w:val="0"/>
                <w:szCs w:val="21"/>
              </w:rPr>
              <w:t>543</w:t>
            </w:r>
          </w:p>
        </w:tc>
      </w:tr>
      <w:tr w14:paraId="17EB7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1586" w:type="dxa"/>
            <w:vAlign w:val="center"/>
          </w:tcPr>
          <w:p w14:paraId="39740E00">
            <w:pPr>
              <w:widowControl/>
              <w:jc w:val="center"/>
              <w:rPr>
                <w:kern w:val="0"/>
                <w:szCs w:val="21"/>
              </w:rPr>
            </w:pPr>
            <w:r>
              <w:rPr>
                <w:kern w:val="0"/>
                <w:szCs w:val="21"/>
              </w:rPr>
              <w:t>3</w:t>
            </w:r>
          </w:p>
        </w:tc>
        <w:tc>
          <w:tcPr>
            <w:tcW w:w="4108" w:type="dxa"/>
            <w:vAlign w:val="center"/>
          </w:tcPr>
          <w:p w14:paraId="33EB26AE">
            <w:pPr>
              <w:widowControl/>
              <w:jc w:val="center"/>
              <w:rPr>
                <w:kern w:val="0"/>
                <w:szCs w:val="21"/>
              </w:rPr>
            </w:pPr>
            <w:r>
              <w:rPr>
                <w:kern w:val="0"/>
                <w:szCs w:val="21"/>
              </w:rPr>
              <w:t>新建沉沙凼</w:t>
            </w:r>
          </w:p>
        </w:tc>
        <w:tc>
          <w:tcPr>
            <w:tcW w:w="1369" w:type="dxa"/>
            <w:vAlign w:val="center"/>
          </w:tcPr>
          <w:p w14:paraId="53BF38A7">
            <w:pPr>
              <w:widowControl/>
              <w:jc w:val="center"/>
              <w:rPr>
                <w:kern w:val="0"/>
                <w:szCs w:val="21"/>
              </w:rPr>
            </w:pPr>
            <w:r>
              <w:rPr>
                <w:kern w:val="0"/>
                <w:szCs w:val="21"/>
              </w:rPr>
              <w:t>个</w:t>
            </w:r>
          </w:p>
        </w:tc>
        <w:tc>
          <w:tcPr>
            <w:tcW w:w="1561" w:type="dxa"/>
            <w:vAlign w:val="center"/>
          </w:tcPr>
          <w:p w14:paraId="65E27511">
            <w:pPr>
              <w:widowControl/>
              <w:jc w:val="center"/>
              <w:rPr>
                <w:kern w:val="0"/>
                <w:szCs w:val="21"/>
              </w:rPr>
            </w:pPr>
            <w:r>
              <w:rPr>
                <w:kern w:val="0"/>
                <w:szCs w:val="21"/>
              </w:rPr>
              <w:t>2</w:t>
            </w:r>
          </w:p>
        </w:tc>
      </w:tr>
    </w:tbl>
    <w:p w14:paraId="2441DA86">
      <w:pPr>
        <w:keepNext/>
        <w:keepLines/>
        <w:adjustRightInd w:val="0"/>
        <w:spacing w:beforeLines="50" w:afterLines="50" w:line="360" w:lineRule="auto"/>
        <w:jc w:val="left"/>
        <w:textAlignment w:val="baseline"/>
        <w:outlineLvl w:val="0"/>
        <w:rPr>
          <w:kern w:val="0"/>
          <w:sz w:val="30"/>
          <w:szCs w:val="30"/>
        </w:rPr>
      </w:pPr>
      <w:bookmarkStart w:id="180" w:name="_Toc43851686"/>
      <w:r>
        <w:rPr>
          <w:kern w:val="0"/>
          <w:sz w:val="30"/>
          <w:szCs w:val="30"/>
        </w:rPr>
        <w:t>四、含水层破坏修复</w:t>
      </w:r>
      <w:bookmarkEnd w:id="178"/>
      <w:bookmarkEnd w:id="179"/>
      <w:bookmarkEnd w:id="180"/>
    </w:p>
    <w:p w14:paraId="753F961C">
      <w:pPr>
        <w:spacing w:line="360" w:lineRule="auto"/>
        <w:ind w:firstLine="480" w:firstLineChars="200"/>
        <w:rPr>
          <w:sz w:val="24"/>
          <w:lang w:val="zh-CN"/>
        </w:rPr>
      </w:pPr>
      <w:r>
        <w:rPr>
          <w:sz w:val="24"/>
          <w:lang w:val="zh-CN"/>
        </w:rPr>
        <w:t>本矿山的开采不涉及占用人畜饮用水源地。采矿场未开采开采，矿山一直保留有原生含水层，未造成任何影响，矿山购买的制砖材料为砖瓦用页岩矿，矿石成份无有害成份和无放射性元素，对地下水造成污染的可能性较小。因此，采矿活动对地下水含水层的影响程度很轻，基本可以忽略。故本方案对含水层不专门设计防护工程。</w:t>
      </w:r>
    </w:p>
    <w:p w14:paraId="37480C86">
      <w:pPr>
        <w:keepNext/>
        <w:keepLines/>
        <w:adjustRightInd w:val="0"/>
        <w:spacing w:beforeLines="50" w:afterLines="50" w:line="360" w:lineRule="auto"/>
        <w:jc w:val="left"/>
        <w:textAlignment w:val="baseline"/>
        <w:outlineLvl w:val="0"/>
        <w:rPr>
          <w:kern w:val="0"/>
          <w:sz w:val="30"/>
          <w:szCs w:val="30"/>
        </w:rPr>
      </w:pPr>
      <w:bookmarkStart w:id="181" w:name="_Toc481328226"/>
      <w:bookmarkStart w:id="182" w:name="_Toc480537470"/>
      <w:bookmarkStart w:id="183" w:name="_Toc43851687"/>
      <w:bookmarkStart w:id="184" w:name="_Toc500227885"/>
      <w:r>
        <w:rPr>
          <w:kern w:val="0"/>
          <w:sz w:val="30"/>
          <w:szCs w:val="30"/>
        </w:rPr>
        <w:t>五、水土环境污染修复</w:t>
      </w:r>
      <w:bookmarkEnd w:id="181"/>
      <w:bookmarkEnd w:id="182"/>
      <w:bookmarkEnd w:id="183"/>
      <w:bookmarkEnd w:id="184"/>
    </w:p>
    <w:p w14:paraId="29EE8EA0">
      <w:pPr>
        <w:pStyle w:val="5"/>
        <w:spacing w:beforeLines="50" w:afterLines="50" w:line="360" w:lineRule="auto"/>
        <w:rPr>
          <w:sz w:val="24"/>
        </w:rPr>
      </w:pPr>
      <w:bookmarkStart w:id="185" w:name="_Toc480537471"/>
      <w:bookmarkStart w:id="186" w:name="_Toc481328227"/>
      <w:bookmarkStart w:id="187" w:name="_Toc500227886"/>
      <w:bookmarkStart w:id="188" w:name="_Toc43851688"/>
      <w:r>
        <w:rPr>
          <w:b w:val="0"/>
          <w:sz w:val="28"/>
          <w:szCs w:val="28"/>
        </w:rPr>
        <w:t>（一）目标任务</w:t>
      </w:r>
      <w:bookmarkEnd w:id="185"/>
      <w:bookmarkEnd w:id="186"/>
      <w:bookmarkEnd w:id="187"/>
      <w:bookmarkEnd w:id="188"/>
    </w:p>
    <w:p w14:paraId="758FDF14">
      <w:pPr>
        <w:spacing w:line="360" w:lineRule="auto"/>
        <w:ind w:firstLine="480" w:firstLineChars="200"/>
        <w:rPr>
          <w:sz w:val="24"/>
          <w:lang w:val="zh-CN"/>
        </w:rPr>
      </w:pPr>
      <w:r>
        <w:rPr>
          <w:sz w:val="24"/>
          <w:lang w:val="zh-CN"/>
        </w:rPr>
        <w:t>本矿山项目为停产矿山，就目前矿山生产情况来看，矿山对水土资源基本无污染，只存在对土地损毁，在矿山生产完毕应及时进行土地复垦工作，恢复土地生产力和地表地貌。</w:t>
      </w:r>
    </w:p>
    <w:p w14:paraId="2948DDC3">
      <w:pPr>
        <w:pStyle w:val="5"/>
        <w:spacing w:beforeLines="50" w:afterLines="50" w:line="360" w:lineRule="auto"/>
        <w:rPr>
          <w:b w:val="0"/>
          <w:sz w:val="28"/>
          <w:szCs w:val="28"/>
        </w:rPr>
      </w:pPr>
      <w:bookmarkStart w:id="189" w:name="_Toc480537472"/>
      <w:bookmarkStart w:id="190" w:name="_Toc481328228"/>
      <w:bookmarkStart w:id="191" w:name="_Toc500227887"/>
      <w:bookmarkStart w:id="192" w:name="_Toc43851689"/>
      <w:r>
        <w:rPr>
          <w:b w:val="0"/>
          <w:sz w:val="28"/>
          <w:szCs w:val="28"/>
        </w:rPr>
        <w:t>（二）</w:t>
      </w:r>
      <w:bookmarkEnd w:id="189"/>
      <w:bookmarkEnd w:id="190"/>
      <w:r>
        <w:rPr>
          <w:b w:val="0"/>
          <w:sz w:val="28"/>
          <w:szCs w:val="28"/>
        </w:rPr>
        <w:t>工程设计及技术措施</w:t>
      </w:r>
      <w:bookmarkEnd w:id="191"/>
      <w:bookmarkEnd w:id="192"/>
    </w:p>
    <w:p w14:paraId="4BC3D44C">
      <w:pPr>
        <w:spacing w:line="360" w:lineRule="auto"/>
        <w:ind w:firstLine="480" w:firstLineChars="200"/>
        <w:rPr>
          <w:sz w:val="24"/>
          <w:lang w:val="zh-CN"/>
        </w:rPr>
      </w:pPr>
      <w:r>
        <w:rPr>
          <w:sz w:val="24"/>
          <w:lang w:val="zh-CN"/>
        </w:rPr>
        <w:t>采区土地复垦和恢复植被工程详见土地复垦部分，工程量和预算也计入土地复垦。</w:t>
      </w:r>
    </w:p>
    <w:p w14:paraId="2037EDA8">
      <w:pPr>
        <w:keepNext/>
        <w:keepLines/>
        <w:adjustRightInd w:val="0"/>
        <w:spacing w:beforeLines="50" w:afterLines="50" w:line="360" w:lineRule="auto"/>
        <w:jc w:val="left"/>
        <w:textAlignment w:val="baseline"/>
        <w:outlineLvl w:val="0"/>
        <w:rPr>
          <w:kern w:val="0"/>
          <w:sz w:val="30"/>
          <w:szCs w:val="30"/>
        </w:rPr>
      </w:pPr>
      <w:bookmarkStart w:id="193" w:name="_Toc480537475"/>
      <w:bookmarkStart w:id="194" w:name="_Toc43851690"/>
      <w:bookmarkStart w:id="195" w:name="_Toc500227888"/>
      <w:bookmarkStart w:id="196" w:name="_Toc481328231"/>
      <w:r>
        <w:rPr>
          <w:kern w:val="0"/>
          <w:sz w:val="30"/>
          <w:szCs w:val="30"/>
        </w:rPr>
        <w:t>六、矿山地质环境监测</w:t>
      </w:r>
      <w:bookmarkEnd w:id="193"/>
      <w:bookmarkEnd w:id="194"/>
      <w:bookmarkEnd w:id="195"/>
      <w:bookmarkEnd w:id="196"/>
    </w:p>
    <w:p w14:paraId="7A39DE0B">
      <w:pPr>
        <w:pStyle w:val="5"/>
        <w:spacing w:beforeLines="50" w:afterLines="50" w:line="360" w:lineRule="auto"/>
        <w:rPr>
          <w:b w:val="0"/>
          <w:sz w:val="28"/>
          <w:szCs w:val="28"/>
        </w:rPr>
      </w:pPr>
      <w:bookmarkStart w:id="197" w:name="_Toc43851691"/>
      <w:r>
        <w:rPr>
          <w:b w:val="0"/>
          <w:sz w:val="28"/>
          <w:szCs w:val="28"/>
        </w:rPr>
        <w:t>（一）目标任务</w:t>
      </w:r>
      <w:bookmarkEnd w:id="197"/>
    </w:p>
    <w:p w14:paraId="44E1EF8E">
      <w:pPr>
        <w:spacing w:line="360" w:lineRule="auto"/>
        <w:ind w:firstLine="480" w:firstLineChars="200"/>
        <w:rPr>
          <w:sz w:val="24"/>
        </w:rPr>
      </w:pPr>
      <w:r>
        <w:rPr>
          <w:sz w:val="24"/>
        </w:rPr>
        <w:t>矿山地质环境监测是从保护水土资源、维护良好的矿山地质环境、降低和避免矿山地质灾害风险为出发点，运用多种手段和方法，对矿山地质灾害成因、数量、强度、范围和后果进行监测，是准确掌握矿山地质环境动态变化及防治矿山地质灾害的重要手段和基础性工作。</w:t>
      </w:r>
    </w:p>
    <w:p w14:paraId="1F1809CB">
      <w:pPr>
        <w:spacing w:line="360" w:lineRule="auto"/>
        <w:ind w:firstLine="480" w:firstLineChars="200"/>
        <w:rPr>
          <w:sz w:val="24"/>
        </w:rPr>
      </w:pPr>
      <w:r>
        <w:rPr>
          <w:sz w:val="24"/>
        </w:rPr>
        <w:t>矿山主要的地质环境问题为边坡区可能诱发崩塌、滑坡的地质灾害，以及工业广场建设对地形地貌景观的影响和破坏，工业广场因开采标高最低点高于本区最低侵蚀基准面和地下水位之上，对含水层基本不造成破坏，故对含水层破坏没有进行监测，主要对地质灾害、地形地貌景观监测。监测工作由广元市利州区紫兰建材厂负责并组织实施，并设立专职机构，确保对本方案的实施。</w:t>
      </w:r>
      <w:r>
        <w:rPr>
          <w:sz w:val="24"/>
          <w:lang w:val="zh-CN"/>
        </w:rPr>
        <w:t>自然</w:t>
      </w:r>
      <w:r>
        <w:rPr>
          <w:sz w:val="24"/>
        </w:rPr>
        <w:t>资源管理部门负责监督管理，加强对本方案监测工作的组织管理和行政管理。</w:t>
      </w:r>
    </w:p>
    <w:p w14:paraId="4C9690B5">
      <w:pPr>
        <w:pStyle w:val="5"/>
        <w:spacing w:beforeLines="50" w:afterLines="50" w:line="360" w:lineRule="auto"/>
        <w:rPr>
          <w:b w:val="0"/>
          <w:sz w:val="28"/>
          <w:szCs w:val="28"/>
        </w:rPr>
      </w:pPr>
      <w:bookmarkStart w:id="198" w:name="_Toc43851692"/>
      <w:r>
        <w:rPr>
          <w:b w:val="0"/>
          <w:sz w:val="28"/>
          <w:szCs w:val="28"/>
        </w:rPr>
        <w:t>（二）工程设计及技术措施</w:t>
      </w:r>
      <w:bookmarkEnd w:id="198"/>
    </w:p>
    <w:p w14:paraId="6F1FE65C">
      <w:pPr>
        <w:spacing w:line="360" w:lineRule="auto"/>
        <w:ind w:firstLine="480" w:firstLineChars="200"/>
        <w:rPr>
          <w:sz w:val="24"/>
        </w:rPr>
      </w:pPr>
      <w:r>
        <w:rPr>
          <w:sz w:val="24"/>
        </w:rPr>
        <w:t>（1）滑坡、崩塌和变形相关因素监测</w:t>
      </w:r>
    </w:p>
    <w:p w14:paraId="2F879E0A">
      <w:pPr>
        <w:spacing w:line="360" w:lineRule="auto"/>
        <w:ind w:firstLine="480" w:firstLineChars="200"/>
        <w:rPr>
          <w:sz w:val="24"/>
        </w:rPr>
      </w:pPr>
      <w:r>
        <w:rPr>
          <w:sz w:val="24"/>
        </w:rPr>
        <w:t>主要采取气象、地震、人类工程活动、宏观变形地质监测等监测方法。气象监测主要以降雨为主（实时雨量或收集资料）；地震监测主要以收集资料为主；人类工程活动主要监测开挖、削坡、加载等对滑坡、崩塌形成、变形的影响；滑坡、崩塌宏观变形地质监测主要采取定时、定路线、定点调查滑坡、崩塌出现的宏观变形情况（裂缝的发生和发展、地面隆起、沉降、坍塌、鼓胀、建筑物变形、开裂等）以及与变形有关的异常现象（地声、地下水或地表水异常，动物异常等），并做好详细记录。</w:t>
      </w:r>
    </w:p>
    <w:p w14:paraId="4C2BD51D">
      <w:pPr>
        <w:spacing w:line="460" w:lineRule="exact"/>
        <w:ind w:firstLine="480" w:firstLineChars="200"/>
        <w:rPr>
          <w:sz w:val="24"/>
        </w:rPr>
      </w:pPr>
      <w:r>
        <w:rPr>
          <w:sz w:val="24"/>
        </w:rPr>
        <w:t>（2）滑坡、崩塌变形绝对位移监测</w:t>
      </w:r>
    </w:p>
    <w:p w14:paraId="622D67B6">
      <w:pPr>
        <w:spacing w:line="460" w:lineRule="exact"/>
        <w:ind w:firstLine="480" w:firstLineChars="200"/>
        <w:rPr>
          <w:sz w:val="24"/>
        </w:rPr>
      </w:pPr>
      <w:r>
        <w:rPr>
          <w:sz w:val="24"/>
        </w:rPr>
        <w:t>在矿区西侧方向形成的最终边坡开展变形监测，监测技术要求按《崩塌、滑坡、泥石流监测规范》（DZ/T0221-2006）开展。具体为：在西侧岩质边坡布设2个监测点，沿采场西侧边坡布置2条监测线。即共布设2条监测线和2个监测点。监测线采用人工定期巡视为主，观察采场边坡有无危岩或裂缝。监测点的监测方法采用全站仪测量各监测点三维绝对位移量。</w:t>
      </w:r>
    </w:p>
    <w:p w14:paraId="10CBBE04">
      <w:pPr>
        <w:spacing w:line="460" w:lineRule="exact"/>
        <w:ind w:firstLine="480" w:firstLineChars="200"/>
        <w:rPr>
          <w:sz w:val="24"/>
        </w:rPr>
      </w:pPr>
      <w:r>
        <w:rPr>
          <w:sz w:val="24"/>
        </w:rPr>
        <w:t>（3）监测技术要求</w:t>
      </w:r>
    </w:p>
    <w:p w14:paraId="4CC0E20B">
      <w:pPr>
        <w:spacing w:line="460" w:lineRule="exact"/>
        <w:ind w:firstLine="480" w:firstLineChars="200"/>
        <w:rPr>
          <w:sz w:val="24"/>
        </w:rPr>
      </w:pPr>
      <w:r>
        <w:rPr>
          <w:sz w:val="24"/>
        </w:rPr>
        <w:t>监测频率为正常情况下1个月一次，在汛期、雨季、预报期等情况下加密监测。监测工作由矿山业主自行或委托专业监测单位开展，监测过程中根据边坡监测变形情况按《崩塌、滑坡、泥石流监测规范》（DZ/T0221-2006）开展变形破坏预报。对边坡失稳形成崩塌、滑坡等地质灾害的，及时委托专业资质单位开展地质灾害勘查、设计和治理工作。</w:t>
      </w:r>
    </w:p>
    <w:p w14:paraId="054281FF">
      <w:pPr>
        <w:pStyle w:val="5"/>
        <w:spacing w:beforeLines="50" w:afterLines="50" w:line="360" w:lineRule="auto"/>
        <w:rPr>
          <w:b w:val="0"/>
          <w:sz w:val="28"/>
          <w:szCs w:val="28"/>
        </w:rPr>
      </w:pPr>
      <w:bookmarkStart w:id="199" w:name="_Toc43851693"/>
      <w:r>
        <w:rPr>
          <w:b w:val="0"/>
          <w:sz w:val="28"/>
          <w:szCs w:val="28"/>
        </w:rPr>
        <w:t>（三）主要工程量</w:t>
      </w:r>
      <w:bookmarkEnd w:id="199"/>
    </w:p>
    <w:p w14:paraId="4EBDBF61">
      <w:pPr>
        <w:spacing w:line="360" w:lineRule="auto"/>
        <w:ind w:firstLine="480" w:firstLineChars="200"/>
        <w:rPr>
          <w:sz w:val="24"/>
        </w:rPr>
      </w:pPr>
      <w:r>
        <w:rPr>
          <w:color w:val="000000"/>
          <w:sz w:val="24"/>
        </w:rPr>
        <w:t>1</w:t>
      </w:r>
      <w:r>
        <w:rPr>
          <w:sz w:val="24"/>
        </w:rPr>
        <w:t>、地质灾害监测工程量</w:t>
      </w:r>
    </w:p>
    <w:p w14:paraId="7FEC22A4">
      <w:pPr>
        <w:spacing w:line="360" w:lineRule="auto"/>
        <w:ind w:firstLine="480" w:firstLineChars="200"/>
        <w:rPr>
          <w:sz w:val="24"/>
        </w:rPr>
      </w:pPr>
      <w:r>
        <w:rPr>
          <w:sz w:val="24"/>
        </w:rPr>
        <w:t>汛期（每年5月～年10月）每月监测2次，非汛期（每年11～次年4月）每月监测1次，矿山地质灾害监测工程量见表5-5。</w:t>
      </w:r>
    </w:p>
    <w:p w14:paraId="32BABB37">
      <w:pPr>
        <w:adjustRightInd w:val="0"/>
        <w:snapToGrid w:val="0"/>
        <w:spacing w:line="360" w:lineRule="auto"/>
        <w:jc w:val="center"/>
        <w:rPr>
          <w:b/>
          <w:szCs w:val="21"/>
          <w:lang w:val="zh-CN"/>
        </w:rPr>
      </w:pPr>
      <w:r>
        <w:rPr>
          <w:b/>
          <w:szCs w:val="21"/>
          <w:lang w:val="zh-CN"/>
        </w:rPr>
        <w:t>表5-5</w:t>
      </w:r>
      <w:r>
        <w:rPr>
          <w:b/>
          <w:szCs w:val="21"/>
        </w:rPr>
        <w:t>矿山地质灾害监测工程量统计表</w:t>
      </w:r>
    </w:p>
    <w:tbl>
      <w:tblPr>
        <w:tblStyle w:val="29"/>
        <w:tblW w:w="9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32"/>
        <w:gridCol w:w="1113"/>
        <w:gridCol w:w="963"/>
        <w:gridCol w:w="1387"/>
        <w:gridCol w:w="3121"/>
      </w:tblGrid>
      <w:tr w14:paraId="78D32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32" w:type="dxa"/>
            <w:vAlign w:val="center"/>
          </w:tcPr>
          <w:p w14:paraId="2896525E">
            <w:pPr>
              <w:spacing w:line="360" w:lineRule="exact"/>
              <w:jc w:val="center"/>
              <w:rPr>
                <w:color w:val="000000"/>
                <w:kern w:val="0"/>
                <w:szCs w:val="21"/>
              </w:rPr>
            </w:pPr>
            <w:r>
              <w:rPr>
                <w:color w:val="000000"/>
                <w:kern w:val="0"/>
                <w:szCs w:val="21"/>
              </w:rPr>
              <w:t>项目</w:t>
            </w:r>
          </w:p>
        </w:tc>
        <w:tc>
          <w:tcPr>
            <w:tcW w:w="1113" w:type="dxa"/>
            <w:vAlign w:val="center"/>
          </w:tcPr>
          <w:p w14:paraId="0A506524">
            <w:pPr>
              <w:spacing w:line="360" w:lineRule="exact"/>
              <w:jc w:val="center"/>
              <w:rPr>
                <w:color w:val="000000"/>
                <w:kern w:val="0"/>
                <w:szCs w:val="21"/>
              </w:rPr>
            </w:pPr>
            <w:r>
              <w:rPr>
                <w:color w:val="000000"/>
                <w:kern w:val="0"/>
                <w:szCs w:val="21"/>
              </w:rPr>
              <w:t>监测时间</w:t>
            </w:r>
          </w:p>
        </w:tc>
        <w:tc>
          <w:tcPr>
            <w:tcW w:w="963" w:type="dxa"/>
            <w:vAlign w:val="center"/>
          </w:tcPr>
          <w:p w14:paraId="04D1DF6A">
            <w:pPr>
              <w:spacing w:line="360" w:lineRule="exact"/>
              <w:jc w:val="center"/>
              <w:rPr>
                <w:color w:val="000000"/>
                <w:kern w:val="0"/>
                <w:szCs w:val="21"/>
              </w:rPr>
            </w:pPr>
            <w:r>
              <w:rPr>
                <w:color w:val="000000"/>
                <w:kern w:val="0"/>
                <w:szCs w:val="21"/>
              </w:rPr>
              <w:t>单位</w:t>
            </w:r>
          </w:p>
        </w:tc>
        <w:tc>
          <w:tcPr>
            <w:tcW w:w="1387" w:type="dxa"/>
            <w:vAlign w:val="center"/>
          </w:tcPr>
          <w:p w14:paraId="551C24AF">
            <w:pPr>
              <w:spacing w:line="360" w:lineRule="exact"/>
              <w:jc w:val="center"/>
              <w:rPr>
                <w:color w:val="000000"/>
                <w:kern w:val="0"/>
                <w:szCs w:val="21"/>
              </w:rPr>
            </w:pPr>
            <w:r>
              <w:rPr>
                <w:color w:val="000000"/>
                <w:kern w:val="0"/>
                <w:szCs w:val="21"/>
              </w:rPr>
              <w:t>工程量</w:t>
            </w:r>
          </w:p>
        </w:tc>
        <w:tc>
          <w:tcPr>
            <w:tcW w:w="3121" w:type="dxa"/>
            <w:vAlign w:val="center"/>
          </w:tcPr>
          <w:p w14:paraId="020874C9">
            <w:pPr>
              <w:spacing w:line="360" w:lineRule="exact"/>
              <w:jc w:val="center"/>
              <w:rPr>
                <w:color w:val="000000"/>
                <w:kern w:val="0"/>
                <w:szCs w:val="21"/>
              </w:rPr>
            </w:pPr>
            <w:r>
              <w:rPr>
                <w:color w:val="000000"/>
                <w:kern w:val="0"/>
                <w:szCs w:val="21"/>
              </w:rPr>
              <w:t>备注</w:t>
            </w:r>
          </w:p>
        </w:tc>
      </w:tr>
      <w:tr w14:paraId="513F6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32" w:type="dxa"/>
            <w:vAlign w:val="center"/>
          </w:tcPr>
          <w:p w14:paraId="41B44E13">
            <w:pPr>
              <w:spacing w:line="360" w:lineRule="exact"/>
              <w:jc w:val="center"/>
              <w:rPr>
                <w:color w:val="000000"/>
                <w:kern w:val="0"/>
                <w:szCs w:val="21"/>
              </w:rPr>
            </w:pPr>
            <w:r>
              <w:rPr>
                <w:color w:val="000000"/>
                <w:kern w:val="0"/>
                <w:szCs w:val="21"/>
              </w:rPr>
              <w:t>滑坡、崩塌形成和变形相关因素监测</w:t>
            </w:r>
            <w:r>
              <w:rPr>
                <w:kern w:val="0"/>
                <w:szCs w:val="21"/>
              </w:rPr>
              <w:t>（人工巡查）</w:t>
            </w:r>
          </w:p>
        </w:tc>
        <w:tc>
          <w:tcPr>
            <w:tcW w:w="1113" w:type="dxa"/>
            <w:vAlign w:val="center"/>
          </w:tcPr>
          <w:p w14:paraId="6C3BFF5C">
            <w:pPr>
              <w:spacing w:line="360" w:lineRule="exact"/>
              <w:jc w:val="center"/>
              <w:rPr>
                <w:color w:val="000000"/>
                <w:kern w:val="0"/>
                <w:szCs w:val="21"/>
              </w:rPr>
            </w:pPr>
            <w:r>
              <w:rPr>
                <w:color w:val="000000"/>
                <w:kern w:val="0"/>
                <w:szCs w:val="21"/>
              </w:rPr>
              <w:t>0.1年</w:t>
            </w:r>
          </w:p>
        </w:tc>
        <w:tc>
          <w:tcPr>
            <w:tcW w:w="963" w:type="dxa"/>
            <w:vAlign w:val="center"/>
          </w:tcPr>
          <w:p w14:paraId="0F7912C2">
            <w:pPr>
              <w:spacing w:line="360" w:lineRule="exact"/>
              <w:jc w:val="center"/>
              <w:rPr>
                <w:color w:val="000000"/>
                <w:kern w:val="0"/>
                <w:szCs w:val="21"/>
              </w:rPr>
            </w:pPr>
            <w:r>
              <w:rPr>
                <w:color w:val="000000"/>
                <w:kern w:val="0"/>
                <w:szCs w:val="21"/>
              </w:rPr>
              <w:t>次</w:t>
            </w:r>
          </w:p>
        </w:tc>
        <w:tc>
          <w:tcPr>
            <w:tcW w:w="1387" w:type="dxa"/>
            <w:vAlign w:val="center"/>
          </w:tcPr>
          <w:p w14:paraId="05009F14">
            <w:pPr>
              <w:spacing w:line="360" w:lineRule="exact"/>
              <w:jc w:val="center"/>
              <w:rPr>
                <w:color w:val="000000"/>
                <w:kern w:val="0"/>
                <w:szCs w:val="21"/>
              </w:rPr>
            </w:pPr>
            <w:r>
              <w:rPr>
                <w:color w:val="000000"/>
                <w:kern w:val="0"/>
                <w:szCs w:val="21"/>
              </w:rPr>
              <w:t>4</w:t>
            </w:r>
          </w:p>
        </w:tc>
        <w:tc>
          <w:tcPr>
            <w:tcW w:w="3121" w:type="dxa"/>
            <w:vAlign w:val="center"/>
          </w:tcPr>
          <w:p w14:paraId="432323DC">
            <w:pPr>
              <w:spacing w:line="360" w:lineRule="exact"/>
              <w:jc w:val="center"/>
              <w:rPr>
                <w:color w:val="000000"/>
                <w:kern w:val="0"/>
                <w:szCs w:val="21"/>
              </w:rPr>
            </w:pPr>
            <w:r>
              <w:rPr>
                <w:color w:val="000000"/>
                <w:kern w:val="0"/>
                <w:szCs w:val="21"/>
              </w:rPr>
              <w:t>按汛期5-10月平均2次/月，非汛期平均1月一次计</w:t>
            </w:r>
          </w:p>
        </w:tc>
      </w:tr>
      <w:tr w14:paraId="23FCC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32" w:type="dxa"/>
            <w:vAlign w:val="center"/>
          </w:tcPr>
          <w:p w14:paraId="78A475E6">
            <w:pPr>
              <w:spacing w:line="360" w:lineRule="exact"/>
              <w:jc w:val="center"/>
              <w:rPr>
                <w:color w:val="000000"/>
                <w:kern w:val="0"/>
                <w:szCs w:val="21"/>
              </w:rPr>
            </w:pPr>
            <w:r>
              <w:rPr>
                <w:color w:val="000000"/>
                <w:kern w:val="0"/>
                <w:szCs w:val="21"/>
              </w:rPr>
              <w:t>滑坡、崩塌变形绝对位移监测</w:t>
            </w:r>
            <w:r>
              <w:rPr>
                <w:kern w:val="0"/>
                <w:szCs w:val="21"/>
              </w:rPr>
              <w:t>（全站仪监测）</w:t>
            </w:r>
          </w:p>
        </w:tc>
        <w:tc>
          <w:tcPr>
            <w:tcW w:w="1113" w:type="dxa"/>
            <w:vAlign w:val="center"/>
          </w:tcPr>
          <w:p w14:paraId="767F981E">
            <w:pPr>
              <w:spacing w:line="360" w:lineRule="exact"/>
              <w:jc w:val="center"/>
              <w:rPr>
                <w:color w:val="000000"/>
                <w:kern w:val="0"/>
                <w:szCs w:val="21"/>
              </w:rPr>
            </w:pPr>
            <w:r>
              <w:rPr>
                <w:color w:val="000000"/>
                <w:kern w:val="0"/>
                <w:szCs w:val="21"/>
              </w:rPr>
              <w:t>0.1年</w:t>
            </w:r>
          </w:p>
        </w:tc>
        <w:tc>
          <w:tcPr>
            <w:tcW w:w="963" w:type="dxa"/>
            <w:vAlign w:val="center"/>
          </w:tcPr>
          <w:p w14:paraId="1F2BD1BE">
            <w:pPr>
              <w:spacing w:line="360" w:lineRule="exact"/>
              <w:jc w:val="center"/>
              <w:rPr>
                <w:color w:val="000000"/>
                <w:kern w:val="0"/>
                <w:szCs w:val="21"/>
              </w:rPr>
            </w:pPr>
            <w:r>
              <w:rPr>
                <w:color w:val="000000"/>
                <w:kern w:val="0"/>
                <w:szCs w:val="21"/>
              </w:rPr>
              <w:t>次</w:t>
            </w:r>
          </w:p>
        </w:tc>
        <w:tc>
          <w:tcPr>
            <w:tcW w:w="1387" w:type="dxa"/>
            <w:vAlign w:val="center"/>
          </w:tcPr>
          <w:p w14:paraId="7571DA81">
            <w:pPr>
              <w:spacing w:line="360" w:lineRule="exact"/>
              <w:jc w:val="center"/>
              <w:rPr>
                <w:color w:val="000000"/>
                <w:kern w:val="0"/>
                <w:szCs w:val="21"/>
              </w:rPr>
            </w:pPr>
            <w:r>
              <w:rPr>
                <w:color w:val="000000"/>
                <w:kern w:val="0"/>
                <w:szCs w:val="21"/>
              </w:rPr>
              <w:t>4</w:t>
            </w:r>
          </w:p>
        </w:tc>
        <w:tc>
          <w:tcPr>
            <w:tcW w:w="3121" w:type="dxa"/>
            <w:vAlign w:val="center"/>
          </w:tcPr>
          <w:p w14:paraId="38F74533">
            <w:pPr>
              <w:spacing w:line="360" w:lineRule="exact"/>
              <w:jc w:val="center"/>
              <w:rPr>
                <w:color w:val="000000"/>
                <w:kern w:val="0"/>
                <w:szCs w:val="21"/>
              </w:rPr>
            </w:pPr>
            <w:r>
              <w:rPr>
                <w:color w:val="000000"/>
                <w:kern w:val="0"/>
                <w:szCs w:val="21"/>
              </w:rPr>
              <w:t>按汛期5-10月平均2次/月，非汛期平均1月一次计</w:t>
            </w:r>
          </w:p>
        </w:tc>
      </w:tr>
    </w:tbl>
    <w:p w14:paraId="4B604CD4">
      <w:pPr>
        <w:spacing w:beforeLines="50" w:line="360" w:lineRule="auto"/>
        <w:ind w:firstLine="480" w:firstLineChars="200"/>
        <w:rPr>
          <w:sz w:val="24"/>
        </w:rPr>
      </w:pPr>
      <w:r>
        <w:rPr>
          <w:sz w:val="24"/>
        </w:rPr>
        <w:t>2、地形地貌景观监测工程量</w:t>
      </w:r>
    </w:p>
    <w:p w14:paraId="24EE1AB3">
      <w:pPr>
        <w:spacing w:line="360" w:lineRule="auto"/>
        <w:ind w:firstLine="480" w:firstLineChars="200"/>
        <w:rPr>
          <w:color w:val="000000"/>
          <w:sz w:val="24"/>
        </w:rPr>
      </w:pPr>
      <w:r>
        <w:rPr>
          <w:color w:val="000000"/>
          <w:sz w:val="24"/>
        </w:rPr>
        <w:t>地形地貌景观监测主要对露天采场、工业广场建设对地形地貌景观的影响监测。为监测矿山项目建设对地形地貌景观破坏以及矿山地质环境恢复治理情况，在本方案服务年限之内应对整个矿山土地破坏以及恢复后的地形进行测量，采用全站仪人工实地测量，测量精度不小于1:1000，测量面积约3.6222hm</w:t>
      </w:r>
      <w:r>
        <w:rPr>
          <w:color w:val="000000"/>
          <w:sz w:val="24"/>
          <w:vertAlign w:val="superscript"/>
        </w:rPr>
        <w:t>2</w:t>
      </w:r>
      <w:r>
        <w:rPr>
          <w:color w:val="000000"/>
          <w:sz w:val="24"/>
        </w:rPr>
        <w:t>（土地破坏面积×1.5），监测频率为一年1次，累计1次。</w:t>
      </w:r>
    </w:p>
    <w:p w14:paraId="5C5F233D">
      <w:pPr>
        <w:keepNext/>
        <w:keepLines/>
        <w:adjustRightInd w:val="0"/>
        <w:spacing w:beforeLines="50" w:afterLines="50" w:line="360" w:lineRule="auto"/>
        <w:jc w:val="left"/>
        <w:textAlignment w:val="baseline"/>
        <w:outlineLvl w:val="0"/>
        <w:rPr>
          <w:kern w:val="0"/>
          <w:sz w:val="30"/>
          <w:szCs w:val="30"/>
        </w:rPr>
      </w:pPr>
      <w:bookmarkStart w:id="200" w:name="_Toc500227891"/>
      <w:bookmarkStart w:id="201" w:name="_Toc43851694"/>
      <w:bookmarkStart w:id="202" w:name="_Toc480537480"/>
      <w:bookmarkStart w:id="203" w:name="_Toc481328236"/>
      <w:r>
        <w:rPr>
          <w:kern w:val="0"/>
          <w:sz w:val="30"/>
          <w:szCs w:val="30"/>
        </w:rPr>
        <w:t>七、矿区土地复垦监测和管护</w:t>
      </w:r>
      <w:bookmarkEnd w:id="200"/>
      <w:bookmarkEnd w:id="201"/>
      <w:bookmarkEnd w:id="202"/>
      <w:bookmarkEnd w:id="203"/>
    </w:p>
    <w:p w14:paraId="5928151A">
      <w:pPr>
        <w:pStyle w:val="5"/>
        <w:spacing w:beforeLines="50" w:afterLines="50" w:line="360" w:lineRule="auto"/>
        <w:rPr>
          <w:b w:val="0"/>
          <w:sz w:val="28"/>
          <w:szCs w:val="28"/>
        </w:rPr>
      </w:pPr>
      <w:bookmarkStart w:id="204" w:name="_Toc43851695"/>
      <w:bookmarkStart w:id="205" w:name="_Toc481328237"/>
      <w:bookmarkStart w:id="206" w:name="_Toc500227892"/>
      <w:r>
        <w:rPr>
          <w:b w:val="0"/>
          <w:sz w:val="28"/>
          <w:szCs w:val="28"/>
        </w:rPr>
        <w:t>（一）目标任务</w:t>
      </w:r>
      <w:bookmarkEnd w:id="204"/>
      <w:bookmarkEnd w:id="205"/>
      <w:bookmarkEnd w:id="206"/>
    </w:p>
    <w:p w14:paraId="6C0E3325">
      <w:pPr>
        <w:spacing w:line="360" w:lineRule="auto"/>
        <w:ind w:firstLine="480" w:firstLineChars="200"/>
        <w:jc w:val="left"/>
        <w:rPr>
          <w:sz w:val="24"/>
        </w:rPr>
      </w:pPr>
      <w:r>
        <w:rPr>
          <w:sz w:val="24"/>
        </w:rPr>
        <w:t>1、监测目标任务</w:t>
      </w:r>
    </w:p>
    <w:p w14:paraId="1240494E">
      <w:pPr>
        <w:spacing w:line="360" w:lineRule="auto"/>
        <w:ind w:firstLine="480" w:firstLineChars="200"/>
        <w:jc w:val="left"/>
        <w:rPr>
          <w:sz w:val="24"/>
        </w:rPr>
      </w:pPr>
      <w:r>
        <w:rPr>
          <w:sz w:val="24"/>
        </w:rPr>
        <w:t>对复垦责任范围内损毁的所有对象进行监测，及时跟踪土地损毁情况，摸清损毁土地面积、地类和损毁程度，同时对土壤质量状况进行监测，在土壤质量下降前采取预防措施，以保证为复垦提供优质土源。对复垦的植被和配套设施进行监测，便于及时发现复垦质量不达标区域，采取补救措施，从而提高复垦效果和质量。</w:t>
      </w:r>
    </w:p>
    <w:p w14:paraId="526140AE">
      <w:pPr>
        <w:spacing w:line="360" w:lineRule="auto"/>
        <w:ind w:firstLine="480" w:firstLineChars="200"/>
        <w:jc w:val="left"/>
        <w:rPr>
          <w:sz w:val="24"/>
        </w:rPr>
      </w:pPr>
      <w:r>
        <w:rPr>
          <w:sz w:val="24"/>
        </w:rPr>
        <w:t>2、管护目标任务</w:t>
      </w:r>
    </w:p>
    <w:p w14:paraId="4FC0F4C0">
      <w:pPr>
        <w:spacing w:line="360" w:lineRule="auto"/>
        <w:ind w:firstLine="480" w:firstLineChars="200"/>
        <w:jc w:val="left"/>
        <w:rPr>
          <w:sz w:val="24"/>
        </w:rPr>
      </w:pPr>
      <w:r>
        <w:rPr>
          <w:sz w:val="24"/>
        </w:rPr>
        <w:t>对复垦后的林地进行管护，防止林地肥力降低。防止复垦林地长期遭受旱灾、鼠灾、虫灾，通过对林地的管护，以便保证复垦林地达到复垦质量要求，提高复垦的成活率，改善植被涨势情况，从而保证复垦总体目标得以实现。</w:t>
      </w:r>
    </w:p>
    <w:p w14:paraId="442338F1">
      <w:pPr>
        <w:pStyle w:val="5"/>
        <w:spacing w:beforeLines="50" w:afterLines="50" w:line="360" w:lineRule="auto"/>
        <w:rPr>
          <w:b w:val="0"/>
          <w:sz w:val="28"/>
          <w:szCs w:val="28"/>
        </w:rPr>
      </w:pPr>
      <w:bookmarkStart w:id="207" w:name="_Toc480537482"/>
      <w:bookmarkStart w:id="208" w:name="_Toc500227893"/>
      <w:bookmarkStart w:id="209" w:name="_Toc481328238"/>
      <w:bookmarkStart w:id="210" w:name="_Toc43851696"/>
      <w:r>
        <w:rPr>
          <w:b w:val="0"/>
          <w:sz w:val="28"/>
          <w:szCs w:val="28"/>
        </w:rPr>
        <w:t>（二）措施和内容</w:t>
      </w:r>
      <w:bookmarkEnd w:id="207"/>
      <w:bookmarkEnd w:id="208"/>
      <w:bookmarkEnd w:id="209"/>
      <w:bookmarkEnd w:id="210"/>
    </w:p>
    <w:p w14:paraId="65EF9796">
      <w:pPr>
        <w:spacing w:line="360" w:lineRule="auto"/>
        <w:ind w:firstLine="480" w:firstLineChars="200"/>
        <w:rPr>
          <w:sz w:val="24"/>
        </w:rPr>
      </w:pPr>
      <w:r>
        <w:rPr>
          <w:sz w:val="24"/>
        </w:rPr>
        <w:t>1、监测</w:t>
      </w:r>
    </w:p>
    <w:p w14:paraId="65676F5C">
      <w:pPr>
        <w:spacing w:line="360" w:lineRule="auto"/>
        <w:ind w:firstLine="480" w:firstLineChars="200"/>
        <w:rPr>
          <w:sz w:val="24"/>
        </w:rPr>
      </w:pPr>
      <w:r>
        <w:rPr>
          <w:sz w:val="24"/>
        </w:rPr>
        <w:t>（1）复垦区原地貌地表状况监测</w:t>
      </w:r>
    </w:p>
    <w:p w14:paraId="496D3123">
      <w:pPr>
        <w:spacing w:line="360" w:lineRule="auto"/>
        <w:ind w:firstLine="480" w:firstLineChars="200"/>
        <w:rPr>
          <w:sz w:val="24"/>
          <w:highlight w:val="yellow"/>
          <w:lang w:val="zh-CN"/>
        </w:rPr>
      </w:pPr>
      <w:r>
        <w:rPr>
          <w:sz w:val="24"/>
          <w:lang w:val="zh-CN"/>
        </w:rPr>
        <w:t>按照土地损毁的时序，分阶段在土地损毁之前用遥感解译的方法监测矿山范围现有地形地貌，并通过人工调查弄清植被分布情况、植被类型及覆盖率、地表组成物质、土壤类型及质量等，作为拟损毁监测和复垦前后的对照。监测面积为</w:t>
      </w:r>
      <w:r>
        <w:rPr>
          <w:color w:val="000000"/>
          <w:sz w:val="24"/>
        </w:rPr>
        <w:t>3.6222</w:t>
      </w:r>
      <w:r>
        <w:rPr>
          <w:sz w:val="24"/>
          <w:lang w:val="zh-CN"/>
        </w:rPr>
        <w:t>hm</w:t>
      </w:r>
      <w:r>
        <w:rPr>
          <w:sz w:val="24"/>
          <w:vertAlign w:val="superscript"/>
          <w:lang w:val="zh-CN"/>
        </w:rPr>
        <w:t>2</w:t>
      </w:r>
      <w:r>
        <w:rPr>
          <w:sz w:val="24"/>
          <w:lang w:val="zh-CN"/>
        </w:rPr>
        <w:t>（与矿山地质环境监测中地形地貌景观监测工作量重复，不在重复计算工程量）。</w:t>
      </w:r>
    </w:p>
    <w:p w14:paraId="3E390A36">
      <w:pPr>
        <w:spacing w:line="360" w:lineRule="auto"/>
        <w:ind w:firstLine="480" w:firstLineChars="200"/>
        <w:rPr>
          <w:sz w:val="24"/>
        </w:rPr>
      </w:pPr>
      <w:r>
        <w:rPr>
          <w:sz w:val="24"/>
        </w:rPr>
        <w:t>2、复垦效果监测</w:t>
      </w:r>
    </w:p>
    <w:p w14:paraId="7C138EE3">
      <w:pPr>
        <w:spacing w:line="360" w:lineRule="auto"/>
        <w:ind w:firstLine="480" w:firstLineChars="200"/>
        <w:rPr>
          <w:sz w:val="24"/>
        </w:rPr>
      </w:pPr>
      <w:bookmarkStart w:id="211" w:name="_Toc27689"/>
      <w:r>
        <w:rPr>
          <w:sz w:val="24"/>
        </w:rPr>
        <w:t>（1）土壤质量监测</w:t>
      </w:r>
      <w:bookmarkEnd w:id="211"/>
    </w:p>
    <w:p w14:paraId="556F3D96">
      <w:pPr>
        <w:spacing w:line="360" w:lineRule="auto"/>
        <w:ind w:firstLine="480" w:firstLineChars="200"/>
        <w:rPr>
          <w:sz w:val="24"/>
        </w:rPr>
      </w:pPr>
      <w:r>
        <w:rPr>
          <w:sz w:val="24"/>
        </w:rPr>
        <w:t>表土资源十分宝贵，在合理存放的情况下，还应当加强对土壤质量的监测，保证后期复垦土源质量能够达到预期复垦效果。监测工作应当在表土剥离、表土堆存过程中、表土使用时和复垦土壤质量分别分时段进行监测，监测内容包括土壤pH、有机质、全氮、有效磷、有效钾、土壤盐分、土壤侵蚀等。如果发现土壤质量下降的情况，应立即采取培肥措施，补栽绿肥植物等有效措施，保证土壤质量满足复垦要求，监测每年进行一次，在旱地、有林地复垦单元（工业广场区域、边坡区平台区域）各设置1个监测点，其他草地不涉及监测，监测时间为年限从复垦期到管护期结束，共3.0年，共监测6点•次。</w:t>
      </w:r>
    </w:p>
    <w:p w14:paraId="4717444D">
      <w:pPr>
        <w:spacing w:line="360" w:lineRule="auto"/>
        <w:ind w:firstLine="480" w:firstLineChars="200"/>
        <w:rPr>
          <w:sz w:val="24"/>
        </w:rPr>
      </w:pPr>
      <w:bookmarkStart w:id="212" w:name="_Toc632"/>
      <w:r>
        <w:rPr>
          <w:sz w:val="24"/>
        </w:rPr>
        <w:t>（2）复垦植被监测</w:t>
      </w:r>
      <w:bookmarkEnd w:id="212"/>
    </w:p>
    <w:p w14:paraId="13C32491">
      <w:pPr>
        <w:spacing w:line="360" w:lineRule="auto"/>
        <w:ind w:firstLine="480" w:firstLineChars="200"/>
        <w:rPr>
          <w:sz w:val="24"/>
        </w:rPr>
      </w:pPr>
      <w:r>
        <w:rPr>
          <w:sz w:val="24"/>
        </w:rPr>
        <w:t>对复垦为有林地的植被恢复情况，植物生长势力、高度、种植密度、成活率、郁闭度、生长量等进行监测。此次项目复垦为林地面积为0.3652hm</w:t>
      </w:r>
      <w:r>
        <w:rPr>
          <w:sz w:val="24"/>
          <w:vertAlign w:val="superscript"/>
        </w:rPr>
        <w:t>2</w:t>
      </w:r>
      <w:r>
        <w:rPr>
          <w:sz w:val="24"/>
        </w:rPr>
        <w:t>，复垦为其他草地面积为0.1951hm</w:t>
      </w:r>
      <w:r>
        <w:rPr>
          <w:sz w:val="24"/>
          <w:vertAlign w:val="superscript"/>
        </w:rPr>
        <w:t>2</w:t>
      </w:r>
      <w:r>
        <w:rPr>
          <w:sz w:val="24"/>
        </w:rPr>
        <w:t>，复垦植被监测面积为0.5603hm</w:t>
      </w:r>
      <w:r>
        <w:rPr>
          <w:sz w:val="24"/>
          <w:vertAlign w:val="superscript"/>
        </w:rPr>
        <w:t>2</w:t>
      </w:r>
      <w:r>
        <w:rPr>
          <w:sz w:val="24"/>
        </w:rPr>
        <w:t>，按照所抽取的2个监测点，每年监测1次计算，监测年限从复垦期结束到管护期结束共3a，监测次数共计6次。</w:t>
      </w:r>
    </w:p>
    <w:p w14:paraId="59F7EB34">
      <w:pPr>
        <w:spacing w:line="360" w:lineRule="auto"/>
        <w:ind w:firstLine="480" w:firstLineChars="200"/>
        <w:rPr>
          <w:sz w:val="24"/>
        </w:rPr>
      </w:pPr>
      <w:r>
        <w:rPr>
          <w:sz w:val="24"/>
        </w:rPr>
        <w:t>2、管护措施</w:t>
      </w:r>
    </w:p>
    <w:p w14:paraId="51E4273A">
      <w:pPr>
        <w:pStyle w:val="11"/>
        <w:spacing w:line="360" w:lineRule="auto"/>
        <w:ind w:firstLine="480" w:firstLineChars="200"/>
        <w:rPr>
          <w:rFonts w:ascii="Times New Roman" w:hAnsi="Times New Roman" w:cs="Times New Roman"/>
          <w:sz w:val="24"/>
        </w:rPr>
      </w:pPr>
      <w:r>
        <w:rPr>
          <w:rFonts w:ascii="Times New Roman" w:hAnsi="Times New Roman" w:cs="Times New Roman"/>
          <w:sz w:val="24"/>
        </w:rPr>
        <w:t>管护工作主要针对复垦后的植被。</w:t>
      </w:r>
    </w:p>
    <w:p w14:paraId="0BEB3869">
      <w:pPr>
        <w:spacing w:line="360" w:lineRule="auto"/>
        <w:ind w:firstLine="480" w:firstLineChars="200"/>
        <w:jc w:val="left"/>
        <w:rPr>
          <w:rFonts w:eastAsiaTheme="minorEastAsia"/>
          <w:sz w:val="24"/>
        </w:rPr>
      </w:pPr>
      <w:r>
        <w:rPr>
          <w:sz w:val="24"/>
        </w:rPr>
        <w:t>（1）</w:t>
      </w:r>
      <w:r>
        <w:rPr>
          <w:rFonts w:eastAsiaTheme="minorEastAsia"/>
          <w:sz w:val="24"/>
        </w:rPr>
        <w:t>林地管护措施</w:t>
      </w:r>
    </w:p>
    <w:p w14:paraId="299BB6E9">
      <w:pPr>
        <w:pStyle w:val="11"/>
        <w:spacing w:line="360" w:lineRule="auto"/>
        <w:ind w:firstLine="480" w:firstLineChars="200"/>
        <w:rPr>
          <w:rFonts w:ascii="Times New Roman" w:hAnsi="Times New Roman" w:cs="Times New Roman"/>
          <w:sz w:val="24"/>
        </w:rPr>
      </w:pPr>
      <w:r>
        <w:rPr>
          <w:rFonts w:ascii="Times New Roman" w:hAnsi="Times New Roman" w:cs="Times New Roman"/>
          <w:sz w:val="24"/>
        </w:rPr>
        <w:t>植物的管护对于复垦工作的成效具有重要影响，管护对象是复垦责任范围内的林地。结合项目区实际、土地损毁时序和复垦工作安排，制定本方案管护措施。本方案管护区域面积有林地0.3652hm</w:t>
      </w:r>
      <w:r>
        <w:rPr>
          <w:rFonts w:ascii="Times New Roman" w:hAnsi="Times New Roman" w:cs="Times New Roman"/>
          <w:sz w:val="24"/>
          <w:vertAlign w:val="superscript"/>
        </w:rPr>
        <w:t>2</w:t>
      </w:r>
      <w:r>
        <w:rPr>
          <w:rFonts w:ascii="Times New Roman" w:hAnsi="Times New Roman" w:cs="Times New Roman"/>
          <w:sz w:val="24"/>
        </w:rPr>
        <w:t>，管护时间为3a。</w:t>
      </w:r>
    </w:p>
    <w:p w14:paraId="6FB3304E">
      <w:pPr>
        <w:pStyle w:val="11"/>
        <w:spacing w:line="360" w:lineRule="auto"/>
        <w:ind w:firstLine="480" w:firstLineChars="200"/>
        <w:rPr>
          <w:rFonts w:ascii="Times New Roman" w:hAnsi="Times New Roman" w:cs="Times New Roman"/>
          <w:sz w:val="24"/>
        </w:rPr>
      </w:pPr>
      <w:r>
        <w:rPr>
          <w:rFonts w:ascii="Times New Roman" w:hAnsi="Times New Roman" w:cs="Times New Roman"/>
          <w:sz w:val="24"/>
        </w:rPr>
        <w:t>林地抚育管护3年，每年春末和夏季各抚育1次。抚育方式采用定株抚育。第1、2、4、6次采用刀抚，清除幼苗周围一个m</w:t>
      </w:r>
      <w:r>
        <w:rPr>
          <w:rFonts w:ascii="Times New Roman" w:hAnsi="Times New Roman" w:cs="Times New Roman"/>
          <w:sz w:val="24"/>
          <w:vertAlign w:val="superscript"/>
        </w:rPr>
        <w:t>2</w:t>
      </w:r>
      <w:r>
        <w:rPr>
          <w:rFonts w:ascii="Times New Roman" w:hAnsi="Times New Roman" w:cs="Times New Roman"/>
          <w:sz w:val="24"/>
        </w:rPr>
        <w:t>内影响幼苗生长的杂草，抚育剩余物应堆放在堆腐带上；第3、5次为锄抚，松土范围逐步扩大到70cm，松土深度由内到外逐步加深到10cm，要求要做到“三不伤、二净、一培土”，即：不伤皮、不伤稍、不伤根；锄抚时把松土培到苗木根部呈小丘状。同时结合锄抚追施复合肥，肥料撒施于苗木内侧树冠投影外缘弧形沟内并及时用松土覆盖。做好病虫、鼠害的监测、预测预报；配备防治设施、设备，及早发现、综合防治，及时防治森林病虫鼠害。</w:t>
      </w:r>
    </w:p>
    <w:p w14:paraId="4E766E6E">
      <w:pPr>
        <w:spacing w:line="360" w:lineRule="auto"/>
        <w:ind w:firstLine="240" w:firstLineChars="100"/>
        <w:jc w:val="left"/>
        <w:rPr>
          <w:sz w:val="24"/>
        </w:rPr>
      </w:pPr>
      <w:r>
        <w:rPr>
          <w:sz w:val="24"/>
        </w:rPr>
        <w:t>（2）草地管护措施</w:t>
      </w:r>
    </w:p>
    <w:p w14:paraId="45B38671">
      <w:pPr>
        <w:spacing w:line="360" w:lineRule="auto"/>
        <w:ind w:firstLine="480" w:firstLineChars="200"/>
        <w:jc w:val="left"/>
        <w:rPr>
          <w:color w:val="000000"/>
          <w:sz w:val="24"/>
        </w:rPr>
      </w:pPr>
      <w:r>
        <w:rPr>
          <w:color w:val="000000"/>
          <w:sz w:val="24"/>
        </w:rPr>
        <w:t>1）苗期管理</w:t>
      </w:r>
    </w:p>
    <w:p w14:paraId="3B67BA6C">
      <w:pPr>
        <w:spacing w:line="360" w:lineRule="auto"/>
        <w:ind w:firstLine="480" w:firstLineChars="200"/>
        <w:jc w:val="left"/>
        <w:rPr>
          <w:color w:val="000000"/>
          <w:sz w:val="24"/>
        </w:rPr>
      </w:pPr>
      <w:r>
        <w:rPr>
          <w:color w:val="000000"/>
          <w:sz w:val="24"/>
        </w:rPr>
        <w:t>在爬山虎生长量少，爬壁能力差时，采取人工牵引，让其顺着岩壁向上攀爬。</w:t>
      </w:r>
    </w:p>
    <w:p w14:paraId="5525DD38">
      <w:pPr>
        <w:spacing w:line="360" w:lineRule="auto"/>
        <w:ind w:firstLine="480" w:firstLineChars="200"/>
        <w:jc w:val="left"/>
        <w:rPr>
          <w:color w:val="000000"/>
          <w:sz w:val="24"/>
        </w:rPr>
      </w:pPr>
      <w:r>
        <w:rPr>
          <w:color w:val="000000"/>
          <w:sz w:val="24"/>
        </w:rPr>
        <w:t>2）补苗</w:t>
      </w:r>
    </w:p>
    <w:p w14:paraId="5678D7D4">
      <w:pPr>
        <w:spacing w:line="360" w:lineRule="auto"/>
        <w:ind w:firstLine="480" w:firstLineChars="200"/>
        <w:jc w:val="left"/>
        <w:rPr>
          <w:color w:val="000000"/>
          <w:sz w:val="24"/>
        </w:rPr>
      </w:pPr>
      <w:r>
        <w:rPr>
          <w:color w:val="000000"/>
          <w:sz w:val="24"/>
        </w:rPr>
        <w:t>发现缺苗严重时，须采取补种或移栽的措施补苗。补苗时需保证土壤水分充足。</w:t>
      </w:r>
    </w:p>
    <w:p w14:paraId="3B3D0DE0">
      <w:pPr>
        <w:spacing w:line="360" w:lineRule="auto"/>
        <w:ind w:firstLine="480" w:firstLineChars="200"/>
        <w:jc w:val="left"/>
        <w:rPr>
          <w:color w:val="000000"/>
          <w:sz w:val="24"/>
        </w:rPr>
      </w:pPr>
      <w:r>
        <w:rPr>
          <w:color w:val="000000"/>
          <w:sz w:val="24"/>
        </w:rPr>
        <w:t>3）养分管理</w:t>
      </w:r>
    </w:p>
    <w:p w14:paraId="452B6D7A">
      <w:pPr>
        <w:spacing w:line="360" w:lineRule="auto"/>
        <w:ind w:firstLine="480" w:firstLineChars="200"/>
        <w:jc w:val="left"/>
        <w:rPr>
          <w:color w:val="000000"/>
          <w:sz w:val="24"/>
        </w:rPr>
      </w:pPr>
      <w:r>
        <w:rPr>
          <w:color w:val="000000"/>
          <w:sz w:val="24"/>
        </w:rPr>
        <w:t>当发现爬山虎出现出现缺素症状时，根据缺素症状及时进行追肥。</w:t>
      </w:r>
    </w:p>
    <w:p w14:paraId="43C2E3E1">
      <w:pPr>
        <w:spacing w:line="360" w:lineRule="auto"/>
        <w:ind w:firstLine="480" w:firstLineChars="200"/>
        <w:jc w:val="left"/>
        <w:rPr>
          <w:color w:val="000000"/>
          <w:sz w:val="24"/>
        </w:rPr>
      </w:pPr>
      <w:r>
        <w:rPr>
          <w:color w:val="000000"/>
          <w:sz w:val="24"/>
        </w:rPr>
        <w:t>4）病虫害与杂草管理</w:t>
      </w:r>
    </w:p>
    <w:p w14:paraId="2033B9F6">
      <w:pPr>
        <w:spacing w:line="360" w:lineRule="auto"/>
        <w:ind w:firstLine="480" w:firstLineChars="200"/>
        <w:jc w:val="left"/>
        <w:rPr>
          <w:color w:val="000000"/>
          <w:sz w:val="24"/>
        </w:rPr>
      </w:pPr>
      <w:r>
        <w:rPr>
          <w:color w:val="000000"/>
          <w:sz w:val="24"/>
        </w:rPr>
        <w:t>病虫草害是爬山虎建植与管理的大敌，要及时施用药品等效控制病虫害。</w:t>
      </w:r>
    </w:p>
    <w:p w14:paraId="7BE8E9F8">
      <w:pPr>
        <w:spacing w:line="360" w:lineRule="auto"/>
        <w:ind w:firstLine="480" w:firstLineChars="200"/>
        <w:rPr>
          <w:sz w:val="24"/>
        </w:rPr>
      </w:pPr>
      <w:r>
        <w:rPr>
          <w:sz w:val="24"/>
        </w:rPr>
        <w:t>（3）管护制度</w:t>
      </w:r>
    </w:p>
    <w:p w14:paraId="396EAAB2">
      <w:pPr>
        <w:spacing w:line="440" w:lineRule="exact"/>
        <w:ind w:firstLine="480" w:firstLineChars="200"/>
        <w:rPr>
          <w:sz w:val="24"/>
          <w:lang w:val="en-GB"/>
        </w:rPr>
      </w:pPr>
      <w:r>
        <w:rPr>
          <w:sz w:val="24"/>
          <w:lang w:val="en-GB"/>
        </w:rPr>
        <w:t>矿方应重视管护工作的落实，设置管护专职管理机构，配备相关管护工人，责任落实到人，费用到位，奖惩分明。管护人员要选择责任心强、敢抓敢管、素质较高的村民担任，由矿方审查聘任，并核发护林员证书。管护人员的职责：</w:t>
      </w:r>
    </w:p>
    <w:p w14:paraId="352DFFF4">
      <w:pPr>
        <w:spacing w:line="440" w:lineRule="exact"/>
        <w:ind w:firstLine="480" w:firstLineChars="200"/>
        <w:rPr>
          <w:sz w:val="24"/>
          <w:lang w:val="en-GB"/>
        </w:rPr>
      </w:pPr>
      <w:r>
        <w:rPr>
          <w:sz w:val="24"/>
          <w:lang w:val="en-GB"/>
        </w:rPr>
        <w:t>巡逻护林，承担管护区的工程设施、围栏、标牌、林地植被等不被人为损毁和牲畜践踏。</w:t>
      </w:r>
    </w:p>
    <w:p w14:paraId="6C324B35">
      <w:pPr>
        <w:spacing w:line="440" w:lineRule="exact"/>
        <w:ind w:firstLine="480" w:firstLineChars="200"/>
        <w:rPr>
          <w:sz w:val="24"/>
          <w:lang w:val="en-GB"/>
        </w:rPr>
      </w:pPr>
      <w:r>
        <w:rPr>
          <w:sz w:val="24"/>
          <w:lang w:val="en-GB"/>
        </w:rPr>
        <w:t>了解观察复垦植被成活率，观察记录复垦植被病虫害、缺肥症状情况。</w:t>
      </w:r>
    </w:p>
    <w:p w14:paraId="66627193">
      <w:pPr>
        <w:spacing w:line="440" w:lineRule="exact"/>
        <w:ind w:firstLine="480" w:firstLineChars="200"/>
        <w:rPr>
          <w:sz w:val="24"/>
          <w:lang w:val="en-GB"/>
        </w:rPr>
      </w:pPr>
      <w:r>
        <w:rPr>
          <w:sz w:val="24"/>
          <w:lang w:val="en-GB"/>
        </w:rPr>
        <w:t>对发现损毁林业生态资源的行为，及时报告当地有关部门，并协助办理林业生态违法案件。</w:t>
      </w:r>
    </w:p>
    <w:p w14:paraId="20E264B6">
      <w:pPr>
        <w:spacing w:line="440" w:lineRule="exact"/>
        <w:ind w:firstLine="480" w:firstLineChars="200"/>
        <w:rPr>
          <w:sz w:val="24"/>
          <w:lang w:val="en-GB"/>
        </w:rPr>
      </w:pPr>
      <w:r>
        <w:rPr>
          <w:sz w:val="24"/>
          <w:lang w:val="en-GB"/>
        </w:rPr>
        <w:t>建立健全林地管护监督检查制度，矿方主管土地复垦工作人员定期对管护工作进行检查、评估，并将结果予以通报。管护费用按期发放到位，管护人员和管理干部工资由管护费用中提取，并制定适当的奖励和惩罚细则，对不合格的管护人员进行辞退或更换，以保障管护工作的顺利实施。</w:t>
      </w:r>
    </w:p>
    <w:p w14:paraId="3BDD15F4">
      <w:pPr>
        <w:pStyle w:val="5"/>
        <w:spacing w:before="0" w:after="0" w:line="360" w:lineRule="auto"/>
        <w:rPr>
          <w:rFonts w:eastAsiaTheme="minorEastAsia"/>
          <w:b w:val="0"/>
          <w:sz w:val="28"/>
          <w:szCs w:val="28"/>
        </w:rPr>
      </w:pPr>
      <w:bookmarkStart w:id="213" w:name="_Toc508315957"/>
      <w:bookmarkStart w:id="214" w:name="_Toc43851697"/>
      <w:r>
        <w:rPr>
          <w:rFonts w:eastAsiaTheme="minorEastAsia"/>
          <w:b w:val="0"/>
          <w:sz w:val="28"/>
          <w:szCs w:val="28"/>
        </w:rPr>
        <w:t>（三）主要工程量</w:t>
      </w:r>
      <w:bookmarkEnd w:id="213"/>
      <w:bookmarkEnd w:id="214"/>
    </w:p>
    <w:p w14:paraId="5643EFC4">
      <w:pPr>
        <w:spacing w:line="440" w:lineRule="exact"/>
        <w:ind w:firstLine="480" w:firstLineChars="200"/>
        <w:jc w:val="left"/>
        <w:rPr>
          <w:rFonts w:eastAsiaTheme="minorEastAsia"/>
          <w:color w:val="000000"/>
          <w:sz w:val="24"/>
        </w:rPr>
      </w:pPr>
      <w:r>
        <w:rPr>
          <w:rFonts w:eastAsiaTheme="minorEastAsia"/>
          <w:color w:val="000000"/>
          <w:sz w:val="24"/>
        </w:rPr>
        <w:t>1、复垦效果监测工程量</w:t>
      </w:r>
    </w:p>
    <w:p w14:paraId="26A1C409">
      <w:pPr>
        <w:spacing w:line="440" w:lineRule="exact"/>
        <w:ind w:firstLine="480" w:firstLineChars="200"/>
        <w:jc w:val="left"/>
        <w:rPr>
          <w:rFonts w:eastAsiaTheme="minorEastAsia"/>
          <w:color w:val="000000"/>
          <w:sz w:val="24"/>
        </w:rPr>
      </w:pPr>
      <w:r>
        <w:rPr>
          <w:rFonts w:eastAsiaTheme="minorEastAsia"/>
          <w:color w:val="000000"/>
          <w:sz w:val="24"/>
        </w:rPr>
        <w:t>1）土壤质量监测工程量</w:t>
      </w:r>
    </w:p>
    <w:p w14:paraId="677CB9F3">
      <w:pPr>
        <w:spacing w:line="440" w:lineRule="exact"/>
        <w:ind w:firstLine="480" w:firstLineChars="200"/>
        <w:jc w:val="left"/>
        <w:rPr>
          <w:rFonts w:eastAsiaTheme="minorEastAsia"/>
          <w:color w:val="000000"/>
          <w:sz w:val="24"/>
        </w:rPr>
      </w:pPr>
      <w:r>
        <w:rPr>
          <w:rFonts w:eastAsiaTheme="minorEastAsia"/>
          <w:color w:val="000000"/>
          <w:sz w:val="24"/>
        </w:rPr>
        <w:t>土壤质量监测频率每年一次，监测点包括旱地复垦单元（工业广场区域）、有林地复垦单元（边坡区平台区域），共计2个监测点，监测年限从复垦后一直到管护期结束共3.0年，监测次数共计6点•次。</w:t>
      </w:r>
    </w:p>
    <w:p w14:paraId="1B1A697E">
      <w:pPr>
        <w:spacing w:line="440" w:lineRule="exact"/>
        <w:ind w:firstLine="480" w:firstLineChars="200"/>
        <w:jc w:val="left"/>
        <w:rPr>
          <w:rFonts w:eastAsiaTheme="minorEastAsia"/>
          <w:color w:val="000000"/>
          <w:sz w:val="24"/>
        </w:rPr>
      </w:pPr>
      <w:r>
        <w:rPr>
          <w:rFonts w:eastAsiaTheme="minorEastAsia"/>
          <w:color w:val="000000"/>
          <w:sz w:val="24"/>
        </w:rPr>
        <w:t>2）复垦植被监测工程量</w:t>
      </w:r>
    </w:p>
    <w:p w14:paraId="5CF2CE6A">
      <w:pPr>
        <w:spacing w:line="440" w:lineRule="exact"/>
        <w:ind w:firstLine="480" w:firstLineChars="200"/>
        <w:jc w:val="left"/>
        <w:rPr>
          <w:rFonts w:eastAsiaTheme="minorEastAsia"/>
          <w:color w:val="000000"/>
          <w:sz w:val="24"/>
        </w:rPr>
      </w:pPr>
      <w:r>
        <w:rPr>
          <w:rFonts w:eastAsiaTheme="minorEastAsia"/>
          <w:color w:val="000000"/>
          <w:sz w:val="24"/>
        </w:rPr>
        <w:t>复垦植被监测面积为</w:t>
      </w:r>
      <w:r>
        <w:rPr>
          <w:rFonts w:eastAsiaTheme="minorEastAsia"/>
          <w:sz w:val="24"/>
        </w:rPr>
        <w:t>0.5603hm</w:t>
      </w:r>
      <w:r>
        <w:rPr>
          <w:rFonts w:eastAsiaTheme="minorEastAsia"/>
          <w:sz w:val="24"/>
          <w:vertAlign w:val="superscript"/>
        </w:rPr>
        <w:t>2</w:t>
      </w:r>
      <w:r>
        <w:rPr>
          <w:rFonts w:eastAsiaTheme="minorEastAsia"/>
          <w:color w:val="000000"/>
          <w:sz w:val="24"/>
        </w:rPr>
        <w:t>，每年监测2次计算，监测年限从复垦后一直到管护期结束共3年，监测次数共计6点•次。</w:t>
      </w:r>
    </w:p>
    <w:p w14:paraId="77B3E38E">
      <w:pPr>
        <w:spacing w:line="440" w:lineRule="exact"/>
        <w:ind w:firstLine="480" w:firstLineChars="200"/>
        <w:jc w:val="left"/>
        <w:rPr>
          <w:rFonts w:eastAsiaTheme="minorEastAsia"/>
          <w:color w:val="000000"/>
          <w:sz w:val="24"/>
        </w:rPr>
      </w:pPr>
      <w:r>
        <w:rPr>
          <w:rFonts w:eastAsiaTheme="minorEastAsia"/>
          <w:color w:val="000000"/>
          <w:sz w:val="24"/>
        </w:rPr>
        <w:t>3、管护工程量测算</w:t>
      </w:r>
    </w:p>
    <w:p w14:paraId="33191EEA">
      <w:pPr>
        <w:spacing w:line="440" w:lineRule="exact"/>
        <w:ind w:firstLine="480" w:firstLineChars="200"/>
        <w:jc w:val="left"/>
        <w:rPr>
          <w:rFonts w:eastAsiaTheme="minorEastAsia"/>
          <w:color w:val="000000"/>
          <w:sz w:val="24"/>
        </w:rPr>
      </w:pPr>
      <w:r>
        <w:rPr>
          <w:rFonts w:eastAsiaTheme="minorEastAsia"/>
          <w:color w:val="000000"/>
          <w:sz w:val="24"/>
        </w:rPr>
        <w:t>1）林草地管护</w:t>
      </w:r>
    </w:p>
    <w:p w14:paraId="00659454">
      <w:pPr>
        <w:spacing w:line="440" w:lineRule="exact"/>
        <w:ind w:firstLine="480" w:firstLineChars="200"/>
        <w:jc w:val="left"/>
        <w:rPr>
          <w:rFonts w:eastAsiaTheme="minorEastAsia"/>
          <w:color w:val="000000"/>
          <w:sz w:val="24"/>
        </w:rPr>
      </w:pPr>
      <w:r>
        <w:rPr>
          <w:rFonts w:eastAsiaTheme="minorEastAsia"/>
          <w:color w:val="000000"/>
          <w:sz w:val="24"/>
        </w:rPr>
        <w:t>本方案</w:t>
      </w:r>
      <w:r>
        <w:rPr>
          <w:rFonts w:eastAsiaTheme="minorEastAsia"/>
          <w:kern w:val="0"/>
          <w:sz w:val="24"/>
        </w:rPr>
        <w:t>林草</w:t>
      </w:r>
      <w:r>
        <w:rPr>
          <w:rFonts w:eastAsiaTheme="minorEastAsia"/>
          <w:color w:val="000000"/>
          <w:sz w:val="24"/>
        </w:rPr>
        <w:t>地管护面积为</w:t>
      </w:r>
      <w:r>
        <w:rPr>
          <w:rFonts w:eastAsiaTheme="minorEastAsia"/>
          <w:sz w:val="24"/>
        </w:rPr>
        <w:t>0.5603hm</w:t>
      </w:r>
      <w:r>
        <w:rPr>
          <w:rFonts w:eastAsiaTheme="minorEastAsia"/>
          <w:sz w:val="24"/>
          <w:vertAlign w:val="superscript"/>
        </w:rPr>
        <w:t>2</w:t>
      </w:r>
      <w:r>
        <w:rPr>
          <w:rFonts w:eastAsiaTheme="minorEastAsia"/>
          <w:color w:val="000000"/>
          <w:sz w:val="24"/>
        </w:rPr>
        <w:t>，管护时间为3年。</w:t>
      </w:r>
    </w:p>
    <w:p w14:paraId="76A9CECC">
      <w:pPr>
        <w:spacing w:line="440" w:lineRule="exact"/>
        <w:ind w:firstLine="480" w:firstLineChars="200"/>
        <w:rPr>
          <w:rFonts w:eastAsiaTheme="minorEastAsia"/>
          <w:sz w:val="24"/>
          <w:lang w:val="en-GB"/>
        </w:rPr>
      </w:pPr>
      <w:r>
        <w:rPr>
          <w:rFonts w:eastAsiaTheme="minorEastAsia"/>
          <w:sz w:val="24"/>
          <w:lang w:val="en-GB"/>
        </w:rPr>
        <w:t>矿区土地复垦监测与管护工程量统计详见表5-6。</w:t>
      </w:r>
    </w:p>
    <w:p w14:paraId="5BC3DBB6">
      <w:pPr>
        <w:widowControl/>
        <w:jc w:val="center"/>
        <w:rPr>
          <w:rFonts w:eastAsiaTheme="minorEastAsia"/>
          <w:b/>
          <w:szCs w:val="21"/>
        </w:rPr>
      </w:pPr>
      <w:r>
        <w:rPr>
          <w:rFonts w:eastAsiaTheme="minorEastAsia"/>
          <w:b/>
          <w:szCs w:val="21"/>
        </w:rPr>
        <w:t>表5-6工程量统计表</w:t>
      </w:r>
    </w:p>
    <w:tbl>
      <w:tblPr>
        <w:tblStyle w:val="29"/>
        <w:tblW w:w="491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0"/>
        <w:gridCol w:w="1779"/>
        <w:gridCol w:w="2211"/>
        <w:gridCol w:w="1329"/>
        <w:gridCol w:w="1511"/>
      </w:tblGrid>
      <w:tr w14:paraId="3B9AD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Align w:val="center"/>
          </w:tcPr>
          <w:p w14:paraId="6F4320A1">
            <w:pPr>
              <w:widowControl/>
              <w:jc w:val="center"/>
              <w:rPr>
                <w:rFonts w:eastAsiaTheme="minorEastAsia"/>
                <w:kern w:val="0"/>
                <w:szCs w:val="21"/>
              </w:rPr>
            </w:pPr>
            <w:r>
              <w:rPr>
                <w:rFonts w:eastAsiaTheme="minorEastAsia"/>
                <w:kern w:val="0"/>
                <w:szCs w:val="21"/>
              </w:rPr>
              <w:t>序号</w:t>
            </w:r>
          </w:p>
        </w:tc>
        <w:tc>
          <w:tcPr>
            <w:tcW w:w="2384" w:type="pct"/>
            <w:gridSpan w:val="2"/>
            <w:vAlign w:val="center"/>
          </w:tcPr>
          <w:p w14:paraId="69DFC949">
            <w:pPr>
              <w:widowControl/>
              <w:jc w:val="center"/>
              <w:rPr>
                <w:rFonts w:eastAsiaTheme="minorEastAsia"/>
                <w:kern w:val="0"/>
                <w:szCs w:val="21"/>
              </w:rPr>
            </w:pPr>
            <w:r>
              <w:rPr>
                <w:rFonts w:eastAsiaTheme="minorEastAsia"/>
                <w:kern w:val="0"/>
                <w:szCs w:val="21"/>
              </w:rPr>
              <w:t>工程名称</w:t>
            </w:r>
          </w:p>
        </w:tc>
        <w:tc>
          <w:tcPr>
            <w:tcW w:w="794" w:type="pct"/>
            <w:vAlign w:val="center"/>
          </w:tcPr>
          <w:p w14:paraId="516B4385">
            <w:pPr>
              <w:widowControl/>
              <w:jc w:val="center"/>
              <w:rPr>
                <w:rFonts w:eastAsiaTheme="minorEastAsia"/>
                <w:kern w:val="0"/>
                <w:szCs w:val="21"/>
              </w:rPr>
            </w:pPr>
            <w:r>
              <w:rPr>
                <w:rFonts w:eastAsiaTheme="minorEastAsia"/>
                <w:kern w:val="0"/>
                <w:szCs w:val="21"/>
              </w:rPr>
              <w:t>单位</w:t>
            </w:r>
          </w:p>
        </w:tc>
        <w:tc>
          <w:tcPr>
            <w:tcW w:w="902" w:type="pct"/>
            <w:vAlign w:val="center"/>
          </w:tcPr>
          <w:p w14:paraId="2D38C6DF">
            <w:pPr>
              <w:widowControl/>
              <w:jc w:val="center"/>
              <w:rPr>
                <w:rFonts w:eastAsiaTheme="minorEastAsia"/>
                <w:kern w:val="0"/>
                <w:szCs w:val="21"/>
              </w:rPr>
            </w:pPr>
            <w:r>
              <w:rPr>
                <w:rFonts w:eastAsiaTheme="minorEastAsia"/>
                <w:kern w:val="0"/>
                <w:szCs w:val="21"/>
              </w:rPr>
              <w:t>数量</w:t>
            </w:r>
          </w:p>
        </w:tc>
      </w:tr>
      <w:tr w14:paraId="44FA2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Align w:val="center"/>
          </w:tcPr>
          <w:p w14:paraId="0AAB4696">
            <w:pPr>
              <w:widowControl/>
              <w:jc w:val="center"/>
              <w:rPr>
                <w:rFonts w:eastAsiaTheme="minorEastAsia"/>
                <w:kern w:val="0"/>
                <w:szCs w:val="21"/>
              </w:rPr>
            </w:pPr>
            <w:r>
              <w:rPr>
                <w:rFonts w:eastAsiaTheme="minorEastAsia"/>
                <w:kern w:val="0"/>
                <w:szCs w:val="21"/>
              </w:rPr>
              <w:t>1</w:t>
            </w:r>
          </w:p>
        </w:tc>
        <w:tc>
          <w:tcPr>
            <w:tcW w:w="2384" w:type="pct"/>
            <w:gridSpan w:val="2"/>
            <w:vAlign w:val="center"/>
          </w:tcPr>
          <w:p w14:paraId="7C3A8B44">
            <w:pPr>
              <w:widowControl/>
              <w:jc w:val="center"/>
              <w:rPr>
                <w:rFonts w:eastAsiaTheme="minorEastAsia"/>
                <w:kern w:val="0"/>
                <w:szCs w:val="21"/>
              </w:rPr>
            </w:pPr>
            <w:r>
              <w:rPr>
                <w:rFonts w:eastAsiaTheme="minorEastAsia"/>
                <w:kern w:val="0"/>
                <w:szCs w:val="21"/>
              </w:rPr>
              <w:t>监测工程</w:t>
            </w:r>
          </w:p>
        </w:tc>
        <w:tc>
          <w:tcPr>
            <w:tcW w:w="794" w:type="pct"/>
            <w:vAlign w:val="center"/>
          </w:tcPr>
          <w:p w14:paraId="716628C4">
            <w:pPr>
              <w:widowControl/>
              <w:jc w:val="center"/>
              <w:rPr>
                <w:rFonts w:eastAsiaTheme="minorEastAsia"/>
                <w:kern w:val="0"/>
                <w:szCs w:val="21"/>
              </w:rPr>
            </w:pPr>
          </w:p>
        </w:tc>
        <w:tc>
          <w:tcPr>
            <w:tcW w:w="902" w:type="pct"/>
            <w:vAlign w:val="center"/>
          </w:tcPr>
          <w:p w14:paraId="35FEF63F">
            <w:pPr>
              <w:widowControl/>
              <w:jc w:val="center"/>
              <w:rPr>
                <w:rFonts w:eastAsiaTheme="minorEastAsia"/>
                <w:kern w:val="0"/>
                <w:szCs w:val="21"/>
              </w:rPr>
            </w:pPr>
          </w:p>
        </w:tc>
      </w:tr>
      <w:tr w14:paraId="5C33E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Merge w:val="restart"/>
            <w:vAlign w:val="center"/>
          </w:tcPr>
          <w:p w14:paraId="121978D2">
            <w:pPr>
              <w:widowControl/>
              <w:jc w:val="center"/>
              <w:rPr>
                <w:rFonts w:eastAsiaTheme="minorEastAsia"/>
                <w:kern w:val="0"/>
                <w:szCs w:val="21"/>
              </w:rPr>
            </w:pPr>
            <w:r>
              <w:rPr>
                <w:rFonts w:eastAsiaTheme="minorEastAsia"/>
                <w:kern w:val="0"/>
                <w:szCs w:val="21"/>
              </w:rPr>
              <w:t>（1）</w:t>
            </w:r>
          </w:p>
        </w:tc>
        <w:tc>
          <w:tcPr>
            <w:tcW w:w="1063" w:type="pct"/>
            <w:vMerge w:val="restart"/>
            <w:vAlign w:val="center"/>
          </w:tcPr>
          <w:p w14:paraId="055BF251">
            <w:pPr>
              <w:widowControl/>
              <w:jc w:val="center"/>
              <w:rPr>
                <w:rFonts w:eastAsiaTheme="minorEastAsia"/>
                <w:kern w:val="0"/>
                <w:szCs w:val="21"/>
              </w:rPr>
            </w:pPr>
            <w:r>
              <w:rPr>
                <w:rFonts w:eastAsiaTheme="minorEastAsia"/>
                <w:kern w:val="0"/>
                <w:szCs w:val="21"/>
              </w:rPr>
              <w:t>复垦效果监测</w:t>
            </w:r>
          </w:p>
        </w:tc>
        <w:tc>
          <w:tcPr>
            <w:tcW w:w="1321" w:type="pct"/>
            <w:vAlign w:val="center"/>
          </w:tcPr>
          <w:p w14:paraId="6457DF46">
            <w:pPr>
              <w:widowControl/>
              <w:jc w:val="center"/>
              <w:rPr>
                <w:rFonts w:eastAsiaTheme="minorEastAsia"/>
                <w:kern w:val="0"/>
                <w:szCs w:val="21"/>
              </w:rPr>
            </w:pPr>
            <w:r>
              <w:rPr>
                <w:rFonts w:eastAsiaTheme="minorEastAsia"/>
                <w:kern w:val="0"/>
                <w:szCs w:val="21"/>
              </w:rPr>
              <w:t>土壤质量监测</w:t>
            </w:r>
          </w:p>
        </w:tc>
        <w:tc>
          <w:tcPr>
            <w:tcW w:w="794" w:type="pct"/>
            <w:vAlign w:val="center"/>
          </w:tcPr>
          <w:p w14:paraId="4691A52C">
            <w:pPr>
              <w:widowControl/>
              <w:jc w:val="center"/>
              <w:rPr>
                <w:rFonts w:eastAsiaTheme="minorEastAsia"/>
                <w:kern w:val="0"/>
                <w:szCs w:val="21"/>
              </w:rPr>
            </w:pPr>
            <w:r>
              <w:rPr>
                <w:rFonts w:eastAsiaTheme="minorEastAsia"/>
                <w:kern w:val="0"/>
                <w:szCs w:val="21"/>
              </w:rPr>
              <w:t>点•次</w:t>
            </w:r>
          </w:p>
        </w:tc>
        <w:tc>
          <w:tcPr>
            <w:tcW w:w="902" w:type="pct"/>
            <w:vAlign w:val="center"/>
          </w:tcPr>
          <w:p w14:paraId="4B9AFD8C">
            <w:pPr>
              <w:widowControl/>
              <w:jc w:val="center"/>
              <w:rPr>
                <w:rFonts w:eastAsiaTheme="minorEastAsia"/>
                <w:kern w:val="0"/>
                <w:szCs w:val="21"/>
              </w:rPr>
            </w:pPr>
            <w:r>
              <w:rPr>
                <w:rFonts w:eastAsiaTheme="minorEastAsia"/>
                <w:kern w:val="0"/>
                <w:szCs w:val="21"/>
              </w:rPr>
              <w:t>6</w:t>
            </w:r>
          </w:p>
        </w:tc>
      </w:tr>
      <w:tr w14:paraId="6F65F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Merge w:val="continue"/>
            <w:vAlign w:val="center"/>
          </w:tcPr>
          <w:p w14:paraId="0DCF8617">
            <w:pPr>
              <w:widowControl/>
              <w:jc w:val="center"/>
              <w:rPr>
                <w:rFonts w:eastAsiaTheme="minorEastAsia"/>
                <w:kern w:val="0"/>
                <w:szCs w:val="21"/>
              </w:rPr>
            </w:pPr>
          </w:p>
        </w:tc>
        <w:tc>
          <w:tcPr>
            <w:tcW w:w="1063" w:type="pct"/>
            <w:vMerge w:val="continue"/>
            <w:vAlign w:val="center"/>
          </w:tcPr>
          <w:p w14:paraId="3276533D">
            <w:pPr>
              <w:widowControl/>
              <w:jc w:val="center"/>
              <w:rPr>
                <w:rFonts w:eastAsiaTheme="minorEastAsia"/>
                <w:kern w:val="0"/>
                <w:szCs w:val="21"/>
              </w:rPr>
            </w:pPr>
          </w:p>
        </w:tc>
        <w:tc>
          <w:tcPr>
            <w:tcW w:w="1321" w:type="pct"/>
            <w:vAlign w:val="center"/>
          </w:tcPr>
          <w:p w14:paraId="5B8AD94D">
            <w:pPr>
              <w:widowControl/>
              <w:jc w:val="center"/>
              <w:rPr>
                <w:rFonts w:eastAsiaTheme="minorEastAsia"/>
                <w:kern w:val="0"/>
                <w:szCs w:val="21"/>
              </w:rPr>
            </w:pPr>
            <w:r>
              <w:rPr>
                <w:rFonts w:eastAsiaTheme="minorEastAsia"/>
                <w:kern w:val="0"/>
                <w:szCs w:val="21"/>
              </w:rPr>
              <w:t>植被恢复监测</w:t>
            </w:r>
          </w:p>
        </w:tc>
        <w:tc>
          <w:tcPr>
            <w:tcW w:w="794" w:type="pct"/>
            <w:vAlign w:val="center"/>
          </w:tcPr>
          <w:p w14:paraId="057A50E7">
            <w:pPr>
              <w:widowControl/>
              <w:jc w:val="center"/>
              <w:rPr>
                <w:rFonts w:eastAsiaTheme="minorEastAsia"/>
                <w:kern w:val="0"/>
                <w:szCs w:val="21"/>
              </w:rPr>
            </w:pPr>
            <w:r>
              <w:rPr>
                <w:rFonts w:eastAsiaTheme="minorEastAsia"/>
                <w:kern w:val="0"/>
                <w:szCs w:val="21"/>
              </w:rPr>
              <w:t>点•次</w:t>
            </w:r>
          </w:p>
        </w:tc>
        <w:tc>
          <w:tcPr>
            <w:tcW w:w="902" w:type="pct"/>
            <w:vAlign w:val="center"/>
          </w:tcPr>
          <w:p w14:paraId="377397C1">
            <w:pPr>
              <w:widowControl/>
              <w:jc w:val="center"/>
              <w:rPr>
                <w:rFonts w:eastAsiaTheme="minorEastAsia"/>
                <w:kern w:val="0"/>
                <w:szCs w:val="21"/>
              </w:rPr>
            </w:pPr>
            <w:r>
              <w:rPr>
                <w:rFonts w:eastAsiaTheme="minorEastAsia"/>
                <w:kern w:val="0"/>
                <w:szCs w:val="21"/>
              </w:rPr>
              <w:t>6</w:t>
            </w:r>
          </w:p>
        </w:tc>
      </w:tr>
      <w:tr w14:paraId="2405B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Align w:val="center"/>
          </w:tcPr>
          <w:p w14:paraId="0DD87F1C">
            <w:pPr>
              <w:widowControl/>
              <w:jc w:val="center"/>
              <w:rPr>
                <w:rFonts w:eastAsiaTheme="minorEastAsia"/>
                <w:kern w:val="0"/>
                <w:szCs w:val="21"/>
              </w:rPr>
            </w:pPr>
            <w:r>
              <w:rPr>
                <w:rFonts w:eastAsiaTheme="minorEastAsia"/>
                <w:kern w:val="0"/>
                <w:szCs w:val="21"/>
              </w:rPr>
              <w:t>2</w:t>
            </w:r>
          </w:p>
        </w:tc>
        <w:tc>
          <w:tcPr>
            <w:tcW w:w="2384" w:type="pct"/>
            <w:gridSpan w:val="2"/>
            <w:vAlign w:val="center"/>
          </w:tcPr>
          <w:p w14:paraId="0093E458">
            <w:pPr>
              <w:widowControl/>
              <w:jc w:val="center"/>
              <w:rPr>
                <w:rFonts w:eastAsiaTheme="minorEastAsia"/>
                <w:kern w:val="0"/>
                <w:szCs w:val="21"/>
              </w:rPr>
            </w:pPr>
            <w:r>
              <w:rPr>
                <w:rFonts w:eastAsiaTheme="minorEastAsia"/>
                <w:kern w:val="0"/>
                <w:szCs w:val="21"/>
              </w:rPr>
              <w:t>管护工程</w:t>
            </w:r>
          </w:p>
        </w:tc>
        <w:tc>
          <w:tcPr>
            <w:tcW w:w="794" w:type="pct"/>
            <w:vAlign w:val="center"/>
          </w:tcPr>
          <w:p w14:paraId="4920AD4C">
            <w:pPr>
              <w:widowControl/>
              <w:jc w:val="center"/>
              <w:rPr>
                <w:rFonts w:eastAsiaTheme="minorEastAsia"/>
                <w:kern w:val="0"/>
                <w:szCs w:val="21"/>
              </w:rPr>
            </w:pPr>
          </w:p>
        </w:tc>
        <w:tc>
          <w:tcPr>
            <w:tcW w:w="902" w:type="pct"/>
            <w:vAlign w:val="center"/>
          </w:tcPr>
          <w:p w14:paraId="1C0F936E">
            <w:pPr>
              <w:widowControl/>
              <w:jc w:val="center"/>
              <w:rPr>
                <w:rFonts w:eastAsiaTheme="minorEastAsia"/>
                <w:kern w:val="0"/>
                <w:szCs w:val="21"/>
              </w:rPr>
            </w:pPr>
          </w:p>
        </w:tc>
      </w:tr>
      <w:tr w14:paraId="5BDAB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Merge w:val="restart"/>
            <w:vAlign w:val="center"/>
          </w:tcPr>
          <w:p w14:paraId="6D85A136">
            <w:pPr>
              <w:widowControl/>
              <w:jc w:val="center"/>
              <w:rPr>
                <w:rFonts w:eastAsiaTheme="minorEastAsia"/>
                <w:kern w:val="0"/>
                <w:szCs w:val="21"/>
              </w:rPr>
            </w:pPr>
            <w:r>
              <w:rPr>
                <w:rFonts w:eastAsiaTheme="minorEastAsia"/>
                <w:kern w:val="0"/>
                <w:szCs w:val="21"/>
              </w:rPr>
              <w:t>（1）</w:t>
            </w:r>
          </w:p>
        </w:tc>
        <w:tc>
          <w:tcPr>
            <w:tcW w:w="1063" w:type="pct"/>
            <w:vMerge w:val="restart"/>
            <w:vAlign w:val="center"/>
          </w:tcPr>
          <w:p w14:paraId="2257465C">
            <w:pPr>
              <w:widowControl/>
              <w:jc w:val="center"/>
              <w:rPr>
                <w:rFonts w:eastAsiaTheme="minorEastAsia"/>
                <w:kern w:val="0"/>
                <w:szCs w:val="21"/>
              </w:rPr>
            </w:pPr>
            <w:r>
              <w:rPr>
                <w:rFonts w:eastAsiaTheme="minorEastAsia"/>
                <w:kern w:val="0"/>
                <w:szCs w:val="21"/>
              </w:rPr>
              <w:t>林草地管护</w:t>
            </w:r>
          </w:p>
        </w:tc>
        <w:tc>
          <w:tcPr>
            <w:tcW w:w="1321" w:type="pct"/>
            <w:vAlign w:val="center"/>
          </w:tcPr>
          <w:p w14:paraId="63465717">
            <w:pPr>
              <w:widowControl/>
              <w:jc w:val="center"/>
              <w:rPr>
                <w:rFonts w:eastAsiaTheme="minorEastAsia"/>
                <w:kern w:val="0"/>
                <w:szCs w:val="21"/>
              </w:rPr>
            </w:pPr>
            <w:r>
              <w:rPr>
                <w:rFonts w:eastAsiaTheme="minorEastAsia"/>
                <w:kern w:val="0"/>
                <w:szCs w:val="21"/>
              </w:rPr>
              <w:t>补植乔木、爬山虎</w:t>
            </w:r>
          </w:p>
        </w:tc>
        <w:tc>
          <w:tcPr>
            <w:tcW w:w="794" w:type="pct"/>
            <w:vAlign w:val="center"/>
          </w:tcPr>
          <w:p w14:paraId="04E07B88">
            <w:pPr>
              <w:widowControl/>
              <w:jc w:val="center"/>
              <w:rPr>
                <w:rFonts w:eastAsiaTheme="minorEastAsia"/>
                <w:kern w:val="0"/>
                <w:szCs w:val="21"/>
              </w:rPr>
            </w:pPr>
            <w:r>
              <w:rPr>
                <w:rFonts w:eastAsiaTheme="minorEastAsia"/>
                <w:kern w:val="0"/>
                <w:szCs w:val="21"/>
              </w:rPr>
              <w:t>hm</w:t>
            </w:r>
            <w:r>
              <w:rPr>
                <w:rFonts w:eastAsiaTheme="minorEastAsia"/>
                <w:kern w:val="0"/>
                <w:szCs w:val="21"/>
                <w:vertAlign w:val="superscript"/>
              </w:rPr>
              <w:t>2</w:t>
            </w:r>
          </w:p>
        </w:tc>
        <w:tc>
          <w:tcPr>
            <w:tcW w:w="902" w:type="pct"/>
            <w:vAlign w:val="center"/>
          </w:tcPr>
          <w:p w14:paraId="3136EA80">
            <w:pPr>
              <w:widowControl/>
              <w:jc w:val="center"/>
              <w:rPr>
                <w:rFonts w:eastAsiaTheme="minorEastAsia"/>
                <w:kern w:val="0"/>
                <w:szCs w:val="21"/>
              </w:rPr>
            </w:pPr>
            <w:r>
              <w:rPr>
                <w:rFonts w:eastAsiaTheme="minorEastAsia"/>
                <w:kern w:val="0"/>
                <w:szCs w:val="21"/>
              </w:rPr>
              <w:t>0.5603</w:t>
            </w:r>
          </w:p>
        </w:tc>
      </w:tr>
      <w:tr w14:paraId="27FCA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Merge w:val="continue"/>
            <w:vAlign w:val="center"/>
          </w:tcPr>
          <w:p w14:paraId="4644A050">
            <w:pPr>
              <w:widowControl/>
              <w:jc w:val="center"/>
              <w:rPr>
                <w:rFonts w:eastAsiaTheme="minorEastAsia"/>
                <w:kern w:val="0"/>
                <w:szCs w:val="21"/>
              </w:rPr>
            </w:pPr>
          </w:p>
        </w:tc>
        <w:tc>
          <w:tcPr>
            <w:tcW w:w="1063" w:type="pct"/>
            <w:vMerge w:val="continue"/>
            <w:vAlign w:val="center"/>
          </w:tcPr>
          <w:p w14:paraId="5AAF7E8C">
            <w:pPr>
              <w:widowControl/>
              <w:jc w:val="center"/>
              <w:rPr>
                <w:rFonts w:eastAsiaTheme="minorEastAsia"/>
                <w:kern w:val="0"/>
                <w:szCs w:val="21"/>
              </w:rPr>
            </w:pPr>
          </w:p>
        </w:tc>
        <w:tc>
          <w:tcPr>
            <w:tcW w:w="1321" w:type="pct"/>
            <w:vAlign w:val="center"/>
          </w:tcPr>
          <w:p w14:paraId="40284F63">
            <w:pPr>
              <w:widowControl/>
              <w:jc w:val="center"/>
              <w:rPr>
                <w:rFonts w:eastAsiaTheme="minorEastAsia"/>
                <w:kern w:val="0"/>
                <w:szCs w:val="21"/>
              </w:rPr>
            </w:pPr>
            <w:r>
              <w:rPr>
                <w:rFonts w:eastAsiaTheme="minorEastAsia"/>
                <w:kern w:val="0"/>
                <w:szCs w:val="21"/>
              </w:rPr>
              <w:t>伐枯腐木</w:t>
            </w:r>
          </w:p>
        </w:tc>
        <w:tc>
          <w:tcPr>
            <w:tcW w:w="794" w:type="pct"/>
            <w:vAlign w:val="center"/>
          </w:tcPr>
          <w:p w14:paraId="4A01CE90">
            <w:pPr>
              <w:widowControl/>
              <w:jc w:val="center"/>
              <w:rPr>
                <w:rFonts w:eastAsiaTheme="minorEastAsia"/>
                <w:kern w:val="0"/>
                <w:szCs w:val="21"/>
              </w:rPr>
            </w:pPr>
            <w:r>
              <w:rPr>
                <w:rFonts w:eastAsiaTheme="minorEastAsia"/>
                <w:kern w:val="0"/>
                <w:szCs w:val="21"/>
              </w:rPr>
              <w:t>hm</w:t>
            </w:r>
            <w:r>
              <w:rPr>
                <w:rFonts w:eastAsiaTheme="minorEastAsia"/>
                <w:kern w:val="0"/>
                <w:szCs w:val="21"/>
                <w:vertAlign w:val="superscript"/>
              </w:rPr>
              <w:t>2</w:t>
            </w:r>
          </w:p>
        </w:tc>
        <w:tc>
          <w:tcPr>
            <w:tcW w:w="902" w:type="pct"/>
            <w:vAlign w:val="center"/>
          </w:tcPr>
          <w:p w14:paraId="64ED72B9">
            <w:pPr>
              <w:widowControl/>
              <w:jc w:val="center"/>
              <w:rPr>
                <w:rFonts w:eastAsiaTheme="minorEastAsia"/>
                <w:kern w:val="0"/>
                <w:szCs w:val="21"/>
              </w:rPr>
            </w:pPr>
            <w:r>
              <w:rPr>
                <w:rFonts w:eastAsiaTheme="minorEastAsia"/>
                <w:kern w:val="0"/>
                <w:szCs w:val="21"/>
              </w:rPr>
              <w:t>0.5603*3</w:t>
            </w:r>
          </w:p>
        </w:tc>
      </w:tr>
      <w:tr w14:paraId="4A573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920" w:type="pct"/>
            <w:vMerge w:val="continue"/>
            <w:vAlign w:val="center"/>
          </w:tcPr>
          <w:p w14:paraId="435672DC">
            <w:pPr>
              <w:widowControl/>
              <w:jc w:val="center"/>
              <w:rPr>
                <w:rFonts w:eastAsiaTheme="minorEastAsia"/>
                <w:kern w:val="0"/>
                <w:szCs w:val="21"/>
              </w:rPr>
            </w:pPr>
          </w:p>
        </w:tc>
        <w:tc>
          <w:tcPr>
            <w:tcW w:w="1063" w:type="pct"/>
            <w:vMerge w:val="continue"/>
            <w:vAlign w:val="center"/>
          </w:tcPr>
          <w:p w14:paraId="18D2989C">
            <w:pPr>
              <w:widowControl/>
              <w:jc w:val="center"/>
              <w:rPr>
                <w:rFonts w:eastAsiaTheme="minorEastAsia"/>
                <w:kern w:val="0"/>
                <w:szCs w:val="21"/>
              </w:rPr>
            </w:pPr>
          </w:p>
        </w:tc>
        <w:tc>
          <w:tcPr>
            <w:tcW w:w="1321" w:type="pct"/>
            <w:vAlign w:val="center"/>
          </w:tcPr>
          <w:p w14:paraId="44E417FC">
            <w:pPr>
              <w:widowControl/>
              <w:jc w:val="center"/>
              <w:rPr>
                <w:rFonts w:eastAsiaTheme="minorEastAsia"/>
                <w:kern w:val="0"/>
                <w:szCs w:val="21"/>
              </w:rPr>
            </w:pPr>
            <w:r>
              <w:rPr>
                <w:rFonts w:eastAsiaTheme="minorEastAsia"/>
                <w:kern w:val="0"/>
                <w:szCs w:val="21"/>
              </w:rPr>
              <w:t>喷洒农药</w:t>
            </w:r>
          </w:p>
        </w:tc>
        <w:tc>
          <w:tcPr>
            <w:tcW w:w="794" w:type="pct"/>
            <w:vAlign w:val="center"/>
          </w:tcPr>
          <w:p w14:paraId="70757B04">
            <w:pPr>
              <w:widowControl/>
              <w:jc w:val="center"/>
              <w:rPr>
                <w:rFonts w:eastAsiaTheme="minorEastAsia"/>
                <w:kern w:val="0"/>
                <w:szCs w:val="21"/>
              </w:rPr>
            </w:pPr>
            <w:r>
              <w:rPr>
                <w:rFonts w:eastAsiaTheme="minorEastAsia"/>
                <w:kern w:val="0"/>
                <w:szCs w:val="21"/>
              </w:rPr>
              <w:t>hm</w:t>
            </w:r>
            <w:r>
              <w:rPr>
                <w:rFonts w:eastAsiaTheme="minorEastAsia"/>
                <w:kern w:val="0"/>
                <w:szCs w:val="21"/>
                <w:vertAlign w:val="superscript"/>
              </w:rPr>
              <w:t>2</w:t>
            </w:r>
          </w:p>
        </w:tc>
        <w:tc>
          <w:tcPr>
            <w:tcW w:w="902" w:type="pct"/>
            <w:vAlign w:val="center"/>
          </w:tcPr>
          <w:p w14:paraId="3F295A0A">
            <w:pPr>
              <w:widowControl/>
              <w:jc w:val="center"/>
              <w:rPr>
                <w:rFonts w:eastAsiaTheme="minorEastAsia"/>
                <w:kern w:val="0"/>
                <w:szCs w:val="21"/>
              </w:rPr>
            </w:pPr>
            <w:r>
              <w:rPr>
                <w:rFonts w:eastAsiaTheme="minorEastAsia"/>
                <w:kern w:val="0"/>
                <w:szCs w:val="21"/>
              </w:rPr>
              <w:t>0.5603*3</w:t>
            </w:r>
          </w:p>
        </w:tc>
      </w:tr>
    </w:tbl>
    <w:p w14:paraId="4684158B">
      <w:pPr>
        <w:keepNext/>
        <w:keepLines/>
        <w:pageBreakBefore/>
        <w:tabs>
          <w:tab w:val="left" w:pos="284"/>
        </w:tabs>
        <w:spacing w:before="340" w:after="240" w:line="360" w:lineRule="auto"/>
        <w:jc w:val="center"/>
        <w:outlineLvl w:val="0"/>
        <w:rPr>
          <w:b/>
          <w:bCs/>
          <w:kern w:val="44"/>
          <w:sz w:val="32"/>
          <w:szCs w:val="32"/>
        </w:rPr>
      </w:pPr>
      <w:bookmarkStart w:id="215" w:name="_Toc500227894"/>
      <w:bookmarkStart w:id="216" w:name="_Toc43851698"/>
      <w:bookmarkStart w:id="217" w:name="_Toc481328240"/>
      <w:r>
        <w:rPr>
          <w:b/>
          <w:bCs/>
          <w:kern w:val="44"/>
          <w:sz w:val="32"/>
          <w:szCs w:val="32"/>
        </w:rPr>
        <w:t>第六章矿山地质环境治理与土地复垦工作部署</w:t>
      </w:r>
      <w:bookmarkEnd w:id="215"/>
      <w:bookmarkEnd w:id="216"/>
      <w:bookmarkEnd w:id="217"/>
    </w:p>
    <w:p w14:paraId="245E76BD">
      <w:pPr>
        <w:keepNext/>
        <w:keepLines/>
        <w:adjustRightInd w:val="0"/>
        <w:spacing w:beforeLines="50" w:afterLines="50" w:line="360" w:lineRule="auto"/>
        <w:jc w:val="left"/>
        <w:textAlignment w:val="baseline"/>
        <w:outlineLvl w:val="0"/>
        <w:rPr>
          <w:kern w:val="0"/>
          <w:sz w:val="30"/>
          <w:szCs w:val="30"/>
        </w:rPr>
      </w:pPr>
      <w:bookmarkStart w:id="218" w:name="_Toc43851699"/>
      <w:bookmarkStart w:id="219" w:name="_Toc481328241"/>
      <w:bookmarkStart w:id="220" w:name="_Toc500227895"/>
      <w:bookmarkStart w:id="221" w:name="_Toc480537485"/>
      <w:r>
        <w:rPr>
          <w:kern w:val="0"/>
          <w:sz w:val="30"/>
          <w:szCs w:val="30"/>
        </w:rPr>
        <w:t>一、总体工作部署</w:t>
      </w:r>
      <w:bookmarkEnd w:id="218"/>
      <w:bookmarkEnd w:id="219"/>
      <w:bookmarkEnd w:id="220"/>
      <w:bookmarkEnd w:id="221"/>
    </w:p>
    <w:p w14:paraId="5181CCFF">
      <w:pPr>
        <w:spacing w:line="360" w:lineRule="auto"/>
        <w:ind w:firstLine="480" w:firstLineChars="200"/>
        <w:rPr>
          <w:sz w:val="24"/>
          <w:lang w:val="zh-CN"/>
        </w:rPr>
      </w:pPr>
      <w:r>
        <w:rPr>
          <w:sz w:val="24"/>
          <w:lang w:val="zh-CN"/>
        </w:rPr>
        <w:t>矿山地质环境保护与土地复垦工作，既要统筹兼顾全面部署，又要结合实际、突出重点，采取科学、经济、合理的方法，分轻重缓急逐步完成。时间上，矿山地质环境保护及恢复治理与土地复垦应尽量同矿山生产建设同步进行；在空间布局上，根据矿山地质环境问题类型的不同，采取不同的措施进行治理。</w:t>
      </w:r>
    </w:p>
    <w:p w14:paraId="2BF42453">
      <w:pPr>
        <w:spacing w:line="360" w:lineRule="auto"/>
        <w:ind w:firstLine="480" w:firstLineChars="200"/>
        <w:rPr>
          <w:sz w:val="24"/>
          <w:lang w:val="zh-CN"/>
        </w:rPr>
      </w:pPr>
      <w:r>
        <w:rPr>
          <w:sz w:val="24"/>
          <w:lang w:val="zh-CN"/>
        </w:rPr>
        <w:t>根据矿山地质环境保护与土地复垦的原则、目标任务，结合矿山地质环境保护土地复垦的现状，确定分期对评估区进行土地资源复垦、地形地貌景观恢复治理工程，并对区内土壤损毁、地质灾害，以及土地资源和地形地貌景观等进行矿山地质环境监测，土地损毁监测，复垦效果监测和管护工程。</w:t>
      </w:r>
    </w:p>
    <w:p w14:paraId="24237BD3">
      <w:pPr>
        <w:spacing w:line="360" w:lineRule="auto"/>
        <w:ind w:firstLine="480" w:firstLineChars="200"/>
        <w:rPr>
          <w:sz w:val="24"/>
          <w:lang w:val="zh-CN"/>
        </w:rPr>
      </w:pPr>
      <w:r>
        <w:rPr>
          <w:sz w:val="24"/>
          <w:lang w:val="zh-CN"/>
        </w:rPr>
        <w:t>根据矿山服务年限，结合矿山工程布设及开采计划，将矿山地质环境保护与土地复垦工作分为一个阶段，恢复治理与土地复垦方案总部署主要为:生产期（0.1年）+监测管护期（3年）。</w:t>
      </w:r>
    </w:p>
    <w:p w14:paraId="7F4C2923">
      <w:pPr>
        <w:spacing w:line="360" w:lineRule="auto"/>
        <w:ind w:firstLine="480"/>
        <w:rPr>
          <w:sz w:val="24"/>
        </w:rPr>
      </w:pPr>
      <w:r>
        <w:rPr>
          <w:sz w:val="24"/>
        </w:rPr>
        <w:t>由于生产项目建设过程中各项指标易于变化，因此随着生产的进行，本项目因其生产建设规模、用地规模及地点、采用的生产工艺等容易发生变化而使现有方案无法指导后期复垦，矿权人应重新编制方案，其实施计划也将一同调整。如果生产规模、生产工艺等变化不大，但土地损毁面积、位置等往往会与最初编制的案存在一定差异，矿权人应及时调整方案实施计划。</w:t>
      </w:r>
    </w:p>
    <w:p w14:paraId="04C1E525">
      <w:pPr>
        <w:keepNext/>
        <w:keepLines/>
        <w:adjustRightInd w:val="0"/>
        <w:spacing w:beforeLines="50" w:afterLines="50" w:line="360" w:lineRule="auto"/>
        <w:jc w:val="left"/>
        <w:textAlignment w:val="baseline"/>
        <w:outlineLvl w:val="0"/>
        <w:rPr>
          <w:kern w:val="0"/>
          <w:sz w:val="30"/>
          <w:szCs w:val="30"/>
        </w:rPr>
      </w:pPr>
      <w:bookmarkStart w:id="222" w:name="_Toc481328244"/>
      <w:bookmarkStart w:id="223" w:name="_Toc480537486"/>
      <w:bookmarkStart w:id="224" w:name="_Toc43851700"/>
      <w:bookmarkStart w:id="225" w:name="_Toc500227896"/>
      <w:r>
        <w:rPr>
          <w:kern w:val="0"/>
          <w:sz w:val="30"/>
          <w:szCs w:val="30"/>
        </w:rPr>
        <w:t>二、阶段实施计划</w:t>
      </w:r>
      <w:bookmarkEnd w:id="222"/>
      <w:bookmarkEnd w:id="223"/>
      <w:bookmarkEnd w:id="224"/>
      <w:bookmarkEnd w:id="225"/>
    </w:p>
    <w:p w14:paraId="3D1B9276">
      <w:pPr>
        <w:spacing w:line="360" w:lineRule="auto"/>
        <w:ind w:firstLine="480"/>
        <w:rPr>
          <w:sz w:val="24"/>
        </w:rPr>
      </w:pPr>
      <w:r>
        <w:rPr>
          <w:sz w:val="24"/>
        </w:rPr>
        <w:t>（1）实施阶段划分</w:t>
      </w:r>
    </w:p>
    <w:p w14:paraId="518C68BF">
      <w:pPr>
        <w:spacing w:line="360" w:lineRule="auto"/>
        <w:ind w:firstLine="480" w:firstLineChars="200"/>
        <w:rPr>
          <w:sz w:val="24"/>
          <w:lang w:val="zh-CN"/>
        </w:rPr>
      </w:pPr>
      <w:r>
        <w:rPr>
          <w:sz w:val="24"/>
          <w:lang w:val="zh-CN"/>
        </w:rPr>
        <w:t>根据本矿山开采规划、矿山开采设计方案及资金投入等实际情况，结合矿山开采进度、开采顺序安排及生产工艺流程，本方案将本矿山的恢复治理与土地复垦工作分为一个阶段（</w:t>
      </w:r>
      <w:r>
        <w:rPr>
          <w:rFonts w:eastAsiaTheme="minorEastAsia"/>
          <w:sz w:val="24"/>
        </w:rPr>
        <w:t>第1年至第3.1年</w:t>
      </w:r>
      <w:r>
        <w:rPr>
          <w:sz w:val="24"/>
          <w:lang w:val="zh-CN"/>
        </w:rPr>
        <w:t>）。</w:t>
      </w:r>
    </w:p>
    <w:p w14:paraId="39777B1E">
      <w:pPr>
        <w:spacing w:line="360" w:lineRule="auto"/>
        <w:ind w:firstLine="480" w:firstLineChars="200"/>
        <w:rPr>
          <w:sz w:val="24"/>
          <w:lang w:val="zh-CN"/>
        </w:rPr>
      </w:pPr>
      <w:r>
        <w:rPr>
          <w:sz w:val="24"/>
          <w:lang w:val="zh-CN"/>
        </w:rPr>
        <w:t>第一阶段（</w:t>
      </w:r>
      <w:r>
        <w:rPr>
          <w:rFonts w:eastAsiaTheme="minorEastAsia"/>
          <w:sz w:val="24"/>
        </w:rPr>
        <w:t>第1年至第3.1年</w:t>
      </w:r>
      <w:r>
        <w:rPr>
          <w:sz w:val="24"/>
          <w:lang w:val="zh-CN"/>
        </w:rPr>
        <w:t>）：对整个评估范围内的进行地质灾害治理和土地复垦施工、监测和管护工程。</w:t>
      </w:r>
    </w:p>
    <w:p w14:paraId="015B14C5">
      <w:pPr>
        <w:spacing w:line="360" w:lineRule="auto"/>
        <w:ind w:firstLine="480"/>
        <w:rPr>
          <w:sz w:val="24"/>
        </w:rPr>
      </w:pPr>
      <w:r>
        <w:rPr>
          <w:sz w:val="24"/>
        </w:rPr>
        <w:t>（2）各阶段复垦目标与任务</w:t>
      </w:r>
    </w:p>
    <w:p w14:paraId="7F665B00">
      <w:pPr>
        <w:spacing w:line="360" w:lineRule="auto"/>
        <w:ind w:firstLine="480"/>
        <w:rPr>
          <w:sz w:val="24"/>
        </w:rPr>
      </w:pPr>
      <w:r>
        <w:rPr>
          <w:sz w:val="24"/>
        </w:rPr>
        <w:t>根据可行性分析结果，再结合各阶段的划分情况，得出本方案各阶段目标与任务如下：</w:t>
      </w:r>
    </w:p>
    <w:p w14:paraId="7C27089E">
      <w:pPr>
        <w:spacing w:line="360" w:lineRule="auto"/>
        <w:ind w:firstLine="480"/>
        <w:rPr>
          <w:sz w:val="24"/>
        </w:rPr>
      </w:pPr>
      <w:r>
        <w:rPr>
          <w:sz w:val="24"/>
        </w:rPr>
        <w:t>主要为矿山地质环境治理工程、土地复垦施工和管护工程。</w:t>
      </w:r>
    </w:p>
    <w:p w14:paraId="7995072F">
      <w:pPr>
        <w:keepNext/>
        <w:keepLines/>
        <w:adjustRightInd w:val="0"/>
        <w:spacing w:beforeLines="50" w:afterLines="50" w:line="360" w:lineRule="auto"/>
        <w:jc w:val="left"/>
        <w:textAlignment w:val="baseline"/>
        <w:outlineLvl w:val="0"/>
        <w:rPr>
          <w:kern w:val="0"/>
          <w:sz w:val="30"/>
          <w:szCs w:val="30"/>
        </w:rPr>
      </w:pPr>
      <w:bookmarkStart w:id="226" w:name="_Toc500227897"/>
      <w:bookmarkStart w:id="227" w:name="_Toc43851701"/>
      <w:r>
        <w:rPr>
          <w:kern w:val="0"/>
          <w:sz w:val="30"/>
          <w:szCs w:val="30"/>
        </w:rPr>
        <w:t>三、近期年度工作安排</w:t>
      </w:r>
      <w:bookmarkEnd w:id="226"/>
      <w:bookmarkEnd w:id="227"/>
    </w:p>
    <w:p w14:paraId="1277E22F">
      <w:pPr>
        <w:spacing w:line="360" w:lineRule="auto"/>
        <w:ind w:firstLine="480" w:firstLineChars="200"/>
        <w:rPr>
          <w:sz w:val="24"/>
          <w:lang w:val="zh-CN"/>
        </w:rPr>
      </w:pPr>
      <w:r>
        <w:rPr>
          <w:sz w:val="24"/>
          <w:lang w:val="zh-CN"/>
        </w:rPr>
        <w:t>各</w:t>
      </w:r>
      <w:r>
        <w:rPr>
          <w:sz w:val="24"/>
        </w:rPr>
        <w:t>年度实施目标、任务、位置、主要措施和分部工程量及组成如下：</w:t>
      </w:r>
    </w:p>
    <w:p w14:paraId="00E4D7FF">
      <w:pPr>
        <w:spacing w:line="360" w:lineRule="auto"/>
        <w:ind w:firstLine="480" w:firstLineChars="200"/>
        <w:rPr>
          <w:sz w:val="24"/>
        </w:rPr>
      </w:pPr>
      <w:r>
        <w:rPr>
          <w:sz w:val="24"/>
        </w:rPr>
        <w:t>1、年度工作量安排</w:t>
      </w:r>
    </w:p>
    <w:p w14:paraId="090C2F04">
      <w:pPr>
        <w:spacing w:line="360" w:lineRule="auto"/>
        <w:ind w:firstLine="480" w:firstLineChars="200"/>
        <w:rPr>
          <w:sz w:val="24"/>
        </w:rPr>
      </w:pPr>
      <w:r>
        <w:rPr>
          <w:sz w:val="24"/>
        </w:rPr>
        <w:t>（1）第一年实施工作</w:t>
      </w:r>
    </w:p>
    <w:p w14:paraId="7FA80BA3">
      <w:pPr>
        <w:spacing w:line="360" w:lineRule="auto"/>
        <w:ind w:firstLine="480" w:firstLineChars="200"/>
        <w:rPr>
          <w:sz w:val="24"/>
        </w:rPr>
      </w:pPr>
      <w:r>
        <w:rPr>
          <w:sz w:val="24"/>
        </w:rPr>
        <w:t>第一年完成矿区安装警示牌、进行最终边坡的危岩清理、地质灾害监测、地形地貌景观监测、土地损毁监测，完成土地复垦方案实施，完成矿区土壤质量监测、恢复治理效果监测、土地复垦效果监测、植被管护。</w:t>
      </w:r>
    </w:p>
    <w:p w14:paraId="57D8976E">
      <w:pPr>
        <w:spacing w:line="360" w:lineRule="auto"/>
        <w:ind w:firstLine="480" w:firstLineChars="200"/>
        <w:rPr>
          <w:sz w:val="24"/>
        </w:rPr>
      </w:pPr>
      <w:r>
        <w:rPr>
          <w:sz w:val="24"/>
        </w:rPr>
        <w:t>（2）第二年实施工作</w:t>
      </w:r>
    </w:p>
    <w:p w14:paraId="0C76D30E">
      <w:pPr>
        <w:spacing w:line="360" w:lineRule="auto"/>
        <w:ind w:firstLine="480" w:firstLineChars="200"/>
        <w:rPr>
          <w:sz w:val="24"/>
        </w:rPr>
      </w:pPr>
      <w:r>
        <w:rPr>
          <w:sz w:val="24"/>
        </w:rPr>
        <w:t>第二年完成矿区土壤质量监测、恢复治理效果监测、土地复垦效果监测、植被管护。</w:t>
      </w:r>
    </w:p>
    <w:p w14:paraId="043D6BA8">
      <w:pPr>
        <w:spacing w:line="360" w:lineRule="auto"/>
        <w:ind w:firstLine="480" w:firstLineChars="200"/>
        <w:rPr>
          <w:sz w:val="24"/>
        </w:rPr>
      </w:pPr>
      <w:r>
        <w:rPr>
          <w:sz w:val="24"/>
        </w:rPr>
        <w:t>（3）第三年实施工作</w:t>
      </w:r>
    </w:p>
    <w:p w14:paraId="09661748">
      <w:pPr>
        <w:spacing w:line="360" w:lineRule="auto"/>
        <w:ind w:firstLine="480" w:firstLineChars="200"/>
        <w:rPr>
          <w:sz w:val="24"/>
        </w:rPr>
      </w:pPr>
      <w:r>
        <w:rPr>
          <w:sz w:val="24"/>
        </w:rPr>
        <w:t>第三年完成矿区土壤质量监测、恢复治理效果监测、土地复垦效果监测、植被管护。</w:t>
      </w:r>
    </w:p>
    <w:p w14:paraId="11058F57">
      <w:pPr>
        <w:keepNext/>
        <w:keepLines/>
        <w:pageBreakBefore/>
        <w:tabs>
          <w:tab w:val="left" w:pos="284"/>
        </w:tabs>
        <w:spacing w:before="340" w:after="240" w:line="360" w:lineRule="auto"/>
        <w:jc w:val="center"/>
        <w:outlineLvl w:val="0"/>
        <w:rPr>
          <w:b/>
          <w:bCs/>
          <w:kern w:val="44"/>
          <w:sz w:val="32"/>
          <w:szCs w:val="32"/>
        </w:rPr>
      </w:pPr>
      <w:bookmarkStart w:id="228" w:name="_Toc43851702"/>
      <w:bookmarkStart w:id="229" w:name="_Toc480537488"/>
      <w:bookmarkStart w:id="230" w:name="_Toc481328250"/>
      <w:bookmarkStart w:id="231" w:name="_Toc500227898"/>
      <w:r>
        <w:rPr>
          <w:b/>
          <w:bCs/>
          <w:kern w:val="44"/>
          <w:sz w:val="32"/>
          <w:szCs w:val="32"/>
        </w:rPr>
        <w:t>第七章经费估算与进度安排</w:t>
      </w:r>
      <w:bookmarkEnd w:id="228"/>
      <w:bookmarkEnd w:id="229"/>
      <w:bookmarkEnd w:id="230"/>
      <w:bookmarkEnd w:id="231"/>
    </w:p>
    <w:p w14:paraId="6B0DA70F">
      <w:pPr>
        <w:keepNext/>
        <w:keepLines/>
        <w:adjustRightInd w:val="0"/>
        <w:spacing w:beforeLines="50" w:afterLines="50" w:line="360" w:lineRule="auto"/>
        <w:jc w:val="left"/>
        <w:textAlignment w:val="baseline"/>
        <w:outlineLvl w:val="0"/>
        <w:rPr>
          <w:kern w:val="0"/>
          <w:sz w:val="30"/>
          <w:szCs w:val="30"/>
        </w:rPr>
      </w:pPr>
      <w:bookmarkStart w:id="232" w:name="_Toc481328251"/>
      <w:bookmarkStart w:id="233" w:name="_Toc43851703"/>
      <w:bookmarkStart w:id="234" w:name="_Toc480537489"/>
      <w:bookmarkStart w:id="235" w:name="_Toc500227899"/>
      <w:r>
        <w:rPr>
          <w:kern w:val="0"/>
          <w:sz w:val="30"/>
          <w:szCs w:val="30"/>
        </w:rPr>
        <w:t>一、经费估算依据</w:t>
      </w:r>
      <w:bookmarkEnd w:id="232"/>
      <w:bookmarkEnd w:id="233"/>
      <w:bookmarkEnd w:id="234"/>
      <w:bookmarkEnd w:id="235"/>
    </w:p>
    <w:p w14:paraId="5BA90772">
      <w:pPr>
        <w:pStyle w:val="5"/>
        <w:spacing w:beforeLines="50" w:afterLines="50" w:line="360" w:lineRule="auto"/>
        <w:rPr>
          <w:rFonts w:eastAsiaTheme="minorEastAsia"/>
          <w:b w:val="0"/>
          <w:sz w:val="28"/>
          <w:szCs w:val="28"/>
        </w:rPr>
      </w:pPr>
      <w:bookmarkStart w:id="236" w:name="_Toc508315970"/>
      <w:bookmarkStart w:id="237" w:name="_Toc43851704"/>
      <w:bookmarkStart w:id="238" w:name="_Toc500227902"/>
      <w:r>
        <w:rPr>
          <w:rFonts w:eastAsiaTheme="minorEastAsia"/>
          <w:b w:val="0"/>
          <w:sz w:val="28"/>
          <w:szCs w:val="28"/>
        </w:rPr>
        <w:t>（一）矿山地质环境保护与治理估算</w:t>
      </w:r>
      <w:bookmarkEnd w:id="236"/>
      <w:bookmarkEnd w:id="237"/>
    </w:p>
    <w:p w14:paraId="2C0AB880">
      <w:pPr>
        <w:spacing w:line="360" w:lineRule="auto"/>
        <w:ind w:firstLine="480"/>
        <w:rPr>
          <w:rFonts w:eastAsiaTheme="minorEastAsia"/>
          <w:color w:val="000000"/>
          <w:sz w:val="24"/>
          <w:szCs w:val="28"/>
        </w:rPr>
      </w:pPr>
      <w:r>
        <w:rPr>
          <w:rFonts w:eastAsiaTheme="minorEastAsia"/>
          <w:color w:val="000000"/>
          <w:sz w:val="24"/>
          <w:szCs w:val="28"/>
        </w:rPr>
        <w:t>1、估算依据</w:t>
      </w:r>
    </w:p>
    <w:p w14:paraId="6D2F9407">
      <w:pPr>
        <w:spacing w:line="360" w:lineRule="auto"/>
        <w:ind w:firstLine="480"/>
        <w:rPr>
          <w:rFonts w:eastAsiaTheme="minorEastAsia"/>
          <w:color w:val="000000"/>
          <w:sz w:val="24"/>
          <w:szCs w:val="28"/>
        </w:rPr>
      </w:pPr>
      <w:r>
        <w:rPr>
          <w:rFonts w:eastAsiaTheme="minorEastAsia"/>
          <w:color w:val="000000"/>
          <w:sz w:val="24"/>
          <w:szCs w:val="28"/>
        </w:rPr>
        <w:t>估算以国家、省（部）预算定额为依据，暂时无标准的，参考市场中等价格计算。本方案主要参照概算依据如下：</w:t>
      </w:r>
    </w:p>
    <w:p w14:paraId="1AF0AB4F">
      <w:pPr>
        <w:spacing w:line="360" w:lineRule="auto"/>
        <w:ind w:firstLine="480"/>
        <w:rPr>
          <w:rFonts w:eastAsiaTheme="minorEastAsia"/>
          <w:color w:val="000000"/>
          <w:sz w:val="24"/>
          <w:szCs w:val="28"/>
        </w:rPr>
      </w:pPr>
      <w:r>
        <w:rPr>
          <w:rFonts w:eastAsiaTheme="minorEastAsia"/>
          <w:color w:val="000000"/>
          <w:sz w:val="24"/>
          <w:szCs w:val="28"/>
        </w:rPr>
        <w:t>1）四川省财政厅四川省国士资源厅关于印发《四川省地质灾害治理工程概（预）算标准（试行）》的通知（川财投〔2013〕145号）；</w:t>
      </w:r>
    </w:p>
    <w:p w14:paraId="3C5D8D1A">
      <w:pPr>
        <w:spacing w:line="360" w:lineRule="auto"/>
        <w:ind w:firstLine="480"/>
        <w:rPr>
          <w:rFonts w:eastAsiaTheme="minorEastAsia"/>
          <w:color w:val="000000"/>
          <w:sz w:val="24"/>
          <w:szCs w:val="28"/>
        </w:rPr>
      </w:pPr>
      <w:r>
        <w:rPr>
          <w:rFonts w:eastAsiaTheme="minorEastAsia"/>
          <w:color w:val="000000"/>
          <w:sz w:val="24"/>
          <w:szCs w:val="28"/>
        </w:rPr>
        <w:t>2）四川省国土资源厅四川省财政厅关于印发《营业税改增值税后〈四川省地质灾害治理王程概（预）算标准〉调整办法》的通知（川国土资发〔2017〕63号）；</w:t>
      </w:r>
    </w:p>
    <w:p w14:paraId="2BDCE047">
      <w:pPr>
        <w:spacing w:line="360" w:lineRule="auto"/>
        <w:ind w:firstLine="480"/>
        <w:rPr>
          <w:rFonts w:eastAsiaTheme="minorEastAsia"/>
          <w:color w:val="000000"/>
          <w:sz w:val="24"/>
          <w:szCs w:val="28"/>
        </w:rPr>
      </w:pPr>
      <w:r>
        <w:rPr>
          <w:rFonts w:eastAsiaTheme="minorEastAsia"/>
          <w:color w:val="000000"/>
          <w:sz w:val="24"/>
          <w:szCs w:val="28"/>
        </w:rPr>
        <w:t>3）《四川省地质灾害治理工程概（预）算标准》治理工程预算定额（试行）；</w:t>
      </w:r>
    </w:p>
    <w:p w14:paraId="5BCBC490">
      <w:pPr>
        <w:spacing w:line="360" w:lineRule="auto"/>
        <w:ind w:firstLine="480"/>
        <w:rPr>
          <w:rFonts w:eastAsiaTheme="minorEastAsia"/>
          <w:color w:val="000000"/>
          <w:sz w:val="24"/>
          <w:szCs w:val="28"/>
        </w:rPr>
      </w:pPr>
      <w:r>
        <w:rPr>
          <w:rFonts w:eastAsiaTheme="minorEastAsia"/>
          <w:color w:val="000000"/>
          <w:sz w:val="24"/>
          <w:szCs w:val="28"/>
        </w:rPr>
        <w:t>4）《地质调查项目预算标准》（2010年试用）；</w:t>
      </w:r>
    </w:p>
    <w:p w14:paraId="7C6CCE6B">
      <w:pPr>
        <w:spacing w:line="360" w:lineRule="auto"/>
        <w:ind w:firstLine="480"/>
        <w:rPr>
          <w:rFonts w:eastAsiaTheme="minorEastAsia"/>
          <w:color w:val="000000"/>
          <w:sz w:val="24"/>
          <w:szCs w:val="28"/>
        </w:rPr>
      </w:pPr>
      <w:r>
        <w:rPr>
          <w:rFonts w:eastAsiaTheme="minorEastAsia"/>
          <w:color w:val="000000"/>
          <w:sz w:val="24"/>
          <w:szCs w:val="28"/>
        </w:rPr>
        <w:t>5）项目工程设计图及工程量表；</w:t>
      </w:r>
    </w:p>
    <w:p w14:paraId="65907D45">
      <w:pPr>
        <w:spacing w:line="360" w:lineRule="auto"/>
        <w:ind w:firstLine="480"/>
        <w:rPr>
          <w:rFonts w:eastAsiaTheme="minorEastAsia"/>
          <w:color w:val="000000"/>
          <w:sz w:val="24"/>
          <w:szCs w:val="28"/>
        </w:rPr>
      </w:pPr>
      <w:r>
        <w:rPr>
          <w:rFonts w:eastAsiaTheme="minorEastAsia"/>
          <w:color w:val="000000"/>
          <w:sz w:val="24"/>
          <w:szCs w:val="28"/>
        </w:rPr>
        <w:t>6）《四川造价信息网》2020年4月</w:t>
      </w:r>
      <w:r>
        <w:rPr>
          <w:rFonts w:eastAsiaTheme="minorEastAsia"/>
          <w:color w:val="000000"/>
          <w:sz w:val="24"/>
        </w:rPr>
        <w:t>广元市信息价</w:t>
      </w:r>
      <w:r>
        <w:rPr>
          <w:rFonts w:eastAsiaTheme="minorEastAsia"/>
          <w:color w:val="000000"/>
          <w:sz w:val="24"/>
          <w:szCs w:val="28"/>
        </w:rPr>
        <w:t>现行市场价格。</w:t>
      </w:r>
    </w:p>
    <w:p w14:paraId="749022F2">
      <w:pPr>
        <w:spacing w:line="360" w:lineRule="auto"/>
        <w:ind w:firstLine="480"/>
        <w:rPr>
          <w:rFonts w:eastAsiaTheme="minorEastAsia"/>
          <w:color w:val="000000"/>
          <w:sz w:val="24"/>
        </w:rPr>
      </w:pPr>
      <w:r>
        <w:rPr>
          <w:rFonts w:eastAsiaTheme="minorEastAsia"/>
          <w:color w:val="000000"/>
          <w:sz w:val="24"/>
        </w:rPr>
        <w:t>2、费用构成</w:t>
      </w:r>
    </w:p>
    <w:p w14:paraId="259CADDD">
      <w:pPr>
        <w:spacing w:line="360" w:lineRule="auto"/>
        <w:ind w:firstLine="480"/>
        <w:rPr>
          <w:rFonts w:eastAsiaTheme="minorEastAsia"/>
          <w:color w:val="000000"/>
          <w:sz w:val="24"/>
        </w:rPr>
      </w:pPr>
      <w:r>
        <w:rPr>
          <w:rFonts w:eastAsiaTheme="minorEastAsia"/>
          <w:color w:val="000000"/>
          <w:sz w:val="24"/>
        </w:rPr>
        <w:t>1、矿山地质环境保护与治理估算</w:t>
      </w:r>
    </w:p>
    <w:p w14:paraId="77ACDBE0">
      <w:pPr>
        <w:spacing w:line="360" w:lineRule="auto"/>
        <w:ind w:firstLine="480"/>
        <w:rPr>
          <w:rFonts w:eastAsiaTheme="minorEastAsia"/>
          <w:color w:val="000000"/>
          <w:sz w:val="24"/>
        </w:rPr>
      </w:pPr>
      <w:r>
        <w:rPr>
          <w:rFonts w:eastAsiaTheme="minorEastAsia"/>
          <w:color w:val="000000"/>
          <w:sz w:val="24"/>
        </w:rPr>
        <w:t>工程治理以定额基价为取费基础计算工程费用。估算费用由工程施工费用、独立费用和基本预备费组成。</w:t>
      </w:r>
    </w:p>
    <w:p w14:paraId="0AA59736">
      <w:pPr>
        <w:spacing w:line="360" w:lineRule="auto"/>
        <w:ind w:firstLine="480"/>
        <w:rPr>
          <w:rFonts w:eastAsiaTheme="minorEastAsia"/>
          <w:color w:val="000000"/>
          <w:sz w:val="24"/>
        </w:rPr>
      </w:pPr>
      <w:r>
        <w:rPr>
          <w:rFonts w:eastAsiaTheme="minorEastAsia"/>
          <w:color w:val="000000"/>
          <w:sz w:val="24"/>
        </w:rPr>
        <w:t>（1）工程施工费用</w:t>
      </w:r>
    </w:p>
    <w:p w14:paraId="3415F127">
      <w:pPr>
        <w:spacing w:line="360" w:lineRule="auto"/>
        <w:ind w:firstLine="480"/>
        <w:rPr>
          <w:rFonts w:eastAsiaTheme="minorEastAsia"/>
          <w:color w:val="000000"/>
          <w:sz w:val="24"/>
        </w:rPr>
      </w:pPr>
      <w:r>
        <w:rPr>
          <w:rFonts w:eastAsiaTheme="minorEastAsia"/>
          <w:color w:val="000000"/>
          <w:sz w:val="24"/>
        </w:rPr>
        <w:t>工程、植物措施单价主要按照《四川省地质灾害防治工程设计概(估)算编制规定》计算，工程费由直接工程费、间接费、企业利润和税金组成。</w:t>
      </w:r>
    </w:p>
    <w:p w14:paraId="3D80AF50">
      <w:pPr>
        <w:spacing w:line="360" w:lineRule="auto"/>
        <w:ind w:firstLine="480"/>
        <w:rPr>
          <w:rFonts w:eastAsiaTheme="minorEastAsia"/>
          <w:color w:val="000000"/>
          <w:sz w:val="24"/>
        </w:rPr>
      </w:pPr>
      <w:r>
        <w:rPr>
          <w:rFonts w:eastAsiaTheme="minorEastAsia"/>
          <w:color w:val="000000"/>
          <w:sz w:val="24"/>
        </w:rPr>
        <w:t>1）直接工程费：由直接费、其他直接费和现场经费组成。</w:t>
      </w:r>
    </w:p>
    <w:p w14:paraId="55F086B9">
      <w:pPr>
        <w:spacing w:line="360" w:lineRule="auto"/>
        <w:ind w:firstLine="480"/>
        <w:rPr>
          <w:rFonts w:eastAsiaTheme="minorEastAsia"/>
          <w:color w:val="000000"/>
          <w:sz w:val="24"/>
        </w:rPr>
      </w:pPr>
      <w:r>
        <w:rPr>
          <w:color w:val="000000"/>
          <w:sz w:val="24"/>
        </w:rPr>
        <w:t>其中直接费包括人工费、材料费和机械使用费，按定额计算。项目区不属于艰苦边远地区，经计算，人工费按工长12.97元/工时、中级工9.75元/工时、初级工6.96元/工日计，地质环境治理机械使用费=定额机械使用量（台时）×施工机械台时费。其他直接费（包括冬雨季施工增加费、夜间施工增加费、其他费用）</w:t>
      </w:r>
      <w:r>
        <w:rPr>
          <w:rFonts w:eastAsiaTheme="minorEastAsia"/>
          <w:color w:val="000000"/>
          <w:sz w:val="24"/>
        </w:rPr>
        <w:t>。</w:t>
      </w:r>
    </w:p>
    <w:p w14:paraId="1A78B047">
      <w:pPr>
        <w:spacing w:line="360" w:lineRule="auto"/>
        <w:ind w:firstLine="480"/>
        <w:rPr>
          <w:rFonts w:eastAsiaTheme="minorEastAsia"/>
          <w:color w:val="000000"/>
          <w:sz w:val="24"/>
        </w:rPr>
      </w:pPr>
      <w:r>
        <w:rPr>
          <w:rFonts w:eastAsiaTheme="minorEastAsia"/>
          <w:color w:val="000000"/>
          <w:sz w:val="24"/>
        </w:rPr>
        <w:t>2）间接费：直接工程费×间接费费率</w:t>
      </w:r>
    </w:p>
    <w:p w14:paraId="05AE4030">
      <w:pPr>
        <w:spacing w:line="360" w:lineRule="auto"/>
        <w:ind w:firstLine="480"/>
        <w:rPr>
          <w:rFonts w:eastAsiaTheme="minorEastAsia"/>
          <w:color w:val="000000"/>
          <w:sz w:val="24"/>
        </w:rPr>
      </w:pPr>
      <w:r>
        <w:rPr>
          <w:rFonts w:eastAsiaTheme="minorEastAsia"/>
          <w:color w:val="000000"/>
          <w:sz w:val="24"/>
        </w:rPr>
        <w:t>间接费包括企业管理费、规费。</w:t>
      </w:r>
    </w:p>
    <w:p w14:paraId="6BC29AB7">
      <w:pPr>
        <w:spacing w:line="360" w:lineRule="auto"/>
        <w:ind w:firstLine="480"/>
        <w:rPr>
          <w:rFonts w:eastAsiaTheme="minorEastAsia"/>
          <w:color w:val="000000"/>
          <w:sz w:val="24"/>
        </w:rPr>
      </w:pPr>
      <w:r>
        <w:rPr>
          <w:rFonts w:eastAsiaTheme="minorEastAsia"/>
          <w:color w:val="000000"/>
          <w:sz w:val="24"/>
        </w:rPr>
        <w:t>3）企业利润：（直接工程费+间接费）×7%。</w:t>
      </w:r>
    </w:p>
    <w:p w14:paraId="1D6514A1">
      <w:pPr>
        <w:spacing w:line="360" w:lineRule="auto"/>
        <w:ind w:firstLine="480"/>
        <w:rPr>
          <w:rFonts w:eastAsiaTheme="minorEastAsia"/>
          <w:color w:val="000000"/>
          <w:sz w:val="24"/>
        </w:rPr>
      </w:pPr>
      <w:r>
        <w:rPr>
          <w:rFonts w:eastAsiaTheme="minorEastAsia"/>
          <w:color w:val="000000"/>
          <w:sz w:val="24"/>
        </w:rPr>
        <w:t>4）税金：（直接工程费+间接费+企业利润）×9%。</w:t>
      </w:r>
    </w:p>
    <w:p w14:paraId="439D5567">
      <w:pPr>
        <w:jc w:val="center"/>
        <w:rPr>
          <w:rFonts w:eastAsiaTheme="minorEastAsia"/>
          <w:b/>
          <w:szCs w:val="21"/>
        </w:rPr>
      </w:pPr>
      <w:r>
        <w:rPr>
          <w:rFonts w:eastAsiaTheme="minorEastAsia"/>
          <w:b/>
          <w:szCs w:val="21"/>
        </w:rPr>
        <w:t>表7-1矿山地质环境保护与治理费率统计表</w:t>
      </w:r>
    </w:p>
    <w:tbl>
      <w:tblPr>
        <w:tblStyle w:val="29"/>
        <w:tblW w:w="86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1175"/>
        <w:gridCol w:w="1317"/>
        <w:gridCol w:w="846"/>
        <w:gridCol w:w="1199"/>
        <w:gridCol w:w="846"/>
        <w:gridCol w:w="932"/>
        <w:gridCol w:w="846"/>
      </w:tblGrid>
      <w:tr w14:paraId="0D459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blHeader/>
          <w:jc w:val="center"/>
        </w:trPr>
        <w:tc>
          <w:tcPr>
            <w:tcW w:w="1529" w:type="dxa"/>
            <w:vAlign w:val="center"/>
          </w:tcPr>
          <w:p w14:paraId="3B95E399">
            <w:pPr>
              <w:widowControl/>
              <w:jc w:val="center"/>
              <w:rPr>
                <w:kern w:val="0"/>
                <w:szCs w:val="21"/>
              </w:rPr>
            </w:pPr>
            <w:r>
              <w:rPr>
                <w:kern w:val="0"/>
                <w:szCs w:val="21"/>
              </w:rPr>
              <w:t>工程类别</w:t>
            </w:r>
          </w:p>
        </w:tc>
        <w:tc>
          <w:tcPr>
            <w:tcW w:w="1175" w:type="dxa"/>
            <w:vAlign w:val="center"/>
          </w:tcPr>
          <w:p w14:paraId="0168D56B">
            <w:pPr>
              <w:widowControl/>
              <w:jc w:val="center"/>
              <w:rPr>
                <w:kern w:val="0"/>
                <w:szCs w:val="21"/>
              </w:rPr>
            </w:pPr>
            <w:r>
              <w:rPr>
                <w:kern w:val="0"/>
                <w:szCs w:val="21"/>
              </w:rPr>
              <w:t>临时设施费（％）</w:t>
            </w:r>
          </w:p>
        </w:tc>
        <w:tc>
          <w:tcPr>
            <w:tcW w:w="1317" w:type="dxa"/>
            <w:vAlign w:val="center"/>
          </w:tcPr>
          <w:p w14:paraId="6A6576DF">
            <w:pPr>
              <w:widowControl/>
              <w:jc w:val="center"/>
              <w:rPr>
                <w:kern w:val="0"/>
                <w:szCs w:val="21"/>
              </w:rPr>
            </w:pPr>
            <w:r>
              <w:rPr>
                <w:kern w:val="0"/>
                <w:szCs w:val="21"/>
              </w:rPr>
              <w:t>安全文明生产措施费（％）</w:t>
            </w:r>
          </w:p>
        </w:tc>
        <w:tc>
          <w:tcPr>
            <w:tcW w:w="846" w:type="dxa"/>
            <w:vAlign w:val="center"/>
          </w:tcPr>
          <w:p w14:paraId="2BB45A9F">
            <w:pPr>
              <w:widowControl/>
              <w:jc w:val="center"/>
              <w:rPr>
                <w:kern w:val="0"/>
                <w:szCs w:val="21"/>
              </w:rPr>
            </w:pPr>
            <w:r>
              <w:rPr>
                <w:kern w:val="0"/>
                <w:szCs w:val="21"/>
              </w:rPr>
              <w:t>其他费（％）</w:t>
            </w:r>
          </w:p>
        </w:tc>
        <w:tc>
          <w:tcPr>
            <w:tcW w:w="1199" w:type="dxa"/>
            <w:vAlign w:val="center"/>
          </w:tcPr>
          <w:p w14:paraId="445D93B7">
            <w:pPr>
              <w:widowControl/>
              <w:jc w:val="center"/>
              <w:rPr>
                <w:kern w:val="0"/>
                <w:szCs w:val="21"/>
              </w:rPr>
            </w:pPr>
            <w:r>
              <w:rPr>
                <w:kern w:val="0"/>
                <w:szCs w:val="21"/>
              </w:rPr>
              <w:t>企业管理费（％）</w:t>
            </w:r>
          </w:p>
        </w:tc>
        <w:tc>
          <w:tcPr>
            <w:tcW w:w="846" w:type="dxa"/>
            <w:vAlign w:val="center"/>
          </w:tcPr>
          <w:p w14:paraId="36327916">
            <w:pPr>
              <w:widowControl/>
              <w:jc w:val="center"/>
              <w:rPr>
                <w:kern w:val="0"/>
                <w:szCs w:val="21"/>
              </w:rPr>
            </w:pPr>
            <w:r>
              <w:rPr>
                <w:kern w:val="0"/>
                <w:szCs w:val="21"/>
              </w:rPr>
              <w:t>规费（％）</w:t>
            </w:r>
          </w:p>
        </w:tc>
        <w:tc>
          <w:tcPr>
            <w:tcW w:w="932" w:type="dxa"/>
            <w:vAlign w:val="center"/>
          </w:tcPr>
          <w:p w14:paraId="71F7509D">
            <w:pPr>
              <w:widowControl/>
              <w:jc w:val="center"/>
              <w:rPr>
                <w:kern w:val="0"/>
                <w:szCs w:val="21"/>
              </w:rPr>
            </w:pPr>
            <w:r>
              <w:rPr>
                <w:kern w:val="0"/>
                <w:szCs w:val="21"/>
              </w:rPr>
              <w:t>利率（％）</w:t>
            </w:r>
          </w:p>
        </w:tc>
        <w:tc>
          <w:tcPr>
            <w:tcW w:w="846" w:type="dxa"/>
            <w:vAlign w:val="center"/>
          </w:tcPr>
          <w:p w14:paraId="1870605C">
            <w:pPr>
              <w:widowControl/>
              <w:jc w:val="center"/>
              <w:rPr>
                <w:kern w:val="0"/>
                <w:szCs w:val="21"/>
              </w:rPr>
            </w:pPr>
            <w:r>
              <w:rPr>
                <w:kern w:val="0"/>
                <w:szCs w:val="21"/>
              </w:rPr>
              <w:t>税率（％）</w:t>
            </w:r>
          </w:p>
        </w:tc>
      </w:tr>
      <w:tr w14:paraId="6D2B3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4A562904">
            <w:pPr>
              <w:widowControl/>
              <w:jc w:val="center"/>
              <w:rPr>
                <w:kern w:val="0"/>
                <w:szCs w:val="21"/>
              </w:rPr>
            </w:pPr>
            <w:r>
              <w:rPr>
                <w:kern w:val="0"/>
                <w:szCs w:val="21"/>
              </w:rPr>
              <w:t>土方工程</w:t>
            </w:r>
          </w:p>
        </w:tc>
        <w:tc>
          <w:tcPr>
            <w:tcW w:w="1175" w:type="dxa"/>
            <w:vAlign w:val="center"/>
          </w:tcPr>
          <w:p w14:paraId="751574F9">
            <w:pPr>
              <w:jc w:val="center"/>
              <w:rPr>
                <w:szCs w:val="21"/>
              </w:rPr>
            </w:pPr>
            <w:r>
              <w:rPr>
                <w:szCs w:val="21"/>
              </w:rPr>
              <w:t>1.8</w:t>
            </w:r>
          </w:p>
        </w:tc>
        <w:tc>
          <w:tcPr>
            <w:tcW w:w="1317" w:type="dxa"/>
            <w:vAlign w:val="center"/>
          </w:tcPr>
          <w:p w14:paraId="29F7BDD7">
            <w:pPr>
              <w:jc w:val="center"/>
              <w:rPr>
                <w:szCs w:val="21"/>
              </w:rPr>
            </w:pPr>
            <w:r>
              <w:rPr>
                <w:szCs w:val="21"/>
              </w:rPr>
              <w:t>2.0</w:t>
            </w:r>
          </w:p>
        </w:tc>
        <w:tc>
          <w:tcPr>
            <w:tcW w:w="846" w:type="dxa"/>
            <w:vAlign w:val="center"/>
          </w:tcPr>
          <w:p w14:paraId="758C228E">
            <w:pPr>
              <w:jc w:val="center"/>
              <w:rPr>
                <w:szCs w:val="21"/>
              </w:rPr>
            </w:pPr>
            <w:r>
              <w:rPr>
                <w:szCs w:val="21"/>
              </w:rPr>
              <w:t>0.7</w:t>
            </w:r>
          </w:p>
        </w:tc>
        <w:tc>
          <w:tcPr>
            <w:tcW w:w="1199" w:type="dxa"/>
            <w:vAlign w:val="center"/>
          </w:tcPr>
          <w:p w14:paraId="01D1769B">
            <w:pPr>
              <w:jc w:val="center"/>
              <w:rPr>
                <w:szCs w:val="21"/>
              </w:rPr>
            </w:pPr>
            <w:r>
              <w:rPr>
                <w:szCs w:val="21"/>
              </w:rPr>
              <w:t>2.6</w:t>
            </w:r>
          </w:p>
        </w:tc>
        <w:tc>
          <w:tcPr>
            <w:tcW w:w="846" w:type="dxa"/>
            <w:vAlign w:val="center"/>
          </w:tcPr>
          <w:p w14:paraId="34805C2C">
            <w:pPr>
              <w:jc w:val="center"/>
              <w:rPr>
                <w:szCs w:val="21"/>
              </w:rPr>
            </w:pPr>
            <w:r>
              <w:rPr>
                <w:szCs w:val="21"/>
              </w:rPr>
              <w:t>2.5</w:t>
            </w:r>
          </w:p>
        </w:tc>
        <w:tc>
          <w:tcPr>
            <w:tcW w:w="932" w:type="dxa"/>
            <w:vAlign w:val="center"/>
          </w:tcPr>
          <w:p w14:paraId="146918CD">
            <w:pPr>
              <w:jc w:val="center"/>
              <w:rPr>
                <w:szCs w:val="21"/>
              </w:rPr>
            </w:pPr>
            <w:r>
              <w:rPr>
                <w:szCs w:val="21"/>
              </w:rPr>
              <w:t>7</w:t>
            </w:r>
          </w:p>
        </w:tc>
        <w:tc>
          <w:tcPr>
            <w:tcW w:w="846" w:type="dxa"/>
            <w:vAlign w:val="center"/>
          </w:tcPr>
          <w:p w14:paraId="62CB16C6">
            <w:pPr>
              <w:jc w:val="center"/>
              <w:rPr>
                <w:szCs w:val="21"/>
              </w:rPr>
            </w:pPr>
            <w:r>
              <w:rPr>
                <w:szCs w:val="21"/>
              </w:rPr>
              <w:t>9</w:t>
            </w:r>
          </w:p>
        </w:tc>
      </w:tr>
      <w:tr w14:paraId="65E99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5C50C402">
            <w:pPr>
              <w:widowControl/>
              <w:jc w:val="center"/>
              <w:rPr>
                <w:kern w:val="0"/>
                <w:szCs w:val="21"/>
              </w:rPr>
            </w:pPr>
            <w:r>
              <w:rPr>
                <w:kern w:val="0"/>
                <w:szCs w:val="21"/>
              </w:rPr>
              <w:t>石方工程</w:t>
            </w:r>
          </w:p>
        </w:tc>
        <w:tc>
          <w:tcPr>
            <w:tcW w:w="1175" w:type="dxa"/>
            <w:vAlign w:val="center"/>
          </w:tcPr>
          <w:p w14:paraId="25E4DC4B">
            <w:pPr>
              <w:jc w:val="center"/>
              <w:rPr>
                <w:szCs w:val="21"/>
              </w:rPr>
            </w:pPr>
            <w:r>
              <w:rPr>
                <w:szCs w:val="21"/>
              </w:rPr>
              <w:t>1.8</w:t>
            </w:r>
          </w:p>
        </w:tc>
        <w:tc>
          <w:tcPr>
            <w:tcW w:w="1317" w:type="dxa"/>
            <w:vAlign w:val="center"/>
          </w:tcPr>
          <w:p w14:paraId="22BB127F">
            <w:pPr>
              <w:jc w:val="center"/>
              <w:rPr>
                <w:szCs w:val="21"/>
              </w:rPr>
            </w:pPr>
            <w:r>
              <w:rPr>
                <w:szCs w:val="21"/>
              </w:rPr>
              <w:t>2.0</w:t>
            </w:r>
          </w:p>
        </w:tc>
        <w:tc>
          <w:tcPr>
            <w:tcW w:w="846" w:type="dxa"/>
            <w:vAlign w:val="center"/>
          </w:tcPr>
          <w:p w14:paraId="46D04677">
            <w:pPr>
              <w:jc w:val="center"/>
              <w:rPr>
                <w:szCs w:val="21"/>
              </w:rPr>
            </w:pPr>
            <w:r>
              <w:rPr>
                <w:szCs w:val="21"/>
              </w:rPr>
              <w:t>0.7</w:t>
            </w:r>
          </w:p>
        </w:tc>
        <w:tc>
          <w:tcPr>
            <w:tcW w:w="1199" w:type="dxa"/>
            <w:vAlign w:val="center"/>
          </w:tcPr>
          <w:p w14:paraId="5E61041B">
            <w:pPr>
              <w:jc w:val="center"/>
              <w:rPr>
                <w:szCs w:val="21"/>
              </w:rPr>
            </w:pPr>
            <w:r>
              <w:rPr>
                <w:szCs w:val="21"/>
              </w:rPr>
              <w:t>4.4</w:t>
            </w:r>
          </w:p>
        </w:tc>
        <w:tc>
          <w:tcPr>
            <w:tcW w:w="846" w:type="dxa"/>
            <w:vAlign w:val="center"/>
          </w:tcPr>
          <w:p w14:paraId="33160EB3">
            <w:pPr>
              <w:jc w:val="center"/>
              <w:rPr>
                <w:szCs w:val="21"/>
              </w:rPr>
            </w:pPr>
            <w:r>
              <w:rPr>
                <w:szCs w:val="21"/>
              </w:rPr>
              <w:t>2.5</w:t>
            </w:r>
          </w:p>
        </w:tc>
        <w:tc>
          <w:tcPr>
            <w:tcW w:w="932" w:type="dxa"/>
            <w:vAlign w:val="center"/>
          </w:tcPr>
          <w:p w14:paraId="5E592914">
            <w:pPr>
              <w:jc w:val="center"/>
              <w:rPr>
                <w:szCs w:val="21"/>
              </w:rPr>
            </w:pPr>
            <w:r>
              <w:rPr>
                <w:szCs w:val="21"/>
              </w:rPr>
              <w:t>7</w:t>
            </w:r>
          </w:p>
        </w:tc>
        <w:tc>
          <w:tcPr>
            <w:tcW w:w="846" w:type="dxa"/>
            <w:vAlign w:val="center"/>
          </w:tcPr>
          <w:p w14:paraId="68766CAF">
            <w:pPr>
              <w:jc w:val="center"/>
              <w:rPr>
                <w:szCs w:val="21"/>
              </w:rPr>
            </w:pPr>
            <w:r>
              <w:rPr>
                <w:szCs w:val="21"/>
              </w:rPr>
              <w:t>9</w:t>
            </w:r>
          </w:p>
        </w:tc>
      </w:tr>
      <w:tr w14:paraId="13D92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15820070">
            <w:pPr>
              <w:widowControl/>
              <w:jc w:val="center"/>
              <w:rPr>
                <w:kern w:val="0"/>
                <w:szCs w:val="21"/>
              </w:rPr>
            </w:pPr>
            <w:r>
              <w:rPr>
                <w:kern w:val="0"/>
                <w:szCs w:val="21"/>
              </w:rPr>
              <w:t>砌体工程</w:t>
            </w:r>
          </w:p>
        </w:tc>
        <w:tc>
          <w:tcPr>
            <w:tcW w:w="1175" w:type="dxa"/>
            <w:vAlign w:val="center"/>
          </w:tcPr>
          <w:p w14:paraId="6C9A9644">
            <w:pPr>
              <w:jc w:val="center"/>
              <w:rPr>
                <w:szCs w:val="21"/>
              </w:rPr>
            </w:pPr>
            <w:r>
              <w:rPr>
                <w:szCs w:val="21"/>
              </w:rPr>
              <w:t>1.8</w:t>
            </w:r>
          </w:p>
        </w:tc>
        <w:tc>
          <w:tcPr>
            <w:tcW w:w="1317" w:type="dxa"/>
            <w:vAlign w:val="center"/>
          </w:tcPr>
          <w:p w14:paraId="61760B63">
            <w:pPr>
              <w:jc w:val="center"/>
              <w:rPr>
                <w:szCs w:val="21"/>
              </w:rPr>
            </w:pPr>
            <w:r>
              <w:rPr>
                <w:szCs w:val="21"/>
              </w:rPr>
              <w:t>2.0</w:t>
            </w:r>
          </w:p>
        </w:tc>
        <w:tc>
          <w:tcPr>
            <w:tcW w:w="846" w:type="dxa"/>
            <w:vAlign w:val="center"/>
          </w:tcPr>
          <w:p w14:paraId="3549309B">
            <w:pPr>
              <w:jc w:val="center"/>
              <w:rPr>
                <w:szCs w:val="21"/>
              </w:rPr>
            </w:pPr>
            <w:r>
              <w:rPr>
                <w:szCs w:val="21"/>
              </w:rPr>
              <w:t>0.7</w:t>
            </w:r>
          </w:p>
        </w:tc>
        <w:tc>
          <w:tcPr>
            <w:tcW w:w="1199" w:type="dxa"/>
            <w:vAlign w:val="center"/>
          </w:tcPr>
          <w:p w14:paraId="7C520242">
            <w:pPr>
              <w:jc w:val="center"/>
              <w:rPr>
                <w:szCs w:val="21"/>
              </w:rPr>
            </w:pPr>
            <w:r>
              <w:rPr>
                <w:szCs w:val="21"/>
              </w:rPr>
              <w:t>5.5</w:t>
            </w:r>
          </w:p>
        </w:tc>
        <w:tc>
          <w:tcPr>
            <w:tcW w:w="846" w:type="dxa"/>
            <w:vAlign w:val="center"/>
          </w:tcPr>
          <w:p w14:paraId="6B846C24">
            <w:pPr>
              <w:jc w:val="center"/>
              <w:rPr>
                <w:szCs w:val="21"/>
              </w:rPr>
            </w:pPr>
            <w:r>
              <w:rPr>
                <w:szCs w:val="21"/>
              </w:rPr>
              <w:t>2.7</w:t>
            </w:r>
          </w:p>
        </w:tc>
        <w:tc>
          <w:tcPr>
            <w:tcW w:w="932" w:type="dxa"/>
            <w:vAlign w:val="center"/>
          </w:tcPr>
          <w:p w14:paraId="32B42E50">
            <w:pPr>
              <w:jc w:val="center"/>
              <w:rPr>
                <w:szCs w:val="21"/>
              </w:rPr>
            </w:pPr>
            <w:r>
              <w:rPr>
                <w:szCs w:val="21"/>
              </w:rPr>
              <w:t>7</w:t>
            </w:r>
          </w:p>
        </w:tc>
        <w:tc>
          <w:tcPr>
            <w:tcW w:w="846" w:type="dxa"/>
            <w:vAlign w:val="center"/>
          </w:tcPr>
          <w:p w14:paraId="275ADA12">
            <w:pPr>
              <w:jc w:val="center"/>
              <w:rPr>
                <w:szCs w:val="21"/>
              </w:rPr>
            </w:pPr>
            <w:r>
              <w:rPr>
                <w:szCs w:val="21"/>
              </w:rPr>
              <w:t>9</w:t>
            </w:r>
          </w:p>
        </w:tc>
      </w:tr>
      <w:tr w14:paraId="1A90C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5859505E">
            <w:pPr>
              <w:widowControl/>
              <w:jc w:val="center"/>
              <w:rPr>
                <w:kern w:val="0"/>
                <w:szCs w:val="21"/>
              </w:rPr>
            </w:pPr>
            <w:r>
              <w:rPr>
                <w:kern w:val="0"/>
                <w:szCs w:val="21"/>
              </w:rPr>
              <w:t>混凝土工程</w:t>
            </w:r>
          </w:p>
        </w:tc>
        <w:tc>
          <w:tcPr>
            <w:tcW w:w="1175" w:type="dxa"/>
            <w:vAlign w:val="center"/>
          </w:tcPr>
          <w:p w14:paraId="30357F11">
            <w:pPr>
              <w:jc w:val="center"/>
              <w:rPr>
                <w:szCs w:val="21"/>
              </w:rPr>
            </w:pPr>
            <w:r>
              <w:rPr>
                <w:szCs w:val="21"/>
              </w:rPr>
              <w:t>3.6</w:t>
            </w:r>
          </w:p>
        </w:tc>
        <w:tc>
          <w:tcPr>
            <w:tcW w:w="1317" w:type="dxa"/>
            <w:vAlign w:val="center"/>
          </w:tcPr>
          <w:p w14:paraId="644EEC0B">
            <w:pPr>
              <w:jc w:val="center"/>
              <w:rPr>
                <w:szCs w:val="21"/>
              </w:rPr>
            </w:pPr>
            <w:r>
              <w:rPr>
                <w:szCs w:val="21"/>
              </w:rPr>
              <w:t>2.0</w:t>
            </w:r>
          </w:p>
        </w:tc>
        <w:tc>
          <w:tcPr>
            <w:tcW w:w="846" w:type="dxa"/>
            <w:vAlign w:val="center"/>
          </w:tcPr>
          <w:p w14:paraId="34F2F0FD">
            <w:pPr>
              <w:jc w:val="center"/>
              <w:rPr>
                <w:szCs w:val="21"/>
              </w:rPr>
            </w:pPr>
            <w:r>
              <w:rPr>
                <w:szCs w:val="21"/>
              </w:rPr>
              <w:t>0.7</w:t>
            </w:r>
          </w:p>
        </w:tc>
        <w:tc>
          <w:tcPr>
            <w:tcW w:w="1199" w:type="dxa"/>
            <w:vAlign w:val="center"/>
          </w:tcPr>
          <w:p w14:paraId="47A2F2EE">
            <w:pPr>
              <w:jc w:val="center"/>
              <w:rPr>
                <w:szCs w:val="21"/>
              </w:rPr>
            </w:pPr>
            <w:r>
              <w:rPr>
                <w:szCs w:val="21"/>
              </w:rPr>
              <w:t>6.6</w:t>
            </w:r>
          </w:p>
        </w:tc>
        <w:tc>
          <w:tcPr>
            <w:tcW w:w="846" w:type="dxa"/>
            <w:vAlign w:val="center"/>
          </w:tcPr>
          <w:p w14:paraId="1C7DAAC8">
            <w:pPr>
              <w:jc w:val="center"/>
              <w:rPr>
                <w:szCs w:val="21"/>
              </w:rPr>
            </w:pPr>
            <w:r>
              <w:rPr>
                <w:szCs w:val="21"/>
              </w:rPr>
              <w:t>3.0</w:t>
            </w:r>
          </w:p>
        </w:tc>
        <w:tc>
          <w:tcPr>
            <w:tcW w:w="932" w:type="dxa"/>
            <w:vAlign w:val="center"/>
          </w:tcPr>
          <w:p w14:paraId="2D86E8ED">
            <w:pPr>
              <w:jc w:val="center"/>
              <w:rPr>
                <w:szCs w:val="21"/>
              </w:rPr>
            </w:pPr>
            <w:r>
              <w:rPr>
                <w:szCs w:val="21"/>
              </w:rPr>
              <w:t>7</w:t>
            </w:r>
          </w:p>
        </w:tc>
        <w:tc>
          <w:tcPr>
            <w:tcW w:w="846" w:type="dxa"/>
            <w:vAlign w:val="center"/>
          </w:tcPr>
          <w:p w14:paraId="3E8EFA88">
            <w:pPr>
              <w:jc w:val="center"/>
              <w:rPr>
                <w:szCs w:val="21"/>
              </w:rPr>
            </w:pPr>
            <w:r>
              <w:rPr>
                <w:szCs w:val="21"/>
              </w:rPr>
              <w:t>9</w:t>
            </w:r>
          </w:p>
        </w:tc>
      </w:tr>
      <w:tr w14:paraId="6CE99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13DB3D95">
            <w:pPr>
              <w:widowControl/>
              <w:jc w:val="center"/>
              <w:rPr>
                <w:kern w:val="0"/>
                <w:szCs w:val="21"/>
              </w:rPr>
            </w:pPr>
            <w:r>
              <w:rPr>
                <w:kern w:val="0"/>
                <w:szCs w:val="21"/>
              </w:rPr>
              <w:t>模版工程</w:t>
            </w:r>
          </w:p>
        </w:tc>
        <w:tc>
          <w:tcPr>
            <w:tcW w:w="1175" w:type="dxa"/>
            <w:vAlign w:val="center"/>
          </w:tcPr>
          <w:p w14:paraId="050FD25C">
            <w:pPr>
              <w:jc w:val="center"/>
              <w:rPr>
                <w:szCs w:val="21"/>
              </w:rPr>
            </w:pPr>
            <w:r>
              <w:rPr>
                <w:szCs w:val="21"/>
              </w:rPr>
              <w:t>3.6</w:t>
            </w:r>
          </w:p>
        </w:tc>
        <w:tc>
          <w:tcPr>
            <w:tcW w:w="1317" w:type="dxa"/>
            <w:vAlign w:val="center"/>
          </w:tcPr>
          <w:p w14:paraId="37537A0D">
            <w:pPr>
              <w:jc w:val="center"/>
              <w:rPr>
                <w:szCs w:val="21"/>
              </w:rPr>
            </w:pPr>
            <w:r>
              <w:rPr>
                <w:szCs w:val="21"/>
              </w:rPr>
              <w:t>2.0</w:t>
            </w:r>
          </w:p>
        </w:tc>
        <w:tc>
          <w:tcPr>
            <w:tcW w:w="846" w:type="dxa"/>
            <w:vAlign w:val="center"/>
          </w:tcPr>
          <w:p w14:paraId="5A1B2386">
            <w:pPr>
              <w:jc w:val="center"/>
              <w:rPr>
                <w:szCs w:val="21"/>
              </w:rPr>
            </w:pPr>
            <w:r>
              <w:rPr>
                <w:szCs w:val="21"/>
              </w:rPr>
              <w:t>0.7</w:t>
            </w:r>
          </w:p>
        </w:tc>
        <w:tc>
          <w:tcPr>
            <w:tcW w:w="1199" w:type="dxa"/>
            <w:vAlign w:val="center"/>
          </w:tcPr>
          <w:p w14:paraId="4653410E">
            <w:pPr>
              <w:jc w:val="center"/>
              <w:rPr>
                <w:szCs w:val="21"/>
              </w:rPr>
            </w:pPr>
            <w:r>
              <w:rPr>
                <w:szCs w:val="21"/>
              </w:rPr>
              <w:t>6.8</w:t>
            </w:r>
          </w:p>
        </w:tc>
        <w:tc>
          <w:tcPr>
            <w:tcW w:w="846" w:type="dxa"/>
            <w:vAlign w:val="center"/>
          </w:tcPr>
          <w:p w14:paraId="21760B26">
            <w:pPr>
              <w:jc w:val="center"/>
              <w:rPr>
                <w:szCs w:val="21"/>
              </w:rPr>
            </w:pPr>
            <w:r>
              <w:rPr>
                <w:szCs w:val="21"/>
              </w:rPr>
              <w:t>3.0</w:t>
            </w:r>
          </w:p>
        </w:tc>
        <w:tc>
          <w:tcPr>
            <w:tcW w:w="932" w:type="dxa"/>
            <w:vAlign w:val="center"/>
          </w:tcPr>
          <w:p w14:paraId="007FB6DF">
            <w:pPr>
              <w:jc w:val="center"/>
              <w:rPr>
                <w:szCs w:val="21"/>
              </w:rPr>
            </w:pPr>
            <w:r>
              <w:rPr>
                <w:szCs w:val="21"/>
              </w:rPr>
              <w:t>7</w:t>
            </w:r>
          </w:p>
        </w:tc>
        <w:tc>
          <w:tcPr>
            <w:tcW w:w="846" w:type="dxa"/>
            <w:vAlign w:val="center"/>
          </w:tcPr>
          <w:p w14:paraId="5DF9785D">
            <w:pPr>
              <w:jc w:val="center"/>
              <w:rPr>
                <w:szCs w:val="21"/>
              </w:rPr>
            </w:pPr>
            <w:r>
              <w:rPr>
                <w:szCs w:val="21"/>
              </w:rPr>
              <w:t>9</w:t>
            </w:r>
          </w:p>
        </w:tc>
      </w:tr>
      <w:tr w14:paraId="01AB6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243A3F2D">
            <w:pPr>
              <w:widowControl/>
              <w:jc w:val="center"/>
              <w:rPr>
                <w:kern w:val="0"/>
                <w:szCs w:val="21"/>
              </w:rPr>
            </w:pPr>
            <w:r>
              <w:rPr>
                <w:kern w:val="0"/>
                <w:szCs w:val="21"/>
              </w:rPr>
              <w:t>钻孔灌浆及锚固工程</w:t>
            </w:r>
          </w:p>
        </w:tc>
        <w:tc>
          <w:tcPr>
            <w:tcW w:w="1175" w:type="dxa"/>
            <w:vAlign w:val="center"/>
          </w:tcPr>
          <w:p w14:paraId="09AA09D6">
            <w:pPr>
              <w:jc w:val="center"/>
              <w:rPr>
                <w:szCs w:val="21"/>
              </w:rPr>
            </w:pPr>
            <w:r>
              <w:rPr>
                <w:szCs w:val="21"/>
              </w:rPr>
              <w:t>3.8</w:t>
            </w:r>
          </w:p>
        </w:tc>
        <w:tc>
          <w:tcPr>
            <w:tcW w:w="1317" w:type="dxa"/>
            <w:vAlign w:val="center"/>
          </w:tcPr>
          <w:p w14:paraId="309DF04E">
            <w:pPr>
              <w:jc w:val="center"/>
              <w:rPr>
                <w:szCs w:val="21"/>
              </w:rPr>
            </w:pPr>
            <w:r>
              <w:rPr>
                <w:szCs w:val="21"/>
              </w:rPr>
              <w:t>2.0</w:t>
            </w:r>
          </w:p>
        </w:tc>
        <w:tc>
          <w:tcPr>
            <w:tcW w:w="846" w:type="dxa"/>
            <w:vAlign w:val="center"/>
          </w:tcPr>
          <w:p w14:paraId="30E71036">
            <w:pPr>
              <w:jc w:val="center"/>
              <w:rPr>
                <w:szCs w:val="21"/>
              </w:rPr>
            </w:pPr>
            <w:r>
              <w:rPr>
                <w:szCs w:val="21"/>
              </w:rPr>
              <w:t>0.7</w:t>
            </w:r>
          </w:p>
        </w:tc>
        <w:tc>
          <w:tcPr>
            <w:tcW w:w="1199" w:type="dxa"/>
            <w:vAlign w:val="center"/>
          </w:tcPr>
          <w:p w14:paraId="3983A699">
            <w:pPr>
              <w:jc w:val="center"/>
              <w:rPr>
                <w:szCs w:val="21"/>
              </w:rPr>
            </w:pPr>
            <w:r>
              <w:rPr>
                <w:szCs w:val="21"/>
              </w:rPr>
              <w:t>12.6</w:t>
            </w:r>
          </w:p>
        </w:tc>
        <w:tc>
          <w:tcPr>
            <w:tcW w:w="846" w:type="dxa"/>
            <w:vAlign w:val="center"/>
          </w:tcPr>
          <w:p w14:paraId="5995CD21">
            <w:pPr>
              <w:jc w:val="center"/>
              <w:rPr>
                <w:szCs w:val="21"/>
              </w:rPr>
            </w:pPr>
            <w:r>
              <w:rPr>
                <w:szCs w:val="21"/>
              </w:rPr>
              <w:t>4.2</w:t>
            </w:r>
          </w:p>
        </w:tc>
        <w:tc>
          <w:tcPr>
            <w:tcW w:w="932" w:type="dxa"/>
            <w:vAlign w:val="center"/>
          </w:tcPr>
          <w:p w14:paraId="48AE7DA8">
            <w:pPr>
              <w:jc w:val="center"/>
              <w:rPr>
                <w:szCs w:val="21"/>
              </w:rPr>
            </w:pPr>
            <w:r>
              <w:rPr>
                <w:szCs w:val="21"/>
              </w:rPr>
              <w:t>7</w:t>
            </w:r>
          </w:p>
        </w:tc>
        <w:tc>
          <w:tcPr>
            <w:tcW w:w="846" w:type="dxa"/>
            <w:vAlign w:val="center"/>
          </w:tcPr>
          <w:p w14:paraId="08445973">
            <w:pPr>
              <w:jc w:val="center"/>
              <w:rPr>
                <w:szCs w:val="21"/>
              </w:rPr>
            </w:pPr>
            <w:r>
              <w:rPr>
                <w:szCs w:val="21"/>
              </w:rPr>
              <w:t>9</w:t>
            </w:r>
          </w:p>
        </w:tc>
      </w:tr>
      <w:tr w14:paraId="48C40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54676A55">
            <w:pPr>
              <w:widowControl/>
              <w:jc w:val="center"/>
              <w:rPr>
                <w:kern w:val="0"/>
                <w:szCs w:val="21"/>
              </w:rPr>
            </w:pPr>
            <w:r>
              <w:rPr>
                <w:kern w:val="0"/>
                <w:szCs w:val="21"/>
              </w:rPr>
              <w:t>绿化工程</w:t>
            </w:r>
          </w:p>
        </w:tc>
        <w:tc>
          <w:tcPr>
            <w:tcW w:w="1175" w:type="dxa"/>
            <w:vAlign w:val="center"/>
          </w:tcPr>
          <w:p w14:paraId="70FEF818">
            <w:pPr>
              <w:jc w:val="center"/>
              <w:rPr>
                <w:szCs w:val="21"/>
              </w:rPr>
            </w:pPr>
            <w:r>
              <w:rPr>
                <w:szCs w:val="21"/>
              </w:rPr>
              <w:t>1.8</w:t>
            </w:r>
          </w:p>
        </w:tc>
        <w:tc>
          <w:tcPr>
            <w:tcW w:w="1317" w:type="dxa"/>
            <w:vAlign w:val="center"/>
          </w:tcPr>
          <w:p w14:paraId="306104F8">
            <w:pPr>
              <w:jc w:val="center"/>
              <w:rPr>
                <w:szCs w:val="21"/>
              </w:rPr>
            </w:pPr>
            <w:r>
              <w:rPr>
                <w:szCs w:val="21"/>
              </w:rPr>
              <w:t>2.0</w:t>
            </w:r>
          </w:p>
        </w:tc>
        <w:tc>
          <w:tcPr>
            <w:tcW w:w="846" w:type="dxa"/>
            <w:vAlign w:val="center"/>
          </w:tcPr>
          <w:p w14:paraId="25FE0475">
            <w:pPr>
              <w:jc w:val="center"/>
              <w:rPr>
                <w:szCs w:val="21"/>
              </w:rPr>
            </w:pPr>
            <w:r>
              <w:rPr>
                <w:szCs w:val="21"/>
              </w:rPr>
              <w:t>0.7</w:t>
            </w:r>
          </w:p>
        </w:tc>
        <w:tc>
          <w:tcPr>
            <w:tcW w:w="1199" w:type="dxa"/>
            <w:vAlign w:val="center"/>
          </w:tcPr>
          <w:p w14:paraId="3166BE72">
            <w:pPr>
              <w:jc w:val="center"/>
              <w:rPr>
                <w:szCs w:val="21"/>
              </w:rPr>
            </w:pPr>
            <w:r>
              <w:rPr>
                <w:szCs w:val="21"/>
              </w:rPr>
              <w:t>6.8</w:t>
            </w:r>
          </w:p>
        </w:tc>
        <w:tc>
          <w:tcPr>
            <w:tcW w:w="846" w:type="dxa"/>
            <w:vAlign w:val="center"/>
          </w:tcPr>
          <w:p w14:paraId="603E983D">
            <w:pPr>
              <w:jc w:val="center"/>
              <w:rPr>
                <w:szCs w:val="21"/>
              </w:rPr>
            </w:pPr>
            <w:r>
              <w:rPr>
                <w:szCs w:val="21"/>
              </w:rPr>
              <w:t>2.7</w:t>
            </w:r>
          </w:p>
        </w:tc>
        <w:tc>
          <w:tcPr>
            <w:tcW w:w="932" w:type="dxa"/>
            <w:vAlign w:val="center"/>
          </w:tcPr>
          <w:p w14:paraId="01281453">
            <w:pPr>
              <w:jc w:val="center"/>
              <w:rPr>
                <w:szCs w:val="21"/>
              </w:rPr>
            </w:pPr>
            <w:r>
              <w:rPr>
                <w:szCs w:val="21"/>
              </w:rPr>
              <w:t>7</w:t>
            </w:r>
          </w:p>
        </w:tc>
        <w:tc>
          <w:tcPr>
            <w:tcW w:w="846" w:type="dxa"/>
            <w:vAlign w:val="center"/>
          </w:tcPr>
          <w:p w14:paraId="43EE2C31">
            <w:pPr>
              <w:jc w:val="center"/>
              <w:rPr>
                <w:szCs w:val="21"/>
              </w:rPr>
            </w:pPr>
            <w:r>
              <w:rPr>
                <w:szCs w:val="21"/>
              </w:rPr>
              <w:t>9</w:t>
            </w:r>
          </w:p>
        </w:tc>
      </w:tr>
      <w:tr w14:paraId="5E9A2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529" w:type="dxa"/>
            <w:vAlign w:val="center"/>
          </w:tcPr>
          <w:p w14:paraId="399956E6">
            <w:pPr>
              <w:widowControl/>
              <w:jc w:val="center"/>
              <w:rPr>
                <w:kern w:val="0"/>
                <w:szCs w:val="21"/>
              </w:rPr>
            </w:pPr>
            <w:r>
              <w:rPr>
                <w:kern w:val="0"/>
                <w:szCs w:val="21"/>
              </w:rPr>
              <w:t>其他</w:t>
            </w:r>
          </w:p>
        </w:tc>
        <w:tc>
          <w:tcPr>
            <w:tcW w:w="1175" w:type="dxa"/>
            <w:vAlign w:val="center"/>
          </w:tcPr>
          <w:p w14:paraId="56E99092">
            <w:pPr>
              <w:jc w:val="center"/>
              <w:rPr>
                <w:szCs w:val="21"/>
              </w:rPr>
            </w:pPr>
            <w:r>
              <w:rPr>
                <w:szCs w:val="21"/>
              </w:rPr>
              <w:t>3.8</w:t>
            </w:r>
          </w:p>
        </w:tc>
        <w:tc>
          <w:tcPr>
            <w:tcW w:w="1317" w:type="dxa"/>
            <w:vAlign w:val="center"/>
          </w:tcPr>
          <w:p w14:paraId="39892BFA">
            <w:pPr>
              <w:jc w:val="center"/>
              <w:rPr>
                <w:szCs w:val="21"/>
              </w:rPr>
            </w:pPr>
            <w:r>
              <w:rPr>
                <w:szCs w:val="21"/>
              </w:rPr>
              <w:t>2.0</w:t>
            </w:r>
          </w:p>
        </w:tc>
        <w:tc>
          <w:tcPr>
            <w:tcW w:w="846" w:type="dxa"/>
            <w:vAlign w:val="center"/>
          </w:tcPr>
          <w:p w14:paraId="287FB8F4">
            <w:pPr>
              <w:jc w:val="center"/>
              <w:rPr>
                <w:szCs w:val="21"/>
              </w:rPr>
            </w:pPr>
            <w:r>
              <w:rPr>
                <w:szCs w:val="21"/>
              </w:rPr>
              <w:t>0.7</w:t>
            </w:r>
          </w:p>
        </w:tc>
        <w:tc>
          <w:tcPr>
            <w:tcW w:w="1199" w:type="dxa"/>
            <w:vAlign w:val="center"/>
          </w:tcPr>
          <w:p w14:paraId="28B9C844">
            <w:pPr>
              <w:jc w:val="center"/>
              <w:rPr>
                <w:szCs w:val="21"/>
              </w:rPr>
            </w:pPr>
            <w:r>
              <w:rPr>
                <w:szCs w:val="21"/>
              </w:rPr>
              <w:t>6.8</w:t>
            </w:r>
          </w:p>
        </w:tc>
        <w:tc>
          <w:tcPr>
            <w:tcW w:w="846" w:type="dxa"/>
            <w:vAlign w:val="center"/>
          </w:tcPr>
          <w:p w14:paraId="1FE40BF1">
            <w:pPr>
              <w:jc w:val="center"/>
              <w:rPr>
                <w:szCs w:val="21"/>
              </w:rPr>
            </w:pPr>
            <w:r>
              <w:rPr>
                <w:szCs w:val="21"/>
              </w:rPr>
              <w:t>2.7</w:t>
            </w:r>
          </w:p>
        </w:tc>
        <w:tc>
          <w:tcPr>
            <w:tcW w:w="932" w:type="dxa"/>
            <w:vAlign w:val="center"/>
          </w:tcPr>
          <w:p w14:paraId="5ECA34AB">
            <w:pPr>
              <w:jc w:val="center"/>
              <w:rPr>
                <w:szCs w:val="21"/>
              </w:rPr>
            </w:pPr>
            <w:r>
              <w:rPr>
                <w:szCs w:val="21"/>
              </w:rPr>
              <w:t>7</w:t>
            </w:r>
          </w:p>
        </w:tc>
        <w:tc>
          <w:tcPr>
            <w:tcW w:w="846" w:type="dxa"/>
            <w:vAlign w:val="center"/>
          </w:tcPr>
          <w:p w14:paraId="385689BC">
            <w:pPr>
              <w:jc w:val="center"/>
              <w:rPr>
                <w:szCs w:val="21"/>
              </w:rPr>
            </w:pPr>
            <w:r>
              <w:rPr>
                <w:szCs w:val="21"/>
              </w:rPr>
              <w:t>9</w:t>
            </w:r>
          </w:p>
        </w:tc>
      </w:tr>
    </w:tbl>
    <w:p w14:paraId="040B53C5">
      <w:pPr>
        <w:spacing w:line="360" w:lineRule="auto"/>
        <w:ind w:firstLine="480"/>
        <w:rPr>
          <w:rFonts w:eastAsiaTheme="minorEastAsia"/>
          <w:color w:val="000000"/>
          <w:sz w:val="24"/>
        </w:rPr>
      </w:pPr>
      <w:r>
        <w:rPr>
          <w:rFonts w:eastAsiaTheme="minorEastAsia"/>
          <w:color w:val="000000"/>
          <w:sz w:val="24"/>
        </w:rPr>
        <w:t>（2）</w:t>
      </w:r>
      <w:r>
        <w:rPr>
          <w:color w:val="000000"/>
          <w:sz w:val="24"/>
        </w:rPr>
        <w:t>临时设施费:包括按照规定拨付给施工企业的临时设施包干费，以及企业自行施工发生的临时设施实际支出</w:t>
      </w:r>
      <w:r>
        <w:rPr>
          <w:rFonts w:eastAsiaTheme="minorEastAsia"/>
          <w:color w:val="000000"/>
          <w:sz w:val="24"/>
        </w:rPr>
        <w:t>。</w:t>
      </w:r>
    </w:p>
    <w:p w14:paraId="105988B4">
      <w:pPr>
        <w:spacing w:line="360" w:lineRule="auto"/>
        <w:ind w:firstLine="480"/>
        <w:rPr>
          <w:color w:val="000000"/>
          <w:sz w:val="24"/>
        </w:rPr>
      </w:pPr>
      <w:r>
        <w:rPr>
          <w:color w:val="000000"/>
          <w:sz w:val="24"/>
        </w:rPr>
        <w:t>（3）矿山地质环境监测工程费</w:t>
      </w:r>
    </w:p>
    <w:p w14:paraId="5E3DEDF1">
      <w:pPr>
        <w:spacing w:line="360" w:lineRule="auto"/>
        <w:ind w:firstLine="480"/>
        <w:rPr>
          <w:color w:val="000000"/>
          <w:sz w:val="24"/>
        </w:rPr>
      </w:pPr>
      <w:r>
        <w:rPr>
          <w:color w:val="000000"/>
          <w:sz w:val="24"/>
        </w:rPr>
        <w:t>矿山地质环境监测工程费参照《四川省地质灾害治理工程概（预）算标准》治理工程预算定额。</w:t>
      </w:r>
    </w:p>
    <w:p w14:paraId="7BC35731">
      <w:pPr>
        <w:spacing w:line="360" w:lineRule="auto"/>
        <w:ind w:firstLine="480"/>
        <w:rPr>
          <w:rFonts w:eastAsiaTheme="minorEastAsia"/>
          <w:color w:val="000000"/>
          <w:sz w:val="24"/>
        </w:rPr>
      </w:pPr>
      <w:r>
        <w:rPr>
          <w:rFonts w:eastAsiaTheme="minorEastAsia"/>
          <w:color w:val="000000"/>
          <w:sz w:val="24"/>
        </w:rPr>
        <w:t>（4）独立费</w:t>
      </w:r>
    </w:p>
    <w:p w14:paraId="48ACCB5E">
      <w:pPr>
        <w:spacing w:line="360" w:lineRule="auto"/>
        <w:ind w:firstLine="480"/>
        <w:rPr>
          <w:rFonts w:eastAsiaTheme="minorEastAsia"/>
          <w:color w:val="000000"/>
          <w:sz w:val="24"/>
        </w:rPr>
      </w:pPr>
      <w:r>
        <w:rPr>
          <w:rFonts w:eastAsiaTheme="minorEastAsia"/>
          <w:color w:val="000000"/>
          <w:sz w:val="24"/>
        </w:rPr>
        <w:t>独立费由建设管理费、科研勘察设计费、建设及施工场地征用费、环境保护及水土保持费和其它构成。</w:t>
      </w:r>
    </w:p>
    <w:p w14:paraId="783420BE">
      <w:pPr>
        <w:spacing w:line="360" w:lineRule="auto"/>
        <w:ind w:firstLine="480"/>
        <w:rPr>
          <w:rFonts w:eastAsiaTheme="minorEastAsia"/>
          <w:color w:val="000000"/>
          <w:sz w:val="24"/>
        </w:rPr>
      </w:pPr>
      <w:r>
        <w:rPr>
          <w:rFonts w:hint="eastAsia" w:ascii="宋体" w:hAnsi="宋体" w:cs="宋体"/>
          <w:color w:val="000000"/>
          <w:sz w:val="24"/>
        </w:rPr>
        <w:t>①</w:t>
      </w:r>
      <w:r>
        <w:rPr>
          <w:rFonts w:eastAsiaTheme="minorEastAsia"/>
          <w:color w:val="000000"/>
          <w:sz w:val="24"/>
        </w:rPr>
        <w:t>建设管理费</w:t>
      </w:r>
    </w:p>
    <w:p w14:paraId="7327F4E7">
      <w:pPr>
        <w:spacing w:line="360" w:lineRule="auto"/>
        <w:ind w:firstLine="480"/>
        <w:rPr>
          <w:rFonts w:eastAsiaTheme="minorEastAsia"/>
          <w:color w:val="000000"/>
          <w:sz w:val="24"/>
        </w:rPr>
      </w:pPr>
      <w:r>
        <w:rPr>
          <w:rFonts w:eastAsiaTheme="minorEastAsia"/>
          <w:color w:val="000000"/>
          <w:sz w:val="24"/>
        </w:rPr>
        <w:t>包括：项目建设管理费、造价咨询费、招标代理服务费、工程建设监理费等。</w:t>
      </w:r>
    </w:p>
    <w:p w14:paraId="2DF6FD2D">
      <w:pPr>
        <w:spacing w:line="360" w:lineRule="auto"/>
        <w:ind w:firstLine="480"/>
        <w:rPr>
          <w:rFonts w:eastAsiaTheme="minorEastAsia"/>
          <w:color w:val="000000"/>
          <w:sz w:val="24"/>
        </w:rPr>
      </w:pPr>
      <w:r>
        <w:rPr>
          <w:rFonts w:eastAsiaTheme="minorEastAsia"/>
          <w:color w:val="000000"/>
          <w:sz w:val="24"/>
        </w:rPr>
        <w:t>（a）项目建设管理费</w:t>
      </w:r>
    </w:p>
    <w:p w14:paraId="78C6DB4D">
      <w:pPr>
        <w:spacing w:line="360" w:lineRule="auto"/>
        <w:ind w:firstLine="480"/>
        <w:rPr>
          <w:rFonts w:eastAsiaTheme="minorEastAsia"/>
          <w:color w:val="000000"/>
          <w:sz w:val="24"/>
        </w:rPr>
      </w:pPr>
      <w:r>
        <w:rPr>
          <w:rFonts w:eastAsiaTheme="minorEastAsia"/>
          <w:color w:val="000000"/>
          <w:sz w:val="24"/>
        </w:rPr>
        <w:t>项目建设管理费包括建设单位管理费、工程验收费勘查、可行性研究、初步设计、施工图审查费。</w:t>
      </w:r>
    </w:p>
    <w:p w14:paraId="66122155">
      <w:pPr>
        <w:spacing w:line="360" w:lineRule="auto"/>
        <w:ind w:firstLine="480"/>
        <w:rPr>
          <w:rFonts w:eastAsiaTheme="minorEastAsia"/>
          <w:color w:val="000000"/>
          <w:sz w:val="24"/>
        </w:rPr>
      </w:pPr>
      <w:r>
        <w:rPr>
          <w:rFonts w:eastAsiaTheme="minorEastAsia"/>
          <w:color w:val="000000"/>
          <w:sz w:val="24"/>
        </w:rPr>
        <w:t>以建安费作为计费基数，采用差额定律累进法计算。</w:t>
      </w:r>
    </w:p>
    <w:p w14:paraId="78589296">
      <w:pPr>
        <w:spacing w:line="360" w:lineRule="auto"/>
        <w:ind w:firstLine="480"/>
        <w:rPr>
          <w:rFonts w:eastAsiaTheme="minorEastAsia"/>
          <w:color w:val="000000"/>
          <w:sz w:val="24"/>
        </w:rPr>
      </w:pPr>
      <w:r>
        <w:rPr>
          <w:rFonts w:eastAsiaTheme="minorEastAsia"/>
          <w:color w:val="000000"/>
          <w:sz w:val="24"/>
        </w:rPr>
        <w:t>（b）造价咨询费</w:t>
      </w:r>
    </w:p>
    <w:p w14:paraId="64A19102">
      <w:pPr>
        <w:spacing w:line="360" w:lineRule="auto"/>
        <w:ind w:firstLine="480"/>
        <w:rPr>
          <w:rFonts w:eastAsiaTheme="minorEastAsia"/>
          <w:color w:val="000000"/>
          <w:sz w:val="24"/>
        </w:rPr>
      </w:pPr>
      <w:r>
        <w:rPr>
          <w:rFonts w:eastAsiaTheme="minorEastAsia"/>
          <w:color w:val="000000"/>
          <w:sz w:val="24"/>
        </w:rPr>
        <w:t>以建安费作为计费基数，采用差额定律累进法计算。</w:t>
      </w:r>
    </w:p>
    <w:p w14:paraId="66A26838">
      <w:pPr>
        <w:spacing w:line="360" w:lineRule="auto"/>
        <w:ind w:firstLine="480"/>
        <w:rPr>
          <w:rFonts w:eastAsiaTheme="minorEastAsia"/>
          <w:color w:val="000000"/>
          <w:sz w:val="24"/>
        </w:rPr>
      </w:pPr>
      <w:r>
        <w:rPr>
          <w:rFonts w:eastAsiaTheme="minorEastAsia"/>
          <w:color w:val="000000"/>
          <w:sz w:val="24"/>
        </w:rPr>
        <w:t>（c）招标代理服务费</w:t>
      </w:r>
    </w:p>
    <w:p w14:paraId="4B5C747B">
      <w:pPr>
        <w:spacing w:line="360" w:lineRule="auto"/>
        <w:ind w:firstLine="480"/>
        <w:rPr>
          <w:rFonts w:eastAsiaTheme="minorEastAsia"/>
          <w:color w:val="000000"/>
          <w:sz w:val="24"/>
        </w:rPr>
      </w:pPr>
      <w:r>
        <w:rPr>
          <w:rFonts w:eastAsiaTheme="minorEastAsia"/>
          <w:color w:val="000000"/>
          <w:sz w:val="24"/>
        </w:rPr>
        <w:t>以建安费作为计费基数，采用差额定律累进法计算。</w:t>
      </w:r>
    </w:p>
    <w:p w14:paraId="1D011849">
      <w:pPr>
        <w:spacing w:line="360" w:lineRule="auto"/>
        <w:ind w:firstLine="480"/>
        <w:rPr>
          <w:rFonts w:eastAsiaTheme="minorEastAsia"/>
          <w:color w:val="000000"/>
          <w:sz w:val="24"/>
        </w:rPr>
      </w:pPr>
      <w:r>
        <w:rPr>
          <w:rFonts w:eastAsiaTheme="minorEastAsia"/>
          <w:color w:val="000000"/>
          <w:sz w:val="24"/>
        </w:rPr>
        <w:t>（d）工程建设监理费</w:t>
      </w:r>
    </w:p>
    <w:p w14:paraId="7513EF85">
      <w:pPr>
        <w:spacing w:line="360" w:lineRule="auto"/>
        <w:ind w:firstLine="480"/>
        <w:rPr>
          <w:rFonts w:eastAsiaTheme="minorEastAsia"/>
          <w:color w:val="000000"/>
          <w:sz w:val="24"/>
        </w:rPr>
      </w:pPr>
      <w:r>
        <w:rPr>
          <w:rFonts w:eastAsiaTheme="minorEastAsia"/>
          <w:color w:val="000000"/>
          <w:sz w:val="24"/>
        </w:rPr>
        <w:t>以建安费作为计费基数，采用差额定律累进法计算。</w:t>
      </w:r>
    </w:p>
    <w:p w14:paraId="7941823E">
      <w:pPr>
        <w:spacing w:line="360" w:lineRule="auto"/>
        <w:ind w:firstLine="480"/>
        <w:rPr>
          <w:rFonts w:eastAsiaTheme="minorEastAsia"/>
          <w:color w:val="000000"/>
          <w:sz w:val="24"/>
        </w:rPr>
      </w:pPr>
      <w:r>
        <w:rPr>
          <w:rFonts w:hint="eastAsia" w:ascii="宋体" w:hAnsi="宋体" w:cs="宋体"/>
          <w:color w:val="000000"/>
          <w:sz w:val="24"/>
        </w:rPr>
        <w:t>②</w:t>
      </w:r>
      <w:r>
        <w:rPr>
          <w:rFonts w:eastAsiaTheme="minorEastAsia"/>
          <w:color w:val="000000"/>
          <w:sz w:val="24"/>
        </w:rPr>
        <w:t>科研勘查设计费</w:t>
      </w:r>
    </w:p>
    <w:p w14:paraId="18EC2C7E">
      <w:pPr>
        <w:spacing w:line="360" w:lineRule="auto"/>
        <w:ind w:firstLine="480"/>
        <w:rPr>
          <w:rFonts w:eastAsiaTheme="minorEastAsia"/>
          <w:color w:val="000000"/>
          <w:sz w:val="24"/>
        </w:rPr>
      </w:pPr>
      <w:r>
        <w:rPr>
          <w:rFonts w:eastAsiaTheme="minorEastAsia"/>
          <w:color w:val="000000"/>
          <w:sz w:val="24"/>
        </w:rPr>
        <w:t>科研勘查设计费包括工程科学研究试验费和工程勘查设计费，以建安费作为计费基数，采用差额定律累进法计算。</w:t>
      </w:r>
    </w:p>
    <w:p w14:paraId="40D28E4B">
      <w:pPr>
        <w:spacing w:line="360" w:lineRule="auto"/>
        <w:ind w:firstLine="480"/>
        <w:rPr>
          <w:rFonts w:eastAsiaTheme="minorEastAsia"/>
          <w:color w:val="000000"/>
          <w:sz w:val="24"/>
        </w:rPr>
      </w:pPr>
      <w:r>
        <w:rPr>
          <w:rFonts w:hint="eastAsia" w:ascii="宋体" w:hAnsi="宋体" w:cs="宋体"/>
          <w:color w:val="000000"/>
          <w:sz w:val="24"/>
        </w:rPr>
        <w:t>③</w:t>
      </w:r>
      <w:r>
        <w:rPr>
          <w:rFonts w:eastAsiaTheme="minorEastAsia"/>
          <w:color w:val="000000"/>
          <w:sz w:val="24"/>
        </w:rPr>
        <w:t>建设及施工场地征用费</w:t>
      </w:r>
    </w:p>
    <w:p w14:paraId="2AF9D9D3">
      <w:pPr>
        <w:spacing w:line="360" w:lineRule="auto"/>
        <w:ind w:firstLine="480"/>
        <w:rPr>
          <w:rFonts w:eastAsiaTheme="minorEastAsia"/>
          <w:color w:val="000000"/>
          <w:sz w:val="24"/>
        </w:rPr>
      </w:pPr>
      <w:r>
        <w:rPr>
          <w:rFonts w:eastAsiaTheme="minorEastAsia"/>
          <w:color w:val="000000"/>
          <w:sz w:val="24"/>
        </w:rPr>
        <w:t>项目区在土地复垦责任范围内，不涉及施工场地征地费。</w:t>
      </w:r>
    </w:p>
    <w:p w14:paraId="6F95AF12">
      <w:pPr>
        <w:spacing w:line="360" w:lineRule="auto"/>
        <w:ind w:firstLine="480"/>
        <w:rPr>
          <w:rFonts w:eastAsiaTheme="minorEastAsia"/>
          <w:color w:val="000000"/>
          <w:sz w:val="24"/>
        </w:rPr>
      </w:pPr>
      <w:r>
        <w:rPr>
          <w:rFonts w:hint="eastAsia" w:ascii="宋体" w:hAnsi="宋体" w:cs="宋体"/>
          <w:color w:val="000000"/>
          <w:sz w:val="24"/>
        </w:rPr>
        <w:t>④</w:t>
      </w:r>
      <w:r>
        <w:rPr>
          <w:rFonts w:eastAsiaTheme="minorEastAsia"/>
          <w:color w:val="000000"/>
          <w:sz w:val="24"/>
        </w:rPr>
        <w:t>环境保护及水土保持费</w:t>
      </w:r>
    </w:p>
    <w:p w14:paraId="37082FF0">
      <w:pPr>
        <w:spacing w:line="360" w:lineRule="auto"/>
        <w:ind w:firstLine="480"/>
        <w:rPr>
          <w:rFonts w:eastAsiaTheme="minorEastAsia"/>
          <w:color w:val="000000"/>
          <w:sz w:val="24"/>
        </w:rPr>
      </w:pPr>
      <w:r>
        <w:rPr>
          <w:rFonts w:eastAsiaTheme="minorEastAsia"/>
          <w:color w:val="000000"/>
          <w:sz w:val="24"/>
        </w:rPr>
        <w:t>环境保护及水土保持费=建安费合计×环境保护及水土保持费率，环境保护及水土保持费率取1%。</w:t>
      </w:r>
    </w:p>
    <w:p w14:paraId="283465BC">
      <w:pPr>
        <w:spacing w:line="360" w:lineRule="auto"/>
        <w:ind w:firstLine="480"/>
        <w:rPr>
          <w:rFonts w:eastAsiaTheme="minorEastAsia"/>
          <w:color w:val="000000"/>
          <w:sz w:val="24"/>
        </w:rPr>
      </w:pPr>
      <w:r>
        <w:rPr>
          <w:rFonts w:hint="eastAsia" w:ascii="宋体" w:hAnsi="宋体" w:cs="宋体"/>
          <w:color w:val="000000"/>
          <w:sz w:val="24"/>
        </w:rPr>
        <w:t>⑤</w:t>
      </w:r>
      <w:r>
        <w:rPr>
          <w:rFonts w:eastAsiaTheme="minorEastAsia"/>
          <w:color w:val="000000"/>
          <w:sz w:val="24"/>
        </w:rPr>
        <w:t>其他费用</w:t>
      </w:r>
    </w:p>
    <w:p w14:paraId="2794143F">
      <w:pPr>
        <w:spacing w:line="360" w:lineRule="auto"/>
        <w:ind w:firstLine="480"/>
        <w:rPr>
          <w:rFonts w:eastAsiaTheme="minorEastAsia"/>
          <w:color w:val="000000"/>
          <w:sz w:val="24"/>
        </w:rPr>
      </w:pPr>
      <w:r>
        <w:rPr>
          <w:rFonts w:eastAsiaTheme="minorEastAsia"/>
          <w:color w:val="000000"/>
          <w:sz w:val="24"/>
        </w:rPr>
        <w:t>其他费用包括工程保险费和工程质量检测费。</w:t>
      </w:r>
    </w:p>
    <w:p w14:paraId="197D3744">
      <w:pPr>
        <w:spacing w:line="360" w:lineRule="auto"/>
        <w:ind w:firstLine="480"/>
        <w:rPr>
          <w:rFonts w:eastAsiaTheme="minorEastAsia"/>
          <w:color w:val="000000"/>
          <w:sz w:val="24"/>
        </w:rPr>
      </w:pPr>
      <w:r>
        <w:rPr>
          <w:rFonts w:eastAsiaTheme="minorEastAsia"/>
          <w:color w:val="000000"/>
          <w:sz w:val="24"/>
        </w:rPr>
        <w:t>工程保险费=建安费合计×工程保险费费率，工程保险费费率取0.45%。</w:t>
      </w:r>
    </w:p>
    <w:p w14:paraId="40EB05B8">
      <w:pPr>
        <w:spacing w:line="360" w:lineRule="auto"/>
        <w:ind w:firstLine="480"/>
        <w:rPr>
          <w:rFonts w:eastAsiaTheme="minorEastAsia"/>
          <w:color w:val="000000"/>
          <w:sz w:val="24"/>
        </w:rPr>
      </w:pPr>
      <w:r>
        <w:rPr>
          <w:rFonts w:eastAsiaTheme="minorEastAsia"/>
          <w:color w:val="000000"/>
          <w:sz w:val="24"/>
        </w:rPr>
        <w:t>工程质量检测费=建安费合计×工程质量检测费费率，工程质量检测费费率取0.08%。</w:t>
      </w:r>
    </w:p>
    <w:p w14:paraId="15602706">
      <w:pPr>
        <w:spacing w:line="360" w:lineRule="auto"/>
        <w:ind w:firstLine="480"/>
        <w:rPr>
          <w:color w:val="000000"/>
          <w:sz w:val="24"/>
        </w:rPr>
      </w:pPr>
      <w:r>
        <w:rPr>
          <w:color w:val="000000"/>
          <w:sz w:val="24"/>
        </w:rPr>
        <w:t>（5）预备费</w:t>
      </w:r>
    </w:p>
    <w:p w14:paraId="442B2781">
      <w:pPr>
        <w:spacing w:line="360" w:lineRule="auto"/>
        <w:ind w:firstLine="480"/>
        <w:rPr>
          <w:color w:val="000000"/>
          <w:sz w:val="24"/>
        </w:rPr>
      </w:pPr>
      <w:r>
        <w:rPr>
          <w:rFonts w:hint="eastAsia" w:ascii="宋体" w:hAnsi="宋体" w:cs="宋体"/>
          <w:color w:val="000000"/>
          <w:sz w:val="24"/>
        </w:rPr>
        <w:t>①</w:t>
      </w:r>
      <w:r>
        <w:rPr>
          <w:color w:val="000000"/>
          <w:sz w:val="24"/>
        </w:rPr>
        <w:t>基本预备费</w:t>
      </w:r>
    </w:p>
    <w:p w14:paraId="10531DB7">
      <w:pPr>
        <w:spacing w:line="360" w:lineRule="auto"/>
        <w:ind w:firstLine="480"/>
        <w:rPr>
          <w:color w:val="000000"/>
          <w:sz w:val="24"/>
        </w:rPr>
      </w:pPr>
      <w:r>
        <w:rPr>
          <w:color w:val="000000"/>
          <w:sz w:val="24"/>
        </w:rPr>
        <w:t>计算方法：根据工程规模、施工年限和地质条件等不同情况，按工程一至五部分投资合计(依据分年度投资表)的百分率计算。初步设计阶段为5.0%~8.0%。</w:t>
      </w:r>
    </w:p>
    <w:p w14:paraId="769181B3">
      <w:pPr>
        <w:pStyle w:val="5"/>
        <w:spacing w:beforeLines="50" w:afterLines="50" w:line="360" w:lineRule="auto"/>
        <w:rPr>
          <w:rFonts w:eastAsiaTheme="minorEastAsia"/>
          <w:b w:val="0"/>
          <w:sz w:val="28"/>
          <w:szCs w:val="28"/>
        </w:rPr>
      </w:pPr>
      <w:bookmarkStart w:id="239" w:name="_Toc43851705"/>
      <w:bookmarkStart w:id="240" w:name="_Toc508315971"/>
      <w:r>
        <w:rPr>
          <w:rFonts w:eastAsiaTheme="minorEastAsia"/>
          <w:b w:val="0"/>
          <w:sz w:val="28"/>
          <w:szCs w:val="28"/>
        </w:rPr>
        <w:t>（二）土地复垦估算</w:t>
      </w:r>
      <w:bookmarkEnd w:id="239"/>
      <w:bookmarkEnd w:id="240"/>
    </w:p>
    <w:p w14:paraId="0768E253">
      <w:pPr>
        <w:spacing w:line="360" w:lineRule="auto"/>
        <w:ind w:firstLine="480"/>
        <w:rPr>
          <w:rFonts w:eastAsiaTheme="minorEastAsia"/>
          <w:color w:val="000000"/>
          <w:sz w:val="24"/>
        </w:rPr>
      </w:pPr>
      <w:r>
        <w:rPr>
          <w:rFonts w:eastAsiaTheme="minorEastAsia"/>
          <w:color w:val="000000"/>
          <w:sz w:val="24"/>
        </w:rPr>
        <w:t>1、编制依据</w:t>
      </w:r>
    </w:p>
    <w:p w14:paraId="62ADBC8C">
      <w:pPr>
        <w:spacing w:line="360" w:lineRule="auto"/>
        <w:ind w:firstLine="480"/>
        <w:rPr>
          <w:rFonts w:eastAsiaTheme="minorEastAsia"/>
          <w:color w:val="000000"/>
          <w:sz w:val="24"/>
        </w:rPr>
      </w:pPr>
      <w:r>
        <w:rPr>
          <w:rFonts w:eastAsiaTheme="minorEastAsia"/>
          <w:color w:val="000000"/>
          <w:sz w:val="24"/>
        </w:rPr>
        <w:t>1）《财政部国土资源部关于印发土地开发整理项目预算定额标准的通知》（财综[2011]128号）；</w:t>
      </w:r>
    </w:p>
    <w:p w14:paraId="21D14634">
      <w:pPr>
        <w:spacing w:line="360" w:lineRule="auto"/>
        <w:ind w:firstLine="480"/>
        <w:rPr>
          <w:rFonts w:eastAsiaTheme="minorEastAsia"/>
          <w:color w:val="000000"/>
          <w:sz w:val="24"/>
        </w:rPr>
      </w:pPr>
      <w:r>
        <w:rPr>
          <w:rFonts w:eastAsiaTheme="minorEastAsia"/>
          <w:color w:val="000000"/>
          <w:sz w:val="24"/>
        </w:rPr>
        <w:t>2）《土地开发整理项目预算定额标准》（财综[2011]128号）；</w:t>
      </w:r>
    </w:p>
    <w:p w14:paraId="6CA3A69B">
      <w:pPr>
        <w:spacing w:line="360" w:lineRule="auto"/>
        <w:ind w:firstLine="480"/>
        <w:rPr>
          <w:rFonts w:eastAsiaTheme="minorEastAsia"/>
          <w:color w:val="000000"/>
          <w:sz w:val="24"/>
        </w:rPr>
      </w:pPr>
      <w:r>
        <w:rPr>
          <w:rFonts w:eastAsiaTheme="minorEastAsia"/>
          <w:color w:val="000000"/>
          <w:sz w:val="24"/>
        </w:rPr>
        <w:t>3）《土地开发整理项目预算编制规定》（财综[2011]128号）；</w:t>
      </w:r>
    </w:p>
    <w:p w14:paraId="54CC6A67">
      <w:pPr>
        <w:spacing w:line="360" w:lineRule="auto"/>
        <w:ind w:firstLine="480"/>
        <w:rPr>
          <w:rFonts w:eastAsiaTheme="minorEastAsia"/>
          <w:color w:val="000000"/>
          <w:sz w:val="24"/>
        </w:rPr>
      </w:pPr>
      <w:r>
        <w:rPr>
          <w:rFonts w:eastAsiaTheme="minorEastAsia"/>
          <w:color w:val="000000"/>
          <w:sz w:val="24"/>
        </w:rPr>
        <w:t>4）土地开发整理项目施工机械台班费定额》（财综[2011]128号）；</w:t>
      </w:r>
    </w:p>
    <w:p w14:paraId="7E0FC98B">
      <w:pPr>
        <w:spacing w:line="360" w:lineRule="auto"/>
        <w:ind w:firstLine="480"/>
        <w:rPr>
          <w:rFonts w:eastAsiaTheme="minorEastAsia"/>
          <w:color w:val="000000"/>
          <w:sz w:val="24"/>
        </w:rPr>
      </w:pPr>
      <w:r>
        <w:rPr>
          <w:rFonts w:eastAsiaTheme="minorEastAsia"/>
          <w:color w:val="000000"/>
          <w:sz w:val="24"/>
        </w:rPr>
        <w:t>5）国土资源部办公厅关于印发土地整治工程营业税改增值税计价依据调整</w:t>
      </w:r>
      <w:r>
        <w:rPr>
          <w:rFonts w:eastAsiaTheme="minorEastAsia"/>
          <w:color w:val="000000"/>
          <w:sz w:val="24"/>
        </w:rPr>
        <w:br w:type="textWrapping"/>
      </w:r>
      <w:r>
        <w:rPr>
          <w:rFonts w:eastAsiaTheme="minorEastAsia"/>
          <w:color w:val="000000"/>
          <w:sz w:val="24"/>
        </w:rPr>
        <w:t>过渡实施方案的通知（国土资厅发[2017]19号）；</w:t>
      </w:r>
    </w:p>
    <w:p w14:paraId="3F719686">
      <w:pPr>
        <w:spacing w:line="360" w:lineRule="auto"/>
        <w:ind w:firstLine="480"/>
        <w:rPr>
          <w:rFonts w:eastAsiaTheme="minorEastAsia"/>
          <w:color w:val="000000"/>
          <w:sz w:val="24"/>
        </w:rPr>
      </w:pPr>
      <w:bookmarkStart w:id="241" w:name="OLE_LINK186"/>
      <w:r>
        <w:rPr>
          <w:rFonts w:eastAsiaTheme="minorEastAsia"/>
          <w:color w:val="000000"/>
          <w:sz w:val="24"/>
        </w:rPr>
        <w:t>6）</w:t>
      </w:r>
      <w:bookmarkStart w:id="242" w:name="OLE_LINK200"/>
      <w:bookmarkStart w:id="243" w:name="OLE_LINK199"/>
      <w:r>
        <w:rPr>
          <w:rFonts w:eastAsiaTheme="minorEastAsia"/>
          <w:color w:val="000000"/>
          <w:sz w:val="24"/>
        </w:rPr>
        <w:t>四川省财政厅四川省国土资源厅《关于印发&lt;四川省土地开发整理项目预算定额标准&gt;的通知》（川财投[2012]139号）</w:t>
      </w:r>
      <w:bookmarkEnd w:id="242"/>
      <w:bookmarkEnd w:id="243"/>
      <w:r>
        <w:rPr>
          <w:rFonts w:eastAsiaTheme="minorEastAsia"/>
          <w:color w:val="000000"/>
          <w:sz w:val="24"/>
        </w:rPr>
        <w:t>；</w:t>
      </w:r>
    </w:p>
    <w:p w14:paraId="05013E62">
      <w:pPr>
        <w:spacing w:line="360" w:lineRule="auto"/>
        <w:ind w:firstLine="480"/>
        <w:rPr>
          <w:rFonts w:eastAsiaTheme="minorEastAsia"/>
          <w:color w:val="000000"/>
          <w:sz w:val="24"/>
        </w:rPr>
      </w:pPr>
      <w:r>
        <w:rPr>
          <w:rFonts w:eastAsiaTheme="minorEastAsia"/>
          <w:color w:val="000000"/>
          <w:sz w:val="24"/>
        </w:rPr>
        <w:t>7）</w:t>
      </w:r>
      <w:bookmarkStart w:id="244" w:name="OLE_LINK202"/>
      <w:bookmarkStart w:id="245" w:name="OLE_LINK201"/>
      <w:r>
        <w:rPr>
          <w:rFonts w:eastAsiaTheme="minorEastAsia"/>
          <w:color w:val="000000"/>
          <w:sz w:val="24"/>
        </w:rPr>
        <w:t>《四川省土地开发整理项目预算定额标准》（四川省财政厅、四川省国土资源厅，2012年）</w:t>
      </w:r>
      <w:bookmarkEnd w:id="244"/>
      <w:bookmarkEnd w:id="245"/>
      <w:r>
        <w:rPr>
          <w:rFonts w:eastAsiaTheme="minorEastAsia"/>
          <w:color w:val="000000"/>
          <w:sz w:val="24"/>
        </w:rPr>
        <w:t>；</w:t>
      </w:r>
    </w:p>
    <w:p w14:paraId="450CB234">
      <w:pPr>
        <w:spacing w:line="360" w:lineRule="auto"/>
        <w:ind w:firstLine="480"/>
        <w:rPr>
          <w:rFonts w:eastAsiaTheme="minorEastAsia"/>
          <w:color w:val="000000"/>
          <w:sz w:val="24"/>
        </w:rPr>
      </w:pPr>
      <w:r>
        <w:rPr>
          <w:rFonts w:eastAsiaTheme="minorEastAsia"/>
          <w:color w:val="000000"/>
          <w:sz w:val="24"/>
        </w:rPr>
        <w:t>8）</w:t>
      </w:r>
      <w:bookmarkStart w:id="246" w:name="OLE_LINK203"/>
      <w:r>
        <w:rPr>
          <w:rFonts w:eastAsiaTheme="minorEastAsia"/>
          <w:color w:val="000000"/>
          <w:sz w:val="24"/>
        </w:rPr>
        <w:t>《土地开发整理项目预算编制规定》（四川省财政厅、四川省国土资源厅，2012年）</w:t>
      </w:r>
      <w:bookmarkEnd w:id="246"/>
      <w:r>
        <w:rPr>
          <w:rFonts w:eastAsiaTheme="minorEastAsia"/>
          <w:color w:val="000000"/>
          <w:sz w:val="24"/>
        </w:rPr>
        <w:t>；</w:t>
      </w:r>
    </w:p>
    <w:p w14:paraId="6267A807">
      <w:pPr>
        <w:spacing w:line="360" w:lineRule="auto"/>
        <w:ind w:firstLine="480"/>
        <w:rPr>
          <w:rFonts w:eastAsiaTheme="minorEastAsia"/>
          <w:color w:val="000000"/>
          <w:sz w:val="24"/>
        </w:rPr>
      </w:pPr>
      <w:r>
        <w:rPr>
          <w:rFonts w:eastAsiaTheme="minorEastAsia"/>
          <w:color w:val="000000"/>
          <w:sz w:val="24"/>
        </w:rPr>
        <w:t>9）</w:t>
      </w:r>
      <w:bookmarkStart w:id="247" w:name="OLE_LINK207"/>
      <w:r>
        <w:rPr>
          <w:rFonts w:eastAsiaTheme="minorEastAsia"/>
          <w:color w:val="000000"/>
          <w:sz w:val="24"/>
        </w:rPr>
        <w:t>《四川省财政厅、四川省地方税务局关于调整地方教育附加征收政策的通知》（川财综[2011]46号）</w:t>
      </w:r>
      <w:bookmarkEnd w:id="247"/>
      <w:r>
        <w:rPr>
          <w:rFonts w:eastAsiaTheme="minorEastAsia"/>
          <w:color w:val="000000"/>
          <w:sz w:val="24"/>
        </w:rPr>
        <w:t>；</w:t>
      </w:r>
    </w:p>
    <w:p w14:paraId="4AE68F7E">
      <w:pPr>
        <w:spacing w:line="360" w:lineRule="auto"/>
        <w:ind w:firstLine="480"/>
        <w:rPr>
          <w:rFonts w:eastAsiaTheme="minorEastAsia"/>
          <w:color w:val="000000"/>
          <w:sz w:val="24"/>
        </w:rPr>
      </w:pPr>
      <w:r>
        <w:rPr>
          <w:rFonts w:eastAsiaTheme="minorEastAsia"/>
          <w:color w:val="000000"/>
          <w:sz w:val="24"/>
        </w:rPr>
        <w:t>10）关于营业税改增值税后四川省土地开发整理项目预算定额计价规则调整办法》的通知（川国土资发[2017]42号）；</w:t>
      </w:r>
    </w:p>
    <w:p w14:paraId="382D1463">
      <w:pPr>
        <w:spacing w:line="360" w:lineRule="auto"/>
        <w:ind w:firstLine="480"/>
        <w:rPr>
          <w:rFonts w:eastAsiaTheme="minorEastAsia"/>
          <w:color w:val="000000"/>
          <w:sz w:val="24"/>
        </w:rPr>
      </w:pPr>
      <w:r>
        <w:rPr>
          <w:rFonts w:eastAsiaTheme="minorEastAsia"/>
          <w:color w:val="000000"/>
          <w:sz w:val="24"/>
        </w:rPr>
        <w:t>11）</w:t>
      </w:r>
      <w:bookmarkStart w:id="248" w:name="OLE_LINK208"/>
      <w:r>
        <w:rPr>
          <w:rFonts w:eastAsiaTheme="minorEastAsia"/>
          <w:color w:val="000000"/>
          <w:sz w:val="24"/>
        </w:rPr>
        <w:t>《土地复垦方案编制规程》（TD/T1031-2011）</w:t>
      </w:r>
      <w:bookmarkEnd w:id="248"/>
      <w:r>
        <w:rPr>
          <w:rFonts w:eastAsiaTheme="minorEastAsia"/>
          <w:color w:val="000000"/>
          <w:sz w:val="24"/>
        </w:rPr>
        <w:t>；</w:t>
      </w:r>
    </w:p>
    <w:p w14:paraId="27948F8A">
      <w:pPr>
        <w:spacing w:line="360" w:lineRule="auto"/>
        <w:ind w:firstLine="480"/>
        <w:rPr>
          <w:rFonts w:eastAsiaTheme="minorEastAsia"/>
          <w:color w:val="000000"/>
          <w:sz w:val="24"/>
        </w:rPr>
      </w:pPr>
      <w:r>
        <w:rPr>
          <w:rFonts w:eastAsiaTheme="minorEastAsia"/>
          <w:color w:val="000000"/>
          <w:sz w:val="24"/>
        </w:rPr>
        <w:t>12）</w:t>
      </w:r>
      <w:bookmarkStart w:id="249" w:name="OLE_LINK209"/>
      <w:r>
        <w:rPr>
          <w:rFonts w:eastAsiaTheme="minorEastAsia"/>
          <w:color w:val="000000"/>
          <w:sz w:val="24"/>
        </w:rPr>
        <w:t>项目规划工程量及相关图纸、资料</w:t>
      </w:r>
      <w:bookmarkEnd w:id="249"/>
      <w:r>
        <w:rPr>
          <w:rFonts w:eastAsiaTheme="minorEastAsia"/>
          <w:color w:val="000000"/>
          <w:sz w:val="24"/>
        </w:rPr>
        <w:t>；</w:t>
      </w:r>
    </w:p>
    <w:p w14:paraId="704EB4E9">
      <w:pPr>
        <w:spacing w:line="360" w:lineRule="auto"/>
        <w:ind w:firstLine="480"/>
        <w:rPr>
          <w:rFonts w:eastAsiaTheme="minorEastAsia"/>
          <w:color w:val="000000"/>
          <w:sz w:val="24"/>
        </w:rPr>
      </w:pPr>
      <w:r>
        <w:rPr>
          <w:rFonts w:eastAsiaTheme="minorEastAsia"/>
          <w:color w:val="000000"/>
          <w:sz w:val="24"/>
        </w:rPr>
        <w:t>13）</w:t>
      </w:r>
      <w:bookmarkStart w:id="250" w:name="OLE_LINK210"/>
      <w:r>
        <w:rPr>
          <w:rFonts w:eastAsiaTheme="minorEastAsia"/>
          <w:color w:val="000000"/>
          <w:sz w:val="24"/>
        </w:rPr>
        <w:t>《四川造价信息网》（2020年4月广元市信息价）</w:t>
      </w:r>
      <w:bookmarkEnd w:id="250"/>
      <w:r>
        <w:rPr>
          <w:rFonts w:eastAsiaTheme="minorEastAsia"/>
          <w:color w:val="000000"/>
          <w:sz w:val="24"/>
        </w:rPr>
        <w:t>。</w:t>
      </w:r>
    </w:p>
    <w:bookmarkEnd w:id="241"/>
    <w:p w14:paraId="33A37B02">
      <w:pPr>
        <w:spacing w:line="360" w:lineRule="auto"/>
        <w:ind w:firstLine="480"/>
        <w:rPr>
          <w:rFonts w:eastAsiaTheme="minorEastAsia"/>
          <w:color w:val="000000"/>
          <w:sz w:val="24"/>
        </w:rPr>
      </w:pPr>
      <w:r>
        <w:rPr>
          <w:rFonts w:eastAsiaTheme="minorEastAsia"/>
          <w:color w:val="000000"/>
          <w:sz w:val="24"/>
        </w:rPr>
        <w:t>14）人工单价、部分材料价格通过市场调查获得。</w:t>
      </w:r>
    </w:p>
    <w:p w14:paraId="4FDFFE28">
      <w:pPr>
        <w:spacing w:line="360" w:lineRule="auto"/>
        <w:ind w:firstLine="480"/>
        <w:rPr>
          <w:rFonts w:eastAsiaTheme="minorEastAsia"/>
          <w:color w:val="000000"/>
          <w:sz w:val="24"/>
        </w:rPr>
      </w:pPr>
      <w:r>
        <w:rPr>
          <w:rFonts w:eastAsiaTheme="minorEastAsia"/>
          <w:color w:val="000000"/>
          <w:sz w:val="24"/>
        </w:rPr>
        <w:t>2、费用构成</w:t>
      </w:r>
    </w:p>
    <w:p w14:paraId="035A9C00">
      <w:pPr>
        <w:spacing w:line="360" w:lineRule="auto"/>
        <w:ind w:firstLine="480"/>
        <w:rPr>
          <w:rFonts w:eastAsiaTheme="minorEastAsia"/>
          <w:color w:val="000000"/>
          <w:sz w:val="24"/>
        </w:rPr>
      </w:pPr>
      <w:r>
        <w:rPr>
          <w:rFonts w:eastAsiaTheme="minorEastAsia"/>
          <w:color w:val="000000"/>
          <w:sz w:val="24"/>
        </w:rPr>
        <w:t>项目费用由工程施工费、设备购置费、其他费用（包括前期工作费、工程监理费、竣工验收费、业主管理费）、监测和管护费、预备费（包括基本预备费、价差预备费用、风险金）组成等。在计算中以人民币元为单位，取小数点后两位，汇总后计整到元。</w:t>
      </w:r>
    </w:p>
    <w:p w14:paraId="45DE5C84">
      <w:pPr>
        <w:spacing w:line="360" w:lineRule="auto"/>
        <w:ind w:firstLine="480"/>
        <w:rPr>
          <w:rFonts w:eastAsiaTheme="minorEastAsia"/>
          <w:color w:val="000000"/>
          <w:sz w:val="24"/>
        </w:rPr>
      </w:pPr>
      <w:r>
        <w:rPr>
          <w:rFonts w:eastAsiaTheme="minorEastAsia"/>
          <w:color w:val="000000"/>
          <w:sz w:val="24"/>
        </w:rPr>
        <w:t>1）工程施工费</w:t>
      </w:r>
    </w:p>
    <w:p w14:paraId="27D13775">
      <w:pPr>
        <w:spacing w:line="360" w:lineRule="auto"/>
        <w:ind w:firstLine="480"/>
        <w:rPr>
          <w:rFonts w:eastAsiaTheme="minorEastAsia"/>
          <w:color w:val="000000"/>
          <w:sz w:val="24"/>
        </w:rPr>
      </w:pPr>
      <w:r>
        <w:rPr>
          <w:rFonts w:eastAsiaTheme="minorEastAsia"/>
          <w:color w:val="000000"/>
          <w:sz w:val="24"/>
        </w:rPr>
        <w:t>工程施工费由直接费、间接费、利润和税金组成。</w:t>
      </w:r>
    </w:p>
    <w:p w14:paraId="6F104205">
      <w:pPr>
        <w:spacing w:line="360" w:lineRule="auto"/>
        <w:ind w:firstLine="480"/>
        <w:rPr>
          <w:rFonts w:eastAsiaTheme="minorEastAsia"/>
          <w:color w:val="000000"/>
          <w:sz w:val="24"/>
        </w:rPr>
      </w:pPr>
      <w:r>
        <w:rPr>
          <w:rFonts w:eastAsiaTheme="minorEastAsia"/>
          <w:color w:val="000000"/>
          <w:sz w:val="24"/>
        </w:rPr>
        <w:t>（1）直接费</w:t>
      </w:r>
    </w:p>
    <w:p w14:paraId="68005B04">
      <w:pPr>
        <w:spacing w:line="360" w:lineRule="auto"/>
        <w:ind w:firstLine="480"/>
        <w:rPr>
          <w:rFonts w:eastAsiaTheme="minorEastAsia"/>
          <w:color w:val="000000"/>
          <w:sz w:val="24"/>
        </w:rPr>
      </w:pPr>
      <w:r>
        <w:rPr>
          <w:rFonts w:eastAsiaTheme="minorEastAsia"/>
          <w:color w:val="000000"/>
          <w:sz w:val="24"/>
        </w:rPr>
        <w:t>直接费由直接工程费和措施费组成。</w:t>
      </w:r>
    </w:p>
    <w:p w14:paraId="1BF8244B">
      <w:pPr>
        <w:spacing w:line="360" w:lineRule="auto"/>
        <w:ind w:firstLine="480"/>
        <w:rPr>
          <w:rFonts w:eastAsiaTheme="minorEastAsia"/>
          <w:color w:val="000000"/>
          <w:sz w:val="24"/>
        </w:rPr>
      </w:pPr>
      <w:r>
        <w:rPr>
          <w:rFonts w:hint="eastAsia" w:ascii="宋体" w:hAnsi="宋体" w:cs="宋体"/>
          <w:color w:val="000000"/>
          <w:sz w:val="24"/>
        </w:rPr>
        <w:t>①</w:t>
      </w:r>
      <w:r>
        <w:rPr>
          <w:rFonts w:eastAsiaTheme="minorEastAsia"/>
          <w:color w:val="000000"/>
          <w:sz w:val="24"/>
        </w:rPr>
        <w:t>直接工程费</w:t>
      </w:r>
    </w:p>
    <w:p w14:paraId="2185B6C6">
      <w:pPr>
        <w:spacing w:line="360" w:lineRule="auto"/>
        <w:ind w:firstLine="480"/>
        <w:rPr>
          <w:rFonts w:eastAsiaTheme="minorEastAsia"/>
          <w:color w:val="000000"/>
          <w:sz w:val="24"/>
        </w:rPr>
      </w:pPr>
      <w:r>
        <w:rPr>
          <w:rFonts w:eastAsiaTheme="minorEastAsia"/>
          <w:color w:val="000000"/>
          <w:sz w:val="24"/>
        </w:rPr>
        <w:t>直接工程费含人工费、材料费、施工机械使用费。</w:t>
      </w:r>
    </w:p>
    <w:p w14:paraId="51860440">
      <w:pPr>
        <w:spacing w:line="360" w:lineRule="auto"/>
        <w:ind w:firstLine="480"/>
        <w:rPr>
          <w:rFonts w:eastAsiaTheme="minorEastAsia"/>
          <w:color w:val="000000"/>
          <w:sz w:val="24"/>
        </w:rPr>
      </w:pPr>
      <w:r>
        <w:rPr>
          <w:rFonts w:eastAsiaTheme="minorEastAsia"/>
          <w:color w:val="000000"/>
          <w:sz w:val="24"/>
        </w:rPr>
        <w:t>人工费=Σ分项工程量×分项工程定额人工费。分项工程定额人工费是人工单价与定额消耗标准的乘积。</w:t>
      </w:r>
    </w:p>
    <w:p w14:paraId="47520731">
      <w:pPr>
        <w:spacing w:line="360" w:lineRule="auto"/>
        <w:ind w:firstLine="480"/>
        <w:rPr>
          <w:rFonts w:eastAsiaTheme="minorEastAsia"/>
          <w:color w:val="000000"/>
          <w:sz w:val="24"/>
        </w:rPr>
      </w:pPr>
      <w:r>
        <w:rPr>
          <w:rFonts w:eastAsiaTheme="minorEastAsia"/>
          <w:color w:val="000000"/>
          <w:sz w:val="24"/>
        </w:rPr>
        <w:t>材料费=Σ分项工程量×分项工程定额材料费（定额材料费是定额中各种材料估算价格与定额消耗量的乘积之和）。</w:t>
      </w:r>
    </w:p>
    <w:p w14:paraId="195B60B0">
      <w:pPr>
        <w:spacing w:line="360" w:lineRule="auto"/>
        <w:ind w:firstLine="480"/>
        <w:rPr>
          <w:rFonts w:eastAsiaTheme="minorEastAsia"/>
          <w:color w:val="000000"/>
          <w:sz w:val="24"/>
        </w:rPr>
      </w:pPr>
      <w:r>
        <w:rPr>
          <w:rFonts w:eastAsiaTheme="minorEastAsia"/>
          <w:color w:val="000000"/>
          <w:sz w:val="24"/>
        </w:rPr>
        <w:t>施工机械使用费=Σ分项工程量×分项工程定额机械费。</w:t>
      </w:r>
    </w:p>
    <w:p w14:paraId="18BA8001">
      <w:pPr>
        <w:spacing w:line="360" w:lineRule="auto"/>
        <w:ind w:firstLine="480"/>
        <w:rPr>
          <w:color w:val="000000"/>
          <w:sz w:val="24"/>
        </w:rPr>
      </w:pPr>
      <w:r>
        <w:rPr>
          <w:color w:val="000000"/>
          <w:sz w:val="24"/>
        </w:rPr>
        <w:t>人工费定额：人工单价按全国各地区工资区类别表划分为六类工资区及以下，养老保险按《四川省劳动和社会保障厅文件》川劳社办[2005]231号相关规定，取费费率为18%，住房公积金按《住房公积金管理条例》规定，取费费率为6.8%。经计算甲类工为50.73元/工日，乙类工为40.70元/工日。</w:t>
      </w:r>
    </w:p>
    <w:p w14:paraId="00B054C3">
      <w:pPr>
        <w:spacing w:line="360" w:lineRule="auto"/>
        <w:ind w:firstLine="480"/>
        <w:rPr>
          <w:rFonts w:eastAsiaTheme="minorEastAsia"/>
          <w:color w:val="000000"/>
          <w:sz w:val="24"/>
        </w:rPr>
      </w:pPr>
      <w:r>
        <w:rPr>
          <w:rFonts w:eastAsiaTheme="minorEastAsia"/>
          <w:color w:val="000000"/>
          <w:sz w:val="24"/>
        </w:rPr>
        <w:t>材料费定额：材料价格参照四川省造价信息网广元市2020年4月信息价，为不含税价格，依据《四川省土地开发整理项目预算定额标准》计取，材料价格参照目前当地物价部分提供的市场指导价。</w:t>
      </w:r>
    </w:p>
    <w:p w14:paraId="15B39D61">
      <w:pPr>
        <w:spacing w:line="360" w:lineRule="auto"/>
        <w:ind w:firstLine="480"/>
        <w:rPr>
          <w:rFonts w:eastAsiaTheme="minorEastAsia"/>
          <w:color w:val="000000"/>
          <w:sz w:val="24"/>
        </w:rPr>
      </w:pPr>
      <w:r>
        <w:rPr>
          <w:rFonts w:eastAsiaTheme="minorEastAsia"/>
          <w:color w:val="000000"/>
          <w:sz w:val="24"/>
        </w:rPr>
        <w:t>材料预算价格=（材料原价+包装费+运杂费）×（1+采购及保管费率）+运输保险费</w:t>
      </w:r>
    </w:p>
    <w:p w14:paraId="11F0D521">
      <w:pPr>
        <w:spacing w:line="360" w:lineRule="auto"/>
        <w:ind w:firstLine="480"/>
        <w:rPr>
          <w:rFonts w:eastAsiaTheme="minorEastAsia"/>
          <w:color w:val="000000"/>
          <w:sz w:val="24"/>
        </w:rPr>
      </w:pPr>
      <w:r>
        <w:rPr>
          <w:rFonts w:eastAsiaTheme="minorEastAsia"/>
          <w:color w:val="000000"/>
          <w:sz w:val="24"/>
        </w:rPr>
        <w:t>施工机械使用费根据《四川省土地开发整理项目预算定额标准》标准计取。</w:t>
      </w:r>
    </w:p>
    <w:p w14:paraId="21BE04DB">
      <w:pPr>
        <w:spacing w:line="360" w:lineRule="auto"/>
        <w:ind w:firstLine="480"/>
        <w:rPr>
          <w:rFonts w:eastAsiaTheme="minorEastAsia"/>
          <w:color w:val="000000"/>
          <w:sz w:val="24"/>
        </w:rPr>
      </w:pPr>
      <w:r>
        <w:rPr>
          <w:rFonts w:hint="eastAsia" w:ascii="宋体" w:hAnsi="宋体" w:cs="宋体"/>
          <w:color w:val="000000"/>
          <w:sz w:val="24"/>
        </w:rPr>
        <w:t>②</w:t>
      </w:r>
      <w:r>
        <w:rPr>
          <w:rFonts w:eastAsiaTheme="minorEastAsia"/>
          <w:color w:val="000000"/>
          <w:sz w:val="24"/>
        </w:rPr>
        <w:t>措施费</w:t>
      </w:r>
    </w:p>
    <w:p w14:paraId="5A269028">
      <w:pPr>
        <w:spacing w:line="360" w:lineRule="auto"/>
        <w:ind w:firstLine="480"/>
        <w:rPr>
          <w:rFonts w:eastAsiaTheme="minorEastAsia"/>
          <w:color w:val="000000"/>
          <w:sz w:val="24"/>
        </w:rPr>
      </w:pPr>
      <w:r>
        <w:rPr>
          <w:rFonts w:eastAsiaTheme="minorEastAsia"/>
          <w:color w:val="000000"/>
          <w:sz w:val="24"/>
        </w:rPr>
        <w:t>指为完成工程项目施工，发生于该工程施工前和施工过程中非工程实体项目的费用。措施费=直接工程费（或人工费）×措施费率</w:t>
      </w:r>
    </w:p>
    <w:p w14:paraId="12FB918D">
      <w:pPr>
        <w:spacing w:line="360" w:lineRule="auto"/>
        <w:ind w:firstLine="480"/>
        <w:rPr>
          <w:rFonts w:eastAsiaTheme="minorEastAsia"/>
          <w:color w:val="000000"/>
          <w:sz w:val="24"/>
        </w:rPr>
      </w:pPr>
      <w:r>
        <w:rPr>
          <w:rFonts w:eastAsiaTheme="minorEastAsia"/>
          <w:color w:val="000000"/>
          <w:sz w:val="24"/>
        </w:rPr>
        <w:t>依据《四川省土地开发整理项目预算定额标准》，措施费标准见表7-2。</w:t>
      </w:r>
    </w:p>
    <w:p w14:paraId="4EF2208B">
      <w:pPr>
        <w:jc w:val="center"/>
        <w:rPr>
          <w:rFonts w:eastAsiaTheme="minorEastAsia"/>
          <w:b/>
          <w:szCs w:val="21"/>
        </w:rPr>
      </w:pPr>
      <w:r>
        <w:rPr>
          <w:rFonts w:eastAsiaTheme="minorEastAsia"/>
          <w:b/>
          <w:szCs w:val="21"/>
        </w:rPr>
        <w:t>表7-2措施费率表</w:t>
      </w:r>
    </w:p>
    <w:tbl>
      <w:tblPr>
        <w:tblStyle w:val="29"/>
        <w:tblW w:w="8624"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704"/>
        <w:gridCol w:w="3460"/>
        <w:gridCol w:w="3460"/>
      </w:tblGrid>
      <w:tr w14:paraId="46D6C7F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595FD76F">
            <w:pPr>
              <w:jc w:val="center"/>
              <w:rPr>
                <w:rFonts w:eastAsiaTheme="minorEastAsia"/>
              </w:rPr>
            </w:pPr>
            <w:r>
              <w:rPr>
                <w:rFonts w:eastAsiaTheme="minorEastAsia"/>
              </w:rPr>
              <w:t>序号</w:t>
            </w:r>
          </w:p>
        </w:tc>
        <w:tc>
          <w:tcPr>
            <w:tcW w:w="3460" w:type="dxa"/>
            <w:vAlign w:val="center"/>
          </w:tcPr>
          <w:p w14:paraId="00F06B7E">
            <w:pPr>
              <w:jc w:val="center"/>
              <w:rPr>
                <w:rFonts w:eastAsiaTheme="minorEastAsia"/>
              </w:rPr>
            </w:pPr>
            <w:r>
              <w:rPr>
                <w:rFonts w:eastAsiaTheme="minorEastAsia"/>
              </w:rPr>
              <w:t>取费类别</w:t>
            </w:r>
          </w:p>
        </w:tc>
        <w:tc>
          <w:tcPr>
            <w:tcW w:w="3460" w:type="dxa"/>
            <w:vAlign w:val="center"/>
          </w:tcPr>
          <w:p w14:paraId="79D35E57">
            <w:pPr>
              <w:jc w:val="center"/>
              <w:rPr>
                <w:rFonts w:eastAsiaTheme="minorEastAsia"/>
              </w:rPr>
            </w:pPr>
            <w:r>
              <w:rPr>
                <w:rFonts w:eastAsiaTheme="minorEastAsia"/>
              </w:rPr>
              <w:t>措施费费率</w:t>
            </w:r>
          </w:p>
        </w:tc>
      </w:tr>
      <w:tr w14:paraId="707C4A1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2E09F963">
            <w:pPr>
              <w:jc w:val="center"/>
              <w:rPr>
                <w:rFonts w:eastAsiaTheme="minorEastAsia"/>
              </w:rPr>
            </w:pPr>
            <w:r>
              <w:rPr>
                <w:rFonts w:eastAsiaTheme="minorEastAsia"/>
              </w:rPr>
              <w:t>1</w:t>
            </w:r>
          </w:p>
        </w:tc>
        <w:tc>
          <w:tcPr>
            <w:tcW w:w="3460" w:type="dxa"/>
            <w:vAlign w:val="center"/>
          </w:tcPr>
          <w:p w14:paraId="09CA6E10">
            <w:pPr>
              <w:jc w:val="center"/>
              <w:rPr>
                <w:rFonts w:eastAsiaTheme="minorEastAsia"/>
              </w:rPr>
            </w:pPr>
            <w:r>
              <w:rPr>
                <w:rFonts w:eastAsiaTheme="minorEastAsia"/>
              </w:rPr>
              <w:t>土方工程</w:t>
            </w:r>
          </w:p>
        </w:tc>
        <w:tc>
          <w:tcPr>
            <w:tcW w:w="3460" w:type="dxa"/>
            <w:vAlign w:val="center"/>
          </w:tcPr>
          <w:p w14:paraId="7F6590AE">
            <w:pPr>
              <w:jc w:val="center"/>
              <w:rPr>
                <w:rFonts w:eastAsiaTheme="minorEastAsia"/>
              </w:rPr>
            </w:pPr>
            <w:r>
              <w:rPr>
                <w:rFonts w:eastAsiaTheme="minorEastAsia"/>
              </w:rPr>
              <w:t>3.7%</w:t>
            </w:r>
          </w:p>
        </w:tc>
      </w:tr>
      <w:tr w14:paraId="28E0C06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40BE6D50">
            <w:pPr>
              <w:jc w:val="center"/>
              <w:rPr>
                <w:rFonts w:eastAsiaTheme="minorEastAsia"/>
              </w:rPr>
            </w:pPr>
            <w:r>
              <w:rPr>
                <w:rFonts w:eastAsiaTheme="minorEastAsia"/>
              </w:rPr>
              <w:t>2</w:t>
            </w:r>
          </w:p>
        </w:tc>
        <w:tc>
          <w:tcPr>
            <w:tcW w:w="3460" w:type="dxa"/>
            <w:vAlign w:val="center"/>
          </w:tcPr>
          <w:p w14:paraId="228C4172">
            <w:pPr>
              <w:jc w:val="center"/>
              <w:rPr>
                <w:rFonts w:eastAsiaTheme="minorEastAsia"/>
              </w:rPr>
            </w:pPr>
            <w:r>
              <w:rPr>
                <w:rFonts w:eastAsiaTheme="minorEastAsia"/>
              </w:rPr>
              <w:t>石方工程</w:t>
            </w:r>
          </w:p>
        </w:tc>
        <w:tc>
          <w:tcPr>
            <w:tcW w:w="3460" w:type="dxa"/>
            <w:vAlign w:val="center"/>
          </w:tcPr>
          <w:p w14:paraId="1C837BFD">
            <w:pPr>
              <w:jc w:val="center"/>
              <w:rPr>
                <w:rFonts w:eastAsiaTheme="minorEastAsia"/>
              </w:rPr>
            </w:pPr>
            <w:r>
              <w:rPr>
                <w:rFonts w:eastAsiaTheme="minorEastAsia"/>
              </w:rPr>
              <w:t>3.7%</w:t>
            </w:r>
          </w:p>
        </w:tc>
      </w:tr>
      <w:tr w14:paraId="16EDF62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4544D529">
            <w:pPr>
              <w:jc w:val="center"/>
              <w:rPr>
                <w:rFonts w:eastAsiaTheme="minorEastAsia"/>
              </w:rPr>
            </w:pPr>
            <w:r>
              <w:rPr>
                <w:rFonts w:eastAsiaTheme="minorEastAsia"/>
              </w:rPr>
              <w:t>3</w:t>
            </w:r>
          </w:p>
        </w:tc>
        <w:tc>
          <w:tcPr>
            <w:tcW w:w="3460" w:type="dxa"/>
            <w:vAlign w:val="center"/>
          </w:tcPr>
          <w:p w14:paraId="558FB64E">
            <w:pPr>
              <w:jc w:val="center"/>
              <w:rPr>
                <w:rFonts w:eastAsiaTheme="minorEastAsia"/>
              </w:rPr>
            </w:pPr>
            <w:r>
              <w:rPr>
                <w:rFonts w:eastAsiaTheme="minorEastAsia"/>
              </w:rPr>
              <w:t>砌体工程</w:t>
            </w:r>
          </w:p>
        </w:tc>
        <w:tc>
          <w:tcPr>
            <w:tcW w:w="3460" w:type="dxa"/>
            <w:vAlign w:val="center"/>
          </w:tcPr>
          <w:p w14:paraId="6ECFC319">
            <w:pPr>
              <w:jc w:val="center"/>
              <w:rPr>
                <w:rFonts w:eastAsiaTheme="minorEastAsia"/>
              </w:rPr>
            </w:pPr>
            <w:r>
              <w:rPr>
                <w:rFonts w:eastAsiaTheme="minorEastAsia"/>
              </w:rPr>
              <w:t>3.7%</w:t>
            </w:r>
          </w:p>
        </w:tc>
      </w:tr>
      <w:tr w14:paraId="1D7242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14C2A71B">
            <w:pPr>
              <w:jc w:val="center"/>
              <w:rPr>
                <w:rFonts w:eastAsiaTheme="minorEastAsia"/>
              </w:rPr>
            </w:pPr>
            <w:r>
              <w:rPr>
                <w:rFonts w:eastAsiaTheme="minorEastAsia"/>
              </w:rPr>
              <w:t>4</w:t>
            </w:r>
          </w:p>
        </w:tc>
        <w:tc>
          <w:tcPr>
            <w:tcW w:w="3460" w:type="dxa"/>
            <w:vAlign w:val="center"/>
          </w:tcPr>
          <w:p w14:paraId="297AD8AD">
            <w:pPr>
              <w:jc w:val="center"/>
              <w:rPr>
                <w:rFonts w:eastAsiaTheme="minorEastAsia"/>
              </w:rPr>
            </w:pPr>
            <w:r>
              <w:rPr>
                <w:rFonts w:eastAsiaTheme="minorEastAsia"/>
              </w:rPr>
              <w:t>混凝土工程</w:t>
            </w:r>
          </w:p>
        </w:tc>
        <w:tc>
          <w:tcPr>
            <w:tcW w:w="3460" w:type="dxa"/>
            <w:vAlign w:val="center"/>
          </w:tcPr>
          <w:p w14:paraId="2FDFF969">
            <w:pPr>
              <w:jc w:val="center"/>
              <w:rPr>
                <w:rFonts w:eastAsiaTheme="minorEastAsia"/>
              </w:rPr>
            </w:pPr>
            <w:r>
              <w:rPr>
                <w:rFonts w:eastAsiaTheme="minorEastAsia"/>
              </w:rPr>
              <w:t>4.7%</w:t>
            </w:r>
          </w:p>
        </w:tc>
      </w:tr>
      <w:tr w14:paraId="1A4DE10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73D1024D">
            <w:pPr>
              <w:jc w:val="center"/>
              <w:rPr>
                <w:rFonts w:eastAsiaTheme="minorEastAsia"/>
              </w:rPr>
            </w:pPr>
            <w:r>
              <w:rPr>
                <w:rFonts w:eastAsiaTheme="minorEastAsia"/>
              </w:rPr>
              <w:t>5</w:t>
            </w:r>
          </w:p>
        </w:tc>
        <w:tc>
          <w:tcPr>
            <w:tcW w:w="3460" w:type="dxa"/>
            <w:vAlign w:val="center"/>
          </w:tcPr>
          <w:p w14:paraId="4D7E9A15">
            <w:pPr>
              <w:jc w:val="center"/>
              <w:rPr>
                <w:rFonts w:eastAsiaTheme="minorEastAsia"/>
              </w:rPr>
            </w:pPr>
            <w:r>
              <w:rPr>
                <w:rFonts w:eastAsiaTheme="minorEastAsia"/>
              </w:rPr>
              <w:t>农用井工程</w:t>
            </w:r>
          </w:p>
        </w:tc>
        <w:tc>
          <w:tcPr>
            <w:tcW w:w="3460" w:type="dxa"/>
            <w:vAlign w:val="center"/>
          </w:tcPr>
          <w:p w14:paraId="4395B9B0">
            <w:pPr>
              <w:jc w:val="center"/>
              <w:rPr>
                <w:rFonts w:eastAsiaTheme="minorEastAsia"/>
              </w:rPr>
            </w:pPr>
            <w:r>
              <w:rPr>
                <w:rFonts w:eastAsiaTheme="minorEastAsia"/>
              </w:rPr>
              <w:t>4.7%</w:t>
            </w:r>
          </w:p>
        </w:tc>
      </w:tr>
      <w:tr w14:paraId="5AEA3D7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237F6E8F">
            <w:pPr>
              <w:jc w:val="center"/>
              <w:rPr>
                <w:rFonts w:eastAsiaTheme="minorEastAsia"/>
              </w:rPr>
            </w:pPr>
            <w:r>
              <w:rPr>
                <w:rFonts w:eastAsiaTheme="minorEastAsia"/>
              </w:rPr>
              <w:t>6</w:t>
            </w:r>
          </w:p>
        </w:tc>
        <w:tc>
          <w:tcPr>
            <w:tcW w:w="3460" w:type="dxa"/>
            <w:vAlign w:val="center"/>
          </w:tcPr>
          <w:p w14:paraId="3E3D42D8">
            <w:pPr>
              <w:jc w:val="center"/>
              <w:rPr>
                <w:rFonts w:eastAsiaTheme="minorEastAsia"/>
              </w:rPr>
            </w:pPr>
            <w:r>
              <w:rPr>
                <w:rFonts w:eastAsiaTheme="minorEastAsia"/>
              </w:rPr>
              <w:t>其他工程</w:t>
            </w:r>
          </w:p>
        </w:tc>
        <w:tc>
          <w:tcPr>
            <w:tcW w:w="3460" w:type="dxa"/>
            <w:vAlign w:val="center"/>
          </w:tcPr>
          <w:p w14:paraId="15225F12">
            <w:pPr>
              <w:jc w:val="center"/>
              <w:rPr>
                <w:rFonts w:eastAsiaTheme="minorEastAsia"/>
              </w:rPr>
            </w:pPr>
            <w:r>
              <w:rPr>
                <w:rFonts w:eastAsiaTheme="minorEastAsia"/>
              </w:rPr>
              <w:t>3.7%</w:t>
            </w:r>
          </w:p>
        </w:tc>
      </w:tr>
      <w:tr w14:paraId="5446D8C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1704" w:type="dxa"/>
            <w:vAlign w:val="center"/>
          </w:tcPr>
          <w:p w14:paraId="68683743">
            <w:pPr>
              <w:jc w:val="center"/>
              <w:rPr>
                <w:rFonts w:eastAsiaTheme="minorEastAsia"/>
              </w:rPr>
            </w:pPr>
            <w:r>
              <w:rPr>
                <w:rFonts w:eastAsiaTheme="minorEastAsia"/>
              </w:rPr>
              <w:t>7</w:t>
            </w:r>
          </w:p>
        </w:tc>
        <w:tc>
          <w:tcPr>
            <w:tcW w:w="3460" w:type="dxa"/>
            <w:vAlign w:val="center"/>
          </w:tcPr>
          <w:p w14:paraId="7B28424C">
            <w:pPr>
              <w:jc w:val="center"/>
              <w:rPr>
                <w:rFonts w:eastAsiaTheme="minorEastAsia"/>
              </w:rPr>
            </w:pPr>
            <w:r>
              <w:rPr>
                <w:rFonts w:eastAsiaTheme="minorEastAsia"/>
              </w:rPr>
              <w:t>安装工程</w:t>
            </w:r>
          </w:p>
        </w:tc>
        <w:tc>
          <w:tcPr>
            <w:tcW w:w="3460" w:type="dxa"/>
            <w:vAlign w:val="center"/>
          </w:tcPr>
          <w:p w14:paraId="283DD733">
            <w:pPr>
              <w:jc w:val="center"/>
              <w:rPr>
                <w:rFonts w:eastAsiaTheme="minorEastAsia"/>
              </w:rPr>
            </w:pPr>
            <w:r>
              <w:rPr>
                <w:rFonts w:eastAsiaTheme="minorEastAsia"/>
              </w:rPr>
              <w:t>5.2%</w:t>
            </w:r>
          </w:p>
        </w:tc>
      </w:tr>
    </w:tbl>
    <w:p w14:paraId="09BC18A7">
      <w:pPr>
        <w:spacing w:line="360" w:lineRule="auto"/>
        <w:ind w:firstLine="480"/>
        <w:rPr>
          <w:rFonts w:eastAsiaTheme="minorEastAsia"/>
          <w:color w:val="000000"/>
          <w:sz w:val="24"/>
        </w:rPr>
      </w:pPr>
      <w:r>
        <w:rPr>
          <w:rFonts w:eastAsiaTheme="minorEastAsia"/>
          <w:color w:val="000000"/>
          <w:sz w:val="24"/>
        </w:rPr>
        <w:t>（2）间接费</w:t>
      </w:r>
    </w:p>
    <w:p w14:paraId="4B2F3E58">
      <w:pPr>
        <w:spacing w:line="360" w:lineRule="auto"/>
        <w:ind w:firstLine="480"/>
        <w:rPr>
          <w:rFonts w:eastAsiaTheme="minorEastAsia"/>
          <w:color w:val="000000"/>
          <w:sz w:val="24"/>
        </w:rPr>
      </w:pPr>
      <w:r>
        <w:rPr>
          <w:rFonts w:eastAsiaTheme="minorEastAsia"/>
          <w:color w:val="000000"/>
          <w:sz w:val="24"/>
        </w:rPr>
        <w:t>由规费、企业管理费组成。取费依据《四川省土地开发整理项目概算编制规定》标准，根据工程性质不同间接费标准见表7-3。</w:t>
      </w:r>
    </w:p>
    <w:p w14:paraId="651733B5">
      <w:pPr>
        <w:jc w:val="center"/>
        <w:rPr>
          <w:rFonts w:eastAsiaTheme="minorEastAsia"/>
          <w:b/>
          <w:szCs w:val="21"/>
        </w:rPr>
      </w:pPr>
      <w:r>
        <w:rPr>
          <w:rFonts w:eastAsiaTheme="minorEastAsia"/>
          <w:b/>
          <w:szCs w:val="21"/>
        </w:rPr>
        <w:t>表7-3间接费费率表</w:t>
      </w:r>
    </w:p>
    <w:tbl>
      <w:tblPr>
        <w:tblStyle w:val="29"/>
        <w:tblW w:w="862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7"/>
        <w:gridCol w:w="2287"/>
        <w:gridCol w:w="2515"/>
        <w:gridCol w:w="2275"/>
      </w:tblGrid>
      <w:tr w14:paraId="02969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blHeader/>
          <w:jc w:val="center"/>
        </w:trPr>
        <w:tc>
          <w:tcPr>
            <w:tcW w:w="1547" w:type="dxa"/>
            <w:vAlign w:val="center"/>
          </w:tcPr>
          <w:p w14:paraId="0BFFDAFB">
            <w:pPr>
              <w:jc w:val="center"/>
              <w:rPr>
                <w:rFonts w:eastAsiaTheme="minorEastAsia"/>
              </w:rPr>
            </w:pPr>
            <w:r>
              <w:rPr>
                <w:rFonts w:eastAsiaTheme="minorEastAsia"/>
              </w:rPr>
              <w:t>序号</w:t>
            </w:r>
          </w:p>
        </w:tc>
        <w:tc>
          <w:tcPr>
            <w:tcW w:w="2287" w:type="dxa"/>
            <w:vAlign w:val="center"/>
          </w:tcPr>
          <w:p w14:paraId="333EC0DB">
            <w:pPr>
              <w:jc w:val="center"/>
              <w:rPr>
                <w:rFonts w:eastAsiaTheme="minorEastAsia"/>
              </w:rPr>
            </w:pPr>
            <w:r>
              <w:rPr>
                <w:rFonts w:eastAsiaTheme="minorEastAsia"/>
              </w:rPr>
              <w:t>工程类别</w:t>
            </w:r>
          </w:p>
        </w:tc>
        <w:tc>
          <w:tcPr>
            <w:tcW w:w="2515" w:type="dxa"/>
            <w:vAlign w:val="center"/>
          </w:tcPr>
          <w:p w14:paraId="4AA1403A">
            <w:pPr>
              <w:jc w:val="center"/>
              <w:rPr>
                <w:rFonts w:eastAsiaTheme="minorEastAsia"/>
              </w:rPr>
            </w:pPr>
            <w:r>
              <w:rPr>
                <w:rFonts w:eastAsiaTheme="minorEastAsia"/>
              </w:rPr>
              <w:t>计算基础</w:t>
            </w:r>
          </w:p>
        </w:tc>
        <w:tc>
          <w:tcPr>
            <w:tcW w:w="2275" w:type="dxa"/>
            <w:vAlign w:val="center"/>
          </w:tcPr>
          <w:p w14:paraId="2F49F251">
            <w:pPr>
              <w:jc w:val="center"/>
              <w:rPr>
                <w:rFonts w:eastAsiaTheme="minorEastAsia"/>
              </w:rPr>
            </w:pPr>
            <w:r>
              <w:rPr>
                <w:rFonts w:eastAsiaTheme="minorEastAsia"/>
              </w:rPr>
              <w:t>间接费费率（%）</w:t>
            </w:r>
          </w:p>
        </w:tc>
      </w:tr>
      <w:tr w14:paraId="6A365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47" w:type="dxa"/>
            <w:vAlign w:val="center"/>
          </w:tcPr>
          <w:p w14:paraId="33B0F4A9">
            <w:pPr>
              <w:jc w:val="center"/>
              <w:rPr>
                <w:rFonts w:eastAsiaTheme="minorEastAsia"/>
              </w:rPr>
            </w:pPr>
            <w:r>
              <w:rPr>
                <w:rFonts w:eastAsiaTheme="minorEastAsia"/>
              </w:rPr>
              <w:t>1</w:t>
            </w:r>
          </w:p>
        </w:tc>
        <w:tc>
          <w:tcPr>
            <w:tcW w:w="2287" w:type="dxa"/>
            <w:vAlign w:val="center"/>
          </w:tcPr>
          <w:p w14:paraId="09C845BF">
            <w:pPr>
              <w:jc w:val="center"/>
              <w:rPr>
                <w:rFonts w:eastAsiaTheme="minorEastAsia"/>
              </w:rPr>
            </w:pPr>
            <w:r>
              <w:rPr>
                <w:rFonts w:eastAsiaTheme="minorEastAsia"/>
              </w:rPr>
              <w:t>土方工程</w:t>
            </w:r>
          </w:p>
        </w:tc>
        <w:tc>
          <w:tcPr>
            <w:tcW w:w="2515" w:type="dxa"/>
            <w:vAlign w:val="center"/>
          </w:tcPr>
          <w:p w14:paraId="41540230">
            <w:pPr>
              <w:jc w:val="center"/>
              <w:rPr>
                <w:rFonts w:eastAsiaTheme="minorEastAsia"/>
              </w:rPr>
            </w:pPr>
            <w:r>
              <w:rPr>
                <w:rFonts w:eastAsiaTheme="minorEastAsia"/>
              </w:rPr>
              <w:t>直接工程费</w:t>
            </w:r>
          </w:p>
        </w:tc>
        <w:tc>
          <w:tcPr>
            <w:tcW w:w="2275" w:type="dxa"/>
            <w:vAlign w:val="center"/>
          </w:tcPr>
          <w:p w14:paraId="5ECBA5BB">
            <w:pPr>
              <w:jc w:val="center"/>
              <w:rPr>
                <w:rFonts w:eastAsiaTheme="minorEastAsia"/>
              </w:rPr>
            </w:pPr>
            <w:r>
              <w:rPr>
                <w:rFonts w:eastAsiaTheme="minorEastAsia"/>
              </w:rPr>
              <w:t>6</w:t>
            </w:r>
          </w:p>
        </w:tc>
      </w:tr>
      <w:tr w14:paraId="3C68F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47" w:type="dxa"/>
            <w:vAlign w:val="center"/>
          </w:tcPr>
          <w:p w14:paraId="1D5DA97B">
            <w:pPr>
              <w:jc w:val="center"/>
              <w:rPr>
                <w:rFonts w:eastAsiaTheme="minorEastAsia"/>
              </w:rPr>
            </w:pPr>
            <w:r>
              <w:rPr>
                <w:rFonts w:eastAsiaTheme="minorEastAsia"/>
              </w:rPr>
              <w:t>2</w:t>
            </w:r>
          </w:p>
        </w:tc>
        <w:tc>
          <w:tcPr>
            <w:tcW w:w="2287" w:type="dxa"/>
            <w:vAlign w:val="center"/>
          </w:tcPr>
          <w:p w14:paraId="16CA2F9F">
            <w:pPr>
              <w:jc w:val="center"/>
              <w:rPr>
                <w:rFonts w:eastAsiaTheme="minorEastAsia"/>
              </w:rPr>
            </w:pPr>
            <w:r>
              <w:rPr>
                <w:rFonts w:eastAsiaTheme="minorEastAsia"/>
              </w:rPr>
              <w:t>石方工程</w:t>
            </w:r>
          </w:p>
        </w:tc>
        <w:tc>
          <w:tcPr>
            <w:tcW w:w="2515" w:type="dxa"/>
            <w:vAlign w:val="center"/>
          </w:tcPr>
          <w:p w14:paraId="4EA50E4A">
            <w:pPr>
              <w:jc w:val="center"/>
              <w:rPr>
                <w:rFonts w:eastAsiaTheme="minorEastAsia"/>
              </w:rPr>
            </w:pPr>
            <w:r>
              <w:rPr>
                <w:rFonts w:eastAsiaTheme="minorEastAsia"/>
              </w:rPr>
              <w:t>直接工程费</w:t>
            </w:r>
          </w:p>
        </w:tc>
        <w:tc>
          <w:tcPr>
            <w:tcW w:w="2275" w:type="dxa"/>
            <w:vAlign w:val="center"/>
          </w:tcPr>
          <w:p w14:paraId="6DDF3B69">
            <w:pPr>
              <w:jc w:val="center"/>
              <w:rPr>
                <w:rFonts w:eastAsiaTheme="minorEastAsia"/>
              </w:rPr>
            </w:pPr>
            <w:r>
              <w:rPr>
                <w:rFonts w:eastAsiaTheme="minorEastAsia"/>
              </w:rPr>
              <w:t>7</w:t>
            </w:r>
          </w:p>
        </w:tc>
      </w:tr>
      <w:tr w14:paraId="3DBF3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47" w:type="dxa"/>
            <w:vAlign w:val="center"/>
          </w:tcPr>
          <w:p w14:paraId="1408BAC2">
            <w:pPr>
              <w:jc w:val="center"/>
              <w:rPr>
                <w:rFonts w:eastAsiaTheme="minorEastAsia"/>
              </w:rPr>
            </w:pPr>
            <w:r>
              <w:rPr>
                <w:rFonts w:eastAsiaTheme="minorEastAsia"/>
              </w:rPr>
              <w:t>3</w:t>
            </w:r>
          </w:p>
        </w:tc>
        <w:tc>
          <w:tcPr>
            <w:tcW w:w="2287" w:type="dxa"/>
            <w:vAlign w:val="center"/>
          </w:tcPr>
          <w:p w14:paraId="2E2C29BB">
            <w:pPr>
              <w:jc w:val="center"/>
              <w:rPr>
                <w:rFonts w:eastAsiaTheme="minorEastAsia"/>
              </w:rPr>
            </w:pPr>
            <w:r>
              <w:rPr>
                <w:rFonts w:eastAsiaTheme="minorEastAsia"/>
              </w:rPr>
              <w:t>砌体工程</w:t>
            </w:r>
          </w:p>
        </w:tc>
        <w:tc>
          <w:tcPr>
            <w:tcW w:w="2515" w:type="dxa"/>
            <w:vAlign w:val="center"/>
          </w:tcPr>
          <w:p w14:paraId="19F8D5F4">
            <w:pPr>
              <w:jc w:val="center"/>
              <w:rPr>
                <w:rFonts w:eastAsiaTheme="minorEastAsia"/>
              </w:rPr>
            </w:pPr>
            <w:r>
              <w:rPr>
                <w:rFonts w:eastAsiaTheme="minorEastAsia"/>
              </w:rPr>
              <w:t>直接工程费</w:t>
            </w:r>
          </w:p>
        </w:tc>
        <w:tc>
          <w:tcPr>
            <w:tcW w:w="2275" w:type="dxa"/>
            <w:vAlign w:val="center"/>
          </w:tcPr>
          <w:p w14:paraId="017C1DF6">
            <w:pPr>
              <w:jc w:val="center"/>
              <w:rPr>
                <w:rFonts w:eastAsiaTheme="minorEastAsia"/>
              </w:rPr>
            </w:pPr>
            <w:r>
              <w:rPr>
                <w:rFonts w:eastAsiaTheme="minorEastAsia"/>
              </w:rPr>
              <w:t>6</w:t>
            </w:r>
          </w:p>
        </w:tc>
      </w:tr>
      <w:tr w14:paraId="552BB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47" w:type="dxa"/>
            <w:vAlign w:val="center"/>
          </w:tcPr>
          <w:p w14:paraId="4DFDD367">
            <w:pPr>
              <w:jc w:val="center"/>
              <w:rPr>
                <w:rFonts w:eastAsiaTheme="minorEastAsia"/>
              </w:rPr>
            </w:pPr>
            <w:r>
              <w:rPr>
                <w:rFonts w:eastAsiaTheme="minorEastAsia"/>
              </w:rPr>
              <w:t>4</w:t>
            </w:r>
          </w:p>
        </w:tc>
        <w:tc>
          <w:tcPr>
            <w:tcW w:w="2287" w:type="dxa"/>
            <w:vAlign w:val="center"/>
          </w:tcPr>
          <w:p w14:paraId="7A87DF7C">
            <w:pPr>
              <w:jc w:val="center"/>
              <w:rPr>
                <w:rFonts w:eastAsiaTheme="minorEastAsia"/>
              </w:rPr>
            </w:pPr>
            <w:r>
              <w:rPr>
                <w:rFonts w:eastAsiaTheme="minorEastAsia"/>
              </w:rPr>
              <w:t>混凝土工程</w:t>
            </w:r>
          </w:p>
        </w:tc>
        <w:tc>
          <w:tcPr>
            <w:tcW w:w="2515" w:type="dxa"/>
            <w:vAlign w:val="center"/>
          </w:tcPr>
          <w:p w14:paraId="6DD2F5B8">
            <w:pPr>
              <w:jc w:val="center"/>
              <w:rPr>
                <w:rFonts w:eastAsiaTheme="minorEastAsia"/>
              </w:rPr>
            </w:pPr>
            <w:r>
              <w:rPr>
                <w:rFonts w:eastAsiaTheme="minorEastAsia"/>
              </w:rPr>
              <w:t>直接工程费</w:t>
            </w:r>
          </w:p>
        </w:tc>
        <w:tc>
          <w:tcPr>
            <w:tcW w:w="2275" w:type="dxa"/>
            <w:vAlign w:val="center"/>
          </w:tcPr>
          <w:p w14:paraId="2588CD41">
            <w:pPr>
              <w:jc w:val="center"/>
              <w:rPr>
                <w:rFonts w:eastAsiaTheme="minorEastAsia"/>
              </w:rPr>
            </w:pPr>
            <w:r>
              <w:rPr>
                <w:rFonts w:eastAsiaTheme="minorEastAsia"/>
              </w:rPr>
              <w:t>6</w:t>
            </w:r>
          </w:p>
        </w:tc>
      </w:tr>
      <w:tr w14:paraId="74C29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47" w:type="dxa"/>
          </w:tcPr>
          <w:p w14:paraId="1A1E5989">
            <w:pPr>
              <w:jc w:val="center"/>
              <w:rPr>
                <w:rFonts w:eastAsiaTheme="minorEastAsia"/>
              </w:rPr>
            </w:pPr>
            <w:r>
              <w:rPr>
                <w:rFonts w:eastAsiaTheme="minorEastAsia"/>
              </w:rPr>
              <w:t>5</w:t>
            </w:r>
          </w:p>
        </w:tc>
        <w:tc>
          <w:tcPr>
            <w:tcW w:w="2287" w:type="dxa"/>
          </w:tcPr>
          <w:p w14:paraId="2599DBC4">
            <w:pPr>
              <w:jc w:val="center"/>
              <w:rPr>
                <w:rFonts w:eastAsiaTheme="minorEastAsia"/>
              </w:rPr>
            </w:pPr>
            <w:r>
              <w:rPr>
                <w:rFonts w:eastAsiaTheme="minorEastAsia"/>
              </w:rPr>
              <w:t>农用井工程</w:t>
            </w:r>
          </w:p>
        </w:tc>
        <w:tc>
          <w:tcPr>
            <w:tcW w:w="2515" w:type="dxa"/>
          </w:tcPr>
          <w:p w14:paraId="3F08B5D0">
            <w:pPr>
              <w:jc w:val="center"/>
              <w:rPr>
                <w:rFonts w:eastAsiaTheme="minorEastAsia"/>
              </w:rPr>
            </w:pPr>
            <w:r>
              <w:rPr>
                <w:rFonts w:eastAsiaTheme="minorEastAsia"/>
              </w:rPr>
              <w:t>直接工程费</w:t>
            </w:r>
          </w:p>
        </w:tc>
        <w:tc>
          <w:tcPr>
            <w:tcW w:w="2275" w:type="dxa"/>
          </w:tcPr>
          <w:p w14:paraId="576847B4">
            <w:pPr>
              <w:jc w:val="center"/>
              <w:rPr>
                <w:rFonts w:eastAsiaTheme="minorEastAsia"/>
              </w:rPr>
            </w:pPr>
            <w:r>
              <w:rPr>
                <w:rFonts w:eastAsiaTheme="minorEastAsia"/>
              </w:rPr>
              <w:t>9</w:t>
            </w:r>
          </w:p>
        </w:tc>
      </w:tr>
      <w:tr w14:paraId="68C1C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47" w:type="dxa"/>
            <w:vAlign w:val="center"/>
          </w:tcPr>
          <w:p w14:paraId="32EE02D9">
            <w:pPr>
              <w:jc w:val="center"/>
              <w:rPr>
                <w:rFonts w:eastAsiaTheme="minorEastAsia"/>
              </w:rPr>
            </w:pPr>
            <w:r>
              <w:rPr>
                <w:rFonts w:eastAsiaTheme="minorEastAsia"/>
              </w:rPr>
              <w:t>6</w:t>
            </w:r>
          </w:p>
        </w:tc>
        <w:tc>
          <w:tcPr>
            <w:tcW w:w="2287" w:type="dxa"/>
            <w:vAlign w:val="center"/>
          </w:tcPr>
          <w:p w14:paraId="52882A13">
            <w:pPr>
              <w:jc w:val="center"/>
              <w:rPr>
                <w:rFonts w:eastAsiaTheme="minorEastAsia"/>
              </w:rPr>
            </w:pPr>
            <w:r>
              <w:rPr>
                <w:rFonts w:eastAsiaTheme="minorEastAsia"/>
              </w:rPr>
              <w:t>其他工程</w:t>
            </w:r>
          </w:p>
        </w:tc>
        <w:tc>
          <w:tcPr>
            <w:tcW w:w="2515" w:type="dxa"/>
            <w:vAlign w:val="center"/>
          </w:tcPr>
          <w:p w14:paraId="6263A0D9">
            <w:pPr>
              <w:jc w:val="center"/>
              <w:rPr>
                <w:rFonts w:eastAsiaTheme="minorEastAsia"/>
              </w:rPr>
            </w:pPr>
            <w:r>
              <w:rPr>
                <w:rFonts w:eastAsiaTheme="minorEastAsia"/>
              </w:rPr>
              <w:t>直接工程费</w:t>
            </w:r>
          </w:p>
        </w:tc>
        <w:tc>
          <w:tcPr>
            <w:tcW w:w="2275" w:type="dxa"/>
            <w:vAlign w:val="center"/>
          </w:tcPr>
          <w:p w14:paraId="2E1D3107">
            <w:pPr>
              <w:jc w:val="center"/>
              <w:rPr>
                <w:rFonts w:eastAsiaTheme="minorEastAsia"/>
              </w:rPr>
            </w:pPr>
            <w:r>
              <w:rPr>
                <w:rFonts w:eastAsiaTheme="minorEastAsia"/>
              </w:rPr>
              <w:t>6</w:t>
            </w:r>
          </w:p>
        </w:tc>
      </w:tr>
      <w:tr w14:paraId="1F61F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47" w:type="dxa"/>
            <w:vAlign w:val="center"/>
          </w:tcPr>
          <w:p w14:paraId="2186C1B5">
            <w:pPr>
              <w:jc w:val="center"/>
              <w:rPr>
                <w:rFonts w:eastAsiaTheme="minorEastAsia"/>
              </w:rPr>
            </w:pPr>
            <w:r>
              <w:rPr>
                <w:rFonts w:eastAsiaTheme="minorEastAsia"/>
              </w:rPr>
              <w:t>7</w:t>
            </w:r>
          </w:p>
        </w:tc>
        <w:tc>
          <w:tcPr>
            <w:tcW w:w="2287" w:type="dxa"/>
            <w:vAlign w:val="center"/>
          </w:tcPr>
          <w:p w14:paraId="25A830B1">
            <w:pPr>
              <w:jc w:val="center"/>
              <w:rPr>
                <w:rFonts w:eastAsiaTheme="minorEastAsia"/>
              </w:rPr>
            </w:pPr>
            <w:r>
              <w:rPr>
                <w:rFonts w:eastAsiaTheme="minorEastAsia"/>
              </w:rPr>
              <w:t>安装工程</w:t>
            </w:r>
          </w:p>
        </w:tc>
        <w:tc>
          <w:tcPr>
            <w:tcW w:w="2515" w:type="dxa"/>
            <w:vAlign w:val="center"/>
          </w:tcPr>
          <w:p w14:paraId="09CACD96">
            <w:pPr>
              <w:jc w:val="center"/>
              <w:rPr>
                <w:rFonts w:eastAsiaTheme="minorEastAsia"/>
              </w:rPr>
            </w:pPr>
            <w:r>
              <w:rPr>
                <w:rFonts w:eastAsiaTheme="minorEastAsia"/>
              </w:rPr>
              <w:t>人工费</w:t>
            </w:r>
          </w:p>
        </w:tc>
        <w:tc>
          <w:tcPr>
            <w:tcW w:w="2275" w:type="dxa"/>
            <w:vAlign w:val="center"/>
          </w:tcPr>
          <w:p w14:paraId="3B473F8F">
            <w:pPr>
              <w:jc w:val="center"/>
              <w:rPr>
                <w:rFonts w:eastAsiaTheme="minorEastAsia"/>
              </w:rPr>
            </w:pPr>
            <w:r>
              <w:rPr>
                <w:rFonts w:eastAsiaTheme="minorEastAsia"/>
              </w:rPr>
              <w:t>65</w:t>
            </w:r>
          </w:p>
        </w:tc>
      </w:tr>
    </w:tbl>
    <w:p w14:paraId="0E47E356">
      <w:pPr>
        <w:spacing w:line="360" w:lineRule="auto"/>
        <w:ind w:firstLine="480"/>
        <w:rPr>
          <w:rFonts w:eastAsiaTheme="minorEastAsia"/>
          <w:color w:val="000000"/>
          <w:sz w:val="24"/>
        </w:rPr>
      </w:pPr>
      <w:r>
        <w:rPr>
          <w:rFonts w:eastAsiaTheme="minorEastAsia"/>
          <w:color w:val="000000"/>
          <w:sz w:val="24"/>
        </w:rPr>
        <w:t>（3）利润</w:t>
      </w:r>
    </w:p>
    <w:p w14:paraId="27F7618C">
      <w:pPr>
        <w:spacing w:line="360" w:lineRule="auto"/>
        <w:ind w:firstLine="480"/>
        <w:rPr>
          <w:rFonts w:eastAsiaTheme="minorEastAsia"/>
          <w:color w:val="000000"/>
          <w:sz w:val="24"/>
        </w:rPr>
      </w:pPr>
      <w:r>
        <w:rPr>
          <w:rFonts w:eastAsiaTheme="minorEastAsia"/>
          <w:color w:val="000000"/>
          <w:sz w:val="24"/>
        </w:rPr>
        <w:t>指施工企业完成所承包工程获得的盈利。取费依据《四川省土地开发整理项目概算编制规定》标准，按直接费与间接费之和的3%计取。</w:t>
      </w:r>
    </w:p>
    <w:p w14:paraId="370AAB64">
      <w:pPr>
        <w:spacing w:line="360" w:lineRule="auto"/>
        <w:ind w:firstLine="480"/>
        <w:rPr>
          <w:rFonts w:eastAsiaTheme="minorEastAsia"/>
          <w:color w:val="000000"/>
          <w:sz w:val="24"/>
        </w:rPr>
      </w:pPr>
      <w:r>
        <w:rPr>
          <w:rFonts w:eastAsiaTheme="minorEastAsia"/>
          <w:color w:val="000000"/>
          <w:sz w:val="24"/>
        </w:rPr>
        <w:t>（4）税金</w:t>
      </w:r>
    </w:p>
    <w:p w14:paraId="1A6F8A29">
      <w:pPr>
        <w:spacing w:line="360" w:lineRule="auto"/>
        <w:ind w:firstLine="480"/>
        <w:rPr>
          <w:rFonts w:eastAsiaTheme="minorEastAsia"/>
          <w:color w:val="000000"/>
          <w:sz w:val="24"/>
        </w:rPr>
      </w:pPr>
      <w:r>
        <w:rPr>
          <w:rFonts w:eastAsiaTheme="minorEastAsia"/>
          <w:color w:val="000000"/>
          <w:sz w:val="24"/>
        </w:rPr>
        <w:t>依据《关于营业税改增值税后四川省土地开发整理项目预算定额计价规则调整办法》的通知（川国土资发[2017]42号），税金按直接费、间接费、利润之和的9%计算。</w:t>
      </w:r>
    </w:p>
    <w:p w14:paraId="129BF019">
      <w:pPr>
        <w:spacing w:line="360" w:lineRule="auto"/>
        <w:ind w:firstLine="480"/>
        <w:rPr>
          <w:rFonts w:eastAsiaTheme="minorEastAsia"/>
          <w:color w:val="000000"/>
          <w:sz w:val="24"/>
        </w:rPr>
      </w:pPr>
      <w:r>
        <w:rPr>
          <w:rFonts w:eastAsiaTheme="minorEastAsia"/>
          <w:color w:val="000000"/>
          <w:sz w:val="24"/>
        </w:rPr>
        <w:t>2）设备费</w:t>
      </w:r>
    </w:p>
    <w:p w14:paraId="1A3EFF07">
      <w:pPr>
        <w:spacing w:line="360" w:lineRule="auto"/>
        <w:ind w:firstLine="480"/>
        <w:rPr>
          <w:rFonts w:eastAsiaTheme="minorEastAsia"/>
          <w:color w:val="000000"/>
          <w:sz w:val="24"/>
        </w:rPr>
      </w:pPr>
      <w:r>
        <w:rPr>
          <w:rFonts w:eastAsiaTheme="minorEastAsia"/>
          <w:color w:val="000000"/>
          <w:sz w:val="24"/>
        </w:rPr>
        <w:t>本方案不购买仪器设备。</w:t>
      </w:r>
    </w:p>
    <w:p w14:paraId="67107479">
      <w:pPr>
        <w:spacing w:line="360" w:lineRule="auto"/>
        <w:ind w:firstLine="480"/>
        <w:rPr>
          <w:rFonts w:eastAsiaTheme="minorEastAsia"/>
          <w:color w:val="000000"/>
          <w:sz w:val="24"/>
        </w:rPr>
      </w:pPr>
      <w:r>
        <w:rPr>
          <w:rFonts w:eastAsiaTheme="minorEastAsia"/>
          <w:color w:val="000000"/>
          <w:sz w:val="24"/>
        </w:rPr>
        <w:t>3）其它费用</w:t>
      </w:r>
    </w:p>
    <w:p w14:paraId="266D418C">
      <w:pPr>
        <w:spacing w:line="360" w:lineRule="auto"/>
        <w:ind w:firstLine="480"/>
        <w:rPr>
          <w:rFonts w:eastAsiaTheme="minorEastAsia"/>
          <w:color w:val="000000"/>
          <w:sz w:val="24"/>
        </w:rPr>
      </w:pPr>
      <w:r>
        <w:rPr>
          <w:rFonts w:eastAsiaTheme="minorEastAsia"/>
          <w:color w:val="000000"/>
          <w:sz w:val="24"/>
        </w:rPr>
        <w:t>由前期工作费、工程监理费、拆迁补偿费、竣工验收费、业主管理费组成。</w:t>
      </w:r>
    </w:p>
    <w:p w14:paraId="4FC85BFD">
      <w:pPr>
        <w:spacing w:line="360" w:lineRule="auto"/>
        <w:ind w:firstLine="480"/>
        <w:rPr>
          <w:rFonts w:eastAsiaTheme="minorEastAsia"/>
          <w:color w:val="000000"/>
          <w:sz w:val="24"/>
        </w:rPr>
      </w:pPr>
      <w:r>
        <w:rPr>
          <w:rFonts w:eastAsiaTheme="minorEastAsia"/>
          <w:color w:val="000000"/>
          <w:sz w:val="24"/>
        </w:rPr>
        <w:t>（1）前期工作费</w:t>
      </w:r>
    </w:p>
    <w:p w14:paraId="7E88AD35">
      <w:pPr>
        <w:spacing w:line="360" w:lineRule="auto"/>
        <w:ind w:firstLine="480"/>
        <w:rPr>
          <w:rFonts w:eastAsiaTheme="minorEastAsia"/>
          <w:color w:val="000000"/>
          <w:sz w:val="24"/>
        </w:rPr>
      </w:pPr>
      <w:r>
        <w:rPr>
          <w:rFonts w:eastAsiaTheme="minorEastAsia"/>
          <w:color w:val="000000"/>
          <w:sz w:val="24"/>
        </w:rPr>
        <w:t>前期工作费包括土地清查费、项目可行性研究费、项目勘测费、项目设计与概算编制费、项目招标代理费等几项费用；依据《四川省土地开发整理项目预算定额标准》规定进行计算。</w:t>
      </w:r>
    </w:p>
    <w:p w14:paraId="24D451E5">
      <w:pPr>
        <w:spacing w:line="360" w:lineRule="auto"/>
        <w:ind w:firstLine="480"/>
        <w:rPr>
          <w:rFonts w:eastAsiaTheme="minorEastAsia"/>
          <w:color w:val="000000"/>
          <w:sz w:val="24"/>
        </w:rPr>
      </w:pPr>
      <w:r>
        <w:rPr>
          <w:rFonts w:eastAsiaTheme="minorEastAsia"/>
          <w:color w:val="000000"/>
          <w:sz w:val="24"/>
        </w:rPr>
        <w:t>土地清查费取工程施工费0.5%计算。</w:t>
      </w:r>
    </w:p>
    <w:p w14:paraId="7C0CEC7B">
      <w:pPr>
        <w:spacing w:line="360" w:lineRule="auto"/>
        <w:ind w:firstLine="480"/>
        <w:rPr>
          <w:rFonts w:eastAsiaTheme="minorEastAsia"/>
          <w:color w:val="000000"/>
          <w:sz w:val="24"/>
        </w:rPr>
      </w:pPr>
      <w:r>
        <w:rPr>
          <w:rFonts w:eastAsiaTheme="minorEastAsia"/>
          <w:color w:val="000000"/>
          <w:sz w:val="24"/>
        </w:rPr>
        <w:t>项目可行性研究费以工程施工费与设备购置费之和作为计费基数，采用分档定额计费方式计算，在区间内按内插法确定。</w:t>
      </w:r>
    </w:p>
    <w:p w14:paraId="3BE3143B">
      <w:pPr>
        <w:spacing w:line="360" w:lineRule="auto"/>
        <w:ind w:firstLine="480"/>
        <w:rPr>
          <w:rFonts w:eastAsiaTheme="minorEastAsia"/>
          <w:color w:val="000000"/>
          <w:sz w:val="24"/>
        </w:rPr>
      </w:pPr>
      <w:r>
        <w:rPr>
          <w:rFonts w:eastAsiaTheme="minorEastAsia"/>
          <w:color w:val="000000"/>
          <w:sz w:val="24"/>
        </w:rPr>
        <w:t>项目勘测费按工程施工费的1.65%计算。</w:t>
      </w:r>
    </w:p>
    <w:p w14:paraId="0C3808C6">
      <w:pPr>
        <w:spacing w:line="360" w:lineRule="auto"/>
        <w:ind w:firstLine="480"/>
        <w:rPr>
          <w:rFonts w:eastAsiaTheme="minorEastAsia"/>
          <w:color w:val="000000"/>
          <w:sz w:val="24"/>
        </w:rPr>
      </w:pPr>
      <w:r>
        <w:rPr>
          <w:rFonts w:eastAsiaTheme="minorEastAsia"/>
          <w:color w:val="000000"/>
          <w:sz w:val="24"/>
        </w:rPr>
        <w:t>项目设计及估算编制费以工程施工费与设备购置费之和作为计费基数，采用分档定额计费方式计算，在区间内按内插法确定。</w:t>
      </w:r>
    </w:p>
    <w:p w14:paraId="4805B85C">
      <w:pPr>
        <w:spacing w:line="360" w:lineRule="auto"/>
        <w:ind w:firstLine="480"/>
        <w:rPr>
          <w:rFonts w:eastAsiaTheme="minorEastAsia"/>
          <w:color w:val="000000"/>
          <w:sz w:val="24"/>
        </w:rPr>
      </w:pPr>
      <w:r>
        <w:rPr>
          <w:rFonts w:eastAsiaTheme="minorEastAsia"/>
          <w:color w:val="000000"/>
          <w:sz w:val="24"/>
        </w:rPr>
        <w:t>项目招标代理费以工程施工费与设备购置费之和作为计费基数，采用差额定率累进法计算。</w:t>
      </w:r>
    </w:p>
    <w:p w14:paraId="6BCF226C">
      <w:pPr>
        <w:spacing w:line="360" w:lineRule="auto"/>
        <w:ind w:firstLine="480"/>
        <w:rPr>
          <w:rFonts w:eastAsiaTheme="minorEastAsia"/>
          <w:color w:val="000000"/>
          <w:sz w:val="24"/>
        </w:rPr>
      </w:pPr>
      <w:r>
        <w:rPr>
          <w:rFonts w:eastAsiaTheme="minorEastAsia"/>
          <w:color w:val="000000"/>
          <w:sz w:val="24"/>
        </w:rPr>
        <w:t>（2）工程监理费</w:t>
      </w:r>
    </w:p>
    <w:p w14:paraId="2A9BC6EC">
      <w:pPr>
        <w:spacing w:line="360" w:lineRule="auto"/>
        <w:ind w:firstLine="480"/>
        <w:rPr>
          <w:rFonts w:eastAsiaTheme="minorEastAsia"/>
          <w:color w:val="000000"/>
          <w:sz w:val="24"/>
        </w:rPr>
      </w:pPr>
      <w:r>
        <w:rPr>
          <w:rFonts w:eastAsiaTheme="minorEastAsia"/>
          <w:color w:val="000000"/>
          <w:sz w:val="24"/>
        </w:rPr>
        <w:t>以工程施工费与设备购置费之和作为计费基数，采用分档定额计费方式计算，在区间内按内插法确定。</w:t>
      </w:r>
    </w:p>
    <w:p w14:paraId="43B522E4">
      <w:pPr>
        <w:spacing w:line="360" w:lineRule="auto"/>
        <w:ind w:firstLine="480"/>
        <w:rPr>
          <w:rFonts w:eastAsiaTheme="minorEastAsia"/>
          <w:color w:val="000000"/>
          <w:sz w:val="24"/>
        </w:rPr>
      </w:pPr>
      <w:r>
        <w:rPr>
          <w:rFonts w:eastAsiaTheme="minorEastAsia"/>
          <w:color w:val="000000"/>
          <w:sz w:val="24"/>
        </w:rPr>
        <w:t>（3）竣工验收费</w:t>
      </w:r>
    </w:p>
    <w:p w14:paraId="0FDA52DF">
      <w:pPr>
        <w:spacing w:line="360" w:lineRule="auto"/>
        <w:ind w:firstLine="480"/>
        <w:rPr>
          <w:rFonts w:eastAsiaTheme="minorEastAsia"/>
          <w:color w:val="000000"/>
          <w:sz w:val="24"/>
        </w:rPr>
      </w:pPr>
      <w:r>
        <w:rPr>
          <w:rFonts w:eastAsiaTheme="minorEastAsia"/>
          <w:color w:val="000000"/>
          <w:sz w:val="24"/>
        </w:rPr>
        <w:t>竣工验收费包括项目工程验收费、项目决算编制与审计费，整理后土地的重估与登记费，农田补划与标记设定费等。依据《四川省土地开发整理项目预算定额标准》规定，以工程施工费与设备购置费之和作为计费基数，采用差额定率累进法计算。</w:t>
      </w:r>
    </w:p>
    <w:p w14:paraId="09D5785F">
      <w:pPr>
        <w:spacing w:line="360" w:lineRule="auto"/>
        <w:ind w:firstLine="480"/>
        <w:rPr>
          <w:rFonts w:eastAsiaTheme="minorEastAsia"/>
          <w:color w:val="000000"/>
          <w:sz w:val="24"/>
        </w:rPr>
      </w:pPr>
      <w:r>
        <w:rPr>
          <w:rFonts w:eastAsiaTheme="minorEastAsia"/>
          <w:color w:val="000000"/>
          <w:sz w:val="24"/>
        </w:rPr>
        <w:t>（4）业主管理费</w:t>
      </w:r>
    </w:p>
    <w:p w14:paraId="7C76F216">
      <w:pPr>
        <w:spacing w:line="360" w:lineRule="auto"/>
        <w:ind w:firstLine="480"/>
        <w:rPr>
          <w:rFonts w:eastAsiaTheme="minorEastAsia"/>
          <w:color w:val="000000"/>
          <w:sz w:val="24"/>
        </w:rPr>
      </w:pPr>
      <w:r>
        <w:rPr>
          <w:rFonts w:eastAsiaTheme="minorEastAsia"/>
          <w:color w:val="000000"/>
          <w:sz w:val="24"/>
        </w:rPr>
        <w:t>业主管理费以工程施工费、设备购置费、前期工作费、工程监理费、拆迁补偿费和竣工验收费之和作为计费基数，采用差额定率累进法计算。</w:t>
      </w:r>
    </w:p>
    <w:p w14:paraId="3057E19C">
      <w:pPr>
        <w:spacing w:line="360" w:lineRule="auto"/>
        <w:ind w:firstLine="480"/>
        <w:rPr>
          <w:rFonts w:eastAsiaTheme="minorEastAsia"/>
          <w:color w:val="000000"/>
          <w:sz w:val="24"/>
        </w:rPr>
      </w:pPr>
      <w:r>
        <w:rPr>
          <w:rFonts w:eastAsiaTheme="minorEastAsia"/>
          <w:color w:val="000000"/>
          <w:sz w:val="24"/>
        </w:rPr>
        <w:t>4）监测与管护费</w:t>
      </w:r>
    </w:p>
    <w:p w14:paraId="58A1D1E7">
      <w:pPr>
        <w:spacing w:line="360" w:lineRule="auto"/>
        <w:ind w:firstLine="480"/>
        <w:rPr>
          <w:rFonts w:eastAsiaTheme="minorEastAsia"/>
          <w:sz w:val="24"/>
        </w:rPr>
      </w:pPr>
      <w:bookmarkStart w:id="251" w:name="_Toc342245619"/>
      <w:r>
        <w:rPr>
          <w:rFonts w:eastAsiaTheme="minorEastAsia"/>
          <w:sz w:val="24"/>
        </w:rPr>
        <w:t>壤质量监测包括采样费和化验费。每个采样费设计采用1个甲类工用时一个1个工日进行完成。因此采样费为1个点次人工费为50.73元；</w:t>
      </w:r>
    </w:p>
    <w:p w14:paraId="474F4E3B">
      <w:pPr>
        <w:spacing w:line="360" w:lineRule="auto"/>
        <w:ind w:firstLine="480"/>
        <w:rPr>
          <w:rFonts w:eastAsiaTheme="minorEastAsia"/>
          <w:sz w:val="24"/>
        </w:rPr>
      </w:pPr>
      <w:r>
        <w:rPr>
          <w:rFonts w:eastAsiaTheme="minorEastAsia"/>
          <w:sz w:val="24"/>
        </w:rPr>
        <w:t>化验费根据《国土资源调查预算标准（2010试行）》中土壤分析预算标准进行单项计算，本项目区分析项目有复垦区地面坡度、有效土层厚度、pH 值、有机质、全氮、有效磷、速效钾、土壤表层盐分含量,其中，地形坡度和有效土层厚度在工人采样完毕后，对地形坡度和有效土层厚度用罗盘和测量工具进行测量，由于工具很常用，因此不计算成本，且成分中含量监测已在主体工程中执行，本方案不再继续重复计算，根据预算标准中的定额，仅对速效钾和土壤表层盐分进行计算，速效钾单项为50元，土壤表层盐分含量为35.02元，化验费为速效钾单项50元+35.02元=85.02元。</w:t>
      </w:r>
    </w:p>
    <w:p w14:paraId="059224C1">
      <w:pPr>
        <w:spacing w:line="360" w:lineRule="auto"/>
        <w:ind w:firstLine="480"/>
        <w:rPr>
          <w:rFonts w:eastAsiaTheme="minorEastAsia"/>
          <w:sz w:val="24"/>
        </w:rPr>
      </w:pPr>
      <w:r>
        <w:rPr>
          <w:rFonts w:eastAsiaTheme="minorEastAsia"/>
          <w:sz w:val="24"/>
        </w:rPr>
        <w:t>因此每点次综合单价为人工费50.73元/次+化验费85.02元/次=135.75元/次。</w:t>
      </w:r>
    </w:p>
    <w:p w14:paraId="0E3A4903">
      <w:pPr>
        <w:spacing w:line="360" w:lineRule="auto"/>
        <w:ind w:firstLine="480"/>
        <w:rPr>
          <w:rFonts w:eastAsiaTheme="minorEastAsia"/>
          <w:sz w:val="24"/>
        </w:rPr>
      </w:pPr>
      <w:r>
        <w:rPr>
          <w:rFonts w:eastAsiaTheme="minorEastAsia"/>
          <w:sz w:val="24"/>
        </w:rPr>
        <w:t>复垦植被效果监测主要为矿方指派技术人员对复垦植被的成活率等进行巡查，1点次由一个甲类工和一个乙类工在1个工作日即可完成，再额外另附加燃油费等，因此复垦植被效果监测为人工费，1点次综合单价为（55.92+45.87）×1+9.28元=111.07元。</w:t>
      </w:r>
    </w:p>
    <w:p w14:paraId="7B40EAAC">
      <w:pPr>
        <w:spacing w:line="360" w:lineRule="auto"/>
        <w:ind w:firstLine="480"/>
        <w:rPr>
          <w:rFonts w:eastAsiaTheme="minorEastAsia"/>
          <w:color w:val="000000"/>
          <w:sz w:val="24"/>
        </w:rPr>
      </w:pPr>
      <w:r>
        <w:rPr>
          <w:rFonts w:eastAsiaTheme="minorEastAsia"/>
          <w:color w:val="000000"/>
          <w:sz w:val="24"/>
        </w:rPr>
        <w:t>5）</w:t>
      </w:r>
      <w:bookmarkEnd w:id="251"/>
      <w:r>
        <w:rPr>
          <w:rFonts w:eastAsiaTheme="minorEastAsia"/>
          <w:color w:val="000000"/>
          <w:sz w:val="24"/>
        </w:rPr>
        <w:t>不可预见费</w:t>
      </w:r>
    </w:p>
    <w:p w14:paraId="337563CC">
      <w:pPr>
        <w:spacing w:line="360" w:lineRule="auto"/>
        <w:ind w:firstLine="480"/>
        <w:rPr>
          <w:color w:val="000000"/>
          <w:sz w:val="24"/>
        </w:rPr>
      </w:pPr>
      <w:r>
        <w:rPr>
          <w:rFonts w:eastAsiaTheme="minorEastAsia"/>
          <w:color w:val="000000"/>
          <w:sz w:val="24"/>
        </w:rPr>
        <w:t>不可预见费</w:t>
      </w:r>
      <w:r>
        <w:rPr>
          <w:color w:val="000000"/>
          <w:sz w:val="24"/>
        </w:rPr>
        <w:t>根据《四川省土地开发整理项目预算定额标准》规定，并参考《土地复垦方案编制实务》，费率取3%，计算基础为工程施工费、设备费和其它费用三项之和。</w:t>
      </w:r>
    </w:p>
    <w:p w14:paraId="4304592D">
      <w:pPr>
        <w:keepNext/>
        <w:keepLines/>
        <w:adjustRightInd w:val="0"/>
        <w:spacing w:beforeLines="50" w:afterLines="50" w:line="360" w:lineRule="auto"/>
        <w:jc w:val="left"/>
        <w:textAlignment w:val="baseline"/>
        <w:outlineLvl w:val="0"/>
        <w:rPr>
          <w:kern w:val="0"/>
          <w:sz w:val="30"/>
          <w:szCs w:val="30"/>
        </w:rPr>
      </w:pPr>
      <w:bookmarkStart w:id="252" w:name="_Toc43851706"/>
      <w:r>
        <w:rPr>
          <w:kern w:val="0"/>
          <w:sz w:val="30"/>
          <w:szCs w:val="30"/>
        </w:rPr>
        <w:t>二、矿山地质环境与土地复垦总费用构成与汇总</w:t>
      </w:r>
      <w:bookmarkEnd w:id="238"/>
      <w:bookmarkEnd w:id="252"/>
    </w:p>
    <w:p w14:paraId="0C98DEB3">
      <w:pPr>
        <w:spacing w:line="360" w:lineRule="auto"/>
        <w:ind w:firstLine="480" w:firstLineChars="200"/>
        <w:rPr>
          <w:rFonts w:eastAsiaTheme="minorEastAsia"/>
          <w:color w:val="000000" w:themeColor="text1"/>
          <w:sz w:val="24"/>
        </w:rPr>
      </w:pPr>
      <w:r>
        <w:rPr>
          <w:rFonts w:eastAsiaTheme="minorEastAsia"/>
          <w:color w:val="000000" w:themeColor="text1"/>
          <w:sz w:val="24"/>
        </w:rPr>
        <w:t>本项目矿山地质环境保护总投资3.72万元，</w:t>
      </w:r>
      <w:r>
        <w:rPr>
          <w:rStyle w:val="61"/>
          <w:rFonts w:hint="default" w:ascii="Times New Roman" w:hAnsi="Times New Roman" w:eastAsiaTheme="minorEastAsia"/>
          <w:color w:val="000000" w:themeColor="text1"/>
        </w:rPr>
        <w:t>土地复垦静态总投资为29.50万元，</w:t>
      </w:r>
      <w:r>
        <w:rPr>
          <w:rFonts w:eastAsiaTheme="minorEastAsia"/>
          <w:color w:val="000000" w:themeColor="text1"/>
          <w:sz w:val="24"/>
        </w:rPr>
        <w:t>矿山地质环境保护与土地复垦总费用为</w:t>
      </w:r>
      <w:r>
        <w:rPr>
          <w:color w:val="000000" w:themeColor="text1"/>
          <w:sz w:val="24"/>
        </w:rPr>
        <w:t>3</w:t>
      </w:r>
      <w:r>
        <w:rPr>
          <w:rFonts w:hint="eastAsia"/>
          <w:color w:val="000000" w:themeColor="text1"/>
          <w:sz w:val="24"/>
        </w:rPr>
        <w:t>3.22</w:t>
      </w:r>
      <w:r>
        <w:rPr>
          <w:rFonts w:eastAsiaTheme="minorEastAsia"/>
          <w:color w:val="000000" w:themeColor="text1"/>
          <w:sz w:val="24"/>
        </w:rPr>
        <w:t>万元。</w:t>
      </w:r>
    </w:p>
    <w:p w14:paraId="36F79682">
      <w:pPr>
        <w:spacing w:line="360" w:lineRule="auto"/>
        <w:ind w:firstLine="480" w:firstLineChars="200"/>
        <w:rPr>
          <w:color w:val="000000" w:themeColor="text1"/>
          <w:sz w:val="24"/>
          <w:lang w:val="zh-CN"/>
        </w:rPr>
      </w:pPr>
      <w:r>
        <w:rPr>
          <w:color w:val="000000" w:themeColor="text1"/>
          <w:sz w:val="24"/>
          <w:lang w:val="zh-CN"/>
        </w:rPr>
        <w:t>1、矿山地质环境保护与恢复治理</w:t>
      </w:r>
    </w:p>
    <w:p w14:paraId="4C851122">
      <w:pPr>
        <w:spacing w:line="360" w:lineRule="auto"/>
        <w:ind w:firstLine="480" w:firstLineChars="200"/>
        <w:rPr>
          <w:rFonts w:eastAsiaTheme="minorEastAsia"/>
          <w:color w:val="000000" w:themeColor="text1"/>
          <w:sz w:val="24"/>
        </w:rPr>
      </w:pPr>
      <w:r>
        <w:rPr>
          <w:color w:val="000000" w:themeColor="text1"/>
          <w:sz w:val="24"/>
          <w:lang w:val="zh-CN"/>
        </w:rPr>
        <w:t>广元市利州区紫兰建材厂砖瓦用页岩矿矿山地质环境保护与恢复治理方案</w:t>
      </w:r>
      <w:r>
        <w:rPr>
          <w:color w:val="000000" w:themeColor="text1"/>
          <w:sz w:val="24"/>
        </w:rPr>
        <w:t>静态总投资为3.72万元，</w:t>
      </w:r>
      <w:r>
        <w:rPr>
          <w:color w:val="000000" w:themeColor="text1"/>
          <w:sz w:val="24"/>
          <w:lang w:val="zh-CN"/>
        </w:rPr>
        <w:t>包括主体建筑工程费用、施工临时工程费用、矿山地质环境监测工程费、独立费用和预备费五部分。其中，主体建筑工程费为1.79万，矿山地质环境监测工程费0.52万元，独立费用1.14万元，预备费0.28万元</w:t>
      </w:r>
      <w:r>
        <w:rPr>
          <w:rFonts w:eastAsiaTheme="minorEastAsia"/>
          <w:color w:val="000000" w:themeColor="text1"/>
          <w:sz w:val="24"/>
        </w:rPr>
        <w:t>。</w:t>
      </w:r>
    </w:p>
    <w:p w14:paraId="58AE7A9C">
      <w:pPr>
        <w:jc w:val="center"/>
        <w:rPr>
          <w:rFonts w:eastAsiaTheme="minorEastAsia"/>
          <w:b/>
          <w:szCs w:val="21"/>
        </w:rPr>
      </w:pPr>
      <w:r>
        <w:rPr>
          <w:rFonts w:eastAsiaTheme="minorEastAsia"/>
          <w:b/>
          <w:szCs w:val="21"/>
        </w:rPr>
        <w:t>表7-4矿山地质环境治理工程总投资估算表</w:t>
      </w:r>
    </w:p>
    <w:tbl>
      <w:tblPr>
        <w:tblStyle w:val="29"/>
        <w:tblW w:w="8832" w:type="dxa"/>
        <w:jc w:val="center"/>
        <w:tblLayout w:type="autofit"/>
        <w:tblCellMar>
          <w:top w:w="0" w:type="dxa"/>
          <w:left w:w="0" w:type="dxa"/>
          <w:bottom w:w="0" w:type="dxa"/>
          <w:right w:w="0" w:type="dxa"/>
        </w:tblCellMar>
      </w:tblPr>
      <w:tblGrid>
        <w:gridCol w:w="787"/>
        <w:gridCol w:w="3917"/>
        <w:gridCol w:w="1032"/>
        <w:gridCol w:w="1032"/>
        <w:gridCol w:w="1032"/>
        <w:gridCol w:w="1032"/>
      </w:tblGrid>
      <w:tr w14:paraId="654032D4">
        <w:tblPrEx>
          <w:tblCellMar>
            <w:top w:w="0" w:type="dxa"/>
            <w:left w:w="0" w:type="dxa"/>
            <w:bottom w:w="0" w:type="dxa"/>
            <w:right w:w="0" w:type="dxa"/>
          </w:tblCellMar>
        </w:tblPrEx>
        <w:trPr>
          <w:trHeight w:val="347" w:hRule="atLeast"/>
          <w:jc w:val="center"/>
        </w:trPr>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4DAD4634">
            <w:pPr>
              <w:jc w:val="center"/>
              <w:rPr>
                <w:szCs w:val="21"/>
              </w:rPr>
            </w:pPr>
            <w:r>
              <w:rPr>
                <w:szCs w:val="21"/>
              </w:rPr>
              <w:t>序号</w:t>
            </w:r>
          </w:p>
        </w:tc>
        <w:tc>
          <w:tcPr>
            <w:tcW w:w="391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0E453288">
            <w:pPr>
              <w:jc w:val="center"/>
              <w:rPr>
                <w:szCs w:val="21"/>
              </w:rPr>
            </w:pPr>
            <w:r>
              <w:rPr>
                <w:szCs w:val="21"/>
              </w:rPr>
              <w:t>工程或费用名称</w:t>
            </w:r>
          </w:p>
        </w:tc>
        <w:tc>
          <w:tcPr>
            <w:tcW w:w="1032"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3AB49418">
            <w:pPr>
              <w:jc w:val="center"/>
              <w:rPr>
                <w:szCs w:val="21"/>
              </w:rPr>
            </w:pPr>
            <w:r>
              <w:rPr>
                <w:szCs w:val="21"/>
              </w:rPr>
              <w:t>建安</w:t>
            </w:r>
            <w:r>
              <w:rPr>
                <w:szCs w:val="21"/>
              </w:rPr>
              <w:br w:type="textWrapping"/>
            </w:r>
            <w:r>
              <w:rPr>
                <w:szCs w:val="21"/>
              </w:rPr>
              <w:t>工程费</w:t>
            </w:r>
          </w:p>
        </w:tc>
        <w:tc>
          <w:tcPr>
            <w:tcW w:w="1032"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4997C02A">
            <w:pPr>
              <w:jc w:val="center"/>
              <w:rPr>
                <w:szCs w:val="21"/>
              </w:rPr>
            </w:pPr>
            <w:r>
              <w:rPr>
                <w:szCs w:val="21"/>
              </w:rPr>
              <w:t>独立</w:t>
            </w:r>
            <w:r>
              <w:rPr>
                <w:szCs w:val="21"/>
              </w:rPr>
              <w:br w:type="textWrapping"/>
            </w:r>
            <w:r>
              <w:rPr>
                <w:szCs w:val="21"/>
              </w:rPr>
              <w:t>费用</w:t>
            </w:r>
          </w:p>
        </w:tc>
        <w:tc>
          <w:tcPr>
            <w:tcW w:w="1032"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4652A70C">
            <w:pPr>
              <w:jc w:val="center"/>
              <w:rPr>
                <w:szCs w:val="21"/>
              </w:rPr>
            </w:pPr>
            <w:r>
              <w:rPr>
                <w:szCs w:val="21"/>
              </w:rPr>
              <w:t>合计</w:t>
            </w:r>
          </w:p>
        </w:tc>
        <w:tc>
          <w:tcPr>
            <w:tcW w:w="1032"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62C3ED5A">
            <w:pPr>
              <w:jc w:val="center"/>
              <w:rPr>
                <w:szCs w:val="21"/>
              </w:rPr>
            </w:pPr>
            <w:r>
              <w:rPr>
                <w:szCs w:val="21"/>
              </w:rPr>
              <w:t>占一至五部分投资（%）</w:t>
            </w:r>
          </w:p>
        </w:tc>
      </w:tr>
      <w:tr w14:paraId="2D5937A1">
        <w:tblPrEx>
          <w:tblCellMar>
            <w:top w:w="0" w:type="dxa"/>
            <w:left w:w="0" w:type="dxa"/>
            <w:bottom w:w="0" w:type="dxa"/>
            <w:right w:w="0" w:type="dxa"/>
          </w:tblCellMar>
        </w:tblPrEx>
        <w:trPr>
          <w:trHeight w:val="347"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767D535D">
            <w:pPr>
              <w:rPr>
                <w:szCs w:val="21"/>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2EA424F3">
            <w:pPr>
              <w:rPr>
                <w:szCs w:val="21"/>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708A2C93">
            <w:pPr>
              <w:rPr>
                <w:szCs w:val="21"/>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7CBD5AD4">
            <w:pPr>
              <w:rPr>
                <w:szCs w:val="21"/>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030C9577">
            <w:pPr>
              <w:rPr>
                <w:szCs w:val="21"/>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1CCB43D3">
            <w:pPr>
              <w:rPr>
                <w:szCs w:val="21"/>
              </w:rPr>
            </w:pPr>
          </w:p>
        </w:tc>
      </w:tr>
      <w:tr w14:paraId="3308A6E6">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17D6E77D">
            <w:pPr>
              <w:jc w:val="center"/>
              <w:rPr>
                <w:szCs w:val="21"/>
              </w:rPr>
            </w:pPr>
            <w:r>
              <w:rPr>
                <w:szCs w:val="21"/>
              </w:rPr>
              <w:t>Ⅰ</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47273131">
            <w:pPr>
              <w:jc w:val="center"/>
              <w:rPr>
                <w:szCs w:val="21"/>
              </w:rPr>
            </w:pPr>
            <w:r>
              <w:rPr>
                <w:szCs w:val="21"/>
              </w:rPr>
              <w:t>第一部分主体建筑工程</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1F49250">
            <w:pPr>
              <w:jc w:val="center"/>
              <w:rPr>
                <w:szCs w:val="21"/>
              </w:rPr>
            </w:pPr>
            <w:r>
              <w:rPr>
                <w:szCs w:val="21"/>
              </w:rPr>
              <w:t>1.79</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1652C181">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835BD82">
            <w:pPr>
              <w:jc w:val="center"/>
              <w:rPr>
                <w:szCs w:val="21"/>
              </w:rPr>
            </w:pPr>
            <w:r>
              <w:rPr>
                <w:szCs w:val="21"/>
              </w:rPr>
              <w:t>1.79</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5B280E9A">
            <w:pPr>
              <w:jc w:val="center"/>
              <w:rPr>
                <w:szCs w:val="21"/>
              </w:rPr>
            </w:pPr>
            <w:r>
              <w:rPr>
                <w:szCs w:val="21"/>
              </w:rPr>
              <w:t>51.85%</w:t>
            </w:r>
          </w:p>
        </w:tc>
      </w:tr>
      <w:tr w14:paraId="197718AE">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313C6C5E">
            <w:pPr>
              <w:jc w:val="center"/>
              <w:rPr>
                <w:szCs w:val="21"/>
              </w:rPr>
            </w:pPr>
            <w:r>
              <w:rPr>
                <w:szCs w:val="21"/>
              </w:rPr>
              <w:t>Ⅱ</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04BE86E1">
            <w:pPr>
              <w:jc w:val="center"/>
              <w:rPr>
                <w:szCs w:val="21"/>
              </w:rPr>
            </w:pPr>
            <w:r>
              <w:rPr>
                <w:szCs w:val="21"/>
              </w:rPr>
              <w:t>第二部分施工临时工程</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F81F3E1">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564AB9A0">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5519D16A">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7B03193E">
            <w:pPr>
              <w:jc w:val="center"/>
              <w:rPr>
                <w:szCs w:val="21"/>
              </w:rPr>
            </w:pPr>
            <w:r>
              <w:rPr>
                <w:szCs w:val="21"/>
              </w:rPr>
              <w:t>　</w:t>
            </w:r>
          </w:p>
        </w:tc>
      </w:tr>
      <w:tr w14:paraId="4C35BD31">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5F52FE1E">
            <w:pPr>
              <w:jc w:val="center"/>
              <w:rPr>
                <w:szCs w:val="21"/>
              </w:rPr>
            </w:pPr>
            <w:r>
              <w:rPr>
                <w:szCs w:val="21"/>
              </w:rPr>
              <w:t>Ⅲ</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6D69D953">
            <w:pPr>
              <w:jc w:val="center"/>
              <w:rPr>
                <w:szCs w:val="21"/>
              </w:rPr>
            </w:pPr>
            <w:r>
              <w:rPr>
                <w:szCs w:val="21"/>
              </w:rPr>
              <w:t>第三部分矿山地质环境监测工程费</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58F29755">
            <w:pPr>
              <w:jc w:val="center"/>
              <w:rPr>
                <w:szCs w:val="21"/>
              </w:rPr>
            </w:pPr>
            <w:r>
              <w:rPr>
                <w:szCs w:val="21"/>
              </w:rPr>
              <w:t>0.52</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5293744">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082F1A4B">
            <w:pPr>
              <w:jc w:val="center"/>
              <w:rPr>
                <w:szCs w:val="21"/>
              </w:rPr>
            </w:pPr>
            <w:r>
              <w:rPr>
                <w:szCs w:val="21"/>
              </w:rPr>
              <w:t>0.52</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7F1620C">
            <w:pPr>
              <w:jc w:val="center"/>
              <w:rPr>
                <w:szCs w:val="21"/>
              </w:rPr>
            </w:pPr>
            <w:r>
              <w:rPr>
                <w:szCs w:val="21"/>
              </w:rPr>
              <w:t>15.08%</w:t>
            </w:r>
          </w:p>
        </w:tc>
      </w:tr>
      <w:tr w14:paraId="57DC5406">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29C3773A">
            <w:pPr>
              <w:jc w:val="center"/>
              <w:rPr>
                <w:szCs w:val="21"/>
              </w:rPr>
            </w:pPr>
            <w:r>
              <w:rPr>
                <w:szCs w:val="21"/>
              </w:rPr>
              <w:t>Ⅳ</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74022DD5">
            <w:pPr>
              <w:jc w:val="center"/>
              <w:rPr>
                <w:szCs w:val="21"/>
              </w:rPr>
            </w:pPr>
            <w:r>
              <w:rPr>
                <w:szCs w:val="21"/>
              </w:rPr>
              <w:t>第四部分独立费</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188130B1">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7608393D">
            <w:pPr>
              <w:jc w:val="center"/>
              <w:rPr>
                <w:szCs w:val="21"/>
              </w:rPr>
            </w:pPr>
            <w:r>
              <w:rPr>
                <w:szCs w:val="21"/>
              </w:rPr>
              <w:t>1.14</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6029E407">
            <w:pPr>
              <w:jc w:val="center"/>
              <w:rPr>
                <w:szCs w:val="21"/>
              </w:rPr>
            </w:pPr>
            <w:r>
              <w:rPr>
                <w:szCs w:val="21"/>
              </w:rPr>
              <w:t>1.14</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F07AAF6">
            <w:pPr>
              <w:jc w:val="center"/>
              <w:rPr>
                <w:szCs w:val="21"/>
              </w:rPr>
            </w:pPr>
            <w:r>
              <w:rPr>
                <w:szCs w:val="21"/>
              </w:rPr>
              <w:t>33.07%</w:t>
            </w:r>
          </w:p>
        </w:tc>
      </w:tr>
      <w:tr w14:paraId="56C6E051">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6860F1A8">
            <w:pPr>
              <w:jc w:val="center"/>
              <w:rPr>
                <w:szCs w:val="21"/>
              </w:rPr>
            </w:pPr>
            <w:r>
              <w:rPr>
                <w:szCs w:val="21"/>
              </w:rPr>
              <w:t>Ⅴ</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5889C3CD">
            <w:pPr>
              <w:jc w:val="center"/>
              <w:rPr>
                <w:szCs w:val="21"/>
              </w:rPr>
            </w:pPr>
            <w:r>
              <w:rPr>
                <w:szCs w:val="21"/>
              </w:rPr>
              <w:t>第五部分预备费</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21B7938A">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03C90044">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41421C8E">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5F3D0A65">
            <w:pPr>
              <w:jc w:val="center"/>
              <w:rPr>
                <w:szCs w:val="21"/>
              </w:rPr>
            </w:pPr>
            <w:r>
              <w:rPr>
                <w:szCs w:val="21"/>
              </w:rPr>
              <w:t>　</w:t>
            </w:r>
          </w:p>
        </w:tc>
      </w:tr>
      <w:tr w14:paraId="58CE42FD">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40BE1E96">
            <w:pPr>
              <w:jc w:val="center"/>
              <w:rPr>
                <w:szCs w:val="21"/>
              </w:rPr>
            </w:pPr>
            <w:r>
              <w:rPr>
                <w:szCs w:val="21"/>
              </w:rPr>
              <w:t>　</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23EBE87D">
            <w:pPr>
              <w:jc w:val="center"/>
              <w:rPr>
                <w:szCs w:val="21"/>
              </w:rPr>
            </w:pPr>
            <w:r>
              <w:rPr>
                <w:szCs w:val="21"/>
              </w:rPr>
              <w:t>一至三部分投资合计</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10A46C50">
            <w:pPr>
              <w:jc w:val="center"/>
              <w:rPr>
                <w:szCs w:val="21"/>
              </w:rPr>
            </w:pPr>
            <w:r>
              <w:rPr>
                <w:szCs w:val="21"/>
              </w:rPr>
              <w:t>2.31</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0DF614B7">
            <w:pPr>
              <w:jc w:val="center"/>
              <w:rPr>
                <w:szCs w:val="21"/>
              </w:rPr>
            </w:pPr>
            <w:r>
              <w:rPr>
                <w:szCs w:val="21"/>
              </w:rPr>
              <w:t>1.14</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2360149D">
            <w:pPr>
              <w:jc w:val="center"/>
              <w:rPr>
                <w:szCs w:val="21"/>
              </w:rPr>
            </w:pPr>
            <w:r>
              <w:rPr>
                <w:szCs w:val="21"/>
              </w:rPr>
              <w:t>3.45</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052F86F7">
            <w:pPr>
              <w:jc w:val="center"/>
              <w:rPr>
                <w:szCs w:val="21"/>
              </w:rPr>
            </w:pPr>
            <w:r>
              <w:rPr>
                <w:szCs w:val="21"/>
              </w:rPr>
              <w:t>　</w:t>
            </w:r>
          </w:p>
        </w:tc>
      </w:tr>
      <w:tr w14:paraId="1DA823F8">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24B99B4E">
            <w:pPr>
              <w:jc w:val="center"/>
              <w:rPr>
                <w:szCs w:val="21"/>
              </w:rPr>
            </w:pPr>
            <w:r>
              <w:rPr>
                <w:szCs w:val="21"/>
              </w:rPr>
              <w:t>　</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62C5E751">
            <w:pPr>
              <w:jc w:val="center"/>
              <w:rPr>
                <w:szCs w:val="21"/>
              </w:rPr>
            </w:pPr>
            <w:r>
              <w:rPr>
                <w:szCs w:val="21"/>
              </w:rPr>
              <w:t>基本预备费</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756AF848">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45BAE10C">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19A49ABD">
            <w:pPr>
              <w:jc w:val="center"/>
              <w:rPr>
                <w:szCs w:val="21"/>
              </w:rPr>
            </w:pPr>
            <w:r>
              <w:rPr>
                <w:szCs w:val="21"/>
              </w:rPr>
              <w:t>0.28</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2D26E94">
            <w:pPr>
              <w:jc w:val="center"/>
              <w:rPr>
                <w:szCs w:val="21"/>
              </w:rPr>
            </w:pPr>
            <w:r>
              <w:rPr>
                <w:szCs w:val="21"/>
              </w:rPr>
              <w:t>　</w:t>
            </w:r>
          </w:p>
        </w:tc>
      </w:tr>
      <w:tr w14:paraId="6DE6A316">
        <w:tblPrEx>
          <w:tblCellMar>
            <w:top w:w="0" w:type="dxa"/>
            <w:left w:w="0" w:type="dxa"/>
            <w:bottom w:w="0" w:type="dxa"/>
            <w:right w:w="0" w:type="dxa"/>
          </w:tblCellMar>
        </w:tblPrEx>
        <w:trPr>
          <w:trHeight w:val="347" w:hRule="atLeast"/>
          <w:jc w:val="center"/>
        </w:trPr>
        <w:tc>
          <w:tcPr>
            <w:tcW w:w="787" w:type="dxa"/>
            <w:tcBorders>
              <w:top w:val="nil"/>
              <w:left w:val="single" w:color="000000" w:sz="4" w:space="0"/>
              <w:bottom w:val="single" w:color="000000" w:sz="4" w:space="0"/>
              <w:right w:val="single" w:color="000000" w:sz="4" w:space="0"/>
            </w:tcBorders>
            <w:shd w:val="clear" w:color="auto" w:fill="auto"/>
            <w:tcMar>
              <w:top w:w="15" w:type="dxa"/>
              <w:left w:w="15" w:type="dxa"/>
              <w:bottom w:w="0" w:type="dxa"/>
              <w:right w:w="15" w:type="dxa"/>
            </w:tcMar>
            <w:vAlign w:val="center"/>
          </w:tcPr>
          <w:p w14:paraId="3FAEF787">
            <w:pPr>
              <w:jc w:val="center"/>
              <w:rPr>
                <w:szCs w:val="21"/>
              </w:rPr>
            </w:pPr>
            <w:r>
              <w:rPr>
                <w:szCs w:val="21"/>
              </w:rPr>
              <w:t>　</w:t>
            </w:r>
          </w:p>
        </w:tc>
        <w:tc>
          <w:tcPr>
            <w:tcW w:w="3917"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4D70A45">
            <w:pPr>
              <w:jc w:val="center"/>
              <w:rPr>
                <w:szCs w:val="21"/>
              </w:rPr>
            </w:pPr>
            <w:r>
              <w:rPr>
                <w:szCs w:val="21"/>
              </w:rPr>
              <w:t>静态总投资</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36DDC0C4">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7F7A7EC4">
            <w:pPr>
              <w:jc w:val="center"/>
              <w:rPr>
                <w:szCs w:val="21"/>
              </w:rPr>
            </w:pPr>
            <w:r>
              <w:rPr>
                <w:szCs w:val="21"/>
              </w:rPr>
              <w:t>　</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2035A77E">
            <w:pPr>
              <w:jc w:val="center"/>
              <w:rPr>
                <w:szCs w:val="21"/>
              </w:rPr>
            </w:pPr>
            <w:r>
              <w:rPr>
                <w:szCs w:val="21"/>
              </w:rPr>
              <w:t>3.72</w:t>
            </w:r>
          </w:p>
        </w:tc>
        <w:tc>
          <w:tcPr>
            <w:tcW w:w="1032" w:type="dxa"/>
            <w:tcBorders>
              <w:top w:val="nil"/>
              <w:left w:val="nil"/>
              <w:bottom w:val="single" w:color="000000" w:sz="4" w:space="0"/>
              <w:right w:val="single" w:color="000000" w:sz="4" w:space="0"/>
            </w:tcBorders>
            <w:shd w:val="clear" w:color="auto" w:fill="auto"/>
            <w:tcMar>
              <w:top w:w="15" w:type="dxa"/>
              <w:left w:w="15" w:type="dxa"/>
              <w:bottom w:w="0" w:type="dxa"/>
              <w:right w:w="15" w:type="dxa"/>
            </w:tcMar>
            <w:vAlign w:val="center"/>
          </w:tcPr>
          <w:p w14:paraId="6036E05B">
            <w:pPr>
              <w:jc w:val="center"/>
              <w:rPr>
                <w:szCs w:val="21"/>
              </w:rPr>
            </w:pPr>
            <w:r>
              <w:rPr>
                <w:szCs w:val="21"/>
              </w:rPr>
              <w:t>　</w:t>
            </w:r>
          </w:p>
        </w:tc>
      </w:tr>
    </w:tbl>
    <w:p w14:paraId="140E2CCB">
      <w:pPr>
        <w:spacing w:line="360" w:lineRule="auto"/>
        <w:ind w:firstLine="480" w:firstLineChars="200"/>
        <w:rPr>
          <w:sz w:val="24"/>
          <w:lang w:val="zh-CN"/>
        </w:rPr>
      </w:pPr>
      <w:r>
        <w:rPr>
          <w:sz w:val="24"/>
          <w:lang w:val="zh-CN"/>
        </w:rPr>
        <w:t>2、土地复垦</w:t>
      </w:r>
    </w:p>
    <w:p w14:paraId="25890117">
      <w:pPr>
        <w:spacing w:line="360" w:lineRule="auto"/>
        <w:ind w:firstLine="480" w:firstLineChars="200"/>
        <w:rPr>
          <w:sz w:val="24"/>
          <w:lang w:val="zh-CN"/>
        </w:rPr>
      </w:pPr>
      <w:r>
        <w:rPr>
          <w:sz w:val="24"/>
          <w:lang w:val="zh-CN"/>
        </w:rPr>
        <w:t>本项目土地复垦工程由土壤重构工程、生物及化学工程、植被重建工程、监测及管护等工程构成，</w:t>
      </w:r>
      <w:r>
        <w:rPr>
          <w:rStyle w:val="61"/>
          <w:rFonts w:hint="default" w:ascii="Times New Roman" w:hAnsi="Times New Roman"/>
        </w:rPr>
        <w:t>详见表7-5。</w:t>
      </w:r>
    </w:p>
    <w:p w14:paraId="39F065CF">
      <w:pPr>
        <w:spacing w:line="360" w:lineRule="auto"/>
        <w:ind w:firstLine="480" w:firstLineChars="200"/>
        <w:rPr>
          <w:rStyle w:val="61"/>
          <w:rFonts w:hint="default" w:ascii="Times New Roman" w:hAnsi="Times New Roman" w:eastAsiaTheme="minorEastAsia"/>
        </w:rPr>
      </w:pPr>
      <w:r>
        <w:rPr>
          <w:rStyle w:val="61"/>
          <w:rFonts w:hint="default" w:ascii="Times New Roman" w:hAnsi="Times New Roman"/>
        </w:rPr>
        <w:t>本项目土</w:t>
      </w:r>
      <w:r>
        <w:rPr>
          <w:color w:val="000000"/>
          <w:sz w:val="24"/>
          <w:lang w:val="zh-CN"/>
        </w:rPr>
        <w:t>地复垦静态</w:t>
      </w:r>
      <w:r>
        <w:rPr>
          <w:color w:val="000000"/>
          <w:sz w:val="24"/>
        </w:rPr>
        <w:t>总投资为29.50万元</w:t>
      </w:r>
      <w:r>
        <w:rPr>
          <w:rStyle w:val="61"/>
          <w:rFonts w:hint="default" w:ascii="Times New Roman" w:hAnsi="Times New Roman"/>
        </w:rPr>
        <w:t>。其中：工程施工费</w:t>
      </w:r>
      <w:r>
        <w:rPr>
          <w:color w:val="000000"/>
          <w:sz w:val="24"/>
        </w:rPr>
        <w:t>24.99</w:t>
      </w:r>
      <w:r>
        <w:rPr>
          <w:rStyle w:val="61"/>
          <w:rFonts w:hint="default" w:ascii="Times New Roman" w:hAnsi="Times New Roman"/>
        </w:rPr>
        <w:t>万元、其他费用</w:t>
      </w:r>
      <w:r>
        <w:rPr>
          <w:color w:val="000000"/>
          <w:sz w:val="24"/>
        </w:rPr>
        <w:t>3.27</w:t>
      </w:r>
      <w:r>
        <w:rPr>
          <w:rStyle w:val="61"/>
          <w:rFonts w:hint="default" w:ascii="Times New Roman" w:hAnsi="Times New Roman"/>
        </w:rPr>
        <w:t>万元、监测与管护费0.39万元、预备费</w:t>
      </w:r>
      <w:r>
        <w:rPr>
          <w:color w:val="000000"/>
          <w:sz w:val="24"/>
        </w:rPr>
        <w:t>0.85</w:t>
      </w:r>
      <w:r>
        <w:rPr>
          <w:rStyle w:val="61"/>
          <w:rFonts w:hint="default" w:ascii="Times New Roman" w:hAnsi="Times New Roman"/>
        </w:rPr>
        <w:t>万元。</w:t>
      </w:r>
      <w:r>
        <w:rPr>
          <w:sz w:val="24"/>
          <w:lang w:val="zh-CN"/>
        </w:rPr>
        <w:t>本项目复垦面积为</w:t>
      </w:r>
      <w:r>
        <w:rPr>
          <w:sz w:val="24"/>
        </w:rPr>
        <w:t>2.4148</w:t>
      </w:r>
      <w:r>
        <w:rPr>
          <w:sz w:val="24"/>
          <w:lang w:val="zh-CN"/>
        </w:rPr>
        <w:t>hm</w:t>
      </w:r>
      <w:r>
        <w:rPr>
          <w:sz w:val="24"/>
          <w:vertAlign w:val="superscript"/>
          <w:lang w:val="zh-CN"/>
        </w:rPr>
        <w:t>2</w:t>
      </w:r>
      <w:r>
        <w:rPr>
          <w:sz w:val="24"/>
          <w:lang w:val="zh-CN"/>
        </w:rPr>
        <w:t>，静态亩均投资为8144.2元/亩</w:t>
      </w:r>
      <w:r>
        <w:rPr>
          <w:rStyle w:val="61"/>
          <w:rFonts w:hint="default" w:ascii="Times New Roman" w:hAnsi="Times New Roman" w:eastAsiaTheme="minorEastAsia"/>
        </w:rPr>
        <w:t>。</w:t>
      </w:r>
    </w:p>
    <w:p w14:paraId="52176395">
      <w:pPr>
        <w:jc w:val="center"/>
        <w:rPr>
          <w:rFonts w:eastAsiaTheme="minorEastAsia"/>
          <w:b/>
          <w:szCs w:val="21"/>
        </w:rPr>
      </w:pPr>
      <w:r>
        <w:rPr>
          <w:rFonts w:eastAsiaTheme="minorEastAsia"/>
          <w:b/>
          <w:szCs w:val="21"/>
        </w:rPr>
        <w:t>表7-5土地复垦项目投资结构表</w:t>
      </w:r>
    </w:p>
    <w:tbl>
      <w:tblPr>
        <w:tblStyle w:val="29"/>
        <w:tblW w:w="8889" w:type="dxa"/>
        <w:jc w:val="center"/>
        <w:tblLayout w:type="autofit"/>
        <w:tblCellMar>
          <w:top w:w="0" w:type="dxa"/>
          <w:left w:w="108" w:type="dxa"/>
          <w:bottom w:w="0" w:type="dxa"/>
          <w:right w:w="108" w:type="dxa"/>
        </w:tblCellMar>
      </w:tblPr>
      <w:tblGrid>
        <w:gridCol w:w="1075"/>
        <w:gridCol w:w="3630"/>
        <w:gridCol w:w="4184"/>
      </w:tblGrid>
      <w:tr w14:paraId="18BDB8BE">
        <w:tblPrEx>
          <w:tblCellMar>
            <w:top w:w="0" w:type="dxa"/>
            <w:left w:w="108" w:type="dxa"/>
            <w:bottom w:w="0" w:type="dxa"/>
            <w:right w:w="108" w:type="dxa"/>
          </w:tblCellMar>
        </w:tblPrEx>
        <w:trPr>
          <w:trHeight w:val="647" w:hRule="atLeast"/>
          <w:tblHeader/>
          <w:jc w:val="center"/>
        </w:trPr>
        <w:tc>
          <w:tcPr>
            <w:tcW w:w="1075" w:type="dxa"/>
            <w:tcBorders>
              <w:top w:val="single" w:color="auto" w:sz="8" w:space="0"/>
              <w:left w:val="single" w:color="auto" w:sz="8" w:space="0"/>
              <w:bottom w:val="single" w:color="auto" w:sz="4" w:space="0"/>
              <w:right w:val="single" w:color="auto" w:sz="4" w:space="0"/>
            </w:tcBorders>
            <w:shd w:val="clear" w:color="000000" w:fill="FFFFFF"/>
            <w:vAlign w:val="center"/>
          </w:tcPr>
          <w:p w14:paraId="5C43D1CF">
            <w:pPr>
              <w:widowControl/>
              <w:jc w:val="center"/>
              <w:rPr>
                <w:color w:val="000000"/>
                <w:kern w:val="0"/>
                <w:szCs w:val="21"/>
              </w:rPr>
            </w:pPr>
            <w:bookmarkStart w:id="253" w:name="_Toc43851707"/>
            <w:r>
              <w:rPr>
                <w:color w:val="000000"/>
                <w:kern w:val="0"/>
                <w:szCs w:val="21"/>
              </w:rPr>
              <w:t>序号</w:t>
            </w:r>
          </w:p>
        </w:tc>
        <w:tc>
          <w:tcPr>
            <w:tcW w:w="3630" w:type="dxa"/>
            <w:tcBorders>
              <w:top w:val="single" w:color="auto" w:sz="8" w:space="0"/>
              <w:left w:val="nil"/>
              <w:bottom w:val="single" w:color="auto" w:sz="4" w:space="0"/>
              <w:right w:val="single" w:color="auto" w:sz="4" w:space="0"/>
            </w:tcBorders>
            <w:shd w:val="clear" w:color="000000" w:fill="FFFFFF"/>
            <w:vAlign w:val="center"/>
          </w:tcPr>
          <w:p w14:paraId="43F08CC6">
            <w:pPr>
              <w:widowControl/>
              <w:jc w:val="center"/>
              <w:rPr>
                <w:color w:val="000000"/>
                <w:kern w:val="0"/>
                <w:szCs w:val="21"/>
              </w:rPr>
            </w:pPr>
            <w:r>
              <w:rPr>
                <w:color w:val="000000"/>
                <w:kern w:val="0"/>
                <w:szCs w:val="21"/>
              </w:rPr>
              <w:t>工程或费用名称</w:t>
            </w:r>
          </w:p>
        </w:tc>
        <w:tc>
          <w:tcPr>
            <w:tcW w:w="4184" w:type="dxa"/>
            <w:tcBorders>
              <w:top w:val="single" w:color="auto" w:sz="8" w:space="0"/>
              <w:left w:val="nil"/>
              <w:bottom w:val="single" w:color="auto" w:sz="4" w:space="0"/>
              <w:right w:val="single" w:color="auto" w:sz="4" w:space="0"/>
            </w:tcBorders>
            <w:shd w:val="clear" w:color="000000" w:fill="FFFFFF"/>
            <w:vAlign w:val="center"/>
          </w:tcPr>
          <w:p w14:paraId="6D94E97A">
            <w:pPr>
              <w:widowControl/>
              <w:jc w:val="center"/>
              <w:rPr>
                <w:color w:val="000000"/>
                <w:kern w:val="0"/>
                <w:szCs w:val="21"/>
              </w:rPr>
            </w:pPr>
            <w:r>
              <w:rPr>
                <w:color w:val="000000"/>
                <w:kern w:val="0"/>
                <w:szCs w:val="21"/>
              </w:rPr>
              <w:t>费用／万元</w:t>
            </w:r>
          </w:p>
        </w:tc>
      </w:tr>
      <w:tr w14:paraId="1A5AD252">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17A51565">
            <w:pPr>
              <w:widowControl/>
              <w:jc w:val="center"/>
              <w:rPr>
                <w:color w:val="000000"/>
                <w:kern w:val="0"/>
                <w:szCs w:val="21"/>
              </w:rPr>
            </w:pPr>
            <w:r>
              <w:rPr>
                <w:color w:val="000000"/>
                <w:kern w:val="0"/>
                <w:szCs w:val="21"/>
              </w:rPr>
              <w:t>一</w:t>
            </w:r>
          </w:p>
        </w:tc>
        <w:tc>
          <w:tcPr>
            <w:tcW w:w="3630" w:type="dxa"/>
            <w:tcBorders>
              <w:top w:val="nil"/>
              <w:left w:val="nil"/>
              <w:bottom w:val="single" w:color="auto" w:sz="4" w:space="0"/>
              <w:right w:val="single" w:color="auto" w:sz="4" w:space="0"/>
            </w:tcBorders>
            <w:shd w:val="clear" w:color="000000" w:fill="FFFFFF"/>
            <w:vAlign w:val="center"/>
          </w:tcPr>
          <w:p w14:paraId="70FF5D57">
            <w:pPr>
              <w:widowControl/>
              <w:jc w:val="center"/>
              <w:rPr>
                <w:color w:val="000000"/>
                <w:kern w:val="0"/>
                <w:szCs w:val="21"/>
              </w:rPr>
            </w:pPr>
            <w:r>
              <w:rPr>
                <w:color w:val="000000"/>
                <w:kern w:val="0"/>
                <w:szCs w:val="21"/>
              </w:rPr>
              <w:t>工程施工费</w:t>
            </w:r>
          </w:p>
        </w:tc>
        <w:tc>
          <w:tcPr>
            <w:tcW w:w="4184" w:type="dxa"/>
            <w:tcBorders>
              <w:top w:val="nil"/>
              <w:left w:val="nil"/>
              <w:bottom w:val="single" w:color="auto" w:sz="4" w:space="0"/>
              <w:right w:val="single" w:color="auto" w:sz="4" w:space="0"/>
            </w:tcBorders>
            <w:shd w:val="clear" w:color="000000" w:fill="FFFFFF"/>
            <w:vAlign w:val="center"/>
          </w:tcPr>
          <w:p w14:paraId="666079FE">
            <w:pPr>
              <w:widowControl/>
              <w:jc w:val="center"/>
              <w:rPr>
                <w:color w:val="000000"/>
                <w:kern w:val="0"/>
                <w:szCs w:val="21"/>
              </w:rPr>
            </w:pPr>
            <w:r>
              <w:rPr>
                <w:color w:val="000000"/>
                <w:kern w:val="0"/>
                <w:szCs w:val="21"/>
              </w:rPr>
              <w:t>24.99</w:t>
            </w:r>
          </w:p>
        </w:tc>
      </w:tr>
      <w:tr w14:paraId="0D90FEDF">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297D58CE">
            <w:pPr>
              <w:widowControl/>
              <w:jc w:val="center"/>
              <w:rPr>
                <w:color w:val="000000"/>
                <w:kern w:val="0"/>
                <w:szCs w:val="21"/>
              </w:rPr>
            </w:pPr>
            <w:r>
              <w:rPr>
                <w:color w:val="000000"/>
                <w:kern w:val="0"/>
                <w:szCs w:val="21"/>
              </w:rPr>
              <w:t>(一)</w:t>
            </w:r>
          </w:p>
        </w:tc>
        <w:tc>
          <w:tcPr>
            <w:tcW w:w="3630" w:type="dxa"/>
            <w:tcBorders>
              <w:top w:val="nil"/>
              <w:left w:val="nil"/>
              <w:bottom w:val="single" w:color="auto" w:sz="4" w:space="0"/>
              <w:right w:val="single" w:color="auto" w:sz="4" w:space="0"/>
            </w:tcBorders>
            <w:shd w:val="clear" w:color="000000" w:fill="FFFFFF"/>
            <w:vAlign w:val="center"/>
          </w:tcPr>
          <w:p w14:paraId="4CCF73D0">
            <w:pPr>
              <w:widowControl/>
              <w:jc w:val="center"/>
              <w:rPr>
                <w:color w:val="000000"/>
                <w:kern w:val="0"/>
                <w:szCs w:val="21"/>
              </w:rPr>
            </w:pPr>
            <w:r>
              <w:rPr>
                <w:color w:val="000000"/>
                <w:kern w:val="0"/>
                <w:szCs w:val="21"/>
              </w:rPr>
              <w:t>土壤重构工程</w:t>
            </w:r>
          </w:p>
        </w:tc>
        <w:tc>
          <w:tcPr>
            <w:tcW w:w="4184" w:type="dxa"/>
            <w:tcBorders>
              <w:top w:val="nil"/>
              <w:left w:val="nil"/>
              <w:bottom w:val="single" w:color="auto" w:sz="4" w:space="0"/>
              <w:right w:val="single" w:color="auto" w:sz="4" w:space="0"/>
            </w:tcBorders>
            <w:shd w:val="clear" w:color="000000" w:fill="FFFFFF"/>
            <w:vAlign w:val="center"/>
          </w:tcPr>
          <w:p w14:paraId="183C0A3C">
            <w:pPr>
              <w:widowControl/>
              <w:jc w:val="center"/>
              <w:rPr>
                <w:color w:val="000000"/>
                <w:kern w:val="0"/>
                <w:szCs w:val="21"/>
              </w:rPr>
            </w:pPr>
            <w:r>
              <w:rPr>
                <w:color w:val="000000"/>
                <w:kern w:val="0"/>
                <w:szCs w:val="21"/>
              </w:rPr>
              <w:t>8.10</w:t>
            </w:r>
          </w:p>
        </w:tc>
      </w:tr>
      <w:tr w14:paraId="3FDA57DF">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21F06585">
            <w:pPr>
              <w:widowControl/>
              <w:jc w:val="center"/>
              <w:rPr>
                <w:color w:val="000000"/>
                <w:kern w:val="0"/>
                <w:szCs w:val="21"/>
              </w:rPr>
            </w:pPr>
            <w:r>
              <w:rPr>
                <w:color w:val="000000"/>
                <w:kern w:val="0"/>
                <w:szCs w:val="21"/>
              </w:rPr>
              <w:t>(二)</w:t>
            </w:r>
          </w:p>
        </w:tc>
        <w:tc>
          <w:tcPr>
            <w:tcW w:w="3630" w:type="dxa"/>
            <w:tcBorders>
              <w:top w:val="nil"/>
              <w:left w:val="nil"/>
              <w:bottom w:val="single" w:color="auto" w:sz="4" w:space="0"/>
              <w:right w:val="single" w:color="auto" w:sz="4" w:space="0"/>
            </w:tcBorders>
            <w:shd w:val="clear" w:color="000000" w:fill="FFFFFF"/>
            <w:vAlign w:val="center"/>
          </w:tcPr>
          <w:p w14:paraId="46BA3FC6">
            <w:pPr>
              <w:widowControl/>
              <w:jc w:val="center"/>
              <w:rPr>
                <w:color w:val="000000"/>
                <w:kern w:val="0"/>
                <w:szCs w:val="21"/>
              </w:rPr>
            </w:pPr>
            <w:r>
              <w:rPr>
                <w:color w:val="000000"/>
                <w:kern w:val="0"/>
                <w:szCs w:val="21"/>
              </w:rPr>
              <w:t>植被重构</w:t>
            </w:r>
          </w:p>
        </w:tc>
        <w:tc>
          <w:tcPr>
            <w:tcW w:w="4184" w:type="dxa"/>
            <w:tcBorders>
              <w:top w:val="nil"/>
              <w:left w:val="nil"/>
              <w:bottom w:val="single" w:color="auto" w:sz="4" w:space="0"/>
              <w:right w:val="single" w:color="auto" w:sz="4" w:space="0"/>
            </w:tcBorders>
            <w:shd w:val="clear" w:color="000000" w:fill="FFFFFF"/>
            <w:vAlign w:val="center"/>
          </w:tcPr>
          <w:p w14:paraId="07B6F450">
            <w:pPr>
              <w:widowControl/>
              <w:jc w:val="center"/>
              <w:rPr>
                <w:color w:val="000000"/>
                <w:kern w:val="0"/>
                <w:szCs w:val="21"/>
              </w:rPr>
            </w:pPr>
            <w:r>
              <w:rPr>
                <w:color w:val="000000"/>
                <w:kern w:val="0"/>
                <w:szCs w:val="21"/>
              </w:rPr>
              <w:t>2.99</w:t>
            </w:r>
          </w:p>
        </w:tc>
      </w:tr>
      <w:tr w14:paraId="672E1328">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27BB11F7">
            <w:pPr>
              <w:widowControl/>
              <w:jc w:val="center"/>
              <w:rPr>
                <w:color w:val="000000"/>
                <w:kern w:val="0"/>
                <w:szCs w:val="21"/>
              </w:rPr>
            </w:pPr>
            <w:r>
              <w:rPr>
                <w:color w:val="000000"/>
                <w:kern w:val="0"/>
                <w:szCs w:val="21"/>
              </w:rPr>
              <w:t>(三)</w:t>
            </w:r>
          </w:p>
        </w:tc>
        <w:tc>
          <w:tcPr>
            <w:tcW w:w="3630" w:type="dxa"/>
            <w:tcBorders>
              <w:top w:val="nil"/>
              <w:left w:val="nil"/>
              <w:bottom w:val="single" w:color="auto" w:sz="4" w:space="0"/>
              <w:right w:val="single" w:color="auto" w:sz="4" w:space="0"/>
            </w:tcBorders>
            <w:shd w:val="clear" w:color="000000" w:fill="FFFFFF"/>
            <w:vAlign w:val="center"/>
          </w:tcPr>
          <w:p w14:paraId="622904DA">
            <w:pPr>
              <w:widowControl/>
              <w:jc w:val="center"/>
              <w:rPr>
                <w:color w:val="000000"/>
                <w:kern w:val="0"/>
                <w:szCs w:val="21"/>
              </w:rPr>
            </w:pPr>
            <w:r>
              <w:rPr>
                <w:color w:val="000000"/>
                <w:kern w:val="0"/>
                <w:szCs w:val="21"/>
              </w:rPr>
              <w:t>配套工程</w:t>
            </w:r>
          </w:p>
        </w:tc>
        <w:tc>
          <w:tcPr>
            <w:tcW w:w="4184" w:type="dxa"/>
            <w:tcBorders>
              <w:top w:val="nil"/>
              <w:left w:val="nil"/>
              <w:bottom w:val="single" w:color="auto" w:sz="4" w:space="0"/>
              <w:right w:val="single" w:color="auto" w:sz="4" w:space="0"/>
            </w:tcBorders>
            <w:shd w:val="clear" w:color="000000" w:fill="FFFFFF"/>
            <w:vAlign w:val="center"/>
          </w:tcPr>
          <w:p w14:paraId="3E5FB3F4">
            <w:pPr>
              <w:widowControl/>
              <w:jc w:val="center"/>
              <w:rPr>
                <w:color w:val="000000"/>
                <w:kern w:val="0"/>
                <w:szCs w:val="21"/>
              </w:rPr>
            </w:pPr>
            <w:r>
              <w:rPr>
                <w:color w:val="000000"/>
                <w:kern w:val="0"/>
                <w:szCs w:val="21"/>
              </w:rPr>
              <w:t>13.90</w:t>
            </w:r>
          </w:p>
        </w:tc>
      </w:tr>
      <w:tr w14:paraId="65CE0720">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1B5D9E90">
            <w:pPr>
              <w:widowControl/>
              <w:jc w:val="center"/>
              <w:rPr>
                <w:color w:val="000000"/>
                <w:kern w:val="0"/>
                <w:szCs w:val="21"/>
              </w:rPr>
            </w:pPr>
            <w:r>
              <w:rPr>
                <w:color w:val="000000"/>
                <w:kern w:val="0"/>
                <w:szCs w:val="21"/>
              </w:rPr>
              <w:t>二</w:t>
            </w:r>
          </w:p>
        </w:tc>
        <w:tc>
          <w:tcPr>
            <w:tcW w:w="3630" w:type="dxa"/>
            <w:tcBorders>
              <w:top w:val="nil"/>
              <w:left w:val="nil"/>
              <w:bottom w:val="single" w:color="auto" w:sz="4" w:space="0"/>
              <w:right w:val="single" w:color="auto" w:sz="4" w:space="0"/>
            </w:tcBorders>
            <w:shd w:val="clear" w:color="000000" w:fill="FFFFFF"/>
            <w:vAlign w:val="center"/>
          </w:tcPr>
          <w:p w14:paraId="560AE6A6">
            <w:pPr>
              <w:widowControl/>
              <w:jc w:val="center"/>
              <w:rPr>
                <w:color w:val="000000"/>
                <w:kern w:val="0"/>
                <w:szCs w:val="21"/>
              </w:rPr>
            </w:pPr>
            <w:r>
              <w:rPr>
                <w:color w:val="000000"/>
                <w:kern w:val="0"/>
                <w:szCs w:val="21"/>
              </w:rPr>
              <w:t>设备费</w:t>
            </w:r>
          </w:p>
        </w:tc>
        <w:tc>
          <w:tcPr>
            <w:tcW w:w="4184" w:type="dxa"/>
            <w:tcBorders>
              <w:top w:val="nil"/>
              <w:left w:val="nil"/>
              <w:bottom w:val="single" w:color="auto" w:sz="4" w:space="0"/>
              <w:right w:val="single" w:color="auto" w:sz="4" w:space="0"/>
            </w:tcBorders>
            <w:shd w:val="clear" w:color="000000" w:fill="FFFFFF"/>
            <w:vAlign w:val="center"/>
          </w:tcPr>
          <w:p w14:paraId="6F51541C">
            <w:pPr>
              <w:widowControl/>
              <w:jc w:val="center"/>
              <w:rPr>
                <w:color w:val="000000"/>
                <w:kern w:val="0"/>
                <w:szCs w:val="21"/>
              </w:rPr>
            </w:pPr>
            <w:r>
              <w:rPr>
                <w:color w:val="000000"/>
                <w:kern w:val="0"/>
                <w:szCs w:val="21"/>
              </w:rPr>
              <w:t>0</w:t>
            </w:r>
          </w:p>
        </w:tc>
      </w:tr>
      <w:tr w14:paraId="1B855455">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103B98F9">
            <w:pPr>
              <w:widowControl/>
              <w:jc w:val="center"/>
              <w:rPr>
                <w:color w:val="000000"/>
                <w:kern w:val="0"/>
                <w:szCs w:val="21"/>
              </w:rPr>
            </w:pPr>
            <w:r>
              <w:rPr>
                <w:color w:val="000000"/>
                <w:kern w:val="0"/>
                <w:szCs w:val="21"/>
              </w:rPr>
              <w:t>三</w:t>
            </w:r>
          </w:p>
        </w:tc>
        <w:tc>
          <w:tcPr>
            <w:tcW w:w="3630" w:type="dxa"/>
            <w:tcBorders>
              <w:top w:val="nil"/>
              <w:left w:val="nil"/>
              <w:bottom w:val="single" w:color="auto" w:sz="4" w:space="0"/>
              <w:right w:val="single" w:color="auto" w:sz="4" w:space="0"/>
            </w:tcBorders>
            <w:shd w:val="clear" w:color="000000" w:fill="FFFFFF"/>
            <w:vAlign w:val="center"/>
          </w:tcPr>
          <w:p w14:paraId="2EC1B5EB">
            <w:pPr>
              <w:widowControl/>
              <w:jc w:val="center"/>
              <w:rPr>
                <w:color w:val="000000"/>
                <w:kern w:val="0"/>
                <w:szCs w:val="21"/>
              </w:rPr>
            </w:pPr>
            <w:r>
              <w:rPr>
                <w:color w:val="000000"/>
                <w:kern w:val="0"/>
                <w:szCs w:val="21"/>
              </w:rPr>
              <w:t>其他费用</w:t>
            </w:r>
          </w:p>
        </w:tc>
        <w:tc>
          <w:tcPr>
            <w:tcW w:w="4184" w:type="dxa"/>
            <w:tcBorders>
              <w:top w:val="nil"/>
              <w:left w:val="nil"/>
              <w:bottom w:val="single" w:color="auto" w:sz="4" w:space="0"/>
              <w:right w:val="single" w:color="auto" w:sz="4" w:space="0"/>
            </w:tcBorders>
            <w:shd w:val="clear" w:color="000000" w:fill="FFFFFF"/>
            <w:vAlign w:val="center"/>
          </w:tcPr>
          <w:p w14:paraId="28D4C302">
            <w:pPr>
              <w:widowControl/>
              <w:jc w:val="center"/>
              <w:rPr>
                <w:color w:val="000000"/>
                <w:kern w:val="0"/>
                <w:szCs w:val="21"/>
              </w:rPr>
            </w:pPr>
            <w:r>
              <w:rPr>
                <w:color w:val="000000"/>
                <w:kern w:val="0"/>
                <w:szCs w:val="21"/>
              </w:rPr>
              <w:t>3.27</w:t>
            </w:r>
          </w:p>
        </w:tc>
      </w:tr>
      <w:tr w14:paraId="79FBCFFE">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0B68E335">
            <w:pPr>
              <w:widowControl/>
              <w:jc w:val="center"/>
              <w:rPr>
                <w:color w:val="000000"/>
                <w:kern w:val="0"/>
                <w:szCs w:val="21"/>
              </w:rPr>
            </w:pPr>
            <w:r>
              <w:rPr>
                <w:color w:val="000000"/>
                <w:kern w:val="0"/>
                <w:szCs w:val="21"/>
              </w:rPr>
              <w:t>(一)</w:t>
            </w:r>
          </w:p>
        </w:tc>
        <w:tc>
          <w:tcPr>
            <w:tcW w:w="3630" w:type="dxa"/>
            <w:tcBorders>
              <w:top w:val="nil"/>
              <w:left w:val="nil"/>
              <w:bottom w:val="single" w:color="auto" w:sz="4" w:space="0"/>
              <w:right w:val="single" w:color="auto" w:sz="4" w:space="0"/>
            </w:tcBorders>
            <w:shd w:val="clear" w:color="000000" w:fill="FFFFFF"/>
            <w:vAlign w:val="center"/>
          </w:tcPr>
          <w:p w14:paraId="1553F628">
            <w:pPr>
              <w:widowControl/>
              <w:jc w:val="center"/>
              <w:rPr>
                <w:color w:val="000000"/>
                <w:kern w:val="0"/>
                <w:szCs w:val="21"/>
              </w:rPr>
            </w:pPr>
            <w:r>
              <w:rPr>
                <w:color w:val="000000"/>
                <w:kern w:val="0"/>
                <w:szCs w:val="21"/>
              </w:rPr>
              <w:t>前期工作费</w:t>
            </w:r>
          </w:p>
        </w:tc>
        <w:tc>
          <w:tcPr>
            <w:tcW w:w="4184" w:type="dxa"/>
            <w:tcBorders>
              <w:top w:val="nil"/>
              <w:left w:val="nil"/>
              <w:bottom w:val="single" w:color="auto" w:sz="4" w:space="0"/>
              <w:right w:val="single" w:color="auto" w:sz="4" w:space="0"/>
            </w:tcBorders>
            <w:shd w:val="clear" w:color="000000" w:fill="FFFFFF"/>
            <w:vAlign w:val="center"/>
          </w:tcPr>
          <w:p w14:paraId="70C5B1D8">
            <w:pPr>
              <w:widowControl/>
              <w:jc w:val="center"/>
              <w:rPr>
                <w:color w:val="000000"/>
                <w:kern w:val="0"/>
                <w:szCs w:val="21"/>
              </w:rPr>
            </w:pPr>
            <w:r>
              <w:rPr>
                <w:color w:val="000000"/>
                <w:kern w:val="0"/>
                <w:szCs w:val="21"/>
              </w:rPr>
              <w:t>1.25</w:t>
            </w:r>
          </w:p>
        </w:tc>
      </w:tr>
      <w:tr w14:paraId="61801F54">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0A24AE9C">
            <w:pPr>
              <w:widowControl/>
              <w:jc w:val="center"/>
              <w:rPr>
                <w:color w:val="000000"/>
                <w:kern w:val="0"/>
                <w:szCs w:val="21"/>
              </w:rPr>
            </w:pPr>
            <w:r>
              <w:rPr>
                <w:color w:val="000000"/>
                <w:kern w:val="0"/>
                <w:szCs w:val="21"/>
              </w:rPr>
              <w:t>(二)</w:t>
            </w:r>
          </w:p>
        </w:tc>
        <w:tc>
          <w:tcPr>
            <w:tcW w:w="3630" w:type="dxa"/>
            <w:tcBorders>
              <w:top w:val="nil"/>
              <w:left w:val="nil"/>
              <w:bottom w:val="single" w:color="auto" w:sz="4" w:space="0"/>
              <w:right w:val="single" w:color="auto" w:sz="4" w:space="0"/>
            </w:tcBorders>
            <w:shd w:val="clear" w:color="000000" w:fill="FFFFFF"/>
            <w:vAlign w:val="center"/>
          </w:tcPr>
          <w:p w14:paraId="41904A96">
            <w:pPr>
              <w:widowControl/>
              <w:jc w:val="center"/>
              <w:rPr>
                <w:color w:val="000000"/>
                <w:kern w:val="0"/>
                <w:szCs w:val="21"/>
              </w:rPr>
            </w:pPr>
            <w:r>
              <w:rPr>
                <w:color w:val="000000"/>
                <w:kern w:val="0"/>
                <w:szCs w:val="21"/>
              </w:rPr>
              <w:t>工程监理费</w:t>
            </w:r>
          </w:p>
        </w:tc>
        <w:tc>
          <w:tcPr>
            <w:tcW w:w="4184" w:type="dxa"/>
            <w:tcBorders>
              <w:top w:val="nil"/>
              <w:left w:val="nil"/>
              <w:bottom w:val="single" w:color="auto" w:sz="4" w:space="0"/>
              <w:right w:val="single" w:color="auto" w:sz="4" w:space="0"/>
            </w:tcBorders>
            <w:shd w:val="clear" w:color="000000" w:fill="FFFFFF"/>
            <w:vAlign w:val="center"/>
          </w:tcPr>
          <w:p w14:paraId="10E30521">
            <w:pPr>
              <w:widowControl/>
              <w:jc w:val="center"/>
              <w:rPr>
                <w:color w:val="000000"/>
                <w:kern w:val="0"/>
                <w:szCs w:val="21"/>
              </w:rPr>
            </w:pPr>
            <w:r>
              <w:rPr>
                <w:color w:val="000000"/>
                <w:kern w:val="0"/>
                <w:szCs w:val="21"/>
              </w:rPr>
              <w:t>0.50</w:t>
            </w:r>
          </w:p>
        </w:tc>
      </w:tr>
      <w:tr w14:paraId="0D9E2F65">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78557079">
            <w:pPr>
              <w:widowControl/>
              <w:jc w:val="center"/>
              <w:rPr>
                <w:color w:val="000000"/>
                <w:kern w:val="0"/>
                <w:szCs w:val="21"/>
              </w:rPr>
            </w:pPr>
            <w:r>
              <w:rPr>
                <w:color w:val="000000"/>
                <w:kern w:val="0"/>
                <w:szCs w:val="21"/>
              </w:rPr>
              <w:t>(三)</w:t>
            </w:r>
          </w:p>
        </w:tc>
        <w:tc>
          <w:tcPr>
            <w:tcW w:w="3630" w:type="dxa"/>
            <w:tcBorders>
              <w:top w:val="nil"/>
              <w:left w:val="nil"/>
              <w:bottom w:val="single" w:color="auto" w:sz="4" w:space="0"/>
              <w:right w:val="single" w:color="auto" w:sz="4" w:space="0"/>
            </w:tcBorders>
            <w:shd w:val="clear" w:color="000000" w:fill="FFFFFF"/>
            <w:vAlign w:val="center"/>
          </w:tcPr>
          <w:p w14:paraId="71B83306">
            <w:pPr>
              <w:widowControl/>
              <w:jc w:val="center"/>
              <w:rPr>
                <w:color w:val="000000"/>
                <w:kern w:val="0"/>
                <w:szCs w:val="21"/>
              </w:rPr>
            </w:pPr>
            <w:r>
              <w:rPr>
                <w:color w:val="000000"/>
                <w:kern w:val="0"/>
                <w:szCs w:val="21"/>
              </w:rPr>
              <w:t>竣工验收费</w:t>
            </w:r>
          </w:p>
        </w:tc>
        <w:tc>
          <w:tcPr>
            <w:tcW w:w="4184" w:type="dxa"/>
            <w:tcBorders>
              <w:top w:val="nil"/>
              <w:left w:val="nil"/>
              <w:bottom w:val="single" w:color="auto" w:sz="4" w:space="0"/>
              <w:right w:val="single" w:color="auto" w:sz="4" w:space="0"/>
            </w:tcBorders>
            <w:shd w:val="clear" w:color="000000" w:fill="FFFFFF"/>
            <w:vAlign w:val="center"/>
          </w:tcPr>
          <w:p w14:paraId="5DD5608C">
            <w:pPr>
              <w:widowControl/>
              <w:jc w:val="center"/>
              <w:rPr>
                <w:color w:val="000000"/>
                <w:kern w:val="0"/>
                <w:szCs w:val="21"/>
              </w:rPr>
            </w:pPr>
            <w:r>
              <w:rPr>
                <w:color w:val="000000"/>
                <w:kern w:val="0"/>
                <w:szCs w:val="21"/>
              </w:rPr>
              <w:t>0.75</w:t>
            </w:r>
          </w:p>
        </w:tc>
      </w:tr>
      <w:tr w14:paraId="732D8525">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3DF3EAFC">
            <w:pPr>
              <w:widowControl/>
              <w:jc w:val="center"/>
              <w:rPr>
                <w:color w:val="000000"/>
                <w:kern w:val="0"/>
                <w:szCs w:val="21"/>
              </w:rPr>
            </w:pPr>
            <w:r>
              <w:rPr>
                <w:color w:val="000000"/>
                <w:kern w:val="0"/>
                <w:szCs w:val="21"/>
              </w:rPr>
              <w:t>(四)</w:t>
            </w:r>
          </w:p>
        </w:tc>
        <w:tc>
          <w:tcPr>
            <w:tcW w:w="3630" w:type="dxa"/>
            <w:tcBorders>
              <w:top w:val="nil"/>
              <w:left w:val="nil"/>
              <w:bottom w:val="single" w:color="auto" w:sz="4" w:space="0"/>
              <w:right w:val="single" w:color="auto" w:sz="4" w:space="0"/>
            </w:tcBorders>
            <w:shd w:val="clear" w:color="000000" w:fill="FFFFFF"/>
            <w:vAlign w:val="center"/>
          </w:tcPr>
          <w:p w14:paraId="7425934A">
            <w:pPr>
              <w:widowControl/>
              <w:jc w:val="center"/>
              <w:rPr>
                <w:color w:val="000000"/>
                <w:kern w:val="0"/>
                <w:szCs w:val="21"/>
              </w:rPr>
            </w:pPr>
            <w:r>
              <w:rPr>
                <w:color w:val="000000"/>
                <w:kern w:val="0"/>
                <w:szCs w:val="21"/>
              </w:rPr>
              <w:t>业主管理费</w:t>
            </w:r>
          </w:p>
        </w:tc>
        <w:tc>
          <w:tcPr>
            <w:tcW w:w="4184" w:type="dxa"/>
            <w:tcBorders>
              <w:top w:val="nil"/>
              <w:left w:val="nil"/>
              <w:bottom w:val="single" w:color="auto" w:sz="4" w:space="0"/>
              <w:right w:val="single" w:color="auto" w:sz="4" w:space="0"/>
            </w:tcBorders>
            <w:shd w:val="clear" w:color="000000" w:fill="FFFFFF"/>
            <w:vAlign w:val="center"/>
          </w:tcPr>
          <w:p w14:paraId="4C90D2ED">
            <w:pPr>
              <w:widowControl/>
              <w:jc w:val="center"/>
              <w:rPr>
                <w:color w:val="000000"/>
                <w:kern w:val="0"/>
                <w:szCs w:val="21"/>
              </w:rPr>
            </w:pPr>
            <w:r>
              <w:rPr>
                <w:color w:val="000000"/>
                <w:kern w:val="0"/>
                <w:szCs w:val="21"/>
              </w:rPr>
              <w:t>0.77</w:t>
            </w:r>
          </w:p>
        </w:tc>
      </w:tr>
      <w:tr w14:paraId="7FA83034">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709C2E9C">
            <w:pPr>
              <w:widowControl/>
              <w:jc w:val="center"/>
              <w:rPr>
                <w:color w:val="000000"/>
                <w:kern w:val="0"/>
                <w:szCs w:val="21"/>
              </w:rPr>
            </w:pPr>
            <w:r>
              <w:rPr>
                <w:color w:val="000000"/>
                <w:kern w:val="0"/>
                <w:szCs w:val="21"/>
              </w:rPr>
              <w:t>四</w:t>
            </w:r>
          </w:p>
        </w:tc>
        <w:tc>
          <w:tcPr>
            <w:tcW w:w="3630" w:type="dxa"/>
            <w:tcBorders>
              <w:top w:val="nil"/>
              <w:left w:val="nil"/>
              <w:bottom w:val="single" w:color="auto" w:sz="4" w:space="0"/>
              <w:right w:val="single" w:color="auto" w:sz="4" w:space="0"/>
            </w:tcBorders>
            <w:shd w:val="clear" w:color="000000" w:fill="FFFFFF"/>
            <w:vAlign w:val="center"/>
          </w:tcPr>
          <w:p w14:paraId="7E3357C7">
            <w:pPr>
              <w:widowControl/>
              <w:jc w:val="center"/>
              <w:rPr>
                <w:color w:val="000000"/>
                <w:kern w:val="0"/>
                <w:szCs w:val="21"/>
              </w:rPr>
            </w:pPr>
            <w:r>
              <w:rPr>
                <w:color w:val="000000"/>
                <w:kern w:val="0"/>
                <w:szCs w:val="21"/>
              </w:rPr>
              <w:t>监测与管护费</w:t>
            </w:r>
          </w:p>
        </w:tc>
        <w:tc>
          <w:tcPr>
            <w:tcW w:w="4184" w:type="dxa"/>
            <w:tcBorders>
              <w:top w:val="nil"/>
              <w:left w:val="nil"/>
              <w:bottom w:val="single" w:color="auto" w:sz="4" w:space="0"/>
              <w:right w:val="single" w:color="auto" w:sz="4" w:space="0"/>
            </w:tcBorders>
            <w:shd w:val="clear" w:color="000000" w:fill="FFFFFF"/>
            <w:vAlign w:val="center"/>
          </w:tcPr>
          <w:p w14:paraId="5D8B4FC1">
            <w:pPr>
              <w:widowControl/>
              <w:jc w:val="center"/>
              <w:rPr>
                <w:color w:val="000000"/>
                <w:kern w:val="0"/>
                <w:szCs w:val="21"/>
              </w:rPr>
            </w:pPr>
            <w:r>
              <w:rPr>
                <w:color w:val="000000"/>
                <w:kern w:val="0"/>
                <w:szCs w:val="21"/>
              </w:rPr>
              <w:t>0.39</w:t>
            </w:r>
          </w:p>
        </w:tc>
      </w:tr>
      <w:tr w14:paraId="7DEB5D2E">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3429BDFA">
            <w:pPr>
              <w:widowControl/>
              <w:jc w:val="center"/>
              <w:rPr>
                <w:color w:val="000000"/>
                <w:kern w:val="0"/>
                <w:szCs w:val="21"/>
              </w:rPr>
            </w:pPr>
            <w:r>
              <w:rPr>
                <w:color w:val="000000"/>
                <w:kern w:val="0"/>
                <w:szCs w:val="21"/>
              </w:rPr>
              <w:t>(一)</w:t>
            </w:r>
          </w:p>
        </w:tc>
        <w:tc>
          <w:tcPr>
            <w:tcW w:w="3630" w:type="dxa"/>
            <w:tcBorders>
              <w:top w:val="nil"/>
              <w:left w:val="nil"/>
              <w:bottom w:val="single" w:color="auto" w:sz="4" w:space="0"/>
              <w:right w:val="single" w:color="auto" w:sz="4" w:space="0"/>
            </w:tcBorders>
            <w:shd w:val="clear" w:color="000000" w:fill="FFFFFF"/>
            <w:vAlign w:val="center"/>
          </w:tcPr>
          <w:p w14:paraId="47C90D66">
            <w:pPr>
              <w:widowControl/>
              <w:jc w:val="center"/>
              <w:rPr>
                <w:color w:val="000000"/>
                <w:kern w:val="0"/>
                <w:szCs w:val="21"/>
              </w:rPr>
            </w:pPr>
            <w:r>
              <w:rPr>
                <w:color w:val="000000"/>
                <w:kern w:val="0"/>
                <w:szCs w:val="21"/>
              </w:rPr>
              <w:t>监测</w:t>
            </w:r>
          </w:p>
        </w:tc>
        <w:tc>
          <w:tcPr>
            <w:tcW w:w="4184" w:type="dxa"/>
            <w:tcBorders>
              <w:top w:val="nil"/>
              <w:left w:val="nil"/>
              <w:bottom w:val="single" w:color="auto" w:sz="4" w:space="0"/>
              <w:right w:val="single" w:color="auto" w:sz="4" w:space="0"/>
            </w:tcBorders>
            <w:shd w:val="clear" w:color="000000" w:fill="FFFFFF"/>
            <w:vAlign w:val="center"/>
          </w:tcPr>
          <w:p w14:paraId="7397B8F6">
            <w:pPr>
              <w:widowControl/>
              <w:jc w:val="center"/>
              <w:rPr>
                <w:color w:val="000000"/>
                <w:kern w:val="0"/>
                <w:szCs w:val="21"/>
              </w:rPr>
            </w:pPr>
            <w:r>
              <w:rPr>
                <w:color w:val="000000"/>
                <w:kern w:val="0"/>
                <w:szCs w:val="21"/>
              </w:rPr>
              <w:t>0.15</w:t>
            </w:r>
          </w:p>
        </w:tc>
      </w:tr>
      <w:tr w14:paraId="694FC9EB">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531AF947">
            <w:pPr>
              <w:widowControl/>
              <w:jc w:val="center"/>
              <w:rPr>
                <w:color w:val="000000"/>
                <w:kern w:val="0"/>
                <w:szCs w:val="21"/>
              </w:rPr>
            </w:pPr>
            <w:r>
              <w:rPr>
                <w:color w:val="000000"/>
                <w:kern w:val="0"/>
                <w:szCs w:val="21"/>
              </w:rPr>
              <w:t>(二)</w:t>
            </w:r>
          </w:p>
        </w:tc>
        <w:tc>
          <w:tcPr>
            <w:tcW w:w="3630" w:type="dxa"/>
            <w:tcBorders>
              <w:top w:val="nil"/>
              <w:left w:val="nil"/>
              <w:bottom w:val="single" w:color="auto" w:sz="4" w:space="0"/>
              <w:right w:val="single" w:color="auto" w:sz="4" w:space="0"/>
            </w:tcBorders>
            <w:shd w:val="clear" w:color="000000" w:fill="FFFFFF"/>
            <w:vAlign w:val="center"/>
          </w:tcPr>
          <w:p w14:paraId="6F1A6983">
            <w:pPr>
              <w:widowControl/>
              <w:jc w:val="center"/>
              <w:rPr>
                <w:color w:val="000000"/>
                <w:kern w:val="0"/>
                <w:szCs w:val="21"/>
              </w:rPr>
            </w:pPr>
            <w:r>
              <w:rPr>
                <w:color w:val="000000"/>
                <w:kern w:val="0"/>
                <w:szCs w:val="21"/>
              </w:rPr>
              <w:t>管护</w:t>
            </w:r>
          </w:p>
        </w:tc>
        <w:tc>
          <w:tcPr>
            <w:tcW w:w="4184" w:type="dxa"/>
            <w:tcBorders>
              <w:top w:val="nil"/>
              <w:left w:val="nil"/>
              <w:bottom w:val="single" w:color="auto" w:sz="4" w:space="0"/>
              <w:right w:val="single" w:color="auto" w:sz="4" w:space="0"/>
            </w:tcBorders>
            <w:shd w:val="clear" w:color="000000" w:fill="FFFFFF"/>
            <w:vAlign w:val="center"/>
          </w:tcPr>
          <w:p w14:paraId="096A6923">
            <w:pPr>
              <w:widowControl/>
              <w:jc w:val="center"/>
              <w:rPr>
                <w:color w:val="000000"/>
                <w:kern w:val="0"/>
                <w:szCs w:val="21"/>
              </w:rPr>
            </w:pPr>
            <w:r>
              <w:rPr>
                <w:color w:val="000000"/>
                <w:kern w:val="0"/>
                <w:szCs w:val="21"/>
              </w:rPr>
              <w:t>0.24</w:t>
            </w:r>
          </w:p>
        </w:tc>
      </w:tr>
      <w:tr w14:paraId="60DA500D">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76B5C360">
            <w:pPr>
              <w:widowControl/>
              <w:jc w:val="center"/>
              <w:rPr>
                <w:color w:val="000000"/>
                <w:kern w:val="0"/>
                <w:szCs w:val="21"/>
              </w:rPr>
            </w:pPr>
            <w:r>
              <w:rPr>
                <w:color w:val="000000"/>
                <w:kern w:val="0"/>
                <w:szCs w:val="21"/>
              </w:rPr>
              <w:t>五</w:t>
            </w:r>
          </w:p>
        </w:tc>
        <w:tc>
          <w:tcPr>
            <w:tcW w:w="3630" w:type="dxa"/>
            <w:tcBorders>
              <w:top w:val="nil"/>
              <w:left w:val="nil"/>
              <w:bottom w:val="single" w:color="auto" w:sz="4" w:space="0"/>
              <w:right w:val="single" w:color="auto" w:sz="4" w:space="0"/>
            </w:tcBorders>
            <w:shd w:val="clear" w:color="000000" w:fill="FFFFFF"/>
            <w:vAlign w:val="center"/>
          </w:tcPr>
          <w:p w14:paraId="24DE14FF">
            <w:pPr>
              <w:widowControl/>
              <w:jc w:val="center"/>
              <w:rPr>
                <w:color w:val="000000"/>
                <w:kern w:val="0"/>
                <w:szCs w:val="21"/>
              </w:rPr>
            </w:pPr>
            <w:r>
              <w:rPr>
                <w:color w:val="000000"/>
                <w:kern w:val="0"/>
                <w:szCs w:val="21"/>
              </w:rPr>
              <w:t>预备费</w:t>
            </w:r>
          </w:p>
        </w:tc>
        <w:tc>
          <w:tcPr>
            <w:tcW w:w="4184" w:type="dxa"/>
            <w:tcBorders>
              <w:top w:val="nil"/>
              <w:left w:val="nil"/>
              <w:bottom w:val="single" w:color="auto" w:sz="4" w:space="0"/>
              <w:right w:val="single" w:color="auto" w:sz="4" w:space="0"/>
            </w:tcBorders>
            <w:shd w:val="clear" w:color="000000" w:fill="FFFFFF"/>
            <w:vAlign w:val="center"/>
          </w:tcPr>
          <w:p w14:paraId="7C9581F1">
            <w:pPr>
              <w:widowControl/>
              <w:jc w:val="center"/>
              <w:rPr>
                <w:color w:val="000000"/>
                <w:kern w:val="0"/>
                <w:szCs w:val="21"/>
              </w:rPr>
            </w:pPr>
            <w:r>
              <w:rPr>
                <w:color w:val="000000"/>
                <w:kern w:val="0"/>
                <w:szCs w:val="21"/>
              </w:rPr>
              <w:t>0.85</w:t>
            </w:r>
          </w:p>
        </w:tc>
      </w:tr>
      <w:tr w14:paraId="59D1B972">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06091875">
            <w:pPr>
              <w:widowControl/>
              <w:jc w:val="center"/>
              <w:rPr>
                <w:color w:val="000000"/>
                <w:kern w:val="0"/>
                <w:szCs w:val="21"/>
              </w:rPr>
            </w:pPr>
            <w:r>
              <w:rPr>
                <w:color w:val="000000"/>
                <w:kern w:val="0"/>
                <w:szCs w:val="21"/>
              </w:rPr>
              <w:t>(一)</w:t>
            </w:r>
          </w:p>
        </w:tc>
        <w:tc>
          <w:tcPr>
            <w:tcW w:w="3630" w:type="dxa"/>
            <w:tcBorders>
              <w:top w:val="nil"/>
              <w:left w:val="nil"/>
              <w:bottom w:val="single" w:color="auto" w:sz="4" w:space="0"/>
              <w:right w:val="single" w:color="auto" w:sz="4" w:space="0"/>
            </w:tcBorders>
            <w:shd w:val="clear" w:color="000000" w:fill="FFFFFF"/>
            <w:vAlign w:val="center"/>
          </w:tcPr>
          <w:p w14:paraId="1FDBFAB6">
            <w:pPr>
              <w:widowControl/>
              <w:jc w:val="center"/>
              <w:rPr>
                <w:color w:val="000000"/>
                <w:kern w:val="0"/>
                <w:szCs w:val="21"/>
              </w:rPr>
            </w:pPr>
            <w:r>
              <w:rPr>
                <w:color w:val="000000"/>
                <w:kern w:val="0"/>
                <w:szCs w:val="21"/>
              </w:rPr>
              <w:t>基本预备费</w:t>
            </w:r>
          </w:p>
        </w:tc>
        <w:tc>
          <w:tcPr>
            <w:tcW w:w="4184" w:type="dxa"/>
            <w:tcBorders>
              <w:top w:val="nil"/>
              <w:left w:val="nil"/>
              <w:bottom w:val="single" w:color="auto" w:sz="4" w:space="0"/>
              <w:right w:val="single" w:color="auto" w:sz="4" w:space="0"/>
            </w:tcBorders>
            <w:shd w:val="clear" w:color="000000" w:fill="FFFFFF"/>
            <w:vAlign w:val="center"/>
          </w:tcPr>
          <w:p w14:paraId="33F1EE41">
            <w:pPr>
              <w:widowControl/>
              <w:jc w:val="center"/>
              <w:rPr>
                <w:color w:val="000000"/>
                <w:kern w:val="0"/>
                <w:szCs w:val="21"/>
              </w:rPr>
            </w:pPr>
            <w:r>
              <w:rPr>
                <w:color w:val="000000"/>
                <w:kern w:val="0"/>
                <w:szCs w:val="21"/>
              </w:rPr>
              <w:t>0.85</w:t>
            </w:r>
          </w:p>
        </w:tc>
      </w:tr>
      <w:tr w14:paraId="5319E992">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7C0DEFF2">
            <w:pPr>
              <w:widowControl/>
              <w:jc w:val="center"/>
              <w:rPr>
                <w:color w:val="000000"/>
                <w:kern w:val="0"/>
                <w:szCs w:val="21"/>
              </w:rPr>
            </w:pPr>
            <w:r>
              <w:rPr>
                <w:color w:val="000000"/>
                <w:kern w:val="0"/>
                <w:szCs w:val="21"/>
              </w:rPr>
              <w:t>(二)</w:t>
            </w:r>
          </w:p>
        </w:tc>
        <w:tc>
          <w:tcPr>
            <w:tcW w:w="3630" w:type="dxa"/>
            <w:tcBorders>
              <w:top w:val="nil"/>
              <w:left w:val="nil"/>
              <w:bottom w:val="single" w:color="auto" w:sz="4" w:space="0"/>
              <w:right w:val="single" w:color="auto" w:sz="4" w:space="0"/>
            </w:tcBorders>
            <w:shd w:val="clear" w:color="000000" w:fill="FFFFFF"/>
            <w:vAlign w:val="center"/>
          </w:tcPr>
          <w:p w14:paraId="44DFF451">
            <w:pPr>
              <w:widowControl/>
              <w:jc w:val="center"/>
              <w:rPr>
                <w:color w:val="000000"/>
                <w:kern w:val="0"/>
                <w:szCs w:val="21"/>
              </w:rPr>
            </w:pPr>
            <w:r>
              <w:rPr>
                <w:color w:val="000000"/>
                <w:kern w:val="0"/>
                <w:szCs w:val="21"/>
              </w:rPr>
              <w:t>价差预备费</w:t>
            </w:r>
          </w:p>
        </w:tc>
        <w:tc>
          <w:tcPr>
            <w:tcW w:w="4184" w:type="dxa"/>
            <w:tcBorders>
              <w:top w:val="nil"/>
              <w:left w:val="nil"/>
              <w:bottom w:val="single" w:color="auto" w:sz="4" w:space="0"/>
              <w:right w:val="single" w:color="auto" w:sz="4" w:space="0"/>
            </w:tcBorders>
            <w:shd w:val="clear" w:color="000000" w:fill="FFFFFF"/>
            <w:vAlign w:val="center"/>
          </w:tcPr>
          <w:p w14:paraId="146A3755">
            <w:pPr>
              <w:widowControl/>
              <w:jc w:val="center"/>
              <w:rPr>
                <w:color w:val="000000"/>
                <w:kern w:val="0"/>
                <w:szCs w:val="21"/>
              </w:rPr>
            </w:pPr>
            <w:r>
              <w:rPr>
                <w:color w:val="000000"/>
                <w:kern w:val="0"/>
                <w:szCs w:val="21"/>
              </w:rPr>
              <w:t>0</w:t>
            </w:r>
          </w:p>
        </w:tc>
      </w:tr>
      <w:tr w14:paraId="59FA9284">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0877D0D1">
            <w:pPr>
              <w:widowControl/>
              <w:jc w:val="center"/>
              <w:rPr>
                <w:color w:val="000000"/>
                <w:kern w:val="0"/>
                <w:szCs w:val="21"/>
              </w:rPr>
            </w:pPr>
            <w:r>
              <w:rPr>
                <w:color w:val="000000"/>
                <w:kern w:val="0"/>
                <w:szCs w:val="21"/>
              </w:rPr>
              <w:t>(三)</w:t>
            </w:r>
          </w:p>
        </w:tc>
        <w:tc>
          <w:tcPr>
            <w:tcW w:w="3630" w:type="dxa"/>
            <w:tcBorders>
              <w:top w:val="nil"/>
              <w:left w:val="nil"/>
              <w:bottom w:val="single" w:color="auto" w:sz="4" w:space="0"/>
              <w:right w:val="single" w:color="auto" w:sz="4" w:space="0"/>
            </w:tcBorders>
            <w:shd w:val="clear" w:color="000000" w:fill="FFFFFF"/>
            <w:vAlign w:val="center"/>
          </w:tcPr>
          <w:p w14:paraId="19228376">
            <w:pPr>
              <w:widowControl/>
              <w:jc w:val="center"/>
              <w:rPr>
                <w:color w:val="000000"/>
                <w:kern w:val="0"/>
                <w:szCs w:val="21"/>
              </w:rPr>
            </w:pPr>
            <w:r>
              <w:rPr>
                <w:color w:val="000000"/>
                <w:kern w:val="0"/>
                <w:szCs w:val="21"/>
              </w:rPr>
              <w:t>风险金</w:t>
            </w:r>
          </w:p>
        </w:tc>
        <w:tc>
          <w:tcPr>
            <w:tcW w:w="4184" w:type="dxa"/>
            <w:tcBorders>
              <w:top w:val="nil"/>
              <w:left w:val="nil"/>
              <w:bottom w:val="single" w:color="auto" w:sz="4" w:space="0"/>
              <w:right w:val="single" w:color="auto" w:sz="4" w:space="0"/>
            </w:tcBorders>
            <w:shd w:val="clear" w:color="000000" w:fill="FFFFFF"/>
            <w:vAlign w:val="center"/>
          </w:tcPr>
          <w:p w14:paraId="7410379D">
            <w:pPr>
              <w:widowControl/>
              <w:jc w:val="center"/>
              <w:rPr>
                <w:color w:val="000000"/>
                <w:kern w:val="0"/>
                <w:szCs w:val="21"/>
              </w:rPr>
            </w:pPr>
            <w:r>
              <w:rPr>
                <w:color w:val="000000"/>
                <w:kern w:val="0"/>
                <w:szCs w:val="21"/>
              </w:rPr>
              <w:t>0</w:t>
            </w:r>
          </w:p>
        </w:tc>
      </w:tr>
      <w:tr w14:paraId="39FD4414">
        <w:tblPrEx>
          <w:tblCellMar>
            <w:top w:w="0" w:type="dxa"/>
            <w:left w:w="108" w:type="dxa"/>
            <w:bottom w:w="0" w:type="dxa"/>
            <w:right w:w="108" w:type="dxa"/>
          </w:tblCellMar>
        </w:tblPrEx>
        <w:trPr>
          <w:trHeight w:val="377" w:hRule="atLeast"/>
          <w:jc w:val="center"/>
        </w:trPr>
        <w:tc>
          <w:tcPr>
            <w:tcW w:w="1075" w:type="dxa"/>
            <w:tcBorders>
              <w:top w:val="nil"/>
              <w:left w:val="single" w:color="auto" w:sz="8" w:space="0"/>
              <w:bottom w:val="single" w:color="auto" w:sz="4" w:space="0"/>
              <w:right w:val="single" w:color="auto" w:sz="4" w:space="0"/>
            </w:tcBorders>
            <w:shd w:val="clear" w:color="000000" w:fill="FFFFFF"/>
            <w:vAlign w:val="center"/>
          </w:tcPr>
          <w:p w14:paraId="42DA6BBE">
            <w:pPr>
              <w:widowControl/>
              <w:jc w:val="center"/>
              <w:rPr>
                <w:color w:val="000000"/>
                <w:kern w:val="0"/>
                <w:szCs w:val="21"/>
              </w:rPr>
            </w:pPr>
            <w:r>
              <w:rPr>
                <w:color w:val="000000"/>
                <w:kern w:val="0"/>
                <w:szCs w:val="21"/>
              </w:rPr>
              <w:t>六</w:t>
            </w:r>
          </w:p>
        </w:tc>
        <w:tc>
          <w:tcPr>
            <w:tcW w:w="3630" w:type="dxa"/>
            <w:tcBorders>
              <w:top w:val="nil"/>
              <w:left w:val="nil"/>
              <w:bottom w:val="single" w:color="auto" w:sz="4" w:space="0"/>
              <w:right w:val="single" w:color="auto" w:sz="4" w:space="0"/>
            </w:tcBorders>
            <w:shd w:val="clear" w:color="000000" w:fill="FFFFFF"/>
            <w:vAlign w:val="center"/>
          </w:tcPr>
          <w:p w14:paraId="63E5FD3A">
            <w:pPr>
              <w:widowControl/>
              <w:jc w:val="center"/>
              <w:rPr>
                <w:color w:val="000000"/>
                <w:kern w:val="0"/>
                <w:szCs w:val="21"/>
              </w:rPr>
            </w:pPr>
            <w:r>
              <w:rPr>
                <w:color w:val="000000"/>
                <w:kern w:val="0"/>
                <w:szCs w:val="21"/>
              </w:rPr>
              <w:t>静态总投资</w:t>
            </w:r>
          </w:p>
        </w:tc>
        <w:tc>
          <w:tcPr>
            <w:tcW w:w="4184" w:type="dxa"/>
            <w:tcBorders>
              <w:top w:val="nil"/>
              <w:left w:val="nil"/>
              <w:bottom w:val="single" w:color="auto" w:sz="4" w:space="0"/>
              <w:right w:val="single" w:color="auto" w:sz="4" w:space="0"/>
            </w:tcBorders>
            <w:shd w:val="clear" w:color="000000" w:fill="FFFFFF"/>
            <w:vAlign w:val="center"/>
          </w:tcPr>
          <w:p w14:paraId="6EE088EB">
            <w:pPr>
              <w:widowControl/>
              <w:jc w:val="center"/>
              <w:rPr>
                <w:color w:val="000000"/>
                <w:kern w:val="0"/>
                <w:szCs w:val="21"/>
              </w:rPr>
            </w:pPr>
            <w:r>
              <w:rPr>
                <w:color w:val="000000"/>
                <w:kern w:val="0"/>
                <w:szCs w:val="21"/>
              </w:rPr>
              <w:t>29.50</w:t>
            </w:r>
          </w:p>
        </w:tc>
      </w:tr>
    </w:tbl>
    <w:p w14:paraId="2A7F617C">
      <w:pPr>
        <w:keepNext/>
        <w:keepLines/>
        <w:adjustRightInd w:val="0"/>
        <w:spacing w:beforeLines="50" w:afterLines="50" w:line="360" w:lineRule="auto"/>
        <w:jc w:val="left"/>
        <w:textAlignment w:val="baseline"/>
        <w:outlineLvl w:val="0"/>
        <w:rPr>
          <w:kern w:val="0"/>
          <w:sz w:val="30"/>
          <w:szCs w:val="30"/>
        </w:rPr>
      </w:pPr>
      <w:r>
        <w:rPr>
          <w:kern w:val="0"/>
          <w:sz w:val="30"/>
          <w:szCs w:val="30"/>
        </w:rPr>
        <w:t>三、年度经费安排</w:t>
      </w:r>
      <w:bookmarkEnd w:id="253"/>
    </w:p>
    <w:p w14:paraId="2DF04610">
      <w:pPr>
        <w:spacing w:line="360" w:lineRule="auto"/>
        <w:ind w:firstLine="480"/>
        <w:rPr>
          <w:sz w:val="24"/>
          <w:lang w:val="zh-CN"/>
        </w:rPr>
      </w:pPr>
      <w:r>
        <w:rPr>
          <w:sz w:val="24"/>
          <w:lang w:val="zh-CN"/>
        </w:rPr>
        <w:t>本方案年度经费安排主要依据前文近期年度工作量所对应设计：</w:t>
      </w:r>
    </w:p>
    <w:p w14:paraId="0BD8E19A">
      <w:pPr>
        <w:spacing w:line="360" w:lineRule="auto"/>
        <w:ind w:firstLine="480"/>
        <w:rPr>
          <w:rFonts w:eastAsiaTheme="minorEastAsia"/>
          <w:color w:val="000000"/>
          <w:sz w:val="24"/>
          <w:szCs w:val="28"/>
        </w:rPr>
      </w:pPr>
      <w:r>
        <w:rPr>
          <w:rFonts w:eastAsiaTheme="minorEastAsia"/>
          <w:color w:val="000000"/>
          <w:sz w:val="24"/>
          <w:szCs w:val="28"/>
        </w:rPr>
        <w:t>根据上述年度工作量进行年度经费安排，详见下表。</w:t>
      </w:r>
    </w:p>
    <w:p w14:paraId="57F9DC85">
      <w:pPr>
        <w:spacing w:line="360" w:lineRule="auto"/>
        <w:ind w:firstLine="422" w:firstLineChars="200"/>
        <w:jc w:val="center"/>
        <w:rPr>
          <w:b/>
          <w:szCs w:val="21"/>
        </w:rPr>
      </w:pPr>
      <w:r>
        <w:rPr>
          <w:b/>
          <w:szCs w:val="21"/>
        </w:rPr>
        <w:t>表7-6年度计划投资安排统计表</w:t>
      </w:r>
    </w:p>
    <w:tbl>
      <w:tblPr>
        <w:tblStyle w:val="29"/>
        <w:tblW w:w="505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61"/>
        <w:gridCol w:w="4111"/>
        <w:gridCol w:w="3640"/>
      </w:tblGrid>
      <w:tr w14:paraId="6828ED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500" w:type="pct"/>
            <w:shd w:val="clear" w:color="auto" w:fill="auto"/>
            <w:vAlign w:val="center"/>
          </w:tcPr>
          <w:p w14:paraId="7B104709">
            <w:pPr>
              <w:spacing w:line="360" w:lineRule="auto"/>
              <w:jc w:val="center"/>
              <w:rPr>
                <w:color w:val="000000" w:themeColor="text1"/>
                <w:szCs w:val="21"/>
              </w:rPr>
            </w:pPr>
            <w:r>
              <w:rPr>
                <w:color w:val="000000" w:themeColor="text1"/>
                <w:szCs w:val="21"/>
              </w:rPr>
              <w:t>年度</w:t>
            </w:r>
          </w:p>
        </w:tc>
        <w:tc>
          <w:tcPr>
            <w:tcW w:w="2387" w:type="pct"/>
            <w:shd w:val="clear" w:color="auto" w:fill="auto"/>
            <w:vAlign w:val="center"/>
          </w:tcPr>
          <w:p w14:paraId="46237AAF">
            <w:pPr>
              <w:spacing w:line="360" w:lineRule="auto"/>
              <w:jc w:val="center"/>
              <w:rPr>
                <w:color w:val="000000" w:themeColor="text1"/>
                <w:szCs w:val="21"/>
              </w:rPr>
            </w:pPr>
            <w:r>
              <w:rPr>
                <w:color w:val="000000" w:themeColor="text1"/>
                <w:szCs w:val="21"/>
              </w:rPr>
              <w:t>矿山地质环境保护费用</w:t>
            </w:r>
          </w:p>
        </w:tc>
        <w:tc>
          <w:tcPr>
            <w:tcW w:w="2113" w:type="pct"/>
            <w:shd w:val="clear" w:color="auto" w:fill="auto"/>
            <w:vAlign w:val="center"/>
          </w:tcPr>
          <w:p w14:paraId="148A2D18">
            <w:pPr>
              <w:spacing w:line="360" w:lineRule="auto"/>
              <w:jc w:val="center"/>
              <w:rPr>
                <w:color w:val="000000" w:themeColor="text1"/>
                <w:szCs w:val="21"/>
              </w:rPr>
            </w:pPr>
            <w:r>
              <w:rPr>
                <w:color w:val="000000" w:themeColor="text1"/>
                <w:szCs w:val="21"/>
              </w:rPr>
              <w:t>土地复垦费用</w:t>
            </w:r>
          </w:p>
        </w:tc>
      </w:tr>
      <w:tr w14:paraId="695B41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8" w:hRule="atLeast"/>
          <w:jc w:val="center"/>
        </w:trPr>
        <w:tc>
          <w:tcPr>
            <w:tcW w:w="500" w:type="pct"/>
            <w:shd w:val="clear" w:color="auto" w:fill="auto"/>
            <w:vAlign w:val="center"/>
          </w:tcPr>
          <w:p w14:paraId="65E4F0C7">
            <w:pPr>
              <w:spacing w:line="360" w:lineRule="auto"/>
              <w:jc w:val="center"/>
              <w:rPr>
                <w:color w:val="000000" w:themeColor="text1"/>
                <w:szCs w:val="21"/>
              </w:rPr>
            </w:pPr>
            <w:r>
              <w:rPr>
                <w:color w:val="000000" w:themeColor="text1"/>
                <w:szCs w:val="21"/>
              </w:rPr>
              <w:t>第一年</w:t>
            </w:r>
          </w:p>
        </w:tc>
        <w:tc>
          <w:tcPr>
            <w:tcW w:w="2387" w:type="pct"/>
            <w:shd w:val="clear" w:color="auto" w:fill="auto"/>
            <w:vAlign w:val="center"/>
          </w:tcPr>
          <w:p w14:paraId="04CA84ED">
            <w:pPr>
              <w:spacing w:line="360" w:lineRule="auto"/>
              <w:jc w:val="center"/>
              <w:rPr>
                <w:color w:val="000000" w:themeColor="text1"/>
                <w:szCs w:val="21"/>
              </w:rPr>
            </w:pPr>
            <w:r>
              <w:rPr>
                <w:color w:val="000000" w:themeColor="text1"/>
                <w:szCs w:val="21"/>
              </w:rPr>
              <w:t>安装警示牌、进行最终边坡的危岩清理、地质灾害监测、地形地貌景观监测、土地损毁监测。共计投资3.72万元。</w:t>
            </w:r>
          </w:p>
        </w:tc>
        <w:tc>
          <w:tcPr>
            <w:tcW w:w="2113" w:type="pct"/>
            <w:shd w:val="clear" w:color="auto" w:fill="auto"/>
            <w:vAlign w:val="center"/>
          </w:tcPr>
          <w:p w14:paraId="46574A6A">
            <w:pPr>
              <w:spacing w:line="360" w:lineRule="auto"/>
              <w:jc w:val="center"/>
              <w:rPr>
                <w:color w:val="000000" w:themeColor="text1"/>
                <w:szCs w:val="21"/>
              </w:rPr>
            </w:pPr>
            <w:r>
              <w:rPr>
                <w:color w:val="000000" w:themeColor="text1"/>
                <w:szCs w:val="21"/>
              </w:rPr>
              <w:t>本年度完成对全部复垦工程，并对所有复垦区的监测管护工作，共完成投资29.24万元。</w:t>
            </w:r>
          </w:p>
        </w:tc>
      </w:tr>
      <w:tr w14:paraId="5DAE68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55" w:hRule="atLeast"/>
          <w:jc w:val="center"/>
        </w:trPr>
        <w:tc>
          <w:tcPr>
            <w:tcW w:w="500" w:type="pct"/>
            <w:shd w:val="clear" w:color="auto" w:fill="auto"/>
            <w:vAlign w:val="center"/>
          </w:tcPr>
          <w:p w14:paraId="5F58C384">
            <w:pPr>
              <w:spacing w:line="360" w:lineRule="auto"/>
              <w:jc w:val="center"/>
              <w:rPr>
                <w:color w:val="000000" w:themeColor="text1"/>
                <w:szCs w:val="21"/>
              </w:rPr>
            </w:pPr>
            <w:r>
              <w:rPr>
                <w:color w:val="000000" w:themeColor="text1"/>
                <w:szCs w:val="21"/>
              </w:rPr>
              <w:t>第二年</w:t>
            </w:r>
          </w:p>
        </w:tc>
        <w:tc>
          <w:tcPr>
            <w:tcW w:w="2387" w:type="pct"/>
            <w:shd w:val="clear" w:color="auto" w:fill="auto"/>
            <w:vAlign w:val="center"/>
          </w:tcPr>
          <w:p w14:paraId="33F053F4">
            <w:pPr>
              <w:spacing w:line="360" w:lineRule="auto"/>
              <w:jc w:val="center"/>
              <w:rPr>
                <w:color w:val="000000" w:themeColor="text1"/>
                <w:szCs w:val="21"/>
              </w:rPr>
            </w:pPr>
            <w:r>
              <w:rPr>
                <w:color w:val="000000" w:themeColor="text1"/>
                <w:szCs w:val="21"/>
              </w:rPr>
              <w:t>本年度不涉及矿山地质环境费用。</w:t>
            </w:r>
          </w:p>
        </w:tc>
        <w:tc>
          <w:tcPr>
            <w:tcW w:w="2113" w:type="pct"/>
            <w:shd w:val="clear" w:color="auto" w:fill="auto"/>
            <w:vAlign w:val="center"/>
          </w:tcPr>
          <w:p w14:paraId="55E66778">
            <w:pPr>
              <w:spacing w:line="360" w:lineRule="auto"/>
              <w:jc w:val="center"/>
              <w:rPr>
                <w:color w:val="000000" w:themeColor="text1"/>
                <w:szCs w:val="21"/>
              </w:rPr>
            </w:pPr>
            <w:r>
              <w:rPr>
                <w:color w:val="000000" w:themeColor="text1"/>
                <w:szCs w:val="21"/>
              </w:rPr>
              <w:t>本年度不涉及施工工程，主要为对所有复垦区的监测管护工作，共完成投资0.13万元。</w:t>
            </w:r>
          </w:p>
        </w:tc>
      </w:tr>
      <w:tr w14:paraId="0EC527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8" w:hRule="atLeast"/>
          <w:jc w:val="center"/>
        </w:trPr>
        <w:tc>
          <w:tcPr>
            <w:tcW w:w="500" w:type="pct"/>
            <w:shd w:val="clear" w:color="auto" w:fill="auto"/>
            <w:vAlign w:val="center"/>
          </w:tcPr>
          <w:p w14:paraId="66E547E6">
            <w:pPr>
              <w:spacing w:line="360" w:lineRule="auto"/>
              <w:jc w:val="center"/>
              <w:rPr>
                <w:color w:val="000000" w:themeColor="text1"/>
                <w:szCs w:val="21"/>
              </w:rPr>
            </w:pPr>
            <w:r>
              <w:rPr>
                <w:color w:val="000000" w:themeColor="text1"/>
                <w:szCs w:val="21"/>
              </w:rPr>
              <w:t>第三年</w:t>
            </w:r>
          </w:p>
        </w:tc>
        <w:tc>
          <w:tcPr>
            <w:tcW w:w="2387" w:type="pct"/>
            <w:shd w:val="clear" w:color="auto" w:fill="auto"/>
            <w:vAlign w:val="center"/>
          </w:tcPr>
          <w:p w14:paraId="1521E76D">
            <w:pPr>
              <w:spacing w:line="360" w:lineRule="auto"/>
              <w:jc w:val="center"/>
              <w:rPr>
                <w:color w:val="000000" w:themeColor="text1"/>
                <w:szCs w:val="21"/>
              </w:rPr>
            </w:pPr>
            <w:r>
              <w:rPr>
                <w:color w:val="000000" w:themeColor="text1"/>
                <w:szCs w:val="21"/>
              </w:rPr>
              <w:t>本年度不涉及矿山地质环境费用。</w:t>
            </w:r>
          </w:p>
        </w:tc>
        <w:tc>
          <w:tcPr>
            <w:tcW w:w="2113" w:type="pct"/>
            <w:shd w:val="clear" w:color="auto" w:fill="auto"/>
            <w:vAlign w:val="center"/>
          </w:tcPr>
          <w:p w14:paraId="641EB3C6">
            <w:pPr>
              <w:spacing w:line="360" w:lineRule="auto"/>
              <w:jc w:val="center"/>
              <w:rPr>
                <w:color w:val="000000" w:themeColor="text1"/>
                <w:szCs w:val="21"/>
              </w:rPr>
            </w:pPr>
            <w:r>
              <w:rPr>
                <w:color w:val="000000" w:themeColor="text1"/>
                <w:szCs w:val="21"/>
              </w:rPr>
              <w:t>本年度不涉及施工工程，主要为对所有复垦区的监测管护工作，共完成投资0.13万元。</w:t>
            </w:r>
          </w:p>
        </w:tc>
      </w:tr>
    </w:tbl>
    <w:p w14:paraId="4FC96CB4">
      <w:pPr>
        <w:spacing w:line="360" w:lineRule="auto"/>
        <w:ind w:firstLine="480"/>
        <w:rPr>
          <w:rFonts w:eastAsiaTheme="minorEastAsia"/>
          <w:color w:val="000000"/>
          <w:sz w:val="24"/>
          <w:szCs w:val="28"/>
        </w:rPr>
        <w:sectPr>
          <w:pgSz w:w="11906" w:h="16838"/>
          <w:pgMar w:top="1440" w:right="1800" w:bottom="1440" w:left="1800" w:header="851" w:footer="992" w:gutter="0"/>
          <w:cols w:space="425" w:num="1"/>
          <w:docGrid w:type="lines" w:linePitch="312" w:charSpace="0"/>
        </w:sectPr>
      </w:pPr>
    </w:p>
    <w:p w14:paraId="23BA1F95">
      <w:pPr>
        <w:keepNext/>
        <w:keepLines/>
        <w:pageBreakBefore/>
        <w:tabs>
          <w:tab w:val="left" w:pos="284"/>
        </w:tabs>
        <w:spacing w:before="340" w:after="240" w:line="360" w:lineRule="auto"/>
        <w:jc w:val="center"/>
        <w:outlineLvl w:val="0"/>
        <w:rPr>
          <w:b/>
          <w:bCs/>
          <w:kern w:val="44"/>
          <w:sz w:val="32"/>
          <w:szCs w:val="32"/>
        </w:rPr>
      </w:pPr>
      <w:bookmarkStart w:id="254" w:name="_Toc500227903"/>
      <w:bookmarkStart w:id="255" w:name="_Toc480537499"/>
      <w:bookmarkStart w:id="256" w:name="_Toc481328263"/>
      <w:bookmarkStart w:id="257" w:name="_Toc43851708"/>
      <w:r>
        <w:rPr>
          <w:b/>
          <w:bCs/>
          <w:kern w:val="44"/>
          <w:sz w:val="32"/>
          <w:szCs w:val="32"/>
        </w:rPr>
        <w:t>第八章保障措施与效益分析</w:t>
      </w:r>
      <w:bookmarkEnd w:id="254"/>
      <w:bookmarkEnd w:id="255"/>
      <w:bookmarkEnd w:id="256"/>
      <w:bookmarkEnd w:id="257"/>
    </w:p>
    <w:p w14:paraId="59DBF650">
      <w:pPr>
        <w:keepNext/>
        <w:keepLines/>
        <w:adjustRightInd w:val="0"/>
        <w:spacing w:beforeLines="50" w:afterLines="50" w:line="360" w:lineRule="auto"/>
        <w:jc w:val="left"/>
        <w:textAlignment w:val="baseline"/>
        <w:outlineLvl w:val="0"/>
        <w:rPr>
          <w:kern w:val="0"/>
          <w:sz w:val="30"/>
          <w:szCs w:val="30"/>
        </w:rPr>
      </w:pPr>
      <w:bookmarkStart w:id="258" w:name="_Toc43851709"/>
      <w:bookmarkStart w:id="259" w:name="_Toc481328264"/>
      <w:bookmarkStart w:id="260" w:name="_Toc500227904"/>
      <w:bookmarkStart w:id="261" w:name="_Toc480537500"/>
      <w:r>
        <w:rPr>
          <w:kern w:val="0"/>
          <w:sz w:val="30"/>
          <w:szCs w:val="30"/>
        </w:rPr>
        <w:t>一、组织保障</w:t>
      </w:r>
      <w:bookmarkEnd w:id="258"/>
      <w:bookmarkEnd w:id="259"/>
      <w:bookmarkEnd w:id="260"/>
      <w:bookmarkEnd w:id="261"/>
    </w:p>
    <w:p w14:paraId="6B9AED68">
      <w:pPr>
        <w:spacing w:line="360" w:lineRule="auto"/>
        <w:ind w:firstLine="480" w:firstLineChars="200"/>
        <w:rPr>
          <w:sz w:val="24"/>
          <w:lang w:val="zh-CN"/>
        </w:rPr>
      </w:pPr>
      <w:r>
        <w:rPr>
          <w:sz w:val="24"/>
          <w:lang w:val="zh-CN"/>
        </w:rPr>
        <w:t>本项目应严格按照批准的矿山地质环境保护与土地复垦方案和设计开展各项工作，不得随意变更。自然资源管理部门负有监督管理职责，为项目的监督单位；广元市利州区紫兰建材厂为项目承担单位，负责组织项目的矿山地质环境保护与土地复垦工作的实施，可以招标项目具体实施单位。</w:t>
      </w:r>
    </w:p>
    <w:p w14:paraId="030FE3A4">
      <w:pPr>
        <w:spacing w:line="360" w:lineRule="auto"/>
        <w:ind w:firstLine="480" w:firstLineChars="200"/>
        <w:rPr>
          <w:sz w:val="24"/>
          <w:lang w:val="zh-CN"/>
        </w:rPr>
      </w:pPr>
      <w:r>
        <w:rPr>
          <w:sz w:val="24"/>
          <w:lang w:val="zh-CN"/>
        </w:rPr>
        <w:t>1、广元市利州区紫兰建材厂须把矿山地质环境保护与土地复垦工作列为矿山管理工作的重点，设立行政领导机构和管理职能部门，负责具体措施的落实，加强矿山地质环境保护与土地复垦工作的宣传，建立矿山地质环境保护与土地复垦工作制度和保障措施，对员工加强培训、教育，保证矿山地质环境保护与土地复垦工作的顺利进行。</w:t>
      </w:r>
    </w:p>
    <w:p w14:paraId="73F6AB32">
      <w:pPr>
        <w:spacing w:line="360" w:lineRule="auto"/>
        <w:ind w:firstLine="480" w:firstLineChars="200"/>
        <w:rPr>
          <w:sz w:val="24"/>
          <w:lang w:val="zh-CN"/>
        </w:rPr>
      </w:pPr>
      <w:r>
        <w:rPr>
          <w:sz w:val="24"/>
          <w:lang w:val="zh-CN"/>
        </w:rPr>
        <w:t>2、广元市利州区紫兰建材厂须加强职能部门的综合协调，按照矿山地质环境保护与土地复垦工作的要求，明确各部门在矿山建设、生产过程中的矿山地质环境保护与土地复垦工作的职责和指标，将矿山地质环境保护与土地复垦工作纳入矿山建设、生产计划，作为建设、生产的重要环节，制定相关的责任制、检查、验收和考核的实施办法。</w:t>
      </w:r>
    </w:p>
    <w:p w14:paraId="621F119D">
      <w:pPr>
        <w:spacing w:line="360" w:lineRule="auto"/>
        <w:ind w:firstLine="480" w:firstLineChars="200"/>
        <w:rPr>
          <w:sz w:val="24"/>
          <w:lang w:val="zh-CN"/>
        </w:rPr>
      </w:pPr>
      <w:r>
        <w:rPr>
          <w:sz w:val="24"/>
          <w:lang w:val="zh-CN"/>
        </w:rPr>
        <w:t>3、广元市利州区紫兰建材厂须做好项目设计和预算编制、招投标及资金管理工作；确定项目施工、监理单位；负责项目实施监督管理；协助编制提交竣工报告；负责项目预检，提交工程竣工报告，并报请国土资源管理部门验收。</w:t>
      </w:r>
    </w:p>
    <w:p w14:paraId="5C7260CA">
      <w:pPr>
        <w:spacing w:line="360" w:lineRule="auto"/>
        <w:ind w:firstLine="480" w:firstLineChars="200"/>
        <w:rPr>
          <w:sz w:val="24"/>
          <w:lang w:val="zh-CN"/>
        </w:rPr>
      </w:pPr>
      <w:r>
        <w:rPr>
          <w:sz w:val="24"/>
          <w:lang w:val="zh-CN"/>
        </w:rPr>
        <w:t>4、坚持“以人为本”的管理理念，通过对矿山企业人的管理来建设好绿色矿山、生态矿山，开创矿山开发与生态环境保护相结合的新路子。</w:t>
      </w:r>
    </w:p>
    <w:p w14:paraId="45A67620">
      <w:pPr>
        <w:keepNext/>
        <w:keepLines/>
        <w:adjustRightInd w:val="0"/>
        <w:spacing w:beforeLines="50" w:afterLines="50" w:line="360" w:lineRule="auto"/>
        <w:jc w:val="left"/>
        <w:textAlignment w:val="baseline"/>
        <w:outlineLvl w:val="0"/>
        <w:rPr>
          <w:kern w:val="0"/>
          <w:sz w:val="30"/>
          <w:szCs w:val="30"/>
        </w:rPr>
      </w:pPr>
      <w:bookmarkStart w:id="262" w:name="_Toc481328265"/>
      <w:bookmarkStart w:id="263" w:name="_Toc480537501"/>
      <w:bookmarkStart w:id="264" w:name="_Toc500227905"/>
      <w:bookmarkStart w:id="265" w:name="_Toc43851710"/>
      <w:r>
        <w:rPr>
          <w:kern w:val="0"/>
          <w:sz w:val="30"/>
          <w:szCs w:val="30"/>
        </w:rPr>
        <w:t>二、技术保障</w:t>
      </w:r>
      <w:bookmarkEnd w:id="262"/>
      <w:bookmarkEnd w:id="263"/>
      <w:bookmarkEnd w:id="264"/>
      <w:bookmarkEnd w:id="265"/>
    </w:p>
    <w:p w14:paraId="15BCCA54">
      <w:pPr>
        <w:spacing w:line="360" w:lineRule="auto"/>
        <w:ind w:firstLine="480" w:firstLineChars="200"/>
        <w:rPr>
          <w:sz w:val="24"/>
          <w:lang w:val="zh-CN"/>
        </w:rPr>
      </w:pPr>
      <w:r>
        <w:rPr>
          <w:sz w:val="24"/>
          <w:lang w:val="zh-CN"/>
        </w:rPr>
        <w:t>1、广元市利州区紫兰建材厂组织治理工程设计、施工的招投标工作，中标单位按招标要求及本方案编写详细的技术方案，并报自然资源管理部门审批后实施。</w:t>
      </w:r>
    </w:p>
    <w:p w14:paraId="2CB4A559">
      <w:pPr>
        <w:spacing w:line="360" w:lineRule="auto"/>
        <w:ind w:firstLine="480" w:firstLineChars="200"/>
        <w:rPr>
          <w:sz w:val="24"/>
          <w:lang w:val="zh-CN"/>
        </w:rPr>
      </w:pPr>
      <w:r>
        <w:rPr>
          <w:sz w:val="24"/>
          <w:lang w:val="zh-CN"/>
        </w:rPr>
        <w:t>2、广元市利州区紫兰建材厂须引进相关矿山、环境治理和植被恢复专业技术人员，为矿山环境保护和治理工作提供技术人才保障。</w:t>
      </w:r>
    </w:p>
    <w:p w14:paraId="0EC37003">
      <w:pPr>
        <w:spacing w:line="360" w:lineRule="auto"/>
        <w:ind w:firstLine="480" w:firstLineChars="200"/>
        <w:rPr>
          <w:sz w:val="24"/>
          <w:lang w:val="zh-CN"/>
        </w:rPr>
      </w:pPr>
      <w:r>
        <w:rPr>
          <w:sz w:val="24"/>
          <w:lang w:val="zh-CN"/>
        </w:rPr>
        <w:t>3、广元市利州区紫兰建材厂增置相关矿山测量、环境监测的仪器设备，为矿山环境保护和治理工作提供技术设备保障。</w:t>
      </w:r>
    </w:p>
    <w:p w14:paraId="111DA81B">
      <w:pPr>
        <w:spacing w:line="360" w:lineRule="auto"/>
        <w:ind w:firstLine="480" w:firstLineChars="200"/>
        <w:rPr>
          <w:sz w:val="24"/>
          <w:lang w:val="zh-CN"/>
        </w:rPr>
      </w:pPr>
      <w:r>
        <w:rPr>
          <w:sz w:val="24"/>
          <w:lang w:val="zh-CN"/>
        </w:rPr>
        <w:t>4、广元市利州区紫兰建材厂对矿山地质环境保护与土地复垦工程施工全过程进行工程质量和工程进度监督。</w:t>
      </w:r>
    </w:p>
    <w:p w14:paraId="7468F9DD">
      <w:pPr>
        <w:keepNext/>
        <w:keepLines/>
        <w:adjustRightInd w:val="0"/>
        <w:spacing w:beforeLines="50" w:afterLines="50" w:line="360" w:lineRule="auto"/>
        <w:jc w:val="left"/>
        <w:textAlignment w:val="baseline"/>
        <w:outlineLvl w:val="0"/>
        <w:rPr>
          <w:kern w:val="0"/>
          <w:sz w:val="30"/>
          <w:szCs w:val="30"/>
        </w:rPr>
      </w:pPr>
      <w:bookmarkStart w:id="266" w:name="_Toc500227906"/>
      <w:bookmarkStart w:id="267" w:name="_Toc481328266"/>
      <w:bookmarkStart w:id="268" w:name="_Toc43851711"/>
      <w:bookmarkStart w:id="269" w:name="_Toc480537502"/>
      <w:r>
        <w:rPr>
          <w:kern w:val="0"/>
          <w:sz w:val="30"/>
          <w:szCs w:val="30"/>
        </w:rPr>
        <w:t>三、资金保障</w:t>
      </w:r>
      <w:bookmarkEnd w:id="266"/>
      <w:bookmarkEnd w:id="267"/>
      <w:bookmarkEnd w:id="268"/>
      <w:bookmarkEnd w:id="269"/>
    </w:p>
    <w:p w14:paraId="1E7C0335">
      <w:pPr>
        <w:spacing w:line="360" w:lineRule="auto"/>
        <w:ind w:firstLine="480" w:firstLineChars="200"/>
        <w:rPr>
          <w:sz w:val="24"/>
          <w:lang w:val="zh-CN"/>
        </w:rPr>
      </w:pPr>
      <w:r>
        <w:rPr>
          <w:sz w:val="24"/>
          <w:lang w:val="zh-CN"/>
        </w:rPr>
        <w:t>资金落实是矿山地质环境保护与土地复垦工作成败的关键。做好矿山地质环境保护与土地复垦工作，必须制定出切实可行的资金保障措施，本方案将从资金的来源、存放、管理、使用、审计等环节落实资金保障措施。</w:t>
      </w:r>
    </w:p>
    <w:p w14:paraId="5F6029CB">
      <w:pPr>
        <w:spacing w:line="360" w:lineRule="auto"/>
        <w:ind w:firstLine="480" w:firstLineChars="200"/>
        <w:rPr>
          <w:sz w:val="24"/>
          <w:lang w:val="zh-CN"/>
        </w:rPr>
      </w:pPr>
      <w:r>
        <w:rPr>
          <w:sz w:val="24"/>
          <w:lang w:val="zh-CN"/>
        </w:rPr>
        <w:t>1、资金来源</w:t>
      </w:r>
    </w:p>
    <w:p w14:paraId="775A9968">
      <w:pPr>
        <w:spacing w:line="360" w:lineRule="auto"/>
        <w:ind w:firstLine="480" w:firstLineChars="200"/>
        <w:rPr>
          <w:sz w:val="24"/>
          <w:lang w:val="zh-CN"/>
        </w:rPr>
      </w:pPr>
      <w:r>
        <w:rPr>
          <w:sz w:val="24"/>
          <w:lang w:val="zh-CN"/>
        </w:rPr>
        <w:t>广元市利州区紫兰建材厂为本项目矿山地质环境保护与土地复垦义务人，应将矿山地质环境保护与土地复垦资金足额纳入生产建设成本，专项用于矿山地质环境保护与土地复垦工作的实施。投入复垦资金足额提取，存入专门帐户。确保复垦资金足额到位、安全有效。</w:t>
      </w:r>
    </w:p>
    <w:p w14:paraId="7506A3EC">
      <w:pPr>
        <w:spacing w:line="360" w:lineRule="auto"/>
        <w:ind w:firstLine="480" w:firstLineChars="200"/>
        <w:rPr>
          <w:sz w:val="24"/>
          <w:lang w:val="zh-CN"/>
        </w:rPr>
      </w:pPr>
      <w:r>
        <w:rPr>
          <w:sz w:val="24"/>
          <w:lang w:val="zh-CN"/>
        </w:rPr>
        <w:t>广元市利州区紫兰建材厂已对缴存矿山地质环境保护与土地复垦保证金进行书面承诺，并按照四川省矿山地质环境保护与土地复垦保证金的缴存标准和缴存办法，</w:t>
      </w:r>
      <w:r>
        <w:rPr>
          <w:sz w:val="24"/>
        </w:rPr>
        <w:t>足额预存</w:t>
      </w:r>
      <w:r>
        <w:rPr>
          <w:sz w:val="24"/>
          <w:lang w:val="zh-CN"/>
        </w:rPr>
        <w:t>矿山地质环境保护与土地复垦费用到共管账户。</w:t>
      </w:r>
    </w:p>
    <w:p w14:paraId="6D959810">
      <w:pPr>
        <w:spacing w:line="360" w:lineRule="auto"/>
        <w:ind w:firstLine="480" w:firstLineChars="200"/>
        <w:rPr>
          <w:sz w:val="24"/>
          <w:lang w:val="zh-CN"/>
        </w:rPr>
      </w:pPr>
      <w:r>
        <w:rPr>
          <w:sz w:val="24"/>
          <w:lang w:val="zh-CN"/>
        </w:rPr>
        <w:t>2、存放</w:t>
      </w:r>
    </w:p>
    <w:p w14:paraId="6AC18CFA">
      <w:pPr>
        <w:spacing w:line="360" w:lineRule="auto"/>
        <w:ind w:firstLine="480" w:firstLineChars="200"/>
        <w:rPr>
          <w:sz w:val="24"/>
          <w:lang w:val="zh-CN"/>
        </w:rPr>
      </w:pPr>
      <w:r>
        <w:rPr>
          <w:sz w:val="24"/>
          <w:lang w:val="zh-CN"/>
        </w:rPr>
        <w:t>矿山企业每年列入生产成本中的矿山地质环境保护与土地复垦资金采用集中管理，不得随便改变使用用途。为确保复垦资金的专款专用，矿山地质环境保护与土地复垦资金由当地自然资源部门与矿山企业共同管理。</w:t>
      </w:r>
    </w:p>
    <w:p w14:paraId="63CCB641">
      <w:pPr>
        <w:spacing w:line="360" w:lineRule="auto"/>
        <w:ind w:firstLine="480" w:firstLineChars="200"/>
        <w:rPr>
          <w:sz w:val="24"/>
          <w:lang w:val="zh-CN"/>
        </w:rPr>
      </w:pPr>
      <w:r>
        <w:rPr>
          <w:sz w:val="24"/>
          <w:lang w:val="zh-CN"/>
        </w:rPr>
        <w:t>（1）建立共管账户：广元市利州区紫兰建材厂建立矿山地质环境保护与土地复垦费用专用账户，费用账户按照“企业所有，政府监管，专户存储，专款专</w:t>
      </w:r>
      <w:bookmarkStart w:id="270" w:name="（四）使用"/>
      <w:bookmarkEnd w:id="270"/>
      <w:bookmarkStart w:id="271" w:name="（三）管理"/>
      <w:bookmarkEnd w:id="271"/>
      <w:r>
        <w:rPr>
          <w:sz w:val="24"/>
          <w:lang w:val="zh-CN"/>
        </w:rPr>
        <w:t>用”的原则进行管理。</w:t>
      </w:r>
    </w:p>
    <w:p w14:paraId="7F35B469">
      <w:pPr>
        <w:spacing w:line="360" w:lineRule="auto"/>
        <w:ind w:firstLine="480" w:firstLineChars="200"/>
        <w:rPr>
          <w:sz w:val="24"/>
          <w:lang w:val="zh-CN"/>
        </w:rPr>
      </w:pPr>
      <w:r>
        <w:rPr>
          <w:sz w:val="24"/>
          <w:lang w:val="zh-CN"/>
        </w:rPr>
        <w:t>（2）共管账户工作人员具体工作职责：每年年底督促矿山按照矿山地质环境保护与土地复垦资金动态投资总额确定的年度计提标准将资金转划至共管账户内；负责统计矿山历年复垦资金缴纳总额及未缴纳余额；负责统计矿山完成矿山地质环境保护与土地复垦工作投资、支出金额；在10日内将矿山缴纳、支出矿山地质环境保护与土地复垦资金的财务凭证送至自然资源部门实施备案；配合自然资源、财政等相关部门对专项账户内的资金进行监督检查，如实提供相关的数据、凭证。</w:t>
      </w:r>
    </w:p>
    <w:p w14:paraId="2CCEDC20">
      <w:pPr>
        <w:spacing w:line="360" w:lineRule="auto"/>
        <w:ind w:firstLine="480" w:firstLineChars="200"/>
        <w:rPr>
          <w:sz w:val="24"/>
          <w:lang w:val="zh-CN"/>
        </w:rPr>
      </w:pPr>
      <w:r>
        <w:rPr>
          <w:sz w:val="24"/>
          <w:lang w:val="zh-CN"/>
        </w:rPr>
        <w:t>3、管理</w:t>
      </w:r>
    </w:p>
    <w:p w14:paraId="23CB62FA">
      <w:pPr>
        <w:spacing w:line="360" w:lineRule="auto"/>
        <w:ind w:firstLine="480" w:firstLineChars="200"/>
        <w:rPr>
          <w:sz w:val="24"/>
          <w:lang w:val="zh-CN"/>
        </w:rPr>
      </w:pPr>
      <w:r>
        <w:rPr>
          <w:sz w:val="24"/>
          <w:lang w:val="zh-CN"/>
        </w:rPr>
        <w:t>（1）采用第三方监管：共管账户管理是保证资金安全、矿山地质环境保护与土地复垦工作顺利实施的切实保障，资金管理采取矿山和自然资源部门双方共管、第三方（银行或财政部门）监管的制度。</w:t>
      </w:r>
    </w:p>
    <w:p w14:paraId="5E36E149">
      <w:pPr>
        <w:spacing w:line="360" w:lineRule="auto"/>
        <w:ind w:firstLine="480" w:firstLineChars="200"/>
        <w:rPr>
          <w:sz w:val="24"/>
          <w:lang w:val="zh-CN"/>
        </w:rPr>
      </w:pPr>
      <w:r>
        <w:rPr>
          <w:sz w:val="24"/>
          <w:lang w:val="zh-CN"/>
        </w:rPr>
        <w:t>（2）资金的支出管理：共管账户内的资金专门用于本项目矿山地质环境保护与土地复垦工作实施，不得挪作他用。共管账户内的资金由银行根据监管协议，只有获取相关付款指令后方可实施资金的划转。该付款指令应由矿山和自然资源部门协商确定。</w:t>
      </w:r>
    </w:p>
    <w:p w14:paraId="25165E18">
      <w:pPr>
        <w:spacing w:line="360" w:lineRule="auto"/>
        <w:ind w:firstLine="480" w:firstLineChars="200"/>
        <w:rPr>
          <w:sz w:val="24"/>
          <w:lang w:val="zh-CN"/>
        </w:rPr>
      </w:pPr>
      <w:r>
        <w:rPr>
          <w:sz w:val="24"/>
          <w:lang w:val="zh-CN"/>
        </w:rPr>
        <w:t>4、使用</w:t>
      </w:r>
    </w:p>
    <w:p w14:paraId="70580CDB">
      <w:pPr>
        <w:spacing w:line="360" w:lineRule="auto"/>
        <w:ind w:firstLine="480" w:firstLineChars="200"/>
        <w:rPr>
          <w:sz w:val="24"/>
          <w:lang w:val="zh-CN"/>
        </w:rPr>
      </w:pPr>
      <w:r>
        <w:rPr>
          <w:sz w:val="24"/>
          <w:lang w:val="zh-CN"/>
        </w:rPr>
        <w:t>（1）严格项目招标制度、提高资金使用的透明度。矿山地质环境保护与土地复垦工程严格按照《工程招投标办法》的规定，依据公开、公平、公正的原则实施招投标制度。</w:t>
      </w:r>
    </w:p>
    <w:p w14:paraId="475BB801">
      <w:pPr>
        <w:spacing w:line="360" w:lineRule="auto"/>
        <w:ind w:firstLine="480" w:firstLineChars="200"/>
        <w:rPr>
          <w:sz w:val="24"/>
          <w:lang w:val="zh-CN"/>
        </w:rPr>
      </w:pPr>
      <w:r>
        <w:rPr>
          <w:sz w:val="24"/>
          <w:lang w:val="zh-CN"/>
        </w:rPr>
        <w:t>（2）遏制项目资金的粗放利用行为。矿山地质环境保护与土地复垦工作切实关系着人民生命财产安全，每一分复垦资金都应落实在矿山地质环境保护与土地复垦项目中，杜绝项目资金的粗放利用现象。在复垦资金的使用中，将事中监督与事后检查制度同步实施，使复垦资金充分发挥效益。</w:t>
      </w:r>
    </w:p>
    <w:p w14:paraId="30A77A7A">
      <w:pPr>
        <w:spacing w:line="360" w:lineRule="auto"/>
        <w:ind w:firstLine="480" w:firstLineChars="200"/>
        <w:rPr>
          <w:sz w:val="24"/>
          <w:lang w:val="zh-CN"/>
        </w:rPr>
      </w:pPr>
      <w:r>
        <w:rPr>
          <w:sz w:val="24"/>
          <w:lang w:val="zh-CN"/>
        </w:rPr>
        <w:t>（3）杜绝改变项目资金用途现象。广元市利州区紫兰建材厂砖瓦用页岩矿矿山地质环境保护与土地复垦费金额较大，在项目的实施过程中，任何个人和单位不得以配套工程、综合开发等名义将矿山地质环境保护与土地复垦资金变相的挪作他用。</w:t>
      </w:r>
    </w:p>
    <w:p w14:paraId="1A8CA9CB">
      <w:pPr>
        <w:spacing w:line="360" w:lineRule="auto"/>
        <w:ind w:firstLine="480" w:firstLineChars="200"/>
        <w:rPr>
          <w:sz w:val="24"/>
          <w:lang w:val="zh-CN"/>
        </w:rPr>
      </w:pPr>
      <w:r>
        <w:rPr>
          <w:sz w:val="24"/>
          <w:lang w:val="zh-CN"/>
        </w:rPr>
        <w:t>（4）严格资金拨付制度。在工程完成后，资金拨付由施工单位根据工程进度提出申请，经主管部门审查签字后，报财务部门审批。在拨付资金之前，必须对上期资金使用情况进行检查验收，合格后资金才予拨付。工程款可按照单项工程实施进度分阶段支付，每次支付的金额不得超过单项工程完成总额的70%。</w:t>
      </w:r>
    </w:p>
    <w:p w14:paraId="394BC28A">
      <w:pPr>
        <w:spacing w:line="360" w:lineRule="auto"/>
        <w:ind w:firstLine="480" w:firstLineChars="200"/>
        <w:rPr>
          <w:sz w:val="24"/>
          <w:lang w:val="zh-CN"/>
        </w:rPr>
      </w:pPr>
      <w:r>
        <w:rPr>
          <w:sz w:val="24"/>
          <w:lang w:val="zh-CN"/>
        </w:rPr>
        <w:t>（5）实施工程质量保障制度。工程完工后，经甲方、监理验收合格后，甲方向乙方支付至合同总价的75％；工程结算后，支付至工程结算总价的95%，其余5%的质量保证金，待质量保期满三年后支付。</w:t>
      </w:r>
    </w:p>
    <w:p w14:paraId="1DEA369F">
      <w:pPr>
        <w:spacing w:line="360" w:lineRule="auto"/>
        <w:ind w:firstLine="480" w:firstLineChars="200"/>
        <w:rPr>
          <w:sz w:val="24"/>
          <w:lang w:val="zh-CN"/>
        </w:rPr>
      </w:pPr>
      <w:r>
        <w:rPr>
          <w:sz w:val="24"/>
          <w:lang w:val="zh-CN"/>
        </w:rPr>
        <w:t>5、审计</w:t>
      </w:r>
    </w:p>
    <w:p w14:paraId="0E6B1160">
      <w:pPr>
        <w:spacing w:line="360" w:lineRule="auto"/>
        <w:ind w:firstLine="480" w:firstLineChars="200"/>
        <w:rPr>
          <w:sz w:val="24"/>
          <w:lang w:val="zh-CN"/>
        </w:rPr>
      </w:pPr>
      <w:r>
        <w:rPr>
          <w:sz w:val="24"/>
          <w:lang w:val="zh-CN"/>
        </w:rPr>
        <w:t>保证建设资金及时足额到位，保障矿山地质环境保护与土地复垦工作顺利进行。实施竣工验收时，建设单位应就投资估算调整情况、分年度安排投资、资金到位情况和经费支出情况写出总结报主管部门和监督部门审计审查备案。若投资规模不够，不能按设计方案进行矿山地质环境保护与土地复垦工作，主管部门和监督机构应督促业主单位按原计划追加投资。主要审查内容：</w:t>
      </w:r>
    </w:p>
    <w:p w14:paraId="4518E887">
      <w:pPr>
        <w:spacing w:line="360" w:lineRule="auto"/>
        <w:ind w:firstLine="480" w:firstLineChars="200"/>
        <w:rPr>
          <w:sz w:val="24"/>
          <w:lang w:val="zh-CN"/>
        </w:rPr>
      </w:pPr>
      <w:r>
        <w:rPr>
          <w:sz w:val="24"/>
          <w:lang w:val="zh-CN"/>
        </w:rPr>
        <w:t>（1）审查资金的计提、转划、管理情况。定期或不定期的检查共管账户内矿山地质环境保护与土地复垦资金运行情况，谨防矿山不按时转划复垦资金或非法挪用复垦资金现象。</w:t>
      </w:r>
    </w:p>
    <w:p w14:paraId="1227B97C">
      <w:pPr>
        <w:spacing w:line="360" w:lineRule="auto"/>
        <w:ind w:firstLine="480" w:firstLineChars="200"/>
        <w:rPr>
          <w:sz w:val="24"/>
          <w:lang w:val="zh-CN"/>
        </w:rPr>
      </w:pPr>
      <w:r>
        <w:rPr>
          <w:sz w:val="24"/>
          <w:lang w:val="zh-CN"/>
        </w:rPr>
        <w:t>（2）审核招投标的真实性：公开、公平、公正确定施工单位是确保工程质量的关键所在，在项目招标中，重点审查招标程序是否规范到位、招标方式和组织形式是否合法，杜绝招标工作出现走过场、暗箱操作的行为。</w:t>
      </w:r>
    </w:p>
    <w:p w14:paraId="431A7829">
      <w:pPr>
        <w:spacing w:line="360" w:lineRule="auto"/>
        <w:ind w:firstLine="480" w:firstLineChars="200"/>
        <w:rPr>
          <w:sz w:val="24"/>
          <w:lang w:val="zh-CN"/>
        </w:rPr>
      </w:pPr>
      <w:r>
        <w:rPr>
          <w:sz w:val="24"/>
          <w:lang w:val="zh-CN"/>
        </w:rPr>
        <w:t>（3）审核项目资金流向、使用效益，审核预算、决算编制，资金的流程。检查业主或施工单位是否存在虚假决算，或虚列支出，搞虚假工程骗取资金行为，或有关部门滞留项目资金行为。</w:t>
      </w:r>
    </w:p>
    <w:p w14:paraId="0D2B0A80">
      <w:pPr>
        <w:spacing w:line="360" w:lineRule="auto"/>
        <w:ind w:firstLine="480" w:firstLineChars="200"/>
        <w:rPr>
          <w:sz w:val="24"/>
          <w:lang w:val="zh-CN"/>
        </w:rPr>
      </w:pPr>
      <w:r>
        <w:rPr>
          <w:sz w:val="24"/>
          <w:lang w:val="zh-CN"/>
        </w:rPr>
        <w:t>（4）实施责任追究制度。在项目的审计中，如出现滥用、挪用资金的行为，追究当事人、相关责任人的责任，给予相应的行政、经济、刑事处罚。</w:t>
      </w:r>
    </w:p>
    <w:p w14:paraId="6BCC6337">
      <w:pPr>
        <w:spacing w:line="360" w:lineRule="auto"/>
        <w:ind w:firstLine="480" w:firstLineChars="200"/>
        <w:rPr>
          <w:sz w:val="24"/>
          <w:lang w:val="zh-CN"/>
        </w:rPr>
      </w:pPr>
      <w:r>
        <w:rPr>
          <w:sz w:val="24"/>
          <w:lang w:val="zh-CN"/>
        </w:rPr>
        <w:t>广元市自然资源局将加强对广元市利州区紫兰建材厂砖瓦用页岩矿专项资金的审计，确保以下几点：</w:t>
      </w:r>
    </w:p>
    <w:p w14:paraId="70062672">
      <w:pPr>
        <w:spacing w:line="360" w:lineRule="auto"/>
        <w:ind w:firstLine="480" w:firstLineChars="200"/>
        <w:rPr>
          <w:sz w:val="24"/>
          <w:lang w:val="zh-CN"/>
        </w:rPr>
      </w:pPr>
      <w:r>
        <w:rPr>
          <w:sz w:val="24"/>
          <w:lang w:val="zh-CN"/>
        </w:rPr>
        <w:t>——确定资金的内部控制制度存在、有效并一贯被执行；</w:t>
      </w:r>
    </w:p>
    <w:p w14:paraId="726BE54B">
      <w:pPr>
        <w:spacing w:line="360" w:lineRule="auto"/>
        <w:ind w:firstLine="480" w:firstLineChars="200"/>
        <w:rPr>
          <w:sz w:val="24"/>
          <w:lang w:val="zh-CN"/>
        </w:rPr>
      </w:pPr>
      <w:r>
        <w:rPr>
          <w:sz w:val="24"/>
          <w:lang w:val="zh-CN"/>
        </w:rPr>
        <w:t>——确定会计报表所列金额真实；</w:t>
      </w:r>
    </w:p>
    <w:p w14:paraId="7B577AAC">
      <w:pPr>
        <w:spacing w:line="360" w:lineRule="auto"/>
        <w:ind w:firstLine="480" w:firstLineChars="200"/>
        <w:rPr>
          <w:sz w:val="24"/>
          <w:lang w:val="zh-CN"/>
        </w:rPr>
      </w:pPr>
      <w:r>
        <w:rPr>
          <w:sz w:val="24"/>
          <w:lang w:val="zh-CN"/>
        </w:rPr>
        <w:t>——确定资金的会计记录正确无误，金额正确，计量无误，明细帐和总帐一致，是否有被贪污或挪用现象；</w:t>
      </w:r>
    </w:p>
    <w:p w14:paraId="0D792BB0">
      <w:pPr>
        <w:spacing w:line="360" w:lineRule="auto"/>
        <w:ind w:firstLine="480" w:firstLineChars="200"/>
        <w:rPr>
          <w:sz w:val="24"/>
          <w:lang w:val="zh-CN"/>
        </w:rPr>
      </w:pPr>
      <w:r>
        <w:rPr>
          <w:sz w:val="24"/>
          <w:lang w:val="zh-CN"/>
        </w:rPr>
        <w:t>——确定资金的收支真实，货币计价正确；</w:t>
      </w:r>
    </w:p>
    <w:p w14:paraId="5A8E95F8">
      <w:pPr>
        <w:spacing w:line="360" w:lineRule="auto"/>
        <w:ind w:firstLine="480" w:firstLineChars="200"/>
        <w:rPr>
          <w:sz w:val="24"/>
          <w:lang w:val="zh-CN"/>
        </w:rPr>
      </w:pPr>
      <w:r>
        <w:rPr>
          <w:sz w:val="24"/>
          <w:lang w:val="zh-CN"/>
        </w:rPr>
        <w:t>——确定资金在会计报表上的揭露恰当。</w:t>
      </w:r>
    </w:p>
    <w:p w14:paraId="1A70BEF3">
      <w:pPr>
        <w:keepNext/>
        <w:keepLines/>
        <w:adjustRightInd w:val="0"/>
        <w:spacing w:beforeLines="50" w:afterLines="50" w:line="360" w:lineRule="auto"/>
        <w:jc w:val="left"/>
        <w:textAlignment w:val="baseline"/>
        <w:outlineLvl w:val="0"/>
        <w:rPr>
          <w:kern w:val="0"/>
          <w:sz w:val="30"/>
          <w:szCs w:val="30"/>
        </w:rPr>
      </w:pPr>
      <w:bookmarkStart w:id="272" w:name="_Toc500227907"/>
      <w:bookmarkStart w:id="273" w:name="_Toc43851712"/>
      <w:bookmarkStart w:id="274" w:name="_Toc480537503"/>
      <w:bookmarkStart w:id="275" w:name="_Toc481328267"/>
      <w:r>
        <w:rPr>
          <w:kern w:val="0"/>
          <w:sz w:val="30"/>
          <w:szCs w:val="30"/>
        </w:rPr>
        <w:t>四、监管保障</w:t>
      </w:r>
      <w:bookmarkEnd w:id="272"/>
      <w:bookmarkEnd w:id="273"/>
      <w:bookmarkEnd w:id="274"/>
      <w:bookmarkEnd w:id="275"/>
    </w:p>
    <w:p w14:paraId="1771E108">
      <w:pPr>
        <w:spacing w:line="360" w:lineRule="auto"/>
        <w:ind w:firstLine="480" w:firstLineChars="200"/>
        <w:rPr>
          <w:sz w:val="24"/>
          <w:lang w:val="zh-CN"/>
        </w:rPr>
      </w:pPr>
      <w:r>
        <w:rPr>
          <w:sz w:val="24"/>
          <w:lang w:val="zh-CN"/>
        </w:rPr>
        <w:t>公司将按照批准后的矿山地质环境保护与土地复垦方案进行复垦，不能对方案擅自变更，若有重大变更的，向自然资源主管部门申请。公司矿山地质环境保护与土地复垦部将加强土地复垦施工管理，严格按照方案要求自查，并主动与自然资源主管部门取得联系，加强与自然资源主管部门合作，自觉接受自然资源主管部门的监督管理。</w:t>
      </w:r>
    </w:p>
    <w:p w14:paraId="3CE34AD5">
      <w:pPr>
        <w:spacing w:line="360" w:lineRule="auto"/>
        <w:ind w:firstLine="480" w:firstLineChars="200"/>
        <w:rPr>
          <w:sz w:val="24"/>
          <w:lang w:val="zh-CN"/>
        </w:rPr>
      </w:pPr>
      <w:r>
        <w:rPr>
          <w:sz w:val="24"/>
          <w:lang w:val="zh-CN"/>
        </w:rPr>
        <w:t>为保障自然资源主管部门矿山地质环境保护与土地复垦实施监管工作，公司根据土地复垦方案编制每年12月31日前向当地县级以上自然资源主管部门报告当年的土地损毁情况以及土地复垦工程实施情况，包括下列内容：</w:t>
      </w:r>
    </w:p>
    <w:p w14:paraId="32FBA337">
      <w:pPr>
        <w:spacing w:line="360" w:lineRule="auto"/>
        <w:ind w:firstLine="480" w:firstLineChars="200"/>
        <w:rPr>
          <w:sz w:val="24"/>
          <w:lang w:val="zh-CN"/>
        </w:rPr>
      </w:pPr>
      <w:r>
        <w:rPr>
          <w:sz w:val="24"/>
          <w:lang w:val="zh-CN"/>
        </w:rPr>
        <w:t>1、年度地质灾害发生情况；土地损毁情况，包括土地损毁方式、地类、位置、权属、面积、程度等；</w:t>
      </w:r>
    </w:p>
    <w:p w14:paraId="7A019D43">
      <w:pPr>
        <w:spacing w:line="360" w:lineRule="auto"/>
        <w:ind w:firstLine="480" w:firstLineChars="200"/>
        <w:rPr>
          <w:sz w:val="24"/>
          <w:lang w:val="zh-CN"/>
        </w:rPr>
      </w:pPr>
      <w:r>
        <w:rPr>
          <w:sz w:val="24"/>
          <w:lang w:val="zh-CN"/>
        </w:rPr>
        <w:t>2、年度地质环境保护与土地复垦费用预存、使用和管理等情况；</w:t>
      </w:r>
    </w:p>
    <w:p w14:paraId="47A4121C">
      <w:pPr>
        <w:spacing w:line="360" w:lineRule="auto"/>
        <w:ind w:firstLine="480" w:firstLineChars="200"/>
        <w:rPr>
          <w:sz w:val="24"/>
          <w:lang w:val="zh-CN"/>
        </w:rPr>
      </w:pPr>
      <w:r>
        <w:rPr>
          <w:sz w:val="24"/>
          <w:lang w:val="zh-CN"/>
        </w:rPr>
        <w:t>3、年度地质环境保护与土地复垦实施情况，包括复垦地类、位置、面积、权属、主要复垦措施、工程量等；</w:t>
      </w:r>
    </w:p>
    <w:p w14:paraId="5C41F7B3">
      <w:pPr>
        <w:spacing w:line="360" w:lineRule="auto"/>
        <w:ind w:firstLine="480" w:firstLineChars="200"/>
        <w:rPr>
          <w:sz w:val="24"/>
          <w:lang w:val="zh-CN"/>
        </w:rPr>
      </w:pPr>
      <w:r>
        <w:rPr>
          <w:sz w:val="24"/>
          <w:lang w:val="zh-CN"/>
        </w:rPr>
        <w:t>4、自然资源主管部门规定的其他年度报告内容。</w:t>
      </w:r>
    </w:p>
    <w:p w14:paraId="18C40626">
      <w:pPr>
        <w:spacing w:line="360" w:lineRule="auto"/>
        <w:ind w:firstLine="480" w:firstLineChars="200"/>
        <w:rPr>
          <w:sz w:val="24"/>
          <w:lang w:val="zh-CN"/>
        </w:rPr>
      </w:pPr>
      <w:r>
        <w:rPr>
          <w:sz w:val="24"/>
          <w:lang w:val="zh-CN"/>
        </w:rPr>
        <w:t>公司需接受自然资源对地质环境保护与复垦实施情况的监督检查，接受社会对地质环境保护与土地复垦实施情况的监督。自然资源主管部门在监督中发现公司不履行地质环境保护与复垦义务的，按照法律法规和政策文件的规定，自觉接受自然资源主管部门及有关部门处罚。</w:t>
      </w:r>
    </w:p>
    <w:p w14:paraId="05CBF460">
      <w:pPr>
        <w:keepNext/>
        <w:keepLines/>
        <w:adjustRightInd w:val="0"/>
        <w:spacing w:beforeLines="50" w:afterLines="50" w:line="360" w:lineRule="auto"/>
        <w:jc w:val="left"/>
        <w:textAlignment w:val="baseline"/>
        <w:outlineLvl w:val="0"/>
        <w:rPr>
          <w:kern w:val="0"/>
          <w:sz w:val="30"/>
          <w:szCs w:val="30"/>
        </w:rPr>
      </w:pPr>
      <w:bookmarkStart w:id="276" w:name="_Toc500227908"/>
      <w:bookmarkStart w:id="277" w:name="_Toc480537504"/>
      <w:bookmarkStart w:id="278" w:name="_Toc481328268"/>
      <w:bookmarkStart w:id="279" w:name="_Toc43851713"/>
      <w:r>
        <w:rPr>
          <w:kern w:val="0"/>
          <w:sz w:val="30"/>
          <w:szCs w:val="30"/>
        </w:rPr>
        <w:t>五、效益分析</w:t>
      </w:r>
      <w:bookmarkEnd w:id="276"/>
      <w:bookmarkEnd w:id="277"/>
      <w:bookmarkEnd w:id="278"/>
      <w:bookmarkEnd w:id="279"/>
    </w:p>
    <w:p w14:paraId="5798492C">
      <w:pPr>
        <w:pStyle w:val="5"/>
        <w:spacing w:beforeLines="50" w:afterLines="50" w:line="360" w:lineRule="auto"/>
        <w:rPr>
          <w:b w:val="0"/>
          <w:sz w:val="28"/>
          <w:szCs w:val="28"/>
        </w:rPr>
      </w:pPr>
      <w:bookmarkStart w:id="280" w:name="_Toc500227909"/>
      <w:bookmarkStart w:id="281" w:name="_Toc43851714"/>
      <w:bookmarkStart w:id="282" w:name="_Toc481328269"/>
      <w:bookmarkStart w:id="283" w:name="_Toc480537505"/>
      <w:r>
        <w:rPr>
          <w:b w:val="0"/>
          <w:sz w:val="28"/>
          <w:szCs w:val="28"/>
        </w:rPr>
        <w:t>（一）经济效益分析</w:t>
      </w:r>
      <w:bookmarkEnd w:id="280"/>
      <w:bookmarkEnd w:id="281"/>
      <w:bookmarkEnd w:id="282"/>
      <w:bookmarkEnd w:id="283"/>
    </w:p>
    <w:p w14:paraId="36B7B8D3">
      <w:pPr>
        <w:spacing w:line="360" w:lineRule="auto"/>
        <w:ind w:firstLine="480" w:firstLineChars="200"/>
        <w:rPr>
          <w:sz w:val="24"/>
          <w:lang w:val="en-GB"/>
        </w:rPr>
      </w:pPr>
      <w:r>
        <w:rPr>
          <w:sz w:val="24"/>
          <w:lang w:val="en-GB"/>
        </w:rPr>
        <w:t>经济效益是指投入与产出的比率，矿山地质环境保护与复垦的经济效益评价主要是对治理复垦后的矿山土地进行耕、园、林、草地等复垦方向的土地生产能力的评价的经济效益体现在两个方面：一是直接经济效益；二是间接经济效益。直接经济效益是指通过土地复垦工程对土地的再利用带来的农业、林业产值。间接经济效益是通过土地复垦工程实施而减少的对土地等需要的生态补偿费。</w:t>
      </w:r>
    </w:p>
    <w:p w14:paraId="65FECF61">
      <w:pPr>
        <w:spacing w:line="360" w:lineRule="auto"/>
        <w:ind w:firstLine="480" w:firstLineChars="200"/>
        <w:rPr>
          <w:sz w:val="24"/>
          <w:lang w:val="en-GB"/>
        </w:rPr>
      </w:pPr>
      <w:r>
        <w:rPr>
          <w:sz w:val="24"/>
          <w:lang w:val="en-GB"/>
        </w:rPr>
        <w:t>旱地经济效益按每公顷14400元计，</w:t>
      </w:r>
      <w:r>
        <w:rPr>
          <w:rFonts w:eastAsiaTheme="minorEastAsia"/>
          <w:kern w:val="0"/>
          <w:sz w:val="24"/>
        </w:rPr>
        <w:t>有林</w:t>
      </w:r>
      <w:r>
        <w:rPr>
          <w:sz w:val="24"/>
          <w:lang w:val="en-GB"/>
        </w:rPr>
        <w:t>地经济效益按每公顷4500元计。则复垦后带来的直接经济效益如下表所示：</w:t>
      </w:r>
    </w:p>
    <w:p w14:paraId="7F443324">
      <w:pPr>
        <w:spacing w:line="360" w:lineRule="auto"/>
        <w:ind w:firstLine="480" w:firstLineChars="200"/>
        <w:rPr>
          <w:sz w:val="24"/>
          <w:lang w:val="en-GB"/>
        </w:rPr>
      </w:pPr>
    </w:p>
    <w:p w14:paraId="41C7D059">
      <w:pPr>
        <w:spacing w:line="360" w:lineRule="auto"/>
        <w:ind w:firstLine="480" w:firstLineChars="200"/>
        <w:rPr>
          <w:sz w:val="24"/>
          <w:lang w:val="en-GB"/>
        </w:rPr>
      </w:pPr>
    </w:p>
    <w:p w14:paraId="25AB1D64">
      <w:pPr>
        <w:jc w:val="center"/>
        <w:rPr>
          <w:b/>
          <w:szCs w:val="21"/>
        </w:rPr>
      </w:pPr>
      <w:r>
        <w:rPr>
          <w:b/>
          <w:szCs w:val="21"/>
        </w:rPr>
        <w:t>表8-1 经济效益统计表</w:t>
      </w:r>
    </w:p>
    <w:tbl>
      <w:tblPr>
        <w:tblStyle w:val="29"/>
        <w:tblW w:w="8364"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060"/>
        <w:gridCol w:w="1237"/>
        <w:gridCol w:w="2116"/>
        <w:gridCol w:w="2453"/>
        <w:gridCol w:w="1498"/>
      </w:tblGrid>
      <w:tr w14:paraId="5CDA27F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060" w:type="dxa"/>
            <w:vAlign w:val="center"/>
          </w:tcPr>
          <w:p w14:paraId="134CED38">
            <w:pPr>
              <w:jc w:val="center"/>
              <w:rPr>
                <w:szCs w:val="21"/>
              </w:rPr>
            </w:pPr>
            <w:r>
              <w:rPr>
                <w:szCs w:val="21"/>
              </w:rPr>
              <w:t>序号</w:t>
            </w:r>
          </w:p>
        </w:tc>
        <w:tc>
          <w:tcPr>
            <w:tcW w:w="1237" w:type="dxa"/>
            <w:vAlign w:val="center"/>
          </w:tcPr>
          <w:p w14:paraId="7617F131">
            <w:pPr>
              <w:jc w:val="center"/>
              <w:rPr>
                <w:szCs w:val="21"/>
              </w:rPr>
            </w:pPr>
            <w:r>
              <w:rPr>
                <w:szCs w:val="21"/>
              </w:rPr>
              <w:t>地类</w:t>
            </w:r>
          </w:p>
        </w:tc>
        <w:tc>
          <w:tcPr>
            <w:tcW w:w="2116" w:type="dxa"/>
            <w:vAlign w:val="center"/>
          </w:tcPr>
          <w:p w14:paraId="4676457F">
            <w:pPr>
              <w:jc w:val="center"/>
              <w:rPr>
                <w:szCs w:val="21"/>
              </w:rPr>
            </w:pPr>
            <w:r>
              <w:rPr>
                <w:szCs w:val="21"/>
              </w:rPr>
              <w:t>单位收入（元/公顷）</w:t>
            </w:r>
          </w:p>
        </w:tc>
        <w:tc>
          <w:tcPr>
            <w:tcW w:w="2453" w:type="dxa"/>
            <w:vAlign w:val="center"/>
          </w:tcPr>
          <w:p w14:paraId="406971C8">
            <w:pPr>
              <w:jc w:val="center"/>
              <w:rPr>
                <w:szCs w:val="21"/>
              </w:rPr>
            </w:pPr>
            <w:r>
              <w:rPr>
                <w:szCs w:val="21"/>
              </w:rPr>
              <w:t>复垦后面积（公顷）</w:t>
            </w:r>
          </w:p>
        </w:tc>
        <w:tc>
          <w:tcPr>
            <w:tcW w:w="1498" w:type="dxa"/>
            <w:vAlign w:val="center"/>
          </w:tcPr>
          <w:p w14:paraId="13B9E482">
            <w:pPr>
              <w:jc w:val="center"/>
              <w:rPr>
                <w:szCs w:val="21"/>
              </w:rPr>
            </w:pPr>
            <w:r>
              <w:rPr>
                <w:szCs w:val="21"/>
              </w:rPr>
              <w:t>小计（元）</w:t>
            </w:r>
          </w:p>
        </w:tc>
      </w:tr>
      <w:tr w14:paraId="5F5C5BF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0" w:type="dxa"/>
            <w:vAlign w:val="center"/>
          </w:tcPr>
          <w:p w14:paraId="045B916F">
            <w:pPr>
              <w:jc w:val="center"/>
              <w:rPr>
                <w:szCs w:val="21"/>
              </w:rPr>
            </w:pPr>
            <w:r>
              <w:rPr>
                <w:szCs w:val="21"/>
              </w:rPr>
              <w:t>1</w:t>
            </w:r>
          </w:p>
        </w:tc>
        <w:tc>
          <w:tcPr>
            <w:tcW w:w="1237" w:type="dxa"/>
            <w:vAlign w:val="center"/>
          </w:tcPr>
          <w:p w14:paraId="3E1C7900">
            <w:pPr>
              <w:jc w:val="center"/>
              <w:rPr>
                <w:szCs w:val="21"/>
              </w:rPr>
            </w:pPr>
            <w:r>
              <w:rPr>
                <w:szCs w:val="21"/>
              </w:rPr>
              <w:t>耕地</w:t>
            </w:r>
          </w:p>
        </w:tc>
        <w:tc>
          <w:tcPr>
            <w:tcW w:w="2116" w:type="dxa"/>
            <w:vAlign w:val="center"/>
          </w:tcPr>
          <w:p w14:paraId="181CA627">
            <w:pPr>
              <w:jc w:val="center"/>
              <w:rPr>
                <w:szCs w:val="21"/>
              </w:rPr>
            </w:pPr>
            <w:r>
              <w:rPr>
                <w:szCs w:val="21"/>
              </w:rPr>
              <w:t>14400</w:t>
            </w:r>
          </w:p>
        </w:tc>
        <w:tc>
          <w:tcPr>
            <w:tcW w:w="2453" w:type="dxa"/>
            <w:vAlign w:val="center"/>
          </w:tcPr>
          <w:p w14:paraId="269201C2">
            <w:pPr>
              <w:jc w:val="center"/>
              <w:rPr>
                <w:szCs w:val="21"/>
              </w:rPr>
            </w:pPr>
            <w:r>
              <w:rPr>
                <w:szCs w:val="21"/>
              </w:rPr>
              <w:t>1.8545</w:t>
            </w:r>
          </w:p>
        </w:tc>
        <w:tc>
          <w:tcPr>
            <w:tcW w:w="1498" w:type="dxa"/>
            <w:vAlign w:val="center"/>
          </w:tcPr>
          <w:p w14:paraId="7AAA6256">
            <w:pPr>
              <w:jc w:val="center"/>
              <w:rPr>
                <w:szCs w:val="21"/>
              </w:rPr>
            </w:pPr>
            <w:r>
              <w:rPr>
                <w:szCs w:val="21"/>
              </w:rPr>
              <w:t>26704.8</w:t>
            </w:r>
          </w:p>
        </w:tc>
      </w:tr>
      <w:tr w14:paraId="4A8E1BB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060" w:type="dxa"/>
            <w:vAlign w:val="center"/>
          </w:tcPr>
          <w:p w14:paraId="3D980B92">
            <w:pPr>
              <w:jc w:val="center"/>
              <w:rPr>
                <w:szCs w:val="21"/>
              </w:rPr>
            </w:pPr>
            <w:r>
              <w:rPr>
                <w:szCs w:val="21"/>
              </w:rPr>
              <w:t>2</w:t>
            </w:r>
          </w:p>
        </w:tc>
        <w:tc>
          <w:tcPr>
            <w:tcW w:w="1237" w:type="dxa"/>
            <w:vAlign w:val="center"/>
          </w:tcPr>
          <w:p w14:paraId="7C9E301A">
            <w:pPr>
              <w:jc w:val="center"/>
              <w:rPr>
                <w:szCs w:val="21"/>
              </w:rPr>
            </w:pPr>
            <w:r>
              <w:rPr>
                <w:szCs w:val="21"/>
              </w:rPr>
              <w:t>林地</w:t>
            </w:r>
          </w:p>
        </w:tc>
        <w:tc>
          <w:tcPr>
            <w:tcW w:w="2116" w:type="dxa"/>
            <w:vAlign w:val="center"/>
          </w:tcPr>
          <w:p w14:paraId="6D82040C">
            <w:pPr>
              <w:jc w:val="center"/>
              <w:rPr>
                <w:szCs w:val="21"/>
              </w:rPr>
            </w:pPr>
            <w:r>
              <w:rPr>
                <w:szCs w:val="21"/>
              </w:rPr>
              <w:t>4500</w:t>
            </w:r>
          </w:p>
        </w:tc>
        <w:tc>
          <w:tcPr>
            <w:tcW w:w="2453" w:type="dxa"/>
            <w:vAlign w:val="center"/>
          </w:tcPr>
          <w:p w14:paraId="2D06E87F">
            <w:pPr>
              <w:jc w:val="center"/>
              <w:rPr>
                <w:szCs w:val="21"/>
              </w:rPr>
            </w:pPr>
            <w:r>
              <w:rPr>
                <w:szCs w:val="21"/>
              </w:rPr>
              <w:t>0.3652</w:t>
            </w:r>
          </w:p>
        </w:tc>
        <w:tc>
          <w:tcPr>
            <w:tcW w:w="1498" w:type="dxa"/>
            <w:vAlign w:val="center"/>
          </w:tcPr>
          <w:p w14:paraId="1E61EA6C">
            <w:pPr>
              <w:jc w:val="center"/>
              <w:rPr>
                <w:szCs w:val="21"/>
              </w:rPr>
            </w:pPr>
            <w:r>
              <w:rPr>
                <w:szCs w:val="21"/>
              </w:rPr>
              <w:t>1643.4</w:t>
            </w:r>
          </w:p>
        </w:tc>
      </w:tr>
      <w:tr w14:paraId="57675C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4413" w:type="dxa"/>
            <w:gridSpan w:val="3"/>
            <w:vAlign w:val="center"/>
          </w:tcPr>
          <w:p w14:paraId="3D94F1EF">
            <w:pPr>
              <w:jc w:val="center"/>
              <w:rPr>
                <w:szCs w:val="21"/>
              </w:rPr>
            </w:pPr>
            <w:r>
              <w:rPr>
                <w:szCs w:val="21"/>
              </w:rPr>
              <w:t>总计</w:t>
            </w:r>
          </w:p>
        </w:tc>
        <w:tc>
          <w:tcPr>
            <w:tcW w:w="2453" w:type="dxa"/>
            <w:vAlign w:val="center"/>
          </w:tcPr>
          <w:p w14:paraId="09FA0467">
            <w:pPr>
              <w:jc w:val="center"/>
              <w:rPr>
                <w:szCs w:val="21"/>
              </w:rPr>
            </w:pPr>
            <w:r>
              <w:rPr>
                <w:szCs w:val="21"/>
              </w:rPr>
              <w:t>1.8545</w:t>
            </w:r>
          </w:p>
        </w:tc>
        <w:tc>
          <w:tcPr>
            <w:tcW w:w="1498" w:type="dxa"/>
            <w:vAlign w:val="center"/>
          </w:tcPr>
          <w:p w14:paraId="138720F3">
            <w:pPr>
              <w:jc w:val="center"/>
              <w:rPr>
                <w:szCs w:val="21"/>
              </w:rPr>
            </w:pPr>
            <w:r>
              <w:rPr>
                <w:szCs w:val="21"/>
              </w:rPr>
              <w:t>28348.2</w:t>
            </w:r>
          </w:p>
        </w:tc>
      </w:tr>
    </w:tbl>
    <w:p w14:paraId="2BD4ACC7">
      <w:pPr>
        <w:spacing w:line="360" w:lineRule="auto"/>
        <w:ind w:firstLine="480" w:firstLineChars="200"/>
        <w:rPr>
          <w:sz w:val="24"/>
          <w:lang w:val="en-GB"/>
        </w:rPr>
      </w:pPr>
      <w:r>
        <w:rPr>
          <w:sz w:val="24"/>
          <w:lang w:val="en-GB"/>
        </w:rPr>
        <w:t>矿山地质环境保护与土地复垦对于水土保持、生态恢复起很大的作用，有效缓解矿山开采对当地水土的损毁，在一定程度上补偿了生态损毁造成的影响，间接为当地创造了经济效益。</w:t>
      </w:r>
    </w:p>
    <w:p w14:paraId="75B38D67">
      <w:pPr>
        <w:pStyle w:val="5"/>
        <w:spacing w:beforeLines="50" w:afterLines="50" w:line="360" w:lineRule="auto"/>
        <w:rPr>
          <w:b w:val="0"/>
          <w:sz w:val="28"/>
          <w:szCs w:val="28"/>
        </w:rPr>
      </w:pPr>
      <w:bookmarkStart w:id="284" w:name="_Toc481328270"/>
      <w:bookmarkStart w:id="285" w:name="_Toc480537506"/>
      <w:bookmarkStart w:id="286" w:name="_Toc43851715"/>
      <w:bookmarkStart w:id="287" w:name="_Toc500227910"/>
      <w:r>
        <w:rPr>
          <w:b w:val="0"/>
          <w:sz w:val="28"/>
          <w:szCs w:val="28"/>
        </w:rPr>
        <w:t>（二）生态效益分析</w:t>
      </w:r>
      <w:bookmarkEnd w:id="284"/>
      <w:bookmarkEnd w:id="285"/>
      <w:bookmarkEnd w:id="286"/>
      <w:bookmarkEnd w:id="287"/>
    </w:p>
    <w:p w14:paraId="65D25E6D">
      <w:pPr>
        <w:spacing w:line="360" w:lineRule="auto"/>
        <w:ind w:firstLine="480" w:firstLineChars="200"/>
        <w:rPr>
          <w:sz w:val="24"/>
        </w:rPr>
      </w:pPr>
      <w:r>
        <w:rPr>
          <w:sz w:val="24"/>
          <w:lang w:val="en-GB"/>
        </w:rPr>
        <w:t>生态环境效益是指项目区矿山地质环境治理和土地复垦投资的环境价值或贡献。矿山地质环境保护与</w:t>
      </w:r>
      <w:r>
        <w:rPr>
          <w:sz w:val="24"/>
        </w:rPr>
        <w:t>土地复垦是与生态重建密切结合的大型工程。在该地区进行土地复垦与生态重建，对矿产开采造成的地质环境问题和土地损毁进行治理与复垦，其生态意义极其巨大。</w:t>
      </w:r>
    </w:p>
    <w:p w14:paraId="5E5C87C1">
      <w:pPr>
        <w:spacing w:line="360" w:lineRule="auto"/>
        <w:ind w:firstLine="480" w:firstLineChars="200"/>
        <w:rPr>
          <w:sz w:val="24"/>
          <w:lang w:val="zh-CN"/>
        </w:rPr>
      </w:pPr>
      <w:r>
        <w:rPr>
          <w:sz w:val="24"/>
          <w:lang w:val="zh-CN"/>
        </w:rPr>
        <w:t>广元市利州区紫兰建材厂砖瓦用页岩矿开采造成的地表损毁，导致地质地貌景观破坏，水土流失加强，土壤养分进一步流失，土地更加贫脊。对矿山地质环境进行治理恢复，土地得到平整，土壤得到改善。并使地面林草植被增加，有利于水土保持，茂盛的草木能净化空气，调节气侯，美化环境，改善生物圈的生态环境，具有巨大的生态环境效益。</w:t>
      </w:r>
    </w:p>
    <w:p w14:paraId="6D486EFB">
      <w:pPr>
        <w:pStyle w:val="5"/>
        <w:spacing w:beforeLines="50" w:afterLines="50" w:line="360" w:lineRule="auto"/>
        <w:rPr>
          <w:b w:val="0"/>
          <w:sz w:val="28"/>
          <w:szCs w:val="28"/>
        </w:rPr>
      </w:pPr>
      <w:bookmarkStart w:id="288" w:name="_Toc481328271"/>
      <w:bookmarkStart w:id="289" w:name="_Toc480537507"/>
      <w:bookmarkStart w:id="290" w:name="_Toc500227911"/>
      <w:bookmarkStart w:id="291" w:name="_Toc43851716"/>
      <w:r>
        <w:rPr>
          <w:b w:val="0"/>
          <w:sz w:val="28"/>
          <w:szCs w:val="28"/>
        </w:rPr>
        <w:t>（三）社会效益分析</w:t>
      </w:r>
      <w:bookmarkEnd w:id="288"/>
      <w:bookmarkEnd w:id="289"/>
      <w:bookmarkEnd w:id="290"/>
      <w:bookmarkEnd w:id="291"/>
    </w:p>
    <w:p w14:paraId="6A5C44D7">
      <w:pPr>
        <w:spacing w:line="360" w:lineRule="auto"/>
        <w:ind w:firstLine="480" w:firstLineChars="200"/>
        <w:rPr>
          <w:sz w:val="24"/>
          <w:lang w:val="en-GB"/>
        </w:rPr>
      </w:pPr>
      <w:r>
        <w:rPr>
          <w:sz w:val="24"/>
          <w:lang w:val="en-GB"/>
        </w:rPr>
        <w:t>项目区矿山地质环境保护与土地复垦的社会效益反映项目对社会的作用、贡献及价值，主要根据当地居民生活得到的有效保护等因素来描述矿山地质环境保护与土地复垦后的效益。本项目对当地社会的效益分析如下：</w:t>
      </w:r>
    </w:p>
    <w:p w14:paraId="17E09AE8">
      <w:pPr>
        <w:spacing w:line="360" w:lineRule="auto"/>
        <w:ind w:firstLine="480" w:firstLineChars="200"/>
        <w:rPr>
          <w:sz w:val="24"/>
          <w:lang w:val="zh-CN"/>
        </w:rPr>
      </w:pPr>
      <w:r>
        <w:rPr>
          <w:sz w:val="24"/>
          <w:lang w:val="zh-CN"/>
        </w:rPr>
        <w:t>1、方案实施后，可以减少露天开采工程带来的滑坡、泥石流等地质灾害，减轻所造成的损失与危害，实现当地社会经济的可持续发展。</w:t>
      </w:r>
    </w:p>
    <w:p w14:paraId="35415697">
      <w:pPr>
        <w:spacing w:line="360" w:lineRule="auto"/>
        <w:ind w:firstLine="480" w:firstLineChars="200"/>
        <w:rPr>
          <w:sz w:val="24"/>
          <w:lang w:val="zh-CN"/>
        </w:rPr>
      </w:pPr>
      <w:r>
        <w:rPr>
          <w:sz w:val="24"/>
          <w:lang w:val="zh-CN"/>
        </w:rPr>
        <w:t>2、方案实施后，矿山地质环境保护与土地复垦需要更多的工作人员，因此也能够为当地居民提供更多的就业机会，对于维护社会安定起到了积极的作用。</w:t>
      </w:r>
    </w:p>
    <w:p w14:paraId="67EA0757">
      <w:pPr>
        <w:spacing w:line="360" w:lineRule="auto"/>
        <w:ind w:firstLine="480" w:firstLineChars="200"/>
        <w:rPr>
          <w:sz w:val="24"/>
          <w:lang w:val="zh-CN"/>
        </w:rPr>
      </w:pPr>
      <w:r>
        <w:rPr>
          <w:sz w:val="24"/>
          <w:lang w:val="zh-CN"/>
        </w:rPr>
        <w:t>3、方案设施后，将会降低采矿对土地的破坏，以保护有效的土地资源，从而给当地人民提供更多的用地，缓解当地人多地少的用地矛盾。</w:t>
      </w:r>
    </w:p>
    <w:p w14:paraId="0B759231">
      <w:pPr>
        <w:spacing w:line="360" w:lineRule="auto"/>
        <w:ind w:firstLine="480" w:firstLineChars="200"/>
        <w:rPr>
          <w:sz w:val="24"/>
          <w:lang w:val="zh-CN"/>
        </w:rPr>
      </w:pPr>
      <w:r>
        <w:rPr>
          <w:sz w:val="24"/>
          <w:lang w:val="zh-CN"/>
        </w:rPr>
        <w:t>4、方案实施后，将促进当地经济的发展，尤其对建材行业有一定促进作用，增加当地财政收入，从而改善当地居民的生活质量。</w:t>
      </w:r>
    </w:p>
    <w:p w14:paraId="38AC68AD">
      <w:pPr>
        <w:keepNext/>
        <w:keepLines/>
        <w:adjustRightInd w:val="0"/>
        <w:spacing w:beforeLines="50" w:afterLines="50" w:line="360" w:lineRule="auto"/>
        <w:jc w:val="left"/>
        <w:textAlignment w:val="baseline"/>
        <w:outlineLvl w:val="0"/>
        <w:rPr>
          <w:kern w:val="0"/>
          <w:sz w:val="30"/>
          <w:szCs w:val="30"/>
        </w:rPr>
      </w:pPr>
      <w:bookmarkStart w:id="292" w:name="_Toc480537508"/>
      <w:bookmarkStart w:id="293" w:name="_Toc500227912"/>
      <w:bookmarkStart w:id="294" w:name="_Toc481328272"/>
      <w:bookmarkStart w:id="295" w:name="_Toc43851717"/>
      <w:r>
        <w:rPr>
          <w:kern w:val="0"/>
          <w:sz w:val="30"/>
          <w:szCs w:val="30"/>
        </w:rPr>
        <w:t>六、公众参与</w:t>
      </w:r>
      <w:bookmarkEnd w:id="292"/>
      <w:bookmarkEnd w:id="293"/>
      <w:bookmarkEnd w:id="294"/>
      <w:bookmarkEnd w:id="295"/>
    </w:p>
    <w:p w14:paraId="049DF4A8">
      <w:pPr>
        <w:spacing w:line="360" w:lineRule="auto"/>
        <w:ind w:firstLine="480" w:firstLineChars="200"/>
        <w:rPr>
          <w:sz w:val="24"/>
          <w:lang w:val="zh-CN"/>
        </w:rPr>
      </w:pPr>
      <w:r>
        <w:rPr>
          <w:sz w:val="24"/>
          <w:lang w:val="zh-CN"/>
        </w:rPr>
        <w:t>矿山地质环境保护与土地复垦工作是一项涉及到区域社会、经济、环境等多方面发展的重要工程，它不仅是对损毁土地的恢复、再利用过程，也是决定相关权利人利益再分配以及关系到经济社会可持续发展的过程。在研究以及编制本报告的过程中，遵循公众广泛参与的原则，让公众特别是受本项目直接影响的人群充分了解该建设项目的意义，对区域发展的作用和可能给当地社会经济特别是环境方面带来的正面和负面影响，使社会各界形成复垦土地、保护生态的共识，让公众充分发表自己的意见并表明对建设项目的态度，使评价工作更为完善，更好的反映公众的具体要求并反馈到工程设计和土地管理中，为工程建设和主管部门决策提供参考意见。</w:t>
      </w:r>
    </w:p>
    <w:p w14:paraId="21540BB2">
      <w:pPr>
        <w:widowControl/>
        <w:jc w:val="left"/>
        <w:rPr>
          <w:sz w:val="24"/>
          <w:lang w:val="zh-CN"/>
        </w:rPr>
      </w:pPr>
      <w:r>
        <w:rPr>
          <w:sz w:val="24"/>
          <w:lang w:val="zh-CN"/>
        </w:rPr>
        <w:br w:type="page"/>
      </w:r>
    </w:p>
    <w:p w14:paraId="3504C447">
      <w:pPr>
        <w:keepNext/>
        <w:keepLines/>
        <w:pageBreakBefore/>
        <w:tabs>
          <w:tab w:val="left" w:pos="284"/>
        </w:tabs>
        <w:spacing w:before="340" w:after="240" w:line="360" w:lineRule="auto"/>
        <w:jc w:val="center"/>
        <w:outlineLvl w:val="0"/>
        <w:rPr>
          <w:b/>
          <w:bCs/>
          <w:kern w:val="44"/>
          <w:sz w:val="32"/>
          <w:szCs w:val="32"/>
        </w:rPr>
      </w:pPr>
      <w:bookmarkStart w:id="296" w:name="_Toc500227913"/>
      <w:bookmarkStart w:id="297" w:name="_Toc43851718"/>
      <w:bookmarkStart w:id="298" w:name="_Toc480537509"/>
      <w:bookmarkStart w:id="299" w:name="_Toc481328277"/>
      <w:r>
        <w:rPr>
          <w:b/>
          <w:bCs/>
          <w:kern w:val="44"/>
          <w:sz w:val="32"/>
          <w:szCs w:val="32"/>
        </w:rPr>
        <w:t>第九章结论与建议</w:t>
      </w:r>
      <w:bookmarkEnd w:id="296"/>
      <w:bookmarkEnd w:id="297"/>
      <w:bookmarkEnd w:id="298"/>
      <w:bookmarkEnd w:id="299"/>
    </w:p>
    <w:p w14:paraId="6DB34CC9">
      <w:pPr>
        <w:keepNext/>
        <w:keepLines/>
        <w:adjustRightInd w:val="0"/>
        <w:spacing w:beforeLines="50" w:afterLines="50" w:line="360" w:lineRule="auto"/>
        <w:jc w:val="left"/>
        <w:textAlignment w:val="baseline"/>
        <w:outlineLvl w:val="0"/>
        <w:rPr>
          <w:kern w:val="0"/>
          <w:sz w:val="30"/>
          <w:szCs w:val="30"/>
        </w:rPr>
      </w:pPr>
      <w:bookmarkStart w:id="300" w:name="_Toc500227914"/>
      <w:bookmarkStart w:id="301" w:name="_Toc481328278"/>
      <w:bookmarkStart w:id="302" w:name="_Toc43851719"/>
      <w:bookmarkStart w:id="303" w:name="_Toc480537510"/>
      <w:r>
        <w:rPr>
          <w:kern w:val="0"/>
          <w:sz w:val="30"/>
          <w:szCs w:val="30"/>
        </w:rPr>
        <w:t>一、结论</w:t>
      </w:r>
      <w:bookmarkEnd w:id="300"/>
      <w:bookmarkEnd w:id="301"/>
      <w:bookmarkEnd w:id="302"/>
      <w:bookmarkEnd w:id="303"/>
    </w:p>
    <w:p w14:paraId="29507A77">
      <w:pPr>
        <w:pStyle w:val="5"/>
        <w:spacing w:beforeLines="50" w:afterLines="50" w:line="360" w:lineRule="auto"/>
        <w:rPr>
          <w:rFonts w:eastAsiaTheme="minorEastAsia"/>
          <w:b w:val="0"/>
          <w:sz w:val="28"/>
          <w:szCs w:val="28"/>
        </w:rPr>
      </w:pPr>
      <w:bookmarkStart w:id="304" w:name="_Toc508315993"/>
      <w:bookmarkStart w:id="305" w:name="_Toc43851720"/>
      <w:r>
        <w:rPr>
          <w:rFonts w:eastAsiaTheme="minorEastAsia"/>
          <w:b w:val="0"/>
          <w:sz w:val="28"/>
          <w:szCs w:val="28"/>
        </w:rPr>
        <w:t>（一）项目基本情况</w:t>
      </w:r>
      <w:bookmarkEnd w:id="304"/>
      <w:bookmarkEnd w:id="305"/>
    </w:p>
    <w:p w14:paraId="06931CCA">
      <w:pPr>
        <w:spacing w:afterLines="50" w:line="360" w:lineRule="auto"/>
        <w:ind w:firstLine="480" w:firstLineChars="200"/>
        <w:rPr>
          <w:rFonts w:eastAsiaTheme="minorEastAsia"/>
          <w:sz w:val="24"/>
          <w:highlight w:val="yellow"/>
          <w:lang w:val="zh-CN"/>
        </w:rPr>
      </w:pPr>
      <w:r>
        <w:rPr>
          <w:sz w:val="24"/>
        </w:rPr>
        <w:t>紫兰建材厂砖瓦用页岩矿位于广元市255°方向，直距约15km的宝轮镇境内，矿区中心点地理坐标：东经：105°38′38.7″，北纬：32°23′57.1″。</w:t>
      </w:r>
      <w:r>
        <w:rPr>
          <w:sz w:val="24"/>
          <w:lang w:val="zh-CN"/>
        </w:rPr>
        <w:t>广元市利州区紫兰建材厂开采矿种为砖瓦用页岩，开采方式为露天开采，生产规模为4.0万吨/年，矿区面积0.0206km</w:t>
      </w:r>
      <w:r>
        <w:rPr>
          <w:sz w:val="24"/>
          <w:vertAlign w:val="superscript"/>
          <w:lang w:val="zh-CN"/>
        </w:rPr>
        <w:t>2</w:t>
      </w:r>
      <w:r>
        <w:rPr>
          <w:sz w:val="24"/>
          <w:lang w:val="zh-CN"/>
        </w:rPr>
        <w:t>，开采深度为+565～+535m，矿区范围由4个拐点圈定</w:t>
      </w:r>
      <w:r>
        <w:rPr>
          <w:rFonts w:eastAsiaTheme="minorEastAsia"/>
          <w:sz w:val="24"/>
        </w:rPr>
        <w:t>。</w:t>
      </w:r>
    </w:p>
    <w:p w14:paraId="23CEBD66">
      <w:pPr>
        <w:adjustRightInd w:val="0"/>
        <w:snapToGrid w:val="0"/>
        <w:spacing w:line="360" w:lineRule="auto"/>
        <w:ind w:firstLine="480" w:firstLineChars="200"/>
        <w:rPr>
          <w:rFonts w:eastAsiaTheme="minorEastAsia"/>
          <w:sz w:val="24"/>
          <w:lang w:val="en-GB"/>
        </w:rPr>
      </w:pPr>
      <w:r>
        <w:rPr>
          <w:rFonts w:eastAsiaTheme="minorEastAsia"/>
          <w:sz w:val="24"/>
        </w:rPr>
        <w:t>根据《</w:t>
      </w:r>
      <w:r>
        <w:rPr>
          <w:rFonts w:eastAsiaTheme="minorEastAsia"/>
          <w:kern w:val="28"/>
          <w:sz w:val="24"/>
        </w:rPr>
        <w:t>广元市利州区紫兰建材厂砖瓦用页岩矿水泥用石灰岩矿资源/储量核实报告</w:t>
      </w:r>
      <w:r>
        <w:rPr>
          <w:rFonts w:eastAsiaTheme="minorEastAsia"/>
          <w:sz w:val="24"/>
        </w:rPr>
        <w:t>》，矿区范围内</w:t>
      </w:r>
      <w:r>
        <w:rPr>
          <w:sz w:val="24"/>
        </w:rPr>
        <w:t>灰岩矿保有资源量（122b）为13.56万吨，根据项目实际情况，后期不开采，因此</w:t>
      </w:r>
      <w:r>
        <w:rPr>
          <w:rFonts w:eastAsiaTheme="minorEastAsia"/>
          <w:sz w:val="24"/>
        </w:rPr>
        <w:t>矿山剩余服务年限0年。</w:t>
      </w:r>
    </w:p>
    <w:p w14:paraId="21B2AF85">
      <w:pPr>
        <w:pStyle w:val="5"/>
        <w:spacing w:beforeLines="50" w:afterLines="50" w:line="360" w:lineRule="auto"/>
        <w:rPr>
          <w:rFonts w:eastAsiaTheme="minorEastAsia"/>
          <w:b w:val="0"/>
          <w:sz w:val="28"/>
          <w:szCs w:val="28"/>
        </w:rPr>
      </w:pPr>
      <w:bookmarkStart w:id="306" w:name="_Toc508315994"/>
      <w:bookmarkStart w:id="307" w:name="_Toc43851721"/>
      <w:r>
        <w:rPr>
          <w:rFonts w:eastAsiaTheme="minorEastAsia"/>
          <w:b w:val="0"/>
          <w:sz w:val="28"/>
          <w:szCs w:val="28"/>
        </w:rPr>
        <w:t>（二）矿山地质环境影响和土地损毁评估概况</w:t>
      </w:r>
      <w:bookmarkEnd w:id="306"/>
      <w:bookmarkEnd w:id="307"/>
    </w:p>
    <w:p w14:paraId="58463C92">
      <w:pPr>
        <w:spacing w:line="360" w:lineRule="auto"/>
        <w:ind w:firstLine="480" w:firstLineChars="200"/>
        <w:rPr>
          <w:rFonts w:eastAsiaTheme="minorEastAsia"/>
          <w:sz w:val="24"/>
        </w:rPr>
      </w:pPr>
      <w:r>
        <w:rPr>
          <w:rFonts w:eastAsiaTheme="minorEastAsia"/>
          <w:sz w:val="24"/>
        </w:rPr>
        <w:t>1、评估范围：根据</w:t>
      </w:r>
      <w:r>
        <w:rPr>
          <w:sz w:val="24"/>
        </w:rPr>
        <w:t>广元市利州区紫兰建材厂砖瓦用页岩矿</w:t>
      </w:r>
      <w:r>
        <w:rPr>
          <w:rFonts w:eastAsiaTheme="minorEastAsia"/>
          <w:sz w:val="24"/>
        </w:rPr>
        <w:t>划定矿区范围面积为0.0206km</w:t>
      </w:r>
      <w:r>
        <w:rPr>
          <w:rFonts w:eastAsiaTheme="minorEastAsia"/>
          <w:sz w:val="24"/>
          <w:vertAlign w:val="superscript"/>
        </w:rPr>
        <w:t>2</w:t>
      </w:r>
      <w:r>
        <w:rPr>
          <w:rFonts w:eastAsiaTheme="minorEastAsia"/>
          <w:sz w:val="24"/>
        </w:rPr>
        <w:t>，综合考虑到采区、附属场地的完整性及采矿活动影响范围，确定评估区面积为：</w:t>
      </w:r>
      <w:r>
        <w:rPr>
          <w:sz w:val="24"/>
          <w:lang w:val="zh-CN"/>
        </w:rPr>
        <w:t>0.0639km</w:t>
      </w:r>
      <w:r>
        <w:rPr>
          <w:sz w:val="24"/>
          <w:vertAlign w:val="superscript"/>
          <w:lang w:val="zh-CN"/>
        </w:rPr>
        <w:t>2</w:t>
      </w:r>
      <w:r>
        <w:rPr>
          <w:rFonts w:eastAsiaTheme="minorEastAsia"/>
          <w:sz w:val="24"/>
        </w:rPr>
        <w:t>。</w:t>
      </w:r>
    </w:p>
    <w:p w14:paraId="4C7EDD2E">
      <w:pPr>
        <w:spacing w:line="360" w:lineRule="auto"/>
        <w:ind w:firstLine="480" w:firstLineChars="200"/>
        <w:rPr>
          <w:rFonts w:eastAsiaTheme="minorEastAsia"/>
          <w:sz w:val="24"/>
        </w:rPr>
      </w:pPr>
      <w:r>
        <w:rPr>
          <w:rFonts w:eastAsiaTheme="minorEastAsia"/>
          <w:color w:val="000000"/>
          <w:sz w:val="24"/>
        </w:rPr>
        <w:t>2、矿山地质环境影响评估分级：评估区重要程度为重要区，矿山地质环境条件复杂程度为简单，矿山建设规模为小型，因此，矿山地质环境影响评估分级为二级。</w:t>
      </w:r>
    </w:p>
    <w:p w14:paraId="3F6803AB">
      <w:pPr>
        <w:spacing w:line="360" w:lineRule="auto"/>
        <w:ind w:firstLine="480" w:firstLineChars="200"/>
        <w:rPr>
          <w:rFonts w:eastAsiaTheme="minorEastAsia"/>
          <w:color w:val="000000"/>
          <w:sz w:val="24"/>
        </w:rPr>
      </w:pPr>
      <w:r>
        <w:rPr>
          <w:rFonts w:eastAsiaTheme="minorEastAsia"/>
          <w:color w:val="000000"/>
          <w:sz w:val="24"/>
        </w:rPr>
        <w:t>3、矿山地质环境评估概况</w:t>
      </w:r>
    </w:p>
    <w:p w14:paraId="1628B64D">
      <w:pPr>
        <w:spacing w:line="360" w:lineRule="auto"/>
        <w:ind w:firstLine="480" w:firstLineChars="200"/>
        <w:rPr>
          <w:color w:val="000000"/>
          <w:sz w:val="24"/>
        </w:rPr>
      </w:pPr>
      <w:r>
        <w:rPr>
          <w:color w:val="000000"/>
          <w:sz w:val="24"/>
        </w:rPr>
        <w:t>现状条件下，</w:t>
      </w:r>
      <w:r>
        <w:rPr>
          <w:sz w:val="24"/>
          <w:lang w:val="zh-CN"/>
        </w:rPr>
        <w:t>工业广场、边坡区</w:t>
      </w:r>
      <w:r>
        <w:rPr>
          <w:color w:val="000000"/>
          <w:sz w:val="24"/>
        </w:rPr>
        <w:t>的地质环境影响总评为严重，评估区其他区域地质环境影响总评为较轻。</w:t>
      </w:r>
    </w:p>
    <w:p w14:paraId="033CFD38">
      <w:pPr>
        <w:spacing w:line="360" w:lineRule="auto"/>
        <w:ind w:firstLine="480" w:firstLineChars="200"/>
        <w:rPr>
          <w:color w:val="000000"/>
          <w:sz w:val="24"/>
        </w:rPr>
      </w:pPr>
      <w:r>
        <w:rPr>
          <w:color w:val="000000"/>
          <w:sz w:val="24"/>
        </w:rPr>
        <w:t>预测条件下，</w:t>
      </w:r>
      <w:r>
        <w:rPr>
          <w:sz w:val="24"/>
          <w:lang w:val="zh-CN"/>
        </w:rPr>
        <w:t>工业广场、边坡区</w:t>
      </w:r>
      <w:r>
        <w:rPr>
          <w:color w:val="000000"/>
          <w:sz w:val="24"/>
        </w:rPr>
        <w:t>的地质环境影响总评为严重，评估区其他区域地质环境影响总评为较轻。</w:t>
      </w:r>
    </w:p>
    <w:p w14:paraId="0521B784">
      <w:pPr>
        <w:spacing w:line="360" w:lineRule="auto"/>
        <w:ind w:firstLine="480" w:firstLineChars="200"/>
        <w:rPr>
          <w:rFonts w:eastAsiaTheme="minorEastAsia"/>
          <w:color w:val="000000"/>
          <w:sz w:val="24"/>
        </w:rPr>
      </w:pPr>
      <w:r>
        <w:rPr>
          <w:rFonts w:eastAsiaTheme="minorEastAsia"/>
          <w:color w:val="000000"/>
          <w:sz w:val="24"/>
        </w:rPr>
        <w:t>4、矿山土地损毁现状概况</w:t>
      </w:r>
    </w:p>
    <w:p w14:paraId="589141EA">
      <w:pPr>
        <w:spacing w:line="360" w:lineRule="auto"/>
        <w:ind w:firstLine="480" w:firstLineChars="200"/>
        <w:rPr>
          <w:rFonts w:eastAsiaTheme="minorEastAsia"/>
          <w:sz w:val="24"/>
        </w:rPr>
      </w:pPr>
      <w:r>
        <w:rPr>
          <w:rFonts w:eastAsiaTheme="minorEastAsia"/>
          <w:color w:val="000000"/>
          <w:sz w:val="24"/>
        </w:rPr>
        <w:t>根据现场调查和开采设计，广元市利州区紫兰建材厂砖瓦用页岩矿</w:t>
      </w:r>
      <w:r>
        <w:rPr>
          <w:rFonts w:eastAsiaTheme="minorEastAsia"/>
          <w:sz w:val="24"/>
        </w:rPr>
        <w:t>项目区</w:t>
      </w:r>
      <w:r>
        <w:rPr>
          <w:sz w:val="24"/>
          <w:lang w:val="zh-CN"/>
        </w:rPr>
        <w:t>已损毁区为工业广场、边坡区的区域，工业广场损毁类型为压占，损毁程度为重度，边坡区损毁类型为挖损，损毁程度为重度。已损毁面积共2.4148hm</w:t>
      </w:r>
      <w:r>
        <w:rPr>
          <w:sz w:val="24"/>
          <w:vertAlign w:val="superscript"/>
          <w:lang w:val="zh-CN"/>
        </w:rPr>
        <w:t>2</w:t>
      </w:r>
      <w:r>
        <w:rPr>
          <w:sz w:val="24"/>
          <w:lang w:val="zh-CN"/>
        </w:rPr>
        <w:t>，</w:t>
      </w:r>
      <w:r>
        <w:rPr>
          <w:kern w:val="0"/>
          <w:sz w:val="24"/>
        </w:rPr>
        <w:t>地类包含旱地、有林地其他林地、采矿用地和城镇住宅用地</w:t>
      </w:r>
      <w:r>
        <w:rPr>
          <w:rFonts w:eastAsiaTheme="minorEastAsia"/>
          <w:kern w:val="0"/>
          <w:sz w:val="24"/>
        </w:rPr>
        <w:t>。</w:t>
      </w:r>
    </w:p>
    <w:p w14:paraId="3CC5D22C">
      <w:pPr>
        <w:spacing w:line="360" w:lineRule="auto"/>
        <w:ind w:firstLine="480" w:firstLineChars="200"/>
        <w:rPr>
          <w:rFonts w:eastAsiaTheme="minorEastAsia"/>
          <w:color w:val="000000"/>
          <w:sz w:val="24"/>
        </w:rPr>
      </w:pPr>
      <w:r>
        <w:rPr>
          <w:rFonts w:eastAsiaTheme="minorEastAsia"/>
          <w:sz w:val="24"/>
        </w:rPr>
        <w:t>5</w:t>
      </w:r>
      <w:r>
        <w:rPr>
          <w:rFonts w:eastAsiaTheme="minorEastAsia"/>
          <w:color w:val="000000"/>
          <w:sz w:val="24"/>
        </w:rPr>
        <w:t>、矿山土地损毁预测概况</w:t>
      </w:r>
    </w:p>
    <w:p w14:paraId="7A04C37E">
      <w:pPr>
        <w:spacing w:line="360" w:lineRule="auto"/>
        <w:ind w:firstLine="480" w:firstLineChars="200"/>
        <w:rPr>
          <w:rFonts w:eastAsiaTheme="minorEastAsia"/>
          <w:kern w:val="0"/>
          <w:sz w:val="24"/>
        </w:rPr>
      </w:pPr>
      <w:r>
        <w:rPr>
          <w:rFonts w:eastAsiaTheme="minorEastAsia"/>
          <w:color w:val="000000"/>
          <w:sz w:val="24"/>
        </w:rPr>
        <w:t>根据本项目实际，后期不开采，也不增设地面场地，因此不涉及拟损毁土地</w:t>
      </w:r>
      <w:r>
        <w:rPr>
          <w:rFonts w:eastAsiaTheme="minorEastAsia"/>
          <w:kern w:val="0"/>
          <w:sz w:val="24"/>
        </w:rPr>
        <w:t>。</w:t>
      </w:r>
    </w:p>
    <w:p w14:paraId="1E98374D">
      <w:pPr>
        <w:pStyle w:val="5"/>
        <w:spacing w:beforeLines="50" w:afterLines="50" w:line="360" w:lineRule="auto"/>
        <w:rPr>
          <w:rFonts w:eastAsiaTheme="minorEastAsia"/>
          <w:b w:val="0"/>
          <w:sz w:val="28"/>
          <w:szCs w:val="28"/>
        </w:rPr>
      </w:pPr>
      <w:bookmarkStart w:id="308" w:name="_Toc43851722"/>
      <w:bookmarkStart w:id="309" w:name="_Toc508315995"/>
      <w:r>
        <w:rPr>
          <w:rFonts w:eastAsiaTheme="minorEastAsia"/>
          <w:b w:val="0"/>
          <w:sz w:val="28"/>
          <w:szCs w:val="28"/>
        </w:rPr>
        <w:t>（三）矿山地质环境保护与恢复治理分区与土地复垦范围</w:t>
      </w:r>
      <w:bookmarkEnd w:id="308"/>
      <w:bookmarkEnd w:id="309"/>
    </w:p>
    <w:p w14:paraId="51090AF3">
      <w:pPr>
        <w:spacing w:line="360" w:lineRule="auto"/>
        <w:ind w:firstLine="480" w:firstLineChars="200"/>
        <w:rPr>
          <w:rFonts w:eastAsiaTheme="minorEastAsia"/>
          <w:color w:val="000000"/>
          <w:sz w:val="24"/>
        </w:rPr>
      </w:pPr>
      <w:r>
        <w:rPr>
          <w:rFonts w:eastAsiaTheme="minorEastAsia"/>
          <w:color w:val="000000"/>
          <w:sz w:val="24"/>
        </w:rPr>
        <w:t>1、矿山地质环境保护与恢复治理分区</w:t>
      </w:r>
    </w:p>
    <w:p w14:paraId="71F359C5">
      <w:pPr>
        <w:spacing w:line="360" w:lineRule="auto"/>
        <w:ind w:firstLine="480" w:firstLineChars="200"/>
        <w:rPr>
          <w:rFonts w:eastAsiaTheme="minorEastAsia"/>
          <w:color w:val="000000"/>
          <w:sz w:val="24"/>
        </w:rPr>
      </w:pPr>
      <w:r>
        <w:rPr>
          <w:rFonts w:eastAsiaTheme="minorEastAsia"/>
          <w:color w:val="000000"/>
          <w:sz w:val="24"/>
        </w:rPr>
        <w:t>评估区</w:t>
      </w:r>
      <w:r>
        <w:rPr>
          <w:sz w:val="24"/>
          <w:lang w:val="zh-CN"/>
        </w:rPr>
        <w:t>划分为2个“重点区”和1个“一般区”</w:t>
      </w:r>
      <w:r>
        <w:rPr>
          <w:rFonts w:eastAsiaTheme="minorEastAsia"/>
          <w:color w:val="000000"/>
          <w:sz w:val="24"/>
        </w:rPr>
        <w:t>。</w:t>
      </w:r>
    </w:p>
    <w:p w14:paraId="720F6C1F">
      <w:pPr>
        <w:spacing w:line="360" w:lineRule="auto"/>
        <w:ind w:firstLine="480" w:firstLineChars="200"/>
        <w:rPr>
          <w:rFonts w:eastAsiaTheme="minorEastAsia"/>
          <w:color w:val="000000"/>
          <w:sz w:val="24"/>
        </w:rPr>
      </w:pPr>
      <w:r>
        <w:rPr>
          <w:rFonts w:eastAsiaTheme="minorEastAsia"/>
          <w:color w:val="000000"/>
          <w:sz w:val="24"/>
        </w:rPr>
        <w:t>2、土地复垦范围</w:t>
      </w:r>
    </w:p>
    <w:p w14:paraId="14E35BB3">
      <w:pPr>
        <w:spacing w:line="360" w:lineRule="auto"/>
        <w:ind w:firstLine="480" w:firstLineChars="200"/>
        <w:rPr>
          <w:rFonts w:eastAsiaTheme="minorEastAsia"/>
          <w:color w:val="000000"/>
          <w:sz w:val="24"/>
        </w:rPr>
      </w:pPr>
      <w:r>
        <w:rPr>
          <w:kern w:val="0"/>
          <w:sz w:val="24"/>
        </w:rPr>
        <w:t>按照《土地复垦条例》，土地复垦工作实行“谁损毁、谁复垦”的原则。根据现状损毁土地与预测损毁土地，复垦区范围应包括临时占用的土地和永久性建设用地，由于</w:t>
      </w:r>
      <w:r>
        <w:rPr>
          <w:rFonts w:eastAsiaTheme="minorEastAsia"/>
          <w:kern w:val="0"/>
          <w:sz w:val="24"/>
        </w:rPr>
        <w:t>本项目区内</w:t>
      </w:r>
      <w:r>
        <w:rPr>
          <w:kern w:val="0"/>
          <w:sz w:val="24"/>
        </w:rPr>
        <w:t>不存在永久性建设用地，复垦区主要为临时占用的土地</w:t>
      </w:r>
      <w:r>
        <w:rPr>
          <w:rFonts w:eastAsiaTheme="minorEastAsia"/>
          <w:kern w:val="0"/>
          <w:sz w:val="24"/>
        </w:rPr>
        <w:t>，共计面积2.4148hm</w:t>
      </w:r>
      <w:r>
        <w:rPr>
          <w:rFonts w:eastAsiaTheme="minorEastAsia"/>
          <w:kern w:val="0"/>
          <w:sz w:val="24"/>
          <w:vertAlign w:val="superscript"/>
        </w:rPr>
        <w:t>2</w:t>
      </w:r>
      <w:r>
        <w:rPr>
          <w:rFonts w:eastAsiaTheme="minorEastAsia"/>
          <w:kern w:val="0"/>
          <w:sz w:val="24"/>
        </w:rPr>
        <w:t>，复垦区全部损毁的土地均列入复垦</w:t>
      </w:r>
      <w:r>
        <w:rPr>
          <w:kern w:val="0"/>
          <w:sz w:val="24"/>
        </w:rPr>
        <w:t>责任范围，故本项目复垦责任范围包括</w:t>
      </w:r>
      <w:r>
        <w:rPr>
          <w:rFonts w:eastAsiaTheme="minorEastAsia"/>
          <w:kern w:val="0"/>
          <w:sz w:val="24"/>
        </w:rPr>
        <w:t>矿山因生产损毁的所有破坏区域</w:t>
      </w:r>
      <w:r>
        <w:rPr>
          <w:kern w:val="0"/>
          <w:sz w:val="24"/>
        </w:rPr>
        <w:t>，面积为</w:t>
      </w:r>
      <w:r>
        <w:rPr>
          <w:rFonts w:eastAsiaTheme="minorEastAsia"/>
          <w:kern w:val="0"/>
          <w:sz w:val="24"/>
        </w:rPr>
        <w:t>2.4148hm</w:t>
      </w:r>
      <w:r>
        <w:rPr>
          <w:rFonts w:eastAsiaTheme="minorEastAsia"/>
          <w:kern w:val="0"/>
          <w:sz w:val="24"/>
          <w:vertAlign w:val="superscript"/>
        </w:rPr>
        <w:t>2</w:t>
      </w:r>
      <w:r>
        <w:rPr>
          <w:rFonts w:eastAsiaTheme="minorEastAsia"/>
          <w:color w:val="000000"/>
          <w:sz w:val="24"/>
        </w:rPr>
        <w:t>。</w:t>
      </w:r>
    </w:p>
    <w:p w14:paraId="0735BD04">
      <w:pPr>
        <w:pStyle w:val="5"/>
        <w:rPr>
          <w:b w:val="0"/>
        </w:rPr>
      </w:pPr>
      <w:bookmarkStart w:id="310" w:name="_Toc43851723"/>
      <w:r>
        <w:rPr>
          <w:b w:val="0"/>
        </w:rPr>
        <w:t>（四）矿山地质环境治理与土地复垦投资估算</w:t>
      </w:r>
      <w:bookmarkEnd w:id="310"/>
    </w:p>
    <w:p w14:paraId="750B388A">
      <w:pPr>
        <w:spacing w:line="360" w:lineRule="auto"/>
        <w:ind w:firstLine="480" w:firstLineChars="200"/>
        <w:rPr>
          <w:rFonts w:eastAsiaTheme="minorEastAsia"/>
          <w:color w:val="000000" w:themeColor="text1"/>
          <w:sz w:val="24"/>
        </w:rPr>
      </w:pPr>
      <w:bookmarkStart w:id="311" w:name="_Toc500227915"/>
      <w:r>
        <w:rPr>
          <w:rFonts w:eastAsiaTheme="minorEastAsia"/>
          <w:color w:val="000000" w:themeColor="text1"/>
          <w:sz w:val="24"/>
        </w:rPr>
        <w:t>本项目矿山地质环境保护总投资3.72万元，</w:t>
      </w:r>
      <w:r>
        <w:rPr>
          <w:rStyle w:val="61"/>
          <w:rFonts w:hint="default" w:ascii="Times New Roman" w:hAnsi="Times New Roman" w:eastAsiaTheme="minorEastAsia"/>
          <w:color w:val="000000" w:themeColor="text1"/>
        </w:rPr>
        <w:t>土地复垦静态总投资为29.50万元，</w:t>
      </w:r>
      <w:r>
        <w:rPr>
          <w:rFonts w:eastAsiaTheme="minorEastAsia"/>
          <w:color w:val="000000" w:themeColor="text1"/>
          <w:sz w:val="24"/>
        </w:rPr>
        <w:t>矿山地质环境保护与土地复垦总费用为</w:t>
      </w:r>
      <w:r>
        <w:rPr>
          <w:color w:val="000000" w:themeColor="text1"/>
          <w:sz w:val="24"/>
        </w:rPr>
        <w:t>3</w:t>
      </w:r>
      <w:r>
        <w:rPr>
          <w:rFonts w:hint="eastAsia"/>
          <w:color w:val="000000" w:themeColor="text1"/>
          <w:sz w:val="24"/>
        </w:rPr>
        <w:t>3.22</w:t>
      </w:r>
      <w:r>
        <w:rPr>
          <w:rFonts w:eastAsiaTheme="minorEastAsia"/>
          <w:color w:val="000000" w:themeColor="text1"/>
          <w:sz w:val="24"/>
        </w:rPr>
        <w:t>万元。</w:t>
      </w:r>
    </w:p>
    <w:p w14:paraId="45FCBC72">
      <w:pPr>
        <w:keepNext/>
        <w:keepLines/>
        <w:adjustRightInd w:val="0"/>
        <w:spacing w:beforeLines="50" w:afterLines="50" w:line="360" w:lineRule="auto"/>
        <w:jc w:val="left"/>
        <w:textAlignment w:val="baseline"/>
        <w:outlineLvl w:val="0"/>
        <w:rPr>
          <w:kern w:val="0"/>
          <w:sz w:val="30"/>
          <w:szCs w:val="30"/>
        </w:rPr>
      </w:pPr>
      <w:bookmarkStart w:id="312" w:name="_Toc43851724"/>
      <w:r>
        <w:rPr>
          <w:kern w:val="0"/>
          <w:sz w:val="30"/>
          <w:szCs w:val="30"/>
        </w:rPr>
        <w:t>二、建议</w:t>
      </w:r>
      <w:bookmarkEnd w:id="311"/>
      <w:bookmarkEnd w:id="312"/>
    </w:p>
    <w:p w14:paraId="78D6E1CD">
      <w:pPr>
        <w:spacing w:line="360" w:lineRule="auto"/>
        <w:ind w:firstLine="480" w:firstLineChars="200"/>
        <w:rPr>
          <w:kern w:val="0"/>
          <w:sz w:val="24"/>
          <w:lang w:val="en-GB"/>
        </w:rPr>
      </w:pPr>
      <w:r>
        <w:rPr>
          <w:kern w:val="0"/>
          <w:sz w:val="24"/>
          <w:lang w:val="en-GB"/>
        </w:rPr>
        <w:t>1、本方案不代替工程勘查工作、环境影响评价等相关工作，也不代替最终矿山地质环境治理工程和土地复垦工程施工图设计。建议矿山企业在进行地质环境治理工程和土地复垦工程时，委托相关单位对矿山地质环境影响区和土地复垦区进行专项工程勘察、设计。</w:t>
      </w:r>
    </w:p>
    <w:p w14:paraId="683F9352">
      <w:pPr>
        <w:spacing w:line="360" w:lineRule="auto"/>
        <w:ind w:firstLine="480" w:firstLineChars="200"/>
        <w:rPr>
          <w:kern w:val="0"/>
          <w:sz w:val="24"/>
          <w:lang w:val="en-GB"/>
        </w:rPr>
      </w:pPr>
      <w:r>
        <w:rPr>
          <w:kern w:val="0"/>
          <w:sz w:val="24"/>
          <w:lang w:val="en-GB"/>
        </w:rPr>
        <w:t>2、建立矿山地质灾害及环境问题监测系统，并始终贯穿于矿山开发的全过程，坚持边开发、边治理的原则，最大限度地减少矿山开采对环境的影响。</w:t>
      </w:r>
    </w:p>
    <w:p w14:paraId="116777BC">
      <w:pPr>
        <w:spacing w:line="360" w:lineRule="auto"/>
        <w:ind w:firstLine="480" w:firstLineChars="200"/>
        <w:rPr>
          <w:kern w:val="0"/>
          <w:sz w:val="24"/>
          <w:lang w:val="en-GB"/>
        </w:rPr>
      </w:pPr>
      <w:r>
        <w:rPr>
          <w:kern w:val="0"/>
          <w:sz w:val="24"/>
          <w:lang w:val="en-GB"/>
        </w:rPr>
        <w:t>3、由于本矿山生产年限较长，在未来开采过程中影响矿山生产及地质环境、土地复垦的因素很多，建议依据矿山生产实际变化情况对本方案进行及时修订，并调整治理措施以达到最佳效果。</w:t>
      </w:r>
    </w:p>
    <w:p w14:paraId="1E6A8A01">
      <w:pPr>
        <w:spacing w:line="360" w:lineRule="auto"/>
        <w:ind w:firstLine="480" w:firstLineChars="200"/>
        <w:rPr>
          <w:kern w:val="0"/>
          <w:sz w:val="24"/>
          <w:lang w:val="en-GB"/>
        </w:rPr>
      </w:pPr>
      <w:r>
        <w:rPr>
          <w:kern w:val="0"/>
          <w:sz w:val="24"/>
          <w:lang w:val="en-GB"/>
        </w:rPr>
        <w:t>4、矿方按本方案进行矿山环境治理和土地复垦过程中要不断积累资料和经验，为下一个规划期方案编制提供可靠数据，更好的为矿山建设服务。</w:t>
      </w:r>
    </w:p>
    <w:p w14:paraId="7C363F0E">
      <w:pPr>
        <w:spacing w:line="360" w:lineRule="auto"/>
        <w:ind w:firstLine="480" w:firstLineChars="200"/>
        <w:rPr>
          <w:kern w:val="0"/>
          <w:sz w:val="24"/>
          <w:lang w:val="en-GB"/>
        </w:rPr>
      </w:pPr>
      <w:r>
        <w:rPr>
          <w:kern w:val="0"/>
          <w:sz w:val="24"/>
          <w:lang w:val="en-GB"/>
        </w:rPr>
        <w:t>5、建议矿山在生产过程中加强最终边坡工程地质勘查工作，预防发生滑坡、崩塌灾害，并编制应急预案，发生重大事故时立即启动相应应急预案，做到防患于未然。</w:t>
      </w:r>
    </w:p>
    <w:p w14:paraId="4825C020">
      <w:pPr>
        <w:spacing w:line="360" w:lineRule="auto"/>
        <w:ind w:firstLine="480" w:firstLineChars="200"/>
        <w:rPr>
          <w:sz w:val="24"/>
        </w:rPr>
      </w:pPr>
      <w:r>
        <w:rPr>
          <w:kern w:val="0"/>
          <w:sz w:val="24"/>
          <w:lang w:val="en-GB"/>
        </w:rPr>
        <w:t>6、</w:t>
      </w:r>
      <w:r>
        <w:rPr>
          <w:sz w:val="24"/>
        </w:rPr>
        <w:t>编制事故应急预案，发生重大事故时立即启动相应的应急预案，做到防患于未然。</w:t>
      </w:r>
    </w:p>
    <w:p w14:paraId="001BCAEC">
      <w:pPr>
        <w:spacing w:line="360" w:lineRule="auto"/>
        <w:ind w:firstLine="480" w:firstLineChars="200"/>
        <w:rPr>
          <w:sz w:val="24"/>
        </w:rPr>
      </w:pPr>
      <w:r>
        <w:rPr>
          <w:sz w:val="24"/>
        </w:rPr>
        <w:t>7、对设计单位、施工单位、监测单位、监理单位等，建议严格按照相关法律、法规、规范、规程等要求工作，保证本方案有效地实施。</w:t>
      </w:r>
    </w:p>
    <w:p w14:paraId="0129EA42">
      <w:pPr>
        <w:widowControl/>
        <w:jc w:val="left"/>
        <w:rPr>
          <w:kern w:val="0"/>
          <w:sz w:val="24"/>
          <w:lang w:val="en-GB"/>
        </w:rPr>
      </w:pPr>
      <w:r>
        <w:rPr>
          <w:kern w:val="0"/>
          <w:sz w:val="24"/>
          <w:lang w:val="en-GB"/>
        </w:rPr>
        <w:br w:type="page"/>
      </w:r>
    </w:p>
    <w:p w14:paraId="26ACAA62">
      <w:pPr>
        <w:keepNext/>
        <w:keepLines/>
        <w:pageBreakBefore/>
        <w:tabs>
          <w:tab w:val="left" w:pos="284"/>
        </w:tabs>
        <w:spacing w:before="340" w:after="240" w:line="360" w:lineRule="auto"/>
        <w:jc w:val="center"/>
        <w:outlineLvl w:val="0"/>
        <w:rPr>
          <w:b/>
          <w:bCs/>
          <w:kern w:val="44"/>
          <w:sz w:val="32"/>
          <w:szCs w:val="32"/>
        </w:rPr>
      </w:pPr>
      <w:bookmarkStart w:id="313" w:name="_Toc43851725"/>
      <w:r>
        <w:rPr>
          <w:b/>
          <w:bCs/>
          <w:kern w:val="44"/>
          <w:sz w:val="32"/>
          <w:szCs w:val="32"/>
        </w:rPr>
        <w:t>第十章附件</w:t>
      </w:r>
      <w:bookmarkEnd w:id="313"/>
    </w:p>
    <w:p w14:paraId="2200FD29">
      <w:pPr>
        <w:pStyle w:val="5"/>
        <w:rPr>
          <w:lang w:val="zh-CN"/>
        </w:rPr>
      </w:pPr>
      <w:bookmarkStart w:id="314" w:name="_Toc43851726"/>
      <w:r>
        <w:rPr>
          <w:lang w:val="zh-CN"/>
        </w:rPr>
        <w:t>1、矿山企业营业执照</w:t>
      </w:r>
      <w:bookmarkEnd w:id="314"/>
    </w:p>
    <w:p w14:paraId="267FE7F7">
      <w:pPr>
        <w:jc w:val="center"/>
        <w:rPr>
          <w:lang w:val="zh-CN"/>
        </w:rPr>
      </w:pPr>
      <w:r>
        <w:drawing>
          <wp:inline distT="0" distB="0" distL="0" distR="0">
            <wp:extent cx="4399915" cy="7275195"/>
            <wp:effectExtent l="0" t="0" r="0" b="0"/>
            <wp:docPr id="30" name="图片 30" descr="C:\Users\123\AppData\Local\Temp\WeChat Files\543a9ceae8c3791fdbfa3d40444f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123\AppData\Local\Temp\WeChat Files\543a9ceae8c3791fdbfa3d40444f208.jpg"/>
                    <pic:cNvPicPr>
                      <a:picLocks noChangeAspect="1" noChangeArrowheads="1"/>
                    </pic:cNvPicPr>
                  </pic:nvPicPr>
                  <pic:blipFill>
                    <a:blip r:embed="rId22">
                      <a:extLst>
                        <a:ext uri="{28A0092B-C50C-407E-A947-70E740481C1C}">
                          <a14:useLocalDpi xmlns:a14="http://schemas.microsoft.com/office/drawing/2010/main" val="0"/>
                        </a:ext>
                      </a:extLst>
                    </a:blip>
                    <a:srcRect t="13651" r="-94" b="9859"/>
                    <a:stretch>
                      <a:fillRect/>
                    </a:stretch>
                  </pic:blipFill>
                  <pic:spPr>
                    <a:xfrm rot="10800000">
                      <a:off x="0" y="0"/>
                      <a:ext cx="4409853" cy="7291232"/>
                    </a:xfrm>
                    <a:prstGeom prst="rect">
                      <a:avLst/>
                    </a:prstGeom>
                    <a:noFill/>
                    <a:ln>
                      <a:noFill/>
                    </a:ln>
                  </pic:spPr>
                </pic:pic>
              </a:graphicData>
            </a:graphic>
          </wp:inline>
        </w:drawing>
      </w:r>
    </w:p>
    <w:p w14:paraId="6A4CFE4C">
      <w:pPr>
        <w:pStyle w:val="5"/>
        <w:pageBreakBefore/>
        <w:spacing w:line="415" w:lineRule="auto"/>
      </w:pPr>
      <w:bookmarkStart w:id="315" w:name="_Toc43851727"/>
      <w:r>
        <w:t>2、矿山采矿许可证</w:t>
      </w:r>
      <w:bookmarkEnd w:id="315"/>
    </w:p>
    <w:p w14:paraId="26605983">
      <w:pPr>
        <w:widowControl/>
        <w:jc w:val="center"/>
        <w:rPr>
          <w:kern w:val="0"/>
          <w:sz w:val="24"/>
        </w:rPr>
      </w:pPr>
      <w:r>
        <w:rPr>
          <w:kern w:val="0"/>
          <w:sz w:val="24"/>
        </w:rPr>
        <w:drawing>
          <wp:anchor distT="0" distB="0" distL="114300" distR="114300" simplePos="0" relativeHeight="251664384" behindDoc="0" locked="0" layoutInCell="1" allowOverlap="1">
            <wp:simplePos x="0" y="0"/>
            <wp:positionH relativeFrom="margin">
              <wp:align>center</wp:align>
            </wp:positionH>
            <wp:positionV relativeFrom="margin">
              <wp:align>center</wp:align>
            </wp:positionV>
            <wp:extent cx="7389495" cy="5311775"/>
            <wp:effectExtent l="0" t="1047750" r="0" b="1012825"/>
            <wp:wrapSquare wrapText="bothSides"/>
            <wp:docPr id="21" name="图片 21" descr="C:\Users\123\Desktop\宝轮\ZL\2 紫兰建材2016年检\采矿许可证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123\Desktop\宝轮\ZL\2 紫兰建材2016年检\采矿许可证 副本.JPG"/>
                    <pic:cNvPicPr>
                      <a:picLocks noChangeAspect="1" noChangeArrowheads="1"/>
                    </pic:cNvPicPr>
                  </pic:nvPicPr>
                  <pic:blipFill>
                    <a:blip r:embed="rId23" cstate="print">
                      <a:extLst>
                        <a:ext uri="{28A0092B-C50C-407E-A947-70E740481C1C}">
                          <a14:useLocalDpi xmlns:a14="http://schemas.microsoft.com/office/drawing/2010/main" val="0"/>
                        </a:ext>
                      </a:extLst>
                    </a:blip>
                    <a:srcRect l="2302" t="3156" r="1928" b="5047"/>
                    <a:stretch>
                      <a:fillRect/>
                    </a:stretch>
                  </pic:blipFill>
                  <pic:spPr>
                    <a:xfrm rot="16200000">
                      <a:off x="0" y="0"/>
                      <a:ext cx="7389495" cy="5311775"/>
                    </a:xfrm>
                    <a:prstGeom prst="rect">
                      <a:avLst/>
                    </a:prstGeom>
                    <a:noFill/>
                    <a:ln>
                      <a:noFill/>
                    </a:ln>
                  </pic:spPr>
                </pic:pic>
              </a:graphicData>
            </a:graphic>
          </wp:anchor>
        </w:drawing>
      </w:r>
    </w:p>
    <w:p w14:paraId="4C1C1397">
      <w:pPr>
        <w:widowControl/>
        <w:jc w:val="left"/>
        <w:rPr>
          <w:sz w:val="24"/>
        </w:rPr>
      </w:pPr>
    </w:p>
    <w:p w14:paraId="7795E2BE">
      <w:pPr>
        <w:pStyle w:val="5"/>
        <w:pageBreakBefore/>
        <w:spacing w:line="415" w:lineRule="auto"/>
      </w:pPr>
      <w:bookmarkStart w:id="316" w:name="_Toc43851728"/>
      <w:r>
        <w:t>3、委托书</w:t>
      </w:r>
      <w:bookmarkEnd w:id="316"/>
    </w:p>
    <w:p w14:paraId="7E64C05D">
      <w:pPr>
        <w:widowControl/>
        <w:jc w:val="center"/>
        <w:rPr>
          <w:sz w:val="24"/>
        </w:rPr>
      </w:pPr>
    </w:p>
    <w:p w14:paraId="43C8041F">
      <w:pPr>
        <w:widowControl/>
        <w:jc w:val="center"/>
        <w:rPr>
          <w:sz w:val="24"/>
          <w:lang w:val="zh-CN"/>
        </w:rPr>
      </w:pPr>
      <w:r>
        <w:rPr>
          <w:sz w:val="24"/>
        </w:rPr>
        <w:drawing>
          <wp:anchor distT="0" distB="0" distL="114300" distR="114300" simplePos="0" relativeHeight="251665408" behindDoc="0" locked="0" layoutInCell="1" allowOverlap="1">
            <wp:simplePos x="0" y="0"/>
            <wp:positionH relativeFrom="margin">
              <wp:align>center</wp:align>
            </wp:positionH>
            <wp:positionV relativeFrom="margin">
              <wp:align>center</wp:align>
            </wp:positionV>
            <wp:extent cx="7243445" cy="4806950"/>
            <wp:effectExtent l="0" t="1219200" r="0" b="1193800"/>
            <wp:wrapSquare wrapText="bothSides"/>
            <wp:docPr id="14" name="图片 14" descr="C:\Users\123\Desktop\微信图片_2020071916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123\Desktop\微信图片_20200719164105.jpg"/>
                    <pic:cNvPicPr>
                      <a:picLocks noChangeAspect="1" noChangeArrowheads="1"/>
                    </pic:cNvPicPr>
                  </pic:nvPicPr>
                  <pic:blipFill>
                    <a:blip r:embed="rId24">
                      <a:extLst>
                        <a:ext uri="{28A0092B-C50C-407E-A947-70E740481C1C}">
                          <a14:useLocalDpi xmlns:a14="http://schemas.microsoft.com/office/drawing/2010/main" val="0"/>
                        </a:ext>
                      </a:extLst>
                    </a:blip>
                    <a:srcRect l="25093" t="2575" r="10523" b="7289"/>
                    <a:stretch>
                      <a:fillRect/>
                    </a:stretch>
                  </pic:blipFill>
                  <pic:spPr>
                    <a:xfrm rot="16200000">
                      <a:off x="0" y="0"/>
                      <a:ext cx="7243445" cy="4806950"/>
                    </a:xfrm>
                    <a:prstGeom prst="rect">
                      <a:avLst/>
                    </a:prstGeom>
                    <a:noFill/>
                    <a:ln>
                      <a:noFill/>
                    </a:ln>
                  </pic:spPr>
                </pic:pic>
              </a:graphicData>
            </a:graphic>
          </wp:anchor>
        </w:drawing>
      </w:r>
      <w:r>
        <w:rPr>
          <w:sz w:val="24"/>
          <w:lang w:val="zh-CN"/>
        </w:rPr>
        <w:br w:type="page"/>
      </w:r>
    </w:p>
    <w:p w14:paraId="5224D5BB">
      <w:pPr>
        <w:pStyle w:val="5"/>
        <w:rPr>
          <w:lang w:val="zh-CN"/>
        </w:rPr>
      </w:pPr>
      <w:bookmarkStart w:id="317" w:name="_Toc43851729"/>
      <w:r>
        <w:rPr>
          <w:lang w:val="zh-CN"/>
        </w:rPr>
        <w:t>4、数据真实性承诺书</w:t>
      </w:r>
      <w:bookmarkEnd w:id="317"/>
    </w:p>
    <w:p w14:paraId="52794774">
      <w:pPr>
        <w:widowControl/>
        <w:spacing w:line="312" w:lineRule="auto"/>
        <w:rPr>
          <w:rFonts w:eastAsia="黑体"/>
          <w:sz w:val="36"/>
          <w:szCs w:val="36"/>
        </w:rPr>
      </w:pPr>
      <w:r>
        <w:rPr>
          <w:b/>
          <w:sz w:val="32"/>
          <w:szCs w:val="32"/>
        </w:rPr>
        <w:drawing>
          <wp:inline distT="0" distB="0" distL="0" distR="0">
            <wp:extent cx="5392420" cy="7642225"/>
            <wp:effectExtent l="0" t="0" r="0" b="0"/>
            <wp:docPr id="13" name="图片 13" descr="C:\Users\123\Desktop\微信图片_2020071916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123\Desktop\微信图片_20200719164120.jpg"/>
                    <pic:cNvPicPr>
                      <a:picLocks noChangeAspect="1" noChangeArrowheads="1"/>
                    </pic:cNvPicPr>
                  </pic:nvPicPr>
                  <pic:blipFill>
                    <a:blip r:embed="rId25">
                      <a:extLst>
                        <a:ext uri="{28A0092B-C50C-407E-A947-70E740481C1C}">
                          <a14:useLocalDpi xmlns:a14="http://schemas.microsoft.com/office/drawing/2010/main" val="0"/>
                        </a:ext>
                      </a:extLst>
                    </a:blip>
                    <a:srcRect l="5738" t="13403" r="7787" b="28520"/>
                    <a:stretch>
                      <a:fillRect/>
                    </a:stretch>
                  </pic:blipFill>
                  <pic:spPr>
                    <a:xfrm>
                      <a:off x="0" y="0"/>
                      <a:ext cx="5392800" cy="7642800"/>
                    </a:xfrm>
                    <a:prstGeom prst="rect">
                      <a:avLst/>
                    </a:prstGeom>
                    <a:noFill/>
                    <a:ln>
                      <a:noFill/>
                    </a:ln>
                  </pic:spPr>
                </pic:pic>
              </a:graphicData>
            </a:graphic>
          </wp:inline>
        </w:drawing>
      </w:r>
      <w:r>
        <w:rPr>
          <w:rFonts w:eastAsia="黑体"/>
          <w:sz w:val="36"/>
          <w:szCs w:val="36"/>
        </w:rPr>
        <w:br w:type="page"/>
      </w:r>
    </w:p>
    <w:p w14:paraId="11D89045">
      <w:pPr>
        <w:pStyle w:val="5"/>
      </w:pPr>
      <w:bookmarkStart w:id="318" w:name="_Toc43851730"/>
      <w:r>
        <w:t>5、群众参与调查</w:t>
      </w:r>
      <w:bookmarkEnd w:id="318"/>
    </w:p>
    <w:p w14:paraId="1B9D9966">
      <w:pPr>
        <w:jc w:val="center"/>
      </w:pPr>
      <w:r>
        <w:drawing>
          <wp:inline distT="0" distB="0" distL="0" distR="0">
            <wp:extent cx="5538470" cy="7712710"/>
            <wp:effectExtent l="0" t="0" r="0" b="0"/>
            <wp:docPr id="24" name="图片 24" descr="C:\Users\123\Desktop\微信图片_2020071916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123\Desktop\微信图片_20200719164052.jpg"/>
                    <pic:cNvPicPr>
                      <a:picLocks noChangeAspect="1" noChangeArrowheads="1"/>
                    </pic:cNvPicPr>
                  </pic:nvPicPr>
                  <pic:blipFill>
                    <a:blip r:embed="rId26">
                      <a:extLst>
                        <a:ext uri="{28A0092B-C50C-407E-A947-70E740481C1C}">
                          <a14:useLocalDpi xmlns:a14="http://schemas.microsoft.com/office/drawing/2010/main" val="0"/>
                        </a:ext>
                      </a:extLst>
                    </a:blip>
                    <a:srcRect l="2071" t="7852" r="2929" b="29454"/>
                    <a:stretch>
                      <a:fillRect/>
                    </a:stretch>
                  </pic:blipFill>
                  <pic:spPr>
                    <a:xfrm>
                      <a:off x="0" y="0"/>
                      <a:ext cx="5549081" cy="7727223"/>
                    </a:xfrm>
                    <a:prstGeom prst="rect">
                      <a:avLst/>
                    </a:prstGeom>
                    <a:noFill/>
                    <a:ln>
                      <a:noFill/>
                    </a:ln>
                  </pic:spPr>
                </pic:pic>
              </a:graphicData>
            </a:graphic>
          </wp:inline>
        </w:drawing>
      </w:r>
    </w:p>
    <w:p w14:paraId="40F14819">
      <w:pPr>
        <w:jc w:val="center"/>
      </w:pPr>
      <w:r>
        <w:drawing>
          <wp:inline distT="0" distB="0" distL="0" distR="0">
            <wp:extent cx="5565775" cy="8348345"/>
            <wp:effectExtent l="0" t="0" r="0" b="0"/>
            <wp:docPr id="25" name="图片 25" descr="C:\Users\123\Desktop\微信图片_20200719164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123\Desktop\微信图片_20200719164047.jpg"/>
                    <pic:cNvPicPr>
                      <a:picLocks noChangeAspect="1" noChangeArrowheads="1"/>
                    </pic:cNvPicPr>
                  </pic:nvPicPr>
                  <pic:blipFill>
                    <a:blip r:embed="rId27">
                      <a:extLst>
                        <a:ext uri="{28A0092B-C50C-407E-A947-70E740481C1C}">
                          <a14:useLocalDpi xmlns:a14="http://schemas.microsoft.com/office/drawing/2010/main" val="0"/>
                        </a:ext>
                      </a:extLst>
                    </a:blip>
                    <a:srcRect t="7307" r="2643" b="23483"/>
                    <a:stretch>
                      <a:fillRect/>
                    </a:stretch>
                  </pic:blipFill>
                  <pic:spPr>
                    <a:xfrm>
                      <a:off x="0" y="0"/>
                      <a:ext cx="5568649" cy="8352976"/>
                    </a:xfrm>
                    <a:prstGeom prst="rect">
                      <a:avLst/>
                    </a:prstGeom>
                    <a:noFill/>
                    <a:ln>
                      <a:noFill/>
                    </a:ln>
                  </pic:spPr>
                </pic:pic>
              </a:graphicData>
            </a:graphic>
          </wp:inline>
        </w:drawing>
      </w:r>
    </w:p>
    <w:p w14:paraId="275DAB5F">
      <w:pPr>
        <w:jc w:val="center"/>
      </w:pPr>
      <w:r>
        <w:drawing>
          <wp:inline distT="0" distB="0" distL="0" distR="0">
            <wp:extent cx="5313680" cy="8531225"/>
            <wp:effectExtent l="0" t="0" r="0" b="0"/>
            <wp:docPr id="26" name="图片 26" descr="C:\Users\123\Desktop\微信图片_2020071916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23\Desktop\微信图片_20200719164040.jpg"/>
                    <pic:cNvPicPr>
                      <a:picLocks noChangeAspect="1" noChangeArrowheads="1"/>
                    </pic:cNvPicPr>
                  </pic:nvPicPr>
                  <pic:blipFill>
                    <a:blip r:embed="rId28">
                      <a:extLst>
                        <a:ext uri="{28A0092B-C50C-407E-A947-70E740481C1C}">
                          <a14:useLocalDpi xmlns:a14="http://schemas.microsoft.com/office/drawing/2010/main" val="0"/>
                        </a:ext>
                      </a:extLst>
                    </a:blip>
                    <a:srcRect t="11004" r="3459" b="15541"/>
                    <a:stretch>
                      <a:fillRect/>
                    </a:stretch>
                  </pic:blipFill>
                  <pic:spPr>
                    <a:xfrm>
                      <a:off x="0" y="0"/>
                      <a:ext cx="5317945" cy="8537882"/>
                    </a:xfrm>
                    <a:prstGeom prst="rect">
                      <a:avLst/>
                    </a:prstGeom>
                    <a:noFill/>
                    <a:ln>
                      <a:noFill/>
                    </a:ln>
                  </pic:spPr>
                </pic:pic>
              </a:graphicData>
            </a:graphic>
          </wp:inline>
        </w:drawing>
      </w:r>
    </w:p>
    <w:p w14:paraId="64AA6FCA">
      <w:pPr>
        <w:pStyle w:val="5"/>
        <w:rPr>
          <w:lang w:val="zh-CN"/>
        </w:rPr>
      </w:pPr>
      <w:bookmarkStart w:id="319" w:name="_Toc43851731"/>
      <w:r>
        <w:rPr>
          <w:lang w:val="zh-CN"/>
        </w:rPr>
        <w:t>6、村组意见</w:t>
      </w:r>
      <w:bookmarkEnd w:id="319"/>
    </w:p>
    <w:p w14:paraId="72D2BBD7">
      <w:pPr>
        <w:widowControl/>
        <w:jc w:val="center"/>
        <w:rPr>
          <w:sz w:val="24"/>
          <w:lang w:val="zh-CN"/>
        </w:rPr>
      </w:pPr>
      <w:r>
        <w:rPr>
          <w:b/>
          <w:sz w:val="30"/>
          <w:szCs w:val="30"/>
        </w:rPr>
        <w:drawing>
          <wp:inline distT="0" distB="0" distL="0" distR="0">
            <wp:extent cx="5441315" cy="7959090"/>
            <wp:effectExtent l="0" t="0" r="0" b="0"/>
            <wp:docPr id="27" name="图片 27" descr="C:\Users\123\Desktop\微信图片_20200719164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123\Desktop\微信图片_20200719164125.jpg"/>
                    <pic:cNvPicPr>
                      <a:picLocks noChangeAspect="1" noChangeArrowheads="1"/>
                    </pic:cNvPicPr>
                  </pic:nvPicPr>
                  <pic:blipFill>
                    <a:blip r:embed="rId29">
                      <a:extLst>
                        <a:ext uri="{28A0092B-C50C-407E-A947-70E740481C1C}">
                          <a14:useLocalDpi xmlns:a14="http://schemas.microsoft.com/office/drawing/2010/main" val="0"/>
                        </a:ext>
                      </a:extLst>
                    </a:blip>
                    <a:srcRect t="12696" r="5236" b="21616"/>
                    <a:stretch>
                      <a:fillRect/>
                    </a:stretch>
                  </pic:blipFill>
                  <pic:spPr>
                    <a:xfrm>
                      <a:off x="0" y="0"/>
                      <a:ext cx="5444241" cy="7962839"/>
                    </a:xfrm>
                    <a:prstGeom prst="rect">
                      <a:avLst/>
                    </a:prstGeom>
                    <a:noFill/>
                    <a:ln>
                      <a:noFill/>
                    </a:ln>
                  </pic:spPr>
                </pic:pic>
              </a:graphicData>
            </a:graphic>
          </wp:inline>
        </w:drawing>
      </w:r>
    </w:p>
    <w:p w14:paraId="43DFEDC4">
      <w:pPr>
        <w:widowControl/>
        <w:jc w:val="center"/>
        <w:rPr>
          <w:sz w:val="24"/>
          <w:lang w:val="zh-CN"/>
        </w:rPr>
        <w:sectPr>
          <w:pgSz w:w="11906" w:h="16838"/>
          <w:pgMar w:top="1440" w:right="1800" w:bottom="1440" w:left="1800" w:header="851" w:footer="992" w:gutter="0"/>
          <w:cols w:space="425" w:num="1"/>
          <w:docGrid w:type="lines" w:linePitch="312" w:charSpace="0"/>
        </w:sectPr>
      </w:pPr>
    </w:p>
    <w:p w14:paraId="2BF66E70">
      <w:pPr>
        <w:pStyle w:val="5"/>
        <w:rPr>
          <w:lang w:val="zh-CN"/>
        </w:rPr>
      </w:pPr>
      <w:bookmarkStart w:id="320" w:name="_Toc43851732"/>
      <w:r>
        <w:rPr>
          <w:lang w:val="zh-CN"/>
        </w:rPr>
        <w:t>7、矿山地质环境现状调查表</w:t>
      </w:r>
      <w:bookmarkEnd w:id="320"/>
    </w:p>
    <w:tbl>
      <w:tblPr>
        <w:tblStyle w:val="29"/>
        <w:tblW w:w="141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8"/>
        <w:gridCol w:w="578"/>
        <w:gridCol w:w="176"/>
        <w:gridCol w:w="249"/>
        <w:gridCol w:w="281"/>
        <w:gridCol w:w="144"/>
        <w:gridCol w:w="142"/>
        <w:gridCol w:w="664"/>
        <w:gridCol w:w="30"/>
        <w:gridCol w:w="157"/>
        <w:gridCol w:w="425"/>
        <w:gridCol w:w="283"/>
        <w:gridCol w:w="218"/>
        <w:gridCol w:w="491"/>
        <w:gridCol w:w="284"/>
        <w:gridCol w:w="283"/>
        <w:gridCol w:w="284"/>
        <w:gridCol w:w="141"/>
        <w:gridCol w:w="471"/>
        <w:gridCol w:w="380"/>
        <w:gridCol w:w="61"/>
        <w:gridCol w:w="90"/>
        <w:gridCol w:w="82"/>
        <w:gridCol w:w="488"/>
        <w:gridCol w:w="451"/>
        <w:gridCol w:w="317"/>
        <w:gridCol w:w="247"/>
        <w:gridCol w:w="246"/>
        <w:gridCol w:w="157"/>
        <w:gridCol w:w="268"/>
        <w:gridCol w:w="144"/>
        <w:gridCol w:w="122"/>
        <w:gridCol w:w="254"/>
        <w:gridCol w:w="187"/>
        <w:gridCol w:w="261"/>
        <w:gridCol w:w="256"/>
        <w:gridCol w:w="295"/>
        <w:gridCol w:w="190"/>
        <w:gridCol w:w="373"/>
        <w:gridCol w:w="47"/>
        <w:gridCol w:w="121"/>
        <w:gridCol w:w="162"/>
        <w:gridCol w:w="142"/>
        <w:gridCol w:w="117"/>
        <w:gridCol w:w="222"/>
        <w:gridCol w:w="232"/>
        <w:gridCol w:w="251"/>
        <w:gridCol w:w="204"/>
        <w:gridCol w:w="993"/>
      </w:tblGrid>
      <w:tr w14:paraId="21161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restart"/>
            <w:vAlign w:val="center"/>
          </w:tcPr>
          <w:p w14:paraId="374F8E65">
            <w:pPr>
              <w:jc w:val="center"/>
              <w:rPr>
                <w:sz w:val="18"/>
                <w:szCs w:val="18"/>
              </w:rPr>
            </w:pPr>
            <w:r>
              <w:rPr>
                <w:sz w:val="18"/>
                <w:szCs w:val="18"/>
              </w:rPr>
              <w:t>矿山</w:t>
            </w:r>
          </w:p>
          <w:p w14:paraId="1158DA0A">
            <w:pPr>
              <w:jc w:val="center"/>
              <w:rPr>
                <w:sz w:val="18"/>
                <w:szCs w:val="18"/>
              </w:rPr>
            </w:pPr>
            <w:r>
              <w:rPr>
                <w:sz w:val="18"/>
                <w:szCs w:val="18"/>
              </w:rPr>
              <w:t>基本</w:t>
            </w:r>
          </w:p>
          <w:p w14:paraId="0FAD53AD">
            <w:pPr>
              <w:jc w:val="center"/>
              <w:rPr>
                <w:sz w:val="18"/>
                <w:szCs w:val="18"/>
              </w:rPr>
            </w:pPr>
            <w:r>
              <w:rPr>
                <w:sz w:val="18"/>
                <w:szCs w:val="18"/>
              </w:rPr>
              <w:t>概况</w:t>
            </w:r>
          </w:p>
        </w:tc>
        <w:tc>
          <w:tcPr>
            <w:tcW w:w="1003" w:type="dxa"/>
            <w:gridSpan w:val="3"/>
            <w:vAlign w:val="center"/>
          </w:tcPr>
          <w:p w14:paraId="68746601">
            <w:pPr>
              <w:jc w:val="center"/>
              <w:rPr>
                <w:sz w:val="18"/>
                <w:szCs w:val="18"/>
              </w:rPr>
            </w:pPr>
            <w:r>
              <w:rPr>
                <w:sz w:val="18"/>
                <w:szCs w:val="18"/>
              </w:rPr>
              <w:t>企业名称</w:t>
            </w:r>
          </w:p>
        </w:tc>
        <w:tc>
          <w:tcPr>
            <w:tcW w:w="3119" w:type="dxa"/>
            <w:gridSpan w:val="11"/>
            <w:vAlign w:val="center"/>
          </w:tcPr>
          <w:p w14:paraId="2FC5917A">
            <w:pPr>
              <w:jc w:val="center"/>
              <w:rPr>
                <w:sz w:val="18"/>
                <w:szCs w:val="18"/>
              </w:rPr>
            </w:pPr>
            <w:r>
              <w:rPr>
                <w:sz w:val="18"/>
                <w:szCs w:val="18"/>
              </w:rPr>
              <w:t>广元市利州区紫兰建材厂</w:t>
            </w:r>
          </w:p>
        </w:tc>
        <w:tc>
          <w:tcPr>
            <w:tcW w:w="1620" w:type="dxa"/>
            <w:gridSpan w:val="6"/>
            <w:vAlign w:val="center"/>
          </w:tcPr>
          <w:p w14:paraId="39D169F7">
            <w:pPr>
              <w:jc w:val="center"/>
              <w:rPr>
                <w:sz w:val="18"/>
                <w:szCs w:val="18"/>
              </w:rPr>
            </w:pPr>
            <w:r>
              <w:rPr>
                <w:sz w:val="18"/>
                <w:szCs w:val="18"/>
              </w:rPr>
              <w:t>通讯地址</w:t>
            </w:r>
          </w:p>
        </w:tc>
        <w:tc>
          <w:tcPr>
            <w:tcW w:w="3865" w:type="dxa"/>
            <w:gridSpan w:val="16"/>
            <w:vAlign w:val="center"/>
          </w:tcPr>
          <w:p w14:paraId="03AF7D1E">
            <w:pPr>
              <w:jc w:val="center"/>
              <w:rPr>
                <w:sz w:val="18"/>
                <w:szCs w:val="18"/>
              </w:rPr>
            </w:pPr>
            <w:r>
              <w:rPr>
                <w:sz w:val="18"/>
                <w:szCs w:val="18"/>
              </w:rPr>
              <w:t>利州区宝轮镇社区</w:t>
            </w:r>
          </w:p>
        </w:tc>
        <w:tc>
          <w:tcPr>
            <w:tcW w:w="610" w:type="dxa"/>
            <w:gridSpan w:val="3"/>
            <w:vAlign w:val="center"/>
          </w:tcPr>
          <w:p w14:paraId="3FC89DDB">
            <w:pPr>
              <w:jc w:val="center"/>
              <w:rPr>
                <w:sz w:val="18"/>
                <w:szCs w:val="18"/>
              </w:rPr>
            </w:pPr>
            <w:r>
              <w:rPr>
                <w:sz w:val="18"/>
                <w:szCs w:val="18"/>
              </w:rPr>
              <w:t>邮编</w:t>
            </w:r>
          </w:p>
        </w:tc>
        <w:tc>
          <w:tcPr>
            <w:tcW w:w="764" w:type="dxa"/>
            <w:gridSpan w:val="5"/>
            <w:vAlign w:val="center"/>
          </w:tcPr>
          <w:p w14:paraId="3AFE4DEC">
            <w:pPr>
              <w:jc w:val="center"/>
              <w:rPr>
                <w:sz w:val="18"/>
                <w:szCs w:val="18"/>
              </w:rPr>
            </w:pPr>
          </w:p>
        </w:tc>
        <w:tc>
          <w:tcPr>
            <w:tcW w:w="687" w:type="dxa"/>
            <w:gridSpan w:val="3"/>
            <w:vAlign w:val="center"/>
          </w:tcPr>
          <w:p w14:paraId="512853F4">
            <w:pPr>
              <w:jc w:val="center"/>
              <w:rPr>
                <w:sz w:val="18"/>
                <w:szCs w:val="18"/>
              </w:rPr>
            </w:pPr>
            <w:r>
              <w:rPr>
                <w:sz w:val="18"/>
                <w:szCs w:val="18"/>
              </w:rPr>
              <w:t>法人</w:t>
            </w:r>
          </w:p>
          <w:p w14:paraId="095703AF">
            <w:pPr>
              <w:jc w:val="center"/>
              <w:rPr>
                <w:sz w:val="18"/>
                <w:szCs w:val="18"/>
              </w:rPr>
            </w:pPr>
            <w:r>
              <w:rPr>
                <w:sz w:val="18"/>
                <w:szCs w:val="18"/>
              </w:rPr>
              <w:t>代表</w:t>
            </w:r>
          </w:p>
        </w:tc>
        <w:tc>
          <w:tcPr>
            <w:tcW w:w="993" w:type="dxa"/>
            <w:vAlign w:val="center"/>
          </w:tcPr>
          <w:p w14:paraId="77B33BD6">
            <w:pPr>
              <w:jc w:val="center"/>
              <w:rPr>
                <w:sz w:val="18"/>
                <w:szCs w:val="18"/>
              </w:rPr>
            </w:pPr>
          </w:p>
        </w:tc>
      </w:tr>
      <w:tr w14:paraId="3722F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3E1811F7">
            <w:pPr>
              <w:jc w:val="center"/>
              <w:rPr>
                <w:sz w:val="18"/>
                <w:szCs w:val="18"/>
              </w:rPr>
            </w:pPr>
          </w:p>
        </w:tc>
        <w:tc>
          <w:tcPr>
            <w:tcW w:w="1003" w:type="dxa"/>
            <w:gridSpan w:val="3"/>
            <w:vAlign w:val="center"/>
          </w:tcPr>
          <w:p w14:paraId="651B34EC">
            <w:pPr>
              <w:jc w:val="center"/>
              <w:rPr>
                <w:sz w:val="18"/>
                <w:szCs w:val="18"/>
              </w:rPr>
            </w:pPr>
            <w:r>
              <w:rPr>
                <w:sz w:val="18"/>
                <w:szCs w:val="18"/>
              </w:rPr>
              <w:t>电话</w:t>
            </w:r>
          </w:p>
        </w:tc>
        <w:tc>
          <w:tcPr>
            <w:tcW w:w="1231" w:type="dxa"/>
            <w:gridSpan w:val="4"/>
            <w:vAlign w:val="center"/>
          </w:tcPr>
          <w:p w14:paraId="28E841DF">
            <w:pPr>
              <w:jc w:val="center"/>
              <w:rPr>
                <w:sz w:val="18"/>
                <w:szCs w:val="18"/>
              </w:rPr>
            </w:pPr>
          </w:p>
        </w:tc>
        <w:tc>
          <w:tcPr>
            <w:tcW w:w="612" w:type="dxa"/>
            <w:gridSpan w:val="3"/>
            <w:vAlign w:val="center"/>
          </w:tcPr>
          <w:p w14:paraId="4732DA14">
            <w:pPr>
              <w:jc w:val="center"/>
              <w:rPr>
                <w:sz w:val="18"/>
                <w:szCs w:val="18"/>
              </w:rPr>
            </w:pPr>
            <w:r>
              <w:rPr>
                <w:sz w:val="18"/>
                <w:szCs w:val="18"/>
              </w:rPr>
              <w:t>传真</w:t>
            </w:r>
          </w:p>
        </w:tc>
        <w:tc>
          <w:tcPr>
            <w:tcW w:w="1276" w:type="dxa"/>
            <w:gridSpan w:val="4"/>
            <w:vAlign w:val="center"/>
          </w:tcPr>
          <w:p w14:paraId="103ABC80">
            <w:pPr>
              <w:jc w:val="center"/>
              <w:rPr>
                <w:sz w:val="18"/>
                <w:szCs w:val="18"/>
              </w:rPr>
            </w:pPr>
          </w:p>
        </w:tc>
        <w:tc>
          <w:tcPr>
            <w:tcW w:w="708" w:type="dxa"/>
            <w:gridSpan w:val="3"/>
            <w:vAlign w:val="center"/>
          </w:tcPr>
          <w:p w14:paraId="2EAAA1E9">
            <w:pPr>
              <w:jc w:val="center"/>
              <w:rPr>
                <w:sz w:val="18"/>
                <w:szCs w:val="18"/>
              </w:rPr>
            </w:pPr>
            <w:r>
              <w:rPr>
                <w:sz w:val="18"/>
                <w:szCs w:val="18"/>
              </w:rPr>
              <w:t>坐标</w:t>
            </w:r>
          </w:p>
        </w:tc>
        <w:tc>
          <w:tcPr>
            <w:tcW w:w="4777" w:type="dxa"/>
            <w:gridSpan w:val="19"/>
            <w:vAlign w:val="center"/>
          </w:tcPr>
          <w:p w14:paraId="3BB8047E">
            <w:pPr>
              <w:jc w:val="center"/>
              <w:rPr>
                <w:sz w:val="18"/>
                <w:szCs w:val="18"/>
              </w:rPr>
            </w:pPr>
            <w:r>
              <w:t>东经：105°38′38.7″，北纬：32°23′57.1″</w:t>
            </w:r>
          </w:p>
        </w:tc>
        <w:tc>
          <w:tcPr>
            <w:tcW w:w="610" w:type="dxa"/>
            <w:gridSpan w:val="3"/>
            <w:vAlign w:val="center"/>
          </w:tcPr>
          <w:p w14:paraId="42A081D1">
            <w:pPr>
              <w:jc w:val="center"/>
              <w:rPr>
                <w:sz w:val="18"/>
                <w:szCs w:val="18"/>
              </w:rPr>
            </w:pPr>
            <w:r>
              <w:rPr>
                <w:sz w:val="18"/>
                <w:szCs w:val="18"/>
              </w:rPr>
              <w:t>矿类</w:t>
            </w:r>
          </w:p>
        </w:tc>
        <w:tc>
          <w:tcPr>
            <w:tcW w:w="764" w:type="dxa"/>
            <w:gridSpan w:val="5"/>
            <w:vAlign w:val="center"/>
          </w:tcPr>
          <w:p w14:paraId="151F189A">
            <w:pPr>
              <w:jc w:val="center"/>
              <w:rPr>
                <w:sz w:val="18"/>
                <w:szCs w:val="18"/>
              </w:rPr>
            </w:pPr>
            <w:r>
              <w:rPr>
                <w:sz w:val="18"/>
                <w:szCs w:val="18"/>
              </w:rPr>
              <w:t>非金属矿</w:t>
            </w:r>
          </w:p>
        </w:tc>
        <w:tc>
          <w:tcPr>
            <w:tcW w:w="687" w:type="dxa"/>
            <w:gridSpan w:val="3"/>
            <w:vAlign w:val="center"/>
          </w:tcPr>
          <w:p w14:paraId="5B8422CA">
            <w:pPr>
              <w:jc w:val="center"/>
              <w:rPr>
                <w:sz w:val="18"/>
                <w:szCs w:val="18"/>
              </w:rPr>
            </w:pPr>
            <w:r>
              <w:rPr>
                <w:sz w:val="18"/>
                <w:szCs w:val="18"/>
              </w:rPr>
              <w:t>矿种</w:t>
            </w:r>
          </w:p>
        </w:tc>
        <w:tc>
          <w:tcPr>
            <w:tcW w:w="993" w:type="dxa"/>
            <w:vAlign w:val="center"/>
          </w:tcPr>
          <w:p w14:paraId="58FA9AE1">
            <w:pPr>
              <w:jc w:val="center"/>
              <w:rPr>
                <w:sz w:val="18"/>
                <w:szCs w:val="18"/>
              </w:rPr>
            </w:pPr>
            <w:r>
              <w:rPr>
                <w:sz w:val="18"/>
                <w:szCs w:val="18"/>
              </w:rPr>
              <w:t>砖瓦用页岩矿</w:t>
            </w:r>
          </w:p>
        </w:tc>
      </w:tr>
      <w:tr w14:paraId="60226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2DC72A33">
            <w:pPr>
              <w:jc w:val="center"/>
              <w:rPr>
                <w:sz w:val="18"/>
                <w:szCs w:val="18"/>
              </w:rPr>
            </w:pPr>
          </w:p>
        </w:tc>
        <w:tc>
          <w:tcPr>
            <w:tcW w:w="2234" w:type="dxa"/>
            <w:gridSpan w:val="7"/>
            <w:vAlign w:val="center"/>
          </w:tcPr>
          <w:p w14:paraId="3116DED1">
            <w:pPr>
              <w:jc w:val="center"/>
              <w:rPr>
                <w:sz w:val="18"/>
                <w:szCs w:val="18"/>
              </w:rPr>
            </w:pPr>
            <w:r>
              <w:rPr>
                <w:sz w:val="18"/>
                <w:szCs w:val="18"/>
              </w:rPr>
              <w:t>企业规模</w:t>
            </w:r>
          </w:p>
        </w:tc>
        <w:tc>
          <w:tcPr>
            <w:tcW w:w="1888" w:type="dxa"/>
            <w:gridSpan w:val="7"/>
            <w:vAlign w:val="center"/>
          </w:tcPr>
          <w:p w14:paraId="3F6A5C40">
            <w:pPr>
              <w:jc w:val="center"/>
              <w:rPr>
                <w:sz w:val="18"/>
                <w:szCs w:val="18"/>
              </w:rPr>
            </w:pPr>
            <w:r>
              <w:rPr>
                <w:sz w:val="18"/>
                <w:szCs w:val="18"/>
              </w:rPr>
              <w:t>小型</w:t>
            </w:r>
          </w:p>
        </w:tc>
        <w:tc>
          <w:tcPr>
            <w:tcW w:w="1710" w:type="dxa"/>
            <w:gridSpan w:val="7"/>
            <w:vMerge w:val="restart"/>
            <w:vAlign w:val="center"/>
          </w:tcPr>
          <w:p w14:paraId="7F20FC85">
            <w:pPr>
              <w:jc w:val="center"/>
              <w:rPr>
                <w:sz w:val="18"/>
                <w:szCs w:val="18"/>
              </w:rPr>
            </w:pPr>
            <w:r>
              <w:rPr>
                <w:sz w:val="18"/>
                <w:szCs w:val="18"/>
              </w:rPr>
              <w:t>设计生产能力(10</w:t>
            </w:r>
            <w:r>
              <w:rPr>
                <w:sz w:val="18"/>
                <w:szCs w:val="18"/>
                <w:vertAlign w:val="superscript"/>
              </w:rPr>
              <w:t>4</w:t>
            </w:r>
            <w:r>
              <w:rPr>
                <w:sz w:val="18"/>
                <w:szCs w:val="18"/>
              </w:rPr>
              <w:t>t/a)</w:t>
            </w:r>
          </w:p>
        </w:tc>
        <w:tc>
          <w:tcPr>
            <w:tcW w:w="2256" w:type="dxa"/>
            <w:gridSpan w:val="8"/>
            <w:vMerge w:val="restart"/>
            <w:vAlign w:val="center"/>
          </w:tcPr>
          <w:p w14:paraId="23F56833">
            <w:pPr>
              <w:jc w:val="center"/>
              <w:rPr>
                <w:sz w:val="18"/>
                <w:szCs w:val="18"/>
              </w:rPr>
            </w:pPr>
            <w:r>
              <w:rPr>
                <w:sz w:val="18"/>
                <w:szCs w:val="18"/>
              </w:rPr>
              <w:t>4</w:t>
            </w:r>
          </w:p>
        </w:tc>
        <w:tc>
          <w:tcPr>
            <w:tcW w:w="1519" w:type="dxa"/>
            <w:gridSpan w:val="7"/>
            <w:vMerge w:val="restart"/>
            <w:vAlign w:val="center"/>
          </w:tcPr>
          <w:p w14:paraId="2312DDE5">
            <w:pPr>
              <w:jc w:val="center"/>
              <w:rPr>
                <w:sz w:val="18"/>
                <w:szCs w:val="18"/>
              </w:rPr>
            </w:pPr>
            <w:r>
              <w:rPr>
                <w:sz w:val="18"/>
                <w:szCs w:val="18"/>
              </w:rPr>
              <w:t>设计服务年限</w:t>
            </w:r>
          </w:p>
        </w:tc>
        <w:tc>
          <w:tcPr>
            <w:tcW w:w="3054" w:type="dxa"/>
            <w:gridSpan w:val="12"/>
            <w:vMerge w:val="restart"/>
            <w:vAlign w:val="center"/>
          </w:tcPr>
          <w:p w14:paraId="719C6251">
            <w:pPr>
              <w:jc w:val="center"/>
              <w:rPr>
                <w:sz w:val="18"/>
                <w:szCs w:val="18"/>
              </w:rPr>
            </w:pPr>
            <w:r>
              <w:rPr>
                <w:sz w:val="18"/>
                <w:szCs w:val="18"/>
              </w:rPr>
              <w:t>/</w:t>
            </w:r>
          </w:p>
        </w:tc>
      </w:tr>
      <w:tr w14:paraId="505A9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476035DD">
            <w:pPr>
              <w:jc w:val="center"/>
              <w:rPr>
                <w:sz w:val="18"/>
                <w:szCs w:val="18"/>
              </w:rPr>
            </w:pPr>
          </w:p>
        </w:tc>
        <w:tc>
          <w:tcPr>
            <w:tcW w:w="2234" w:type="dxa"/>
            <w:gridSpan w:val="7"/>
            <w:vAlign w:val="center"/>
          </w:tcPr>
          <w:p w14:paraId="7477B892">
            <w:pPr>
              <w:jc w:val="center"/>
              <w:rPr>
                <w:sz w:val="18"/>
                <w:szCs w:val="18"/>
              </w:rPr>
            </w:pPr>
            <w:r>
              <w:rPr>
                <w:sz w:val="18"/>
                <w:szCs w:val="18"/>
              </w:rPr>
              <w:t>经济类型</w:t>
            </w:r>
          </w:p>
        </w:tc>
        <w:tc>
          <w:tcPr>
            <w:tcW w:w="1888" w:type="dxa"/>
            <w:gridSpan w:val="7"/>
            <w:vAlign w:val="center"/>
          </w:tcPr>
          <w:p w14:paraId="4CE0EDD0">
            <w:pPr>
              <w:jc w:val="center"/>
              <w:rPr>
                <w:sz w:val="18"/>
                <w:szCs w:val="18"/>
              </w:rPr>
            </w:pPr>
            <w:r>
              <w:rPr>
                <w:sz w:val="18"/>
                <w:szCs w:val="18"/>
              </w:rPr>
              <w:t>私营合伙企业</w:t>
            </w:r>
          </w:p>
        </w:tc>
        <w:tc>
          <w:tcPr>
            <w:tcW w:w="1710" w:type="dxa"/>
            <w:gridSpan w:val="7"/>
            <w:vMerge w:val="continue"/>
            <w:vAlign w:val="center"/>
          </w:tcPr>
          <w:p w14:paraId="4D75851C">
            <w:pPr>
              <w:jc w:val="center"/>
              <w:rPr>
                <w:sz w:val="18"/>
                <w:szCs w:val="18"/>
              </w:rPr>
            </w:pPr>
          </w:p>
        </w:tc>
        <w:tc>
          <w:tcPr>
            <w:tcW w:w="2256" w:type="dxa"/>
            <w:gridSpan w:val="8"/>
            <w:vMerge w:val="continue"/>
            <w:vAlign w:val="center"/>
          </w:tcPr>
          <w:p w14:paraId="30D79D87">
            <w:pPr>
              <w:jc w:val="center"/>
              <w:rPr>
                <w:sz w:val="18"/>
                <w:szCs w:val="18"/>
              </w:rPr>
            </w:pPr>
          </w:p>
        </w:tc>
        <w:tc>
          <w:tcPr>
            <w:tcW w:w="1519" w:type="dxa"/>
            <w:gridSpan w:val="7"/>
            <w:vMerge w:val="continue"/>
            <w:vAlign w:val="center"/>
          </w:tcPr>
          <w:p w14:paraId="74609CE3">
            <w:pPr>
              <w:jc w:val="center"/>
              <w:rPr>
                <w:sz w:val="18"/>
                <w:szCs w:val="18"/>
              </w:rPr>
            </w:pPr>
          </w:p>
        </w:tc>
        <w:tc>
          <w:tcPr>
            <w:tcW w:w="3054" w:type="dxa"/>
            <w:gridSpan w:val="12"/>
            <w:vMerge w:val="continue"/>
            <w:vAlign w:val="center"/>
          </w:tcPr>
          <w:p w14:paraId="01B18B2C">
            <w:pPr>
              <w:jc w:val="center"/>
              <w:rPr>
                <w:sz w:val="18"/>
                <w:szCs w:val="18"/>
              </w:rPr>
            </w:pPr>
          </w:p>
        </w:tc>
      </w:tr>
      <w:tr w14:paraId="0C725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77AD8B0C">
            <w:pPr>
              <w:jc w:val="center"/>
              <w:rPr>
                <w:sz w:val="18"/>
                <w:szCs w:val="18"/>
              </w:rPr>
            </w:pPr>
          </w:p>
        </w:tc>
        <w:tc>
          <w:tcPr>
            <w:tcW w:w="2234" w:type="dxa"/>
            <w:gridSpan w:val="7"/>
            <w:vAlign w:val="center"/>
          </w:tcPr>
          <w:p w14:paraId="34A93764">
            <w:pPr>
              <w:jc w:val="center"/>
              <w:rPr>
                <w:sz w:val="18"/>
                <w:szCs w:val="18"/>
              </w:rPr>
            </w:pPr>
            <w:r>
              <w:rPr>
                <w:sz w:val="18"/>
                <w:szCs w:val="18"/>
              </w:rPr>
              <w:t>矿山面积(km</w:t>
            </w:r>
            <w:r>
              <w:rPr>
                <w:sz w:val="18"/>
                <w:szCs w:val="18"/>
                <w:vertAlign w:val="superscript"/>
              </w:rPr>
              <w:t>2</w:t>
            </w:r>
            <w:r>
              <w:rPr>
                <w:sz w:val="18"/>
                <w:szCs w:val="18"/>
              </w:rPr>
              <w:t>)</w:t>
            </w:r>
          </w:p>
        </w:tc>
        <w:tc>
          <w:tcPr>
            <w:tcW w:w="1888" w:type="dxa"/>
            <w:gridSpan w:val="7"/>
            <w:vAlign w:val="center"/>
          </w:tcPr>
          <w:p w14:paraId="3C4FAEC5">
            <w:pPr>
              <w:jc w:val="center"/>
              <w:rPr>
                <w:sz w:val="18"/>
                <w:szCs w:val="18"/>
              </w:rPr>
            </w:pPr>
            <w:r>
              <w:rPr>
                <w:sz w:val="18"/>
                <w:szCs w:val="18"/>
              </w:rPr>
              <w:t>0.0206</w:t>
            </w:r>
          </w:p>
        </w:tc>
        <w:tc>
          <w:tcPr>
            <w:tcW w:w="1710" w:type="dxa"/>
            <w:gridSpan w:val="7"/>
            <w:vAlign w:val="center"/>
          </w:tcPr>
          <w:p w14:paraId="50FD8C8C">
            <w:pPr>
              <w:jc w:val="center"/>
              <w:rPr>
                <w:sz w:val="18"/>
                <w:szCs w:val="18"/>
              </w:rPr>
            </w:pPr>
            <w:r>
              <w:rPr>
                <w:sz w:val="18"/>
                <w:szCs w:val="18"/>
              </w:rPr>
              <w:t>实际生产能力(10</w:t>
            </w:r>
            <w:r>
              <w:rPr>
                <w:sz w:val="18"/>
                <w:szCs w:val="18"/>
                <w:vertAlign w:val="superscript"/>
              </w:rPr>
              <w:t>4</w:t>
            </w:r>
            <w:r>
              <w:rPr>
                <w:sz w:val="18"/>
                <w:szCs w:val="18"/>
              </w:rPr>
              <w:t>t/a)</w:t>
            </w:r>
          </w:p>
        </w:tc>
        <w:tc>
          <w:tcPr>
            <w:tcW w:w="2256" w:type="dxa"/>
            <w:gridSpan w:val="8"/>
            <w:vAlign w:val="center"/>
          </w:tcPr>
          <w:p w14:paraId="30A12292">
            <w:pPr>
              <w:jc w:val="center"/>
              <w:rPr>
                <w:sz w:val="18"/>
                <w:szCs w:val="18"/>
              </w:rPr>
            </w:pPr>
            <w:r>
              <w:rPr>
                <w:sz w:val="18"/>
                <w:szCs w:val="18"/>
              </w:rPr>
              <w:t>0</w:t>
            </w:r>
          </w:p>
        </w:tc>
        <w:tc>
          <w:tcPr>
            <w:tcW w:w="1519" w:type="dxa"/>
            <w:gridSpan w:val="7"/>
            <w:vAlign w:val="center"/>
          </w:tcPr>
          <w:p w14:paraId="19C3462F">
            <w:pPr>
              <w:jc w:val="center"/>
              <w:rPr>
                <w:sz w:val="18"/>
                <w:szCs w:val="18"/>
              </w:rPr>
            </w:pPr>
            <w:r>
              <w:rPr>
                <w:sz w:val="18"/>
                <w:szCs w:val="18"/>
              </w:rPr>
              <w:t>已服务年限</w:t>
            </w:r>
          </w:p>
        </w:tc>
        <w:tc>
          <w:tcPr>
            <w:tcW w:w="563" w:type="dxa"/>
            <w:gridSpan w:val="2"/>
            <w:vAlign w:val="center"/>
          </w:tcPr>
          <w:p w14:paraId="1E3D7F73">
            <w:pPr>
              <w:jc w:val="center"/>
              <w:rPr>
                <w:sz w:val="18"/>
                <w:szCs w:val="18"/>
              </w:rPr>
            </w:pPr>
            <w:r>
              <w:rPr>
                <w:sz w:val="18"/>
                <w:szCs w:val="18"/>
              </w:rPr>
              <w:t>/</w:t>
            </w:r>
          </w:p>
        </w:tc>
        <w:tc>
          <w:tcPr>
            <w:tcW w:w="1498" w:type="dxa"/>
            <w:gridSpan w:val="9"/>
            <w:vAlign w:val="center"/>
          </w:tcPr>
          <w:p w14:paraId="0690B4CC">
            <w:pPr>
              <w:jc w:val="center"/>
              <w:rPr>
                <w:sz w:val="18"/>
                <w:szCs w:val="18"/>
              </w:rPr>
            </w:pPr>
            <w:r>
              <w:rPr>
                <w:sz w:val="18"/>
                <w:szCs w:val="18"/>
              </w:rPr>
              <w:t>开采深度(m)</w:t>
            </w:r>
          </w:p>
        </w:tc>
        <w:tc>
          <w:tcPr>
            <w:tcW w:w="993" w:type="dxa"/>
            <w:vAlign w:val="center"/>
          </w:tcPr>
          <w:p w14:paraId="40770A55">
            <w:pPr>
              <w:jc w:val="center"/>
              <w:rPr>
                <w:rFonts w:eastAsiaTheme="minorEastAsia"/>
                <w:szCs w:val="21"/>
              </w:rPr>
            </w:pPr>
            <w:r>
              <w:rPr>
                <w:rFonts w:eastAsiaTheme="minorEastAsia"/>
                <w:szCs w:val="21"/>
                <w:lang w:val="zh-CN"/>
              </w:rPr>
              <w:t>+565～+535m</w:t>
            </w:r>
          </w:p>
        </w:tc>
      </w:tr>
      <w:tr w14:paraId="2572D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7A2890F1">
            <w:pPr>
              <w:jc w:val="center"/>
              <w:rPr>
                <w:sz w:val="18"/>
                <w:szCs w:val="18"/>
              </w:rPr>
            </w:pPr>
          </w:p>
        </w:tc>
        <w:tc>
          <w:tcPr>
            <w:tcW w:w="2234" w:type="dxa"/>
            <w:gridSpan w:val="7"/>
            <w:vMerge w:val="restart"/>
            <w:vAlign w:val="center"/>
          </w:tcPr>
          <w:p w14:paraId="0B2A328D">
            <w:pPr>
              <w:jc w:val="center"/>
              <w:rPr>
                <w:sz w:val="18"/>
                <w:szCs w:val="18"/>
              </w:rPr>
            </w:pPr>
            <w:r>
              <w:rPr>
                <w:sz w:val="18"/>
                <w:szCs w:val="18"/>
              </w:rPr>
              <w:t>建矿时间</w:t>
            </w:r>
          </w:p>
        </w:tc>
        <w:tc>
          <w:tcPr>
            <w:tcW w:w="1888" w:type="dxa"/>
            <w:gridSpan w:val="7"/>
            <w:vMerge w:val="restart"/>
            <w:vAlign w:val="center"/>
          </w:tcPr>
          <w:p w14:paraId="0980F71E">
            <w:pPr>
              <w:jc w:val="center"/>
              <w:rPr>
                <w:sz w:val="18"/>
                <w:szCs w:val="18"/>
              </w:rPr>
            </w:pPr>
          </w:p>
        </w:tc>
        <w:tc>
          <w:tcPr>
            <w:tcW w:w="1710" w:type="dxa"/>
            <w:gridSpan w:val="7"/>
            <w:vAlign w:val="center"/>
          </w:tcPr>
          <w:p w14:paraId="45967046">
            <w:pPr>
              <w:jc w:val="center"/>
              <w:rPr>
                <w:sz w:val="18"/>
                <w:szCs w:val="18"/>
              </w:rPr>
            </w:pPr>
            <w:r>
              <w:rPr>
                <w:sz w:val="18"/>
                <w:szCs w:val="18"/>
              </w:rPr>
              <w:t>生产现状</w:t>
            </w:r>
          </w:p>
        </w:tc>
        <w:tc>
          <w:tcPr>
            <w:tcW w:w="2256" w:type="dxa"/>
            <w:gridSpan w:val="8"/>
            <w:vAlign w:val="center"/>
          </w:tcPr>
          <w:p w14:paraId="156A1BCD">
            <w:pPr>
              <w:jc w:val="center"/>
              <w:rPr>
                <w:sz w:val="18"/>
                <w:szCs w:val="18"/>
              </w:rPr>
            </w:pPr>
            <w:r>
              <w:rPr>
                <w:sz w:val="18"/>
                <w:szCs w:val="18"/>
              </w:rPr>
              <w:t>已开采</w:t>
            </w:r>
          </w:p>
        </w:tc>
        <w:tc>
          <w:tcPr>
            <w:tcW w:w="1519" w:type="dxa"/>
            <w:gridSpan w:val="7"/>
            <w:vAlign w:val="center"/>
          </w:tcPr>
          <w:p w14:paraId="3BD4EC77">
            <w:pPr>
              <w:jc w:val="center"/>
              <w:rPr>
                <w:sz w:val="18"/>
                <w:szCs w:val="18"/>
              </w:rPr>
            </w:pPr>
            <w:r>
              <w:rPr>
                <w:sz w:val="18"/>
                <w:szCs w:val="18"/>
              </w:rPr>
              <w:t>采空区面积(m</w:t>
            </w:r>
            <w:r>
              <w:rPr>
                <w:sz w:val="18"/>
                <w:szCs w:val="18"/>
                <w:vertAlign w:val="superscript"/>
              </w:rPr>
              <w:t>2</w:t>
            </w:r>
            <w:r>
              <w:rPr>
                <w:sz w:val="18"/>
                <w:szCs w:val="18"/>
              </w:rPr>
              <w:t>)</w:t>
            </w:r>
          </w:p>
        </w:tc>
        <w:tc>
          <w:tcPr>
            <w:tcW w:w="3054" w:type="dxa"/>
            <w:gridSpan w:val="12"/>
            <w:vAlign w:val="center"/>
          </w:tcPr>
          <w:p w14:paraId="63B9F7C8">
            <w:pPr>
              <w:jc w:val="center"/>
              <w:rPr>
                <w:sz w:val="18"/>
                <w:szCs w:val="18"/>
              </w:rPr>
            </w:pPr>
            <w:r>
              <w:rPr>
                <w:sz w:val="18"/>
                <w:szCs w:val="18"/>
              </w:rPr>
              <w:t>0</w:t>
            </w:r>
          </w:p>
        </w:tc>
      </w:tr>
      <w:tr w14:paraId="3B3FF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27EFD6A5">
            <w:pPr>
              <w:jc w:val="center"/>
              <w:rPr>
                <w:sz w:val="18"/>
                <w:szCs w:val="18"/>
              </w:rPr>
            </w:pPr>
          </w:p>
        </w:tc>
        <w:tc>
          <w:tcPr>
            <w:tcW w:w="2234" w:type="dxa"/>
            <w:gridSpan w:val="7"/>
            <w:vMerge w:val="continue"/>
            <w:vAlign w:val="center"/>
          </w:tcPr>
          <w:p w14:paraId="630D07EC">
            <w:pPr>
              <w:jc w:val="center"/>
              <w:rPr>
                <w:sz w:val="18"/>
                <w:szCs w:val="18"/>
              </w:rPr>
            </w:pPr>
          </w:p>
        </w:tc>
        <w:tc>
          <w:tcPr>
            <w:tcW w:w="1888" w:type="dxa"/>
            <w:gridSpan w:val="7"/>
            <w:vMerge w:val="continue"/>
            <w:vAlign w:val="center"/>
          </w:tcPr>
          <w:p w14:paraId="7AFA9444">
            <w:pPr>
              <w:jc w:val="center"/>
              <w:rPr>
                <w:sz w:val="18"/>
                <w:szCs w:val="18"/>
              </w:rPr>
            </w:pPr>
          </w:p>
        </w:tc>
        <w:tc>
          <w:tcPr>
            <w:tcW w:w="1710" w:type="dxa"/>
            <w:gridSpan w:val="7"/>
            <w:vAlign w:val="center"/>
          </w:tcPr>
          <w:p w14:paraId="2189B8BF">
            <w:pPr>
              <w:jc w:val="center"/>
              <w:rPr>
                <w:sz w:val="18"/>
                <w:szCs w:val="18"/>
              </w:rPr>
            </w:pPr>
            <w:r>
              <w:rPr>
                <w:sz w:val="18"/>
                <w:szCs w:val="18"/>
              </w:rPr>
              <w:t>采矿方式</w:t>
            </w:r>
          </w:p>
        </w:tc>
        <w:tc>
          <w:tcPr>
            <w:tcW w:w="2256" w:type="dxa"/>
            <w:gridSpan w:val="8"/>
            <w:vAlign w:val="center"/>
          </w:tcPr>
          <w:p w14:paraId="5BA9AAD8">
            <w:pPr>
              <w:jc w:val="center"/>
              <w:rPr>
                <w:sz w:val="18"/>
                <w:szCs w:val="18"/>
              </w:rPr>
            </w:pPr>
            <w:r>
              <w:rPr>
                <w:sz w:val="18"/>
                <w:szCs w:val="18"/>
              </w:rPr>
              <w:t>露天开采</w:t>
            </w:r>
          </w:p>
        </w:tc>
        <w:tc>
          <w:tcPr>
            <w:tcW w:w="1519" w:type="dxa"/>
            <w:gridSpan w:val="7"/>
            <w:vAlign w:val="center"/>
          </w:tcPr>
          <w:p w14:paraId="4B8F84E0">
            <w:pPr>
              <w:jc w:val="center"/>
              <w:rPr>
                <w:sz w:val="18"/>
                <w:szCs w:val="18"/>
              </w:rPr>
            </w:pPr>
            <w:r>
              <w:rPr>
                <w:sz w:val="18"/>
                <w:szCs w:val="18"/>
              </w:rPr>
              <w:t>开采层位</w:t>
            </w:r>
          </w:p>
        </w:tc>
        <w:tc>
          <w:tcPr>
            <w:tcW w:w="3054" w:type="dxa"/>
            <w:gridSpan w:val="12"/>
            <w:vAlign w:val="center"/>
          </w:tcPr>
          <w:p w14:paraId="1FDF8F52">
            <w:pPr>
              <w:jc w:val="center"/>
              <w:rPr>
                <w:sz w:val="18"/>
                <w:szCs w:val="18"/>
              </w:rPr>
            </w:pPr>
            <w:r>
              <w:rPr>
                <w:sz w:val="18"/>
                <w:szCs w:val="18"/>
              </w:rPr>
              <w:t>-</w:t>
            </w:r>
          </w:p>
        </w:tc>
      </w:tr>
      <w:tr w14:paraId="4749D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restart"/>
            <w:vAlign w:val="center"/>
          </w:tcPr>
          <w:p w14:paraId="62FE392A">
            <w:pPr>
              <w:jc w:val="center"/>
              <w:rPr>
                <w:sz w:val="18"/>
                <w:szCs w:val="18"/>
              </w:rPr>
            </w:pPr>
            <w:r>
              <w:rPr>
                <w:sz w:val="18"/>
                <w:szCs w:val="18"/>
              </w:rPr>
              <w:t>采矿</w:t>
            </w:r>
          </w:p>
          <w:p w14:paraId="1270B24B">
            <w:pPr>
              <w:jc w:val="center"/>
              <w:rPr>
                <w:sz w:val="18"/>
                <w:szCs w:val="18"/>
              </w:rPr>
            </w:pPr>
            <w:r>
              <w:rPr>
                <w:sz w:val="18"/>
                <w:szCs w:val="18"/>
              </w:rPr>
              <w:t>破坏</w:t>
            </w:r>
          </w:p>
          <w:p w14:paraId="650A66BD">
            <w:pPr>
              <w:jc w:val="center"/>
              <w:rPr>
                <w:sz w:val="18"/>
                <w:szCs w:val="18"/>
              </w:rPr>
            </w:pPr>
            <w:r>
              <w:rPr>
                <w:sz w:val="18"/>
                <w:szCs w:val="18"/>
              </w:rPr>
              <w:t>土地</w:t>
            </w:r>
          </w:p>
        </w:tc>
        <w:tc>
          <w:tcPr>
            <w:tcW w:w="2421" w:type="dxa"/>
            <w:gridSpan w:val="9"/>
            <w:vAlign w:val="center"/>
          </w:tcPr>
          <w:p w14:paraId="5EA80AA1">
            <w:pPr>
              <w:jc w:val="center"/>
              <w:rPr>
                <w:sz w:val="18"/>
                <w:szCs w:val="18"/>
              </w:rPr>
            </w:pPr>
            <w:r>
              <w:rPr>
                <w:sz w:val="18"/>
                <w:szCs w:val="18"/>
              </w:rPr>
              <w:t>工业广场</w:t>
            </w:r>
          </w:p>
        </w:tc>
        <w:tc>
          <w:tcPr>
            <w:tcW w:w="2880" w:type="dxa"/>
            <w:gridSpan w:val="9"/>
            <w:vAlign w:val="center"/>
          </w:tcPr>
          <w:p w14:paraId="70ED29D9">
            <w:pPr>
              <w:jc w:val="center"/>
              <w:rPr>
                <w:sz w:val="18"/>
                <w:szCs w:val="18"/>
              </w:rPr>
            </w:pPr>
            <w:r>
              <w:rPr>
                <w:sz w:val="18"/>
                <w:szCs w:val="18"/>
              </w:rPr>
              <w:t>边坡区</w:t>
            </w:r>
          </w:p>
        </w:tc>
        <w:tc>
          <w:tcPr>
            <w:tcW w:w="2787" w:type="dxa"/>
            <w:gridSpan w:val="11"/>
            <w:vAlign w:val="center"/>
          </w:tcPr>
          <w:p w14:paraId="35617202">
            <w:pPr>
              <w:jc w:val="center"/>
              <w:rPr>
                <w:sz w:val="18"/>
                <w:szCs w:val="18"/>
              </w:rPr>
            </w:pPr>
          </w:p>
        </w:tc>
        <w:tc>
          <w:tcPr>
            <w:tcW w:w="2554" w:type="dxa"/>
            <w:gridSpan w:val="13"/>
            <w:vAlign w:val="center"/>
          </w:tcPr>
          <w:p w14:paraId="03FBE660">
            <w:pPr>
              <w:jc w:val="center"/>
              <w:rPr>
                <w:sz w:val="18"/>
                <w:szCs w:val="18"/>
              </w:rPr>
            </w:pPr>
            <w:r>
              <w:rPr>
                <w:sz w:val="18"/>
                <w:szCs w:val="18"/>
              </w:rPr>
              <w:t>-</w:t>
            </w:r>
          </w:p>
        </w:tc>
        <w:tc>
          <w:tcPr>
            <w:tcW w:w="822" w:type="dxa"/>
            <w:gridSpan w:val="4"/>
            <w:vAlign w:val="center"/>
          </w:tcPr>
          <w:p w14:paraId="7D45EE0C">
            <w:pPr>
              <w:jc w:val="center"/>
              <w:rPr>
                <w:sz w:val="18"/>
                <w:szCs w:val="18"/>
              </w:rPr>
            </w:pPr>
            <w:r>
              <w:rPr>
                <w:sz w:val="18"/>
                <w:szCs w:val="18"/>
              </w:rPr>
              <w:t>总计</w:t>
            </w:r>
          </w:p>
        </w:tc>
        <w:tc>
          <w:tcPr>
            <w:tcW w:w="1197" w:type="dxa"/>
            <w:gridSpan w:val="2"/>
            <w:vMerge w:val="restart"/>
            <w:vAlign w:val="center"/>
          </w:tcPr>
          <w:p w14:paraId="32B02F64">
            <w:pPr>
              <w:jc w:val="center"/>
              <w:rPr>
                <w:sz w:val="18"/>
                <w:szCs w:val="18"/>
              </w:rPr>
            </w:pPr>
            <w:r>
              <w:rPr>
                <w:sz w:val="18"/>
                <w:szCs w:val="18"/>
              </w:rPr>
              <w:t>已治理面积(m</w:t>
            </w:r>
            <w:r>
              <w:rPr>
                <w:sz w:val="18"/>
                <w:szCs w:val="18"/>
                <w:vertAlign w:val="superscript"/>
              </w:rPr>
              <w:t>2</w:t>
            </w:r>
            <w:r>
              <w:rPr>
                <w:sz w:val="18"/>
                <w:szCs w:val="18"/>
              </w:rPr>
              <w:t>)</w:t>
            </w:r>
          </w:p>
        </w:tc>
      </w:tr>
      <w:tr w14:paraId="14A40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66E8AC95">
            <w:pPr>
              <w:jc w:val="center"/>
              <w:rPr>
                <w:sz w:val="18"/>
                <w:szCs w:val="18"/>
              </w:rPr>
            </w:pPr>
          </w:p>
        </w:tc>
        <w:tc>
          <w:tcPr>
            <w:tcW w:w="1284" w:type="dxa"/>
            <w:gridSpan w:val="4"/>
            <w:vAlign w:val="center"/>
          </w:tcPr>
          <w:p w14:paraId="3B6824E8">
            <w:pPr>
              <w:jc w:val="center"/>
              <w:rPr>
                <w:sz w:val="18"/>
                <w:szCs w:val="18"/>
              </w:rPr>
            </w:pPr>
            <w:r>
              <w:rPr>
                <w:sz w:val="18"/>
                <w:szCs w:val="18"/>
              </w:rPr>
              <w:t>数量(个)</w:t>
            </w:r>
          </w:p>
        </w:tc>
        <w:tc>
          <w:tcPr>
            <w:tcW w:w="1137" w:type="dxa"/>
            <w:gridSpan w:val="5"/>
            <w:vAlign w:val="center"/>
          </w:tcPr>
          <w:p w14:paraId="45D44DBB">
            <w:pPr>
              <w:jc w:val="center"/>
              <w:rPr>
                <w:sz w:val="18"/>
                <w:szCs w:val="18"/>
              </w:rPr>
            </w:pPr>
            <w:r>
              <w:rPr>
                <w:sz w:val="18"/>
                <w:szCs w:val="18"/>
              </w:rPr>
              <w:t>面积(m</w:t>
            </w:r>
            <w:r>
              <w:rPr>
                <w:sz w:val="18"/>
                <w:szCs w:val="18"/>
                <w:vertAlign w:val="superscript"/>
              </w:rPr>
              <w:t>2</w:t>
            </w:r>
            <w:r>
              <w:rPr>
                <w:sz w:val="18"/>
                <w:szCs w:val="18"/>
              </w:rPr>
              <w:t>)</w:t>
            </w:r>
          </w:p>
        </w:tc>
        <w:tc>
          <w:tcPr>
            <w:tcW w:w="1701" w:type="dxa"/>
            <w:gridSpan w:val="5"/>
            <w:vAlign w:val="center"/>
          </w:tcPr>
          <w:p w14:paraId="0F15D0E7">
            <w:pPr>
              <w:jc w:val="center"/>
              <w:rPr>
                <w:sz w:val="18"/>
                <w:szCs w:val="18"/>
              </w:rPr>
            </w:pPr>
            <w:r>
              <w:rPr>
                <w:sz w:val="18"/>
                <w:szCs w:val="18"/>
              </w:rPr>
              <w:t>数量(个)</w:t>
            </w:r>
          </w:p>
        </w:tc>
        <w:tc>
          <w:tcPr>
            <w:tcW w:w="1179" w:type="dxa"/>
            <w:gridSpan w:val="4"/>
            <w:vAlign w:val="center"/>
          </w:tcPr>
          <w:p w14:paraId="4B3A60EE">
            <w:pPr>
              <w:jc w:val="center"/>
              <w:rPr>
                <w:sz w:val="18"/>
                <w:szCs w:val="18"/>
              </w:rPr>
            </w:pPr>
            <w:r>
              <w:rPr>
                <w:sz w:val="18"/>
                <w:szCs w:val="18"/>
              </w:rPr>
              <w:t>面积(m</w:t>
            </w:r>
            <w:r>
              <w:rPr>
                <w:sz w:val="18"/>
                <w:szCs w:val="18"/>
                <w:vertAlign w:val="superscript"/>
              </w:rPr>
              <w:t>2</w:t>
            </w:r>
            <w:r>
              <w:rPr>
                <w:sz w:val="18"/>
                <w:szCs w:val="18"/>
              </w:rPr>
              <w:t>)</w:t>
            </w:r>
          </w:p>
        </w:tc>
        <w:tc>
          <w:tcPr>
            <w:tcW w:w="1101" w:type="dxa"/>
            <w:gridSpan w:val="5"/>
            <w:vAlign w:val="center"/>
          </w:tcPr>
          <w:p w14:paraId="57EF7649">
            <w:pPr>
              <w:jc w:val="center"/>
              <w:rPr>
                <w:sz w:val="18"/>
                <w:szCs w:val="18"/>
              </w:rPr>
            </w:pPr>
            <w:r>
              <w:rPr>
                <w:sz w:val="18"/>
                <w:szCs w:val="18"/>
              </w:rPr>
              <w:t>数量(个)</w:t>
            </w:r>
          </w:p>
        </w:tc>
        <w:tc>
          <w:tcPr>
            <w:tcW w:w="1686" w:type="dxa"/>
            <w:gridSpan w:val="6"/>
            <w:vAlign w:val="center"/>
          </w:tcPr>
          <w:p w14:paraId="40D83B75">
            <w:pPr>
              <w:jc w:val="center"/>
              <w:rPr>
                <w:sz w:val="18"/>
                <w:szCs w:val="18"/>
              </w:rPr>
            </w:pPr>
            <w:r>
              <w:rPr>
                <w:sz w:val="18"/>
                <w:szCs w:val="18"/>
              </w:rPr>
              <w:t>面积(m</w:t>
            </w:r>
            <w:r>
              <w:rPr>
                <w:sz w:val="18"/>
                <w:szCs w:val="18"/>
                <w:vertAlign w:val="superscript"/>
              </w:rPr>
              <w:t>2</w:t>
            </w:r>
            <w:r>
              <w:rPr>
                <w:sz w:val="18"/>
                <w:szCs w:val="18"/>
              </w:rPr>
              <w:t>)</w:t>
            </w:r>
          </w:p>
        </w:tc>
        <w:tc>
          <w:tcPr>
            <w:tcW w:w="968" w:type="dxa"/>
            <w:gridSpan w:val="5"/>
            <w:vAlign w:val="center"/>
          </w:tcPr>
          <w:p w14:paraId="6C14726D">
            <w:pPr>
              <w:jc w:val="center"/>
              <w:rPr>
                <w:sz w:val="18"/>
                <w:szCs w:val="18"/>
              </w:rPr>
            </w:pPr>
            <w:r>
              <w:rPr>
                <w:sz w:val="18"/>
                <w:szCs w:val="18"/>
              </w:rPr>
              <w:t>数量/个</w:t>
            </w:r>
          </w:p>
        </w:tc>
        <w:tc>
          <w:tcPr>
            <w:tcW w:w="1586" w:type="dxa"/>
            <w:gridSpan w:val="8"/>
            <w:vAlign w:val="center"/>
          </w:tcPr>
          <w:p w14:paraId="375F2FEF">
            <w:pPr>
              <w:jc w:val="center"/>
              <w:rPr>
                <w:sz w:val="18"/>
                <w:szCs w:val="18"/>
              </w:rPr>
            </w:pPr>
            <w:r>
              <w:rPr>
                <w:sz w:val="18"/>
                <w:szCs w:val="18"/>
              </w:rPr>
              <w:t>面积(m</w:t>
            </w:r>
            <w:r>
              <w:rPr>
                <w:sz w:val="18"/>
                <w:szCs w:val="18"/>
                <w:vertAlign w:val="superscript"/>
              </w:rPr>
              <w:t>2</w:t>
            </w:r>
            <w:r>
              <w:rPr>
                <w:sz w:val="18"/>
                <w:szCs w:val="18"/>
              </w:rPr>
              <w:t>)</w:t>
            </w:r>
          </w:p>
        </w:tc>
        <w:tc>
          <w:tcPr>
            <w:tcW w:w="822" w:type="dxa"/>
            <w:gridSpan w:val="4"/>
            <w:vAlign w:val="center"/>
          </w:tcPr>
          <w:p w14:paraId="6839560A">
            <w:pPr>
              <w:jc w:val="center"/>
              <w:rPr>
                <w:sz w:val="18"/>
                <w:szCs w:val="18"/>
              </w:rPr>
            </w:pPr>
            <w:r>
              <w:rPr>
                <w:sz w:val="18"/>
                <w:szCs w:val="18"/>
              </w:rPr>
              <w:t>面积(m</w:t>
            </w:r>
            <w:r>
              <w:rPr>
                <w:sz w:val="18"/>
                <w:szCs w:val="18"/>
                <w:vertAlign w:val="superscript"/>
              </w:rPr>
              <w:t>2</w:t>
            </w:r>
            <w:r>
              <w:rPr>
                <w:sz w:val="18"/>
                <w:szCs w:val="18"/>
              </w:rPr>
              <w:t>)</w:t>
            </w:r>
          </w:p>
        </w:tc>
        <w:tc>
          <w:tcPr>
            <w:tcW w:w="1197" w:type="dxa"/>
            <w:gridSpan w:val="2"/>
            <w:vMerge w:val="continue"/>
            <w:vAlign w:val="center"/>
          </w:tcPr>
          <w:p w14:paraId="4E1B9A00">
            <w:pPr>
              <w:jc w:val="center"/>
              <w:rPr>
                <w:sz w:val="18"/>
                <w:szCs w:val="18"/>
              </w:rPr>
            </w:pPr>
          </w:p>
        </w:tc>
      </w:tr>
      <w:tr w14:paraId="33C80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7D9A71B1">
            <w:pPr>
              <w:jc w:val="center"/>
              <w:rPr>
                <w:sz w:val="18"/>
                <w:szCs w:val="18"/>
              </w:rPr>
            </w:pPr>
          </w:p>
        </w:tc>
        <w:tc>
          <w:tcPr>
            <w:tcW w:w="1284" w:type="dxa"/>
            <w:gridSpan w:val="4"/>
            <w:vAlign w:val="center"/>
          </w:tcPr>
          <w:p w14:paraId="1A989E0E">
            <w:pPr>
              <w:jc w:val="center"/>
              <w:rPr>
                <w:sz w:val="18"/>
                <w:szCs w:val="18"/>
              </w:rPr>
            </w:pPr>
            <w:r>
              <w:rPr>
                <w:sz w:val="18"/>
                <w:szCs w:val="18"/>
              </w:rPr>
              <w:t>1</w:t>
            </w:r>
          </w:p>
        </w:tc>
        <w:tc>
          <w:tcPr>
            <w:tcW w:w="1137" w:type="dxa"/>
            <w:gridSpan w:val="5"/>
            <w:vAlign w:val="center"/>
          </w:tcPr>
          <w:p w14:paraId="413D8438">
            <w:pPr>
              <w:jc w:val="center"/>
              <w:rPr>
                <w:sz w:val="18"/>
                <w:szCs w:val="18"/>
              </w:rPr>
            </w:pPr>
            <w:r>
              <w:rPr>
                <w:sz w:val="18"/>
                <w:szCs w:val="18"/>
              </w:rPr>
              <w:t>18545</w:t>
            </w:r>
          </w:p>
        </w:tc>
        <w:tc>
          <w:tcPr>
            <w:tcW w:w="1701" w:type="dxa"/>
            <w:gridSpan w:val="5"/>
            <w:vAlign w:val="center"/>
          </w:tcPr>
          <w:p w14:paraId="438DD746">
            <w:pPr>
              <w:jc w:val="center"/>
              <w:rPr>
                <w:sz w:val="18"/>
                <w:szCs w:val="18"/>
              </w:rPr>
            </w:pPr>
            <w:r>
              <w:rPr>
                <w:sz w:val="18"/>
                <w:szCs w:val="18"/>
              </w:rPr>
              <w:t>1</w:t>
            </w:r>
          </w:p>
        </w:tc>
        <w:tc>
          <w:tcPr>
            <w:tcW w:w="1179" w:type="dxa"/>
            <w:gridSpan w:val="4"/>
            <w:vAlign w:val="center"/>
          </w:tcPr>
          <w:p w14:paraId="587F09D6">
            <w:pPr>
              <w:jc w:val="center"/>
              <w:rPr>
                <w:sz w:val="18"/>
                <w:szCs w:val="18"/>
              </w:rPr>
            </w:pPr>
            <w:r>
              <w:rPr>
                <w:sz w:val="18"/>
                <w:szCs w:val="18"/>
              </w:rPr>
              <w:t>5603</w:t>
            </w:r>
          </w:p>
        </w:tc>
        <w:tc>
          <w:tcPr>
            <w:tcW w:w="1101" w:type="dxa"/>
            <w:gridSpan w:val="5"/>
            <w:vAlign w:val="center"/>
          </w:tcPr>
          <w:p w14:paraId="4CAD6E93">
            <w:pPr>
              <w:jc w:val="center"/>
              <w:rPr>
                <w:sz w:val="18"/>
                <w:szCs w:val="18"/>
              </w:rPr>
            </w:pPr>
          </w:p>
        </w:tc>
        <w:tc>
          <w:tcPr>
            <w:tcW w:w="1686" w:type="dxa"/>
            <w:gridSpan w:val="6"/>
            <w:vAlign w:val="center"/>
          </w:tcPr>
          <w:p w14:paraId="2466A6FD">
            <w:pPr>
              <w:jc w:val="center"/>
              <w:rPr>
                <w:sz w:val="18"/>
                <w:szCs w:val="18"/>
              </w:rPr>
            </w:pPr>
          </w:p>
        </w:tc>
        <w:tc>
          <w:tcPr>
            <w:tcW w:w="968" w:type="dxa"/>
            <w:gridSpan w:val="5"/>
            <w:vAlign w:val="center"/>
          </w:tcPr>
          <w:p w14:paraId="3B75B7B9">
            <w:pPr>
              <w:jc w:val="center"/>
              <w:rPr>
                <w:sz w:val="18"/>
                <w:szCs w:val="18"/>
              </w:rPr>
            </w:pPr>
          </w:p>
        </w:tc>
        <w:tc>
          <w:tcPr>
            <w:tcW w:w="1586" w:type="dxa"/>
            <w:gridSpan w:val="8"/>
            <w:vAlign w:val="center"/>
          </w:tcPr>
          <w:p w14:paraId="440BBE07">
            <w:pPr>
              <w:jc w:val="center"/>
              <w:rPr>
                <w:sz w:val="18"/>
                <w:szCs w:val="18"/>
              </w:rPr>
            </w:pPr>
          </w:p>
        </w:tc>
        <w:tc>
          <w:tcPr>
            <w:tcW w:w="822" w:type="dxa"/>
            <w:gridSpan w:val="4"/>
            <w:vAlign w:val="center"/>
          </w:tcPr>
          <w:p w14:paraId="506C4120">
            <w:pPr>
              <w:jc w:val="center"/>
              <w:rPr>
                <w:sz w:val="18"/>
                <w:szCs w:val="18"/>
              </w:rPr>
            </w:pPr>
            <w:r>
              <w:rPr>
                <w:sz w:val="18"/>
                <w:szCs w:val="18"/>
              </w:rPr>
              <w:t>24148</w:t>
            </w:r>
          </w:p>
        </w:tc>
        <w:tc>
          <w:tcPr>
            <w:tcW w:w="1197" w:type="dxa"/>
            <w:gridSpan w:val="2"/>
            <w:vAlign w:val="center"/>
          </w:tcPr>
          <w:p w14:paraId="0685D752">
            <w:pPr>
              <w:jc w:val="center"/>
              <w:rPr>
                <w:sz w:val="18"/>
                <w:szCs w:val="18"/>
              </w:rPr>
            </w:pPr>
            <w:r>
              <w:rPr>
                <w:sz w:val="18"/>
                <w:szCs w:val="18"/>
              </w:rPr>
              <w:t>0</w:t>
            </w:r>
          </w:p>
        </w:tc>
      </w:tr>
      <w:tr w14:paraId="3B406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47353FFE">
            <w:pPr>
              <w:jc w:val="center"/>
              <w:rPr>
                <w:sz w:val="18"/>
                <w:szCs w:val="18"/>
              </w:rPr>
            </w:pPr>
          </w:p>
        </w:tc>
        <w:tc>
          <w:tcPr>
            <w:tcW w:w="2421" w:type="dxa"/>
            <w:gridSpan w:val="9"/>
            <w:vAlign w:val="center"/>
          </w:tcPr>
          <w:p w14:paraId="1A0E8301">
            <w:pPr>
              <w:jc w:val="center"/>
              <w:rPr>
                <w:sz w:val="18"/>
                <w:szCs w:val="18"/>
              </w:rPr>
            </w:pPr>
            <w:r>
              <w:rPr>
                <w:sz w:val="18"/>
                <w:szCs w:val="18"/>
              </w:rPr>
              <w:t>破坏土地情况(m</w:t>
            </w:r>
            <w:r>
              <w:rPr>
                <w:sz w:val="18"/>
                <w:szCs w:val="18"/>
                <w:vertAlign w:val="superscript"/>
              </w:rPr>
              <w:t>2</w:t>
            </w:r>
            <w:r>
              <w:rPr>
                <w:sz w:val="18"/>
                <w:szCs w:val="18"/>
              </w:rPr>
              <w:t>)</w:t>
            </w:r>
          </w:p>
        </w:tc>
        <w:tc>
          <w:tcPr>
            <w:tcW w:w="2880" w:type="dxa"/>
            <w:gridSpan w:val="9"/>
            <w:vAlign w:val="center"/>
          </w:tcPr>
          <w:p w14:paraId="073A766D">
            <w:pPr>
              <w:jc w:val="center"/>
              <w:rPr>
                <w:sz w:val="18"/>
                <w:szCs w:val="18"/>
              </w:rPr>
            </w:pPr>
            <w:r>
              <w:rPr>
                <w:sz w:val="18"/>
                <w:szCs w:val="18"/>
              </w:rPr>
              <w:t>破坏土地情况(m</w:t>
            </w:r>
            <w:r>
              <w:rPr>
                <w:sz w:val="18"/>
                <w:szCs w:val="18"/>
                <w:vertAlign w:val="superscript"/>
              </w:rPr>
              <w:t>2</w:t>
            </w:r>
            <w:r>
              <w:rPr>
                <w:sz w:val="18"/>
                <w:szCs w:val="18"/>
              </w:rPr>
              <w:t>)</w:t>
            </w:r>
          </w:p>
        </w:tc>
        <w:tc>
          <w:tcPr>
            <w:tcW w:w="2787" w:type="dxa"/>
            <w:gridSpan w:val="11"/>
            <w:vAlign w:val="center"/>
          </w:tcPr>
          <w:p w14:paraId="682CB7DC">
            <w:pPr>
              <w:jc w:val="center"/>
              <w:rPr>
                <w:sz w:val="18"/>
                <w:szCs w:val="18"/>
              </w:rPr>
            </w:pPr>
            <w:r>
              <w:rPr>
                <w:sz w:val="18"/>
                <w:szCs w:val="18"/>
              </w:rPr>
              <w:t>破坏土地情况(m</w:t>
            </w:r>
            <w:r>
              <w:rPr>
                <w:sz w:val="18"/>
                <w:szCs w:val="18"/>
                <w:vertAlign w:val="superscript"/>
              </w:rPr>
              <w:t>2</w:t>
            </w:r>
            <w:r>
              <w:rPr>
                <w:sz w:val="18"/>
                <w:szCs w:val="18"/>
              </w:rPr>
              <w:t>)</w:t>
            </w:r>
          </w:p>
        </w:tc>
        <w:tc>
          <w:tcPr>
            <w:tcW w:w="2554" w:type="dxa"/>
            <w:gridSpan w:val="13"/>
            <w:vAlign w:val="center"/>
          </w:tcPr>
          <w:p w14:paraId="420392F1">
            <w:pPr>
              <w:jc w:val="center"/>
              <w:rPr>
                <w:sz w:val="18"/>
                <w:szCs w:val="18"/>
              </w:rPr>
            </w:pPr>
            <w:r>
              <w:rPr>
                <w:sz w:val="18"/>
                <w:szCs w:val="18"/>
              </w:rPr>
              <w:t>破坏土地情况(m</w:t>
            </w:r>
            <w:r>
              <w:rPr>
                <w:sz w:val="18"/>
                <w:szCs w:val="18"/>
                <w:vertAlign w:val="superscript"/>
              </w:rPr>
              <w:t>2</w:t>
            </w:r>
            <w:r>
              <w:rPr>
                <w:sz w:val="18"/>
                <w:szCs w:val="18"/>
              </w:rPr>
              <w:t>)</w:t>
            </w:r>
          </w:p>
        </w:tc>
        <w:tc>
          <w:tcPr>
            <w:tcW w:w="822" w:type="dxa"/>
            <w:gridSpan w:val="4"/>
            <w:vAlign w:val="center"/>
          </w:tcPr>
          <w:p w14:paraId="5E58E173">
            <w:pPr>
              <w:jc w:val="center"/>
              <w:rPr>
                <w:sz w:val="18"/>
                <w:szCs w:val="18"/>
              </w:rPr>
            </w:pPr>
          </w:p>
        </w:tc>
        <w:tc>
          <w:tcPr>
            <w:tcW w:w="1197" w:type="dxa"/>
            <w:gridSpan w:val="2"/>
            <w:vAlign w:val="center"/>
          </w:tcPr>
          <w:p w14:paraId="1E274DFC">
            <w:pPr>
              <w:jc w:val="center"/>
              <w:rPr>
                <w:sz w:val="18"/>
                <w:szCs w:val="18"/>
              </w:rPr>
            </w:pPr>
          </w:p>
        </w:tc>
      </w:tr>
      <w:tr w14:paraId="1D02F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3AAFB48F">
            <w:pPr>
              <w:jc w:val="center"/>
              <w:rPr>
                <w:sz w:val="18"/>
                <w:szCs w:val="18"/>
              </w:rPr>
            </w:pPr>
          </w:p>
        </w:tc>
        <w:tc>
          <w:tcPr>
            <w:tcW w:w="578" w:type="dxa"/>
            <w:vMerge w:val="restart"/>
            <w:vAlign w:val="center"/>
          </w:tcPr>
          <w:p w14:paraId="43F0566C">
            <w:pPr>
              <w:jc w:val="center"/>
              <w:rPr>
                <w:sz w:val="18"/>
                <w:szCs w:val="18"/>
              </w:rPr>
            </w:pPr>
            <w:r>
              <w:rPr>
                <w:sz w:val="18"/>
                <w:szCs w:val="18"/>
              </w:rPr>
              <w:t>耕</w:t>
            </w:r>
          </w:p>
          <w:p w14:paraId="7B6EC117">
            <w:pPr>
              <w:jc w:val="center"/>
              <w:rPr>
                <w:sz w:val="18"/>
                <w:szCs w:val="18"/>
              </w:rPr>
            </w:pPr>
            <w:r>
              <w:rPr>
                <w:sz w:val="18"/>
                <w:szCs w:val="18"/>
              </w:rPr>
              <w:t>地</w:t>
            </w:r>
          </w:p>
        </w:tc>
        <w:tc>
          <w:tcPr>
            <w:tcW w:w="992" w:type="dxa"/>
            <w:gridSpan w:val="5"/>
            <w:vAlign w:val="center"/>
          </w:tcPr>
          <w:p w14:paraId="67E35A34">
            <w:pPr>
              <w:jc w:val="center"/>
              <w:rPr>
                <w:sz w:val="18"/>
                <w:szCs w:val="18"/>
              </w:rPr>
            </w:pPr>
            <w:r>
              <w:rPr>
                <w:sz w:val="18"/>
                <w:szCs w:val="18"/>
              </w:rPr>
              <w:t>基本农田</w:t>
            </w:r>
          </w:p>
        </w:tc>
        <w:tc>
          <w:tcPr>
            <w:tcW w:w="851" w:type="dxa"/>
            <w:gridSpan w:val="3"/>
            <w:vAlign w:val="center"/>
          </w:tcPr>
          <w:p w14:paraId="63A47504">
            <w:pPr>
              <w:jc w:val="center"/>
              <w:rPr>
                <w:sz w:val="18"/>
                <w:szCs w:val="18"/>
              </w:rPr>
            </w:pPr>
            <w:r>
              <w:rPr>
                <w:sz w:val="18"/>
                <w:szCs w:val="18"/>
              </w:rPr>
              <w:t>0</w:t>
            </w:r>
          </w:p>
        </w:tc>
        <w:tc>
          <w:tcPr>
            <w:tcW w:w="926" w:type="dxa"/>
            <w:gridSpan w:val="3"/>
            <w:vMerge w:val="restart"/>
            <w:vAlign w:val="center"/>
          </w:tcPr>
          <w:p w14:paraId="1E4B135B">
            <w:pPr>
              <w:jc w:val="center"/>
              <w:rPr>
                <w:sz w:val="18"/>
                <w:szCs w:val="18"/>
              </w:rPr>
            </w:pPr>
            <w:r>
              <w:rPr>
                <w:sz w:val="18"/>
                <w:szCs w:val="18"/>
              </w:rPr>
              <w:t>耕</w:t>
            </w:r>
          </w:p>
          <w:p w14:paraId="3BAE30A5">
            <w:pPr>
              <w:jc w:val="center"/>
              <w:rPr>
                <w:sz w:val="18"/>
                <w:szCs w:val="18"/>
              </w:rPr>
            </w:pPr>
            <w:r>
              <w:rPr>
                <w:sz w:val="18"/>
                <w:szCs w:val="18"/>
              </w:rPr>
              <w:t>地</w:t>
            </w:r>
          </w:p>
        </w:tc>
        <w:tc>
          <w:tcPr>
            <w:tcW w:w="1058" w:type="dxa"/>
            <w:gridSpan w:val="3"/>
            <w:vAlign w:val="center"/>
          </w:tcPr>
          <w:p w14:paraId="15D8684A">
            <w:pPr>
              <w:jc w:val="center"/>
              <w:rPr>
                <w:sz w:val="18"/>
                <w:szCs w:val="18"/>
              </w:rPr>
            </w:pPr>
            <w:r>
              <w:rPr>
                <w:sz w:val="18"/>
                <w:szCs w:val="18"/>
              </w:rPr>
              <w:t>基本农田</w:t>
            </w:r>
          </w:p>
        </w:tc>
        <w:tc>
          <w:tcPr>
            <w:tcW w:w="896" w:type="dxa"/>
            <w:gridSpan w:val="3"/>
            <w:vAlign w:val="center"/>
          </w:tcPr>
          <w:p w14:paraId="1D0AFC7D">
            <w:pPr>
              <w:jc w:val="center"/>
              <w:rPr>
                <w:sz w:val="18"/>
                <w:szCs w:val="18"/>
              </w:rPr>
            </w:pPr>
            <w:r>
              <w:rPr>
                <w:sz w:val="18"/>
                <w:szCs w:val="18"/>
              </w:rPr>
              <w:t>0</w:t>
            </w:r>
          </w:p>
        </w:tc>
        <w:tc>
          <w:tcPr>
            <w:tcW w:w="613" w:type="dxa"/>
            <w:gridSpan w:val="4"/>
            <w:vMerge w:val="restart"/>
            <w:vAlign w:val="center"/>
          </w:tcPr>
          <w:p w14:paraId="05081959">
            <w:pPr>
              <w:jc w:val="center"/>
              <w:rPr>
                <w:sz w:val="18"/>
                <w:szCs w:val="18"/>
              </w:rPr>
            </w:pPr>
            <w:r>
              <w:rPr>
                <w:sz w:val="18"/>
                <w:szCs w:val="18"/>
              </w:rPr>
              <w:t>耕</w:t>
            </w:r>
          </w:p>
          <w:p w14:paraId="185DEC8A">
            <w:pPr>
              <w:jc w:val="center"/>
              <w:rPr>
                <w:sz w:val="18"/>
                <w:szCs w:val="18"/>
              </w:rPr>
            </w:pPr>
            <w:r>
              <w:rPr>
                <w:sz w:val="18"/>
                <w:szCs w:val="18"/>
              </w:rPr>
              <w:t>地</w:t>
            </w:r>
          </w:p>
        </w:tc>
        <w:tc>
          <w:tcPr>
            <w:tcW w:w="1256" w:type="dxa"/>
            <w:gridSpan w:val="3"/>
            <w:vAlign w:val="center"/>
          </w:tcPr>
          <w:p w14:paraId="78ADF70C">
            <w:pPr>
              <w:jc w:val="center"/>
              <w:rPr>
                <w:sz w:val="18"/>
                <w:szCs w:val="18"/>
              </w:rPr>
            </w:pPr>
            <w:r>
              <w:rPr>
                <w:sz w:val="18"/>
                <w:szCs w:val="18"/>
              </w:rPr>
              <w:t>基本农田</w:t>
            </w:r>
          </w:p>
        </w:tc>
        <w:tc>
          <w:tcPr>
            <w:tcW w:w="918" w:type="dxa"/>
            <w:gridSpan w:val="4"/>
            <w:vAlign w:val="center"/>
          </w:tcPr>
          <w:p w14:paraId="19FF494D">
            <w:pPr>
              <w:jc w:val="center"/>
              <w:rPr>
                <w:sz w:val="18"/>
                <w:szCs w:val="18"/>
              </w:rPr>
            </w:pPr>
          </w:p>
        </w:tc>
        <w:tc>
          <w:tcPr>
            <w:tcW w:w="520" w:type="dxa"/>
            <w:gridSpan w:val="3"/>
            <w:vMerge w:val="restart"/>
            <w:vAlign w:val="center"/>
          </w:tcPr>
          <w:p w14:paraId="31171E7F">
            <w:pPr>
              <w:jc w:val="center"/>
              <w:rPr>
                <w:sz w:val="18"/>
                <w:szCs w:val="18"/>
              </w:rPr>
            </w:pPr>
            <w:r>
              <w:rPr>
                <w:sz w:val="18"/>
                <w:szCs w:val="18"/>
              </w:rPr>
              <w:t>耕</w:t>
            </w:r>
          </w:p>
          <w:p w14:paraId="66CE6CBF">
            <w:pPr>
              <w:jc w:val="center"/>
              <w:rPr>
                <w:sz w:val="18"/>
                <w:szCs w:val="18"/>
              </w:rPr>
            </w:pPr>
            <w:r>
              <w:rPr>
                <w:sz w:val="18"/>
                <w:szCs w:val="18"/>
              </w:rPr>
              <w:t>地</w:t>
            </w:r>
          </w:p>
        </w:tc>
        <w:tc>
          <w:tcPr>
            <w:tcW w:w="1189" w:type="dxa"/>
            <w:gridSpan w:val="5"/>
            <w:vAlign w:val="center"/>
          </w:tcPr>
          <w:p w14:paraId="2D30D70A">
            <w:pPr>
              <w:jc w:val="center"/>
              <w:rPr>
                <w:sz w:val="18"/>
                <w:szCs w:val="18"/>
              </w:rPr>
            </w:pPr>
            <w:r>
              <w:rPr>
                <w:sz w:val="18"/>
                <w:szCs w:val="18"/>
              </w:rPr>
              <w:t>基本农田</w:t>
            </w:r>
          </w:p>
        </w:tc>
        <w:tc>
          <w:tcPr>
            <w:tcW w:w="845" w:type="dxa"/>
            <w:gridSpan w:val="5"/>
            <w:vAlign w:val="center"/>
          </w:tcPr>
          <w:p w14:paraId="504DC0E5">
            <w:pPr>
              <w:jc w:val="center"/>
              <w:rPr>
                <w:sz w:val="18"/>
                <w:szCs w:val="18"/>
              </w:rPr>
            </w:pPr>
          </w:p>
        </w:tc>
        <w:tc>
          <w:tcPr>
            <w:tcW w:w="822" w:type="dxa"/>
            <w:gridSpan w:val="4"/>
            <w:vAlign w:val="center"/>
          </w:tcPr>
          <w:p w14:paraId="7B60FB12">
            <w:pPr>
              <w:jc w:val="center"/>
              <w:rPr>
                <w:sz w:val="18"/>
                <w:szCs w:val="18"/>
              </w:rPr>
            </w:pPr>
          </w:p>
        </w:tc>
        <w:tc>
          <w:tcPr>
            <w:tcW w:w="1197" w:type="dxa"/>
            <w:gridSpan w:val="2"/>
            <w:vAlign w:val="center"/>
          </w:tcPr>
          <w:p w14:paraId="2C09146D">
            <w:pPr>
              <w:jc w:val="center"/>
              <w:rPr>
                <w:sz w:val="18"/>
                <w:szCs w:val="18"/>
              </w:rPr>
            </w:pPr>
            <w:r>
              <w:rPr>
                <w:sz w:val="18"/>
                <w:szCs w:val="18"/>
              </w:rPr>
              <w:t>0</w:t>
            </w:r>
          </w:p>
        </w:tc>
      </w:tr>
      <w:tr w14:paraId="680BA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43A264A0">
            <w:pPr>
              <w:jc w:val="center"/>
              <w:rPr>
                <w:sz w:val="18"/>
                <w:szCs w:val="18"/>
              </w:rPr>
            </w:pPr>
          </w:p>
        </w:tc>
        <w:tc>
          <w:tcPr>
            <w:tcW w:w="578" w:type="dxa"/>
            <w:vMerge w:val="continue"/>
            <w:vAlign w:val="center"/>
          </w:tcPr>
          <w:p w14:paraId="3DD91D2A">
            <w:pPr>
              <w:jc w:val="center"/>
              <w:rPr>
                <w:sz w:val="18"/>
                <w:szCs w:val="18"/>
              </w:rPr>
            </w:pPr>
          </w:p>
        </w:tc>
        <w:tc>
          <w:tcPr>
            <w:tcW w:w="992" w:type="dxa"/>
            <w:gridSpan w:val="5"/>
            <w:vAlign w:val="center"/>
          </w:tcPr>
          <w:p w14:paraId="7ED2F9E0">
            <w:pPr>
              <w:jc w:val="center"/>
              <w:rPr>
                <w:sz w:val="18"/>
                <w:szCs w:val="18"/>
              </w:rPr>
            </w:pPr>
            <w:r>
              <w:rPr>
                <w:sz w:val="18"/>
                <w:szCs w:val="18"/>
              </w:rPr>
              <w:t>其它耕地</w:t>
            </w:r>
          </w:p>
        </w:tc>
        <w:tc>
          <w:tcPr>
            <w:tcW w:w="851" w:type="dxa"/>
            <w:gridSpan w:val="3"/>
            <w:vAlign w:val="center"/>
          </w:tcPr>
          <w:p w14:paraId="116827E7">
            <w:pPr>
              <w:jc w:val="center"/>
              <w:rPr>
                <w:sz w:val="18"/>
                <w:szCs w:val="18"/>
              </w:rPr>
            </w:pPr>
            <w:r>
              <w:rPr>
                <w:sz w:val="18"/>
                <w:szCs w:val="18"/>
              </w:rPr>
              <w:t>5604</w:t>
            </w:r>
          </w:p>
        </w:tc>
        <w:tc>
          <w:tcPr>
            <w:tcW w:w="926" w:type="dxa"/>
            <w:gridSpan w:val="3"/>
            <w:vMerge w:val="continue"/>
            <w:vAlign w:val="center"/>
          </w:tcPr>
          <w:p w14:paraId="23B0E51A">
            <w:pPr>
              <w:jc w:val="center"/>
              <w:rPr>
                <w:sz w:val="18"/>
                <w:szCs w:val="18"/>
              </w:rPr>
            </w:pPr>
          </w:p>
        </w:tc>
        <w:tc>
          <w:tcPr>
            <w:tcW w:w="1058" w:type="dxa"/>
            <w:gridSpan w:val="3"/>
            <w:vAlign w:val="center"/>
          </w:tcPr>
          <w:p w14:paraId="4EF6959D">
            <w:pPr>
              <w:jc w:val="center"/>
              <w:rPr>
                <w:sz w:val="18"/>
                <w:szCs w:val="18"/>
              </w:rPr>
            </w:pPr>
            <w:r>
              <w:rPr>
                <w:sz w:val="18"/>
                <w:szCs w:val="18"/>
              </w:rPr>
              <w:t>其它耕地</w:t>
            </w:r>
          </w:p>
        </w:tc>
        <w:tc>
          <w:tcPr>
            <w:tcW w:w="896" w:type="dxa"/>
            <w:gridSpan w:val="3"/>
            <w:vAlign w:val="center"/>
          </w:tcPr>
          <w:p w14:paraId="75CCDE0C">
            <w:pPr>
              <w:jc w:val="center"/>
              <w:rPr>
                <w:sz w:val="18"/>
                <w:szCs w:val="18"/>
              </w:rPr>
            </w:pPr>
            <w:r>
              <w:rPr>
                <w:sz w:val="18"/>
                <w:szCs w:val="18"/>
              </w:rPr>
              <w:t>2989</w:t>
            </w:r>
          </w:p>
        </w:tc>
        <w:tc>
          <w:tcPr>
            <w:tcW w:w="613" w:type="dxa"/>
            <w:gridSpan w:val="4"/>
            <w:vMerge w:val="continue"/>
            <w:vAlign w:val="center"/>
          </w:tcPr>
          <w:p w14:paraId="3BE8F112">
            <w:pPr>
              <w:jc w:val="center"/>
              <w:rPr>
                <w:sz w:val="18"/>
                <w:szCs w:val="18"/>
              </w:rPr>
            </w:pPr>
          </w:p>
        </w:tc>
        <w:tc>
          <w:tcPr>
            <w:tcW w:w="1256" w:type="dxa"/>
            <w:gridSpan w:val="3"/>
            <w:vAlign w:val="center"/>
          </w:tcPr>
          <w:p w14:paraId="14EBDCDE">
            <w:pPr>
              <w:jc w:val="center"/>
              <w:rPr>
                <w:sz w:val="18"/>
                <w:szCs w:val="18"/>
              </w:rPr>
            </w:pPr>
            <w:r>
              <w:rPr>
                <w:sz w:val="18"/>
                <w:szCs w:val="18"/>
              </w:rPr>
              <w:t>其它耕地</w:t>
            </w:r>
          </w:p>
        </w:tc>
        <w:tc>
          <w:tcPr>
            <w:tcW w:w="918" w:type="dxa"/>
            <w:gridSpan w:val="4"/>
            <w:vAlign w:val="center"/>
          </w:tcPr>
          <w:p w14:paraId="46E197B9">
            <w:pPr>
              <w:jc w:val="center"/>
              <w:rPr>
                <w:sz w:val="18"/>
                <w:szCs w:val="18"/>
              </w:rPr>
            </w:pPr>
          </w:p>
        </w:tc>
        <w:tc>
          <w:tcPr>
            <w:tcW w:w="520" w:type="dxa"/>
            <w:gridSpan w:val="3"/>
            <w:vMerge w:val="continue"/>
            <w:vAlign w:val="center"/>
          </w:tcPr>
          <w:p w14:paraId="278131F0">
            <w:pPr>
              <w:jc w:val="center"/>
              <w:rPr>
                <w:sz w:val="18"/>
                <w:szCs w:val="18"/>
              </w:rPr>
            </w:pPr>
          </w:p>
        </w:tc>
        <w:tc>
          <w:tcPr>
            <w:tcW w:w="1189" w:type="dxa"/>
            <w:gridSpan w:val="5"/>
            <w:vAlign w:val="center"/>
          </w:tcPr>
          <w:p w14:paraId="28746F66">
            <w:pPr>
              <w:jc w:val="center"/>
              <w:rPr>
                <w:sz w:val="18"/>
                <w:szCs w:val="18"/>
              </w:rPr>
            </w:pPr>
            <w:r>
              <w:rPr>
                <w:sz w:val="18"/>
                <w:szCs w:val="18"/>
              </w:rPr>
              <w:t>其它耕地</w:t>
            </w:r>
          </w:p>
        </w:tc>
        <w:tc>
          <w:tcPr>
            <w:tcW w:w="845" w:type="dxa"/>
            <w:gridSpan w:val="5"/>
            <w:vAlign w:val="center"/>
          </w:tcPr>
          <w:p w14:paraId="22CB4364">
            <w:pPr>
              <w:jc w:val="center"/>
              <w:rPr>
                <w:sz w:val="18"/>
                <w:szCs w:val="18"/>
              </w:rPr>
            </w:pPr>
          </w:p>
        </w:tc>
        <w:tc>
          <w:tcPr>
            <w:tcW w:w="822" w:type="dxa"/>
            <w:gridSpan w:val="4"/>
            <w:vAlign w:val="center"/>
          </w:tcPr>
          <w:p w14:paraId="56EE388F">
            <w:pPr>
              <w:jc w:val="center"/>
              <w:rPr>
                <w:sz w:val="18"/>
                <w:szCs w:val="18"/>
              </w:rPr>
            </w:pPr>
            <w:r>
              <w:rPr>
                <w:sz w:val="18"/>
                <w:szCs w:val="18"/>
              </w:rPr>
              <w:t>8593</w:t>
            </w:r>
          </w:p>
        </w:tc>
        <w:tc>
          <w:tcPr>
            <w:tcW w:w="1197" w:type="dxa"/>
            <w:gridSpan w:val="2"/>
            <w:vAlign w:val="center"/>
          </w:tcPr>
          <w:p w14:paraId="611497FC">
            <w:pPr>
              <w:jc w:val="center"/>
              <w:rPr>
                <w:sz w:val="18"/>
                <w:szCs w:val="18"/>
              </w:rPr>
            </w:pPr>
            <w:r>
              <w:rPr>
                <w:sz w:val="18"/>
                <w:szCs w:val="18"/>
              </w:rPr>
              <w:t>0</w:t>
            </w:r>
          </w:p>
        </w:tc>
      </w:tr>
      <w:tr w14:paraId="3FFB0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7A660A94">
            <w:pPr>
              <w:jc w:val="center"/>
              <w:rPr>
                <w:sz w:val="18"/>
                <w:szCs w:val="18"/>
              </w:rPr>
            </w:pPr>
          </w:p>
        </w:tc>
        <w:tc>
          <w:tcPr>
            <w:tcW w:w="578" w:type="dxa"/>
            <w:vMerge w:val="continue"/>
            <w:vAlign w:val="center"/>
          </w:tcPr>
          <w:p w14:paraId="5F3A4FA2">
            <w:pPr>
              <w:jc w:val="center"/>
              <w:rPr>
                <w:sz w:val="18"/>
                <w:szCs w:val="18"/>
              </w:rPr>
            </w:pPr>
          </w:p>
        </w:tc>
        <w:tc>
          <w:tcPr>
            <w:tcW w:w="992" w:type="dxa"/>
            <w:gridSpan w:val="5"/>
            <w:vAlign w:val="center"/>
          </w:tcPr>
          <w:p w14:paraId="2BD42BEF">
            <w:pPr>
              <w:jc w:val="center"/>
              <w:rPr>
                <w:sz w:val="18"/>
                <w:szCs w:val="18"/>
              </w:rPr>
            </w:pPr>
            <w:r>
              <w:rPr>
                <w:sz w:val="18"/>
                <w:szCs w:val="18"/>
              </w:rPr>
              <w:t>小计</w:t>
            </w:r>
          </w:p>
        </w:tc>
        <w:tc>
          <w:tcPr>
            <w:tcW w:w="851" w:type="dxa"/>
            <w:gridSpan w:val="3"/>
            <w:vAlign w:val="center"/>
          </w:tcPr>
          <w:p w14:paraId="322AF049">
            <w:pPr>
              <w:jc w:val="center"/>
              <w:rPr>
                <w:sz w:val="18"/>
                <w:szCs w:val="18"/>
              </w:rPr>
            </w:pPr>
            <w:r>
              <w:rPr>
                <w:sz w:val="18"/>
                <w:szCs w:val="18"/>
              </w:rPr>
              <w:t>5604</w:t>
            </w:r>
          </w:p>
        </w:tc>
        <w:tc>
          <w:tcPr>
            <w:tcW w:w="926" w:type="dxa"/>
            <w:gridSpan w:val="3"/>
            <w:vMerge w:val="continue"/>
            <w:vAlign w:val="center"/>
          </w:tcPr>
          <w:p w14:paraId="2F48DD72">
            <w:pPr>
              <w:jc w:val="center"/>
              <w:rPr>
                <w:sz w:val="18"/>
                <w:szCs w:val="18"/>
              </w:rPr>
            </w:pPr>
          </w:p>
        </w:tc>
        <w:tc>
          <w:tcPr>
            <w:tcW w:w="1058" w:type="dxa"/>
            <w:gridSpan w:val="3"/>
            <w:vAlign w:val="center"/>
          </w:tcPr>
          <w:p w14:paraId="0F13B31E">
            <w:pPr>
              <w:jc w:val="center"/>
              <w:rPr>
                <w:sz w:val="18"/>
                <w:szCs w:val="18"/>
              </w:rPr>
            </w:pPr>
            <w:r>
              <w:rPr>
                <w:sz w:val="18"/>
                <w:szCs w:val="18"/>
              </w:rPr>
              <w:t>小计</w:t>
            </w:r>
          </w:p>
        </w:tc>
        <w:tc>
          <w:tcPr>
            <w:tcW w:w="896" w:type="dxa"/>
            <w:gridSpan w:val="3"/>
            <w:vAlign w:val="center"/>
          </w:tcPr>
          <w:p w14:paraId="0704997D">
            <w:pPr>
              <w:jc w:val="center"/>
              <w:rPr>
                <w:sz w:val="18"/>
                <w:szCs w:val="18"/>
              </w:rPr>
            </w:pPr>
            <w:r>
              <w:rPr>
                <w:sz w:val="18"/>
                <w:szCs w:val="18"/>
              </w:rPr>
              <w:t>2989</w:t>
            </w:r>
          </w:p>
        </w:tc>
        <w:tc>
          <w:tcPr>
            <w:tcW w:w="613" w:type="dxa"/>
            <w:gridSpan w:val="4"/>
            <w:vMerge w:val="continue"/>
            <w:vAlign w:val="center"/>
          </w:tcPr>
          <w:p w14:paraId="07D99FC1">
            <w:pPr>
              <w:jc w:val="center"/>
              <w:rPr>
                <w:sz w:val="18"/>
                <w:szCs w:val="18"/>
              </w:rPr>
            </w:pPr>
          </w:p>
        </w:tc>
        <w:tc>
          <w:tcPr>
            <w:tcW w:w="1256" w:type="dxa"/>
            <w:gridSpan w:val="3"/>
            <w:vAlign w:val="center"/>
          </w:tcPr>
          <w:p w14:paraId="0C1B06F2">
            <w:pPr>
              <w:jc w:val="center"/>
              <w:rPr>
                <w:sz w:val="18"/>
                <w:szCs w:val="18"/>
              </w:rPr>
            </w:pPr>
            <w:r>
              <w:rPr>
                <w:sz w:val="18"/>
                <w:szCs w:val="18"/>
              </w:rPr>
              <w:t>小计</w:t>
            </w:r>
          </w:p>
        </w:tc>
        <w:tc>
          <w:tcPr>
            <w:tcW w:w="918" w:type="dxa"/>
            <w:gridSpan w:val="4"/>
            <w:vAlign w:val="center"/>
          </w:tcPr>
          <w:p w14:paraId="4F107E82">
            <w:pPr>
              <w:jc w:val="center"/>
              <w:rPr>
                <w:sz w:val="18"/>
                <w:szCs w:val="18"/>
              </w:rPr>
            </w:pPr>
          </w:p>
        </w:tc>
        <w:tc>
          <w:tcPr>
            <w:tcW w:w="520" w:type="dxa"/>
            <w:gridSpan w:val="3"/>
            <w:vMerge w:val="continue"/>
            <w:vAlign w:val="center"/>
          </w:tcPr>
          <w:p w14:paraId="7A78126D">
            <w:pPr>
              <w:jc w:val="center"/>
              <w:rPr>
                <w:sz w:val="18"/>
                <w:szCs w:val="18"/>
              </w:rPr>
            </w:pPr>
          </w:p>
        </w:tc>
        <w:tc>
          <w:tcPr>
            <w:tcW w:w="1189" w:type="dxa"/>
            <w:gridSpan w:val="5"/>
            <w:vAlign w:val="center"/>
          </w:tcPr>
          <w:p w14:paraId="50CECE3D">
            <w:pPr>
              <w:jc w:val="center"/>
              <w:rPr>
                <w:sz w:val="18"/>
                <w:szCs w:val="18"/>
              </w:rPr>
            </w:pPr>
            <w:r>
              <w:rPr>
                <w:sz w:val="18"/>
                <w:szCs w:val="18"/>
              </w:rPr>
              <w:t>小计</w:t>
            </w:r>
          </w:p>
        </w:tc>
        <w:tc>
          <w:tcPr>
            <w:tcW w:w="845" w:type="dxa"/>
            <w:gridSpan w:val="5"/>
            <w:vAlign w:val="center"/>
          </w:tcPr>
          <w:p w14:paraId="4A6B3358">
            <w:pPr>
              <w:jc w:val="center"/>
              <w:rPr>
                <w:sz w:val="18"/>
                <w:szCs w:val="18"/>
              </w:rPr>
            </w:pPr>
          </w:p>
        </w:tc>
        <w:tc>
          <w:tcPr>
            <w:tcW w:w="822" w:type="dxa"/>
            <w:gridSpan w:val="4"/>
            <w:vAlign w:val="center"/>
          </w:tcPr>
          <w:p w14:paraId="25778CB5">
            <w:pPr>
              <w:jc w:val="center"/>
              <w:rPr>
                <w:sz w:val="18"/>
                <w:szCs w:val="18"/>
              </w:rPr>
            </w:pPr>
            <w:r>
              <w:rPr>
                <w:sz w:val="18"/>
                <w:szCs w:val="18"/>
              </w:rPr>
              <w:t>8593</w:t>
            </w:r>
          </w:p>
        </w:tc>
        <w:tc>
          <w:tcPr>
            <w:tcW w:w="1197" w:type="dxa"/>
            <w:gridSpan w:val="2"/>
            <w:vAlign w:val="center"/>
          </w:tcPr>
          <w:p w14:paraId="2D735BD6">
            <w:pPr>
              <w:jc w:val="center"/>
              <w:rPr>
                <w:sz w:val="18"/>
                <w:szCs w:val="18"/>
              </w:rPr>
            </w:pPr>
            <w:r>
              <w:rPr>
                <w:sz w:val="18"/>
                <w:szCs w:val="18"/>
              </w:rPr>
              <w:t>0</w:t>
            </w:r>
          </w:p>
        </w:tc>
      </w:tr>
      <w:tr w14:paraId="07212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772F2440">
            <w:pPr>
              <w:jc w:val="center"/>
              <w:rPr>
                <w:sz w:val="18"/>
                <w:szCs w:val="18"/>
              </w:rPr>
            </w:pPr>
          </w:p>
        </w:tc>
        <w:tc>
          <w:tcPr>
            <w:tcW w:w="1570" w:type="dxa"/>
            <w:gridSpan w:val="6"/>
            <w:vAlign w:val="center"/>
          </w:tcPr>
          <w:p w14:paraId="6DFDFAF7">
            <w:pPr>
              <w:jc w:val="center"/>
              <w:rPr>
                <w:sz w:val="18"/>
                <w:szCs w:val="18"/>
              </w:rPr>
            </w:pPr>
            <w:r>
              <w:rPr>
                <w:sz w:val="18"/>
                <w:szCs w:val="18"/>
              </w:rPr>
              <w:t>林地</w:t>
            </w:r>
          </w:p>
        </w:tc>
        <w:tc>
          <w:tcPr>
            <w:tcW w:w="851" w:type="dxa"/>
            <w:gridSpan w:val="3"/>
            <w:vAlign w:val="center"/>
          </w:tcPr>
          <w:p w14:paraId="33CA4294">
            <w:pPr>
              <w:jc w:val="center"/>
              <w:rPr>
                <w:sz w:val="18"/>
                <w:szCs w:val="18"/>
              </w:rPr>
            </w:pPr>
            <w:r>
              <w:rPr>
                <w:sz w:val="18"/>
                <w:szCs w:val="18"/>
              </w:rPr>
              <w:t>2388</w:t>
            </w:r>
          </w:p>
        </w:tc>
        <w:tc>
          <w:tcPr>
            <w:tcW w:w="1984" w:type="dxa"/>
            <w:gridSpan w:val="6"/>
            <w:vAlign w:val="center"/>
          </w:tcPr>
          <w:p w14:paraId="0CFC8463">
            <w:pPr>
              <w:jc w:val="center"/>
              <w:rPr>
                <w:sz w:val="18"/>
                <w:szCs w:val="18"/>
              </w:rPr>
            </w:pPr>
            <w:r>
              <w:rPr>
                <w:sz w:val="18"/>
                <w:szCs w:val="18"/>
              </w:rPr>
              <w:t>林地</w:t>
            </w:r>
          </w:p>
        </w:tc>
        <w:tc>
          <w:tcPr>
            <w:tcW w:w="896" w:type="dxa"/>
            <w:gridSpan w:val="3"/>
            <w:vAlign w:val="center"/>
          </w:tcPr>
          <w:p w14:paraId="4953159C">
            <w:pPr>
              <w:jc w:val="center"/>
              <w:rPr>
                <w:sz w:val="18"/>
                <w:szCs w:val="18"/>
              </w:rPr>
            </w:pPr>
            <w:r>
              <w:rPr>
                <w:sz w:val="18"/>
                <w:szCs w:val="18"/>
              </w:rPr>
              <w:t>2573</w:t>
            </w:r>
          </w:p>
        </w:tc>
        <w:tc>
          <w:tcPr>
            <w:tcW w:w="1869" w:type="dxa"/>
            <w:gridSpan w:val="7"/>
            <w:vAlign w:val="center"/>
          </w:tcPr>
          <w:p w14:paraId="55B90F68">
            <w:pPr>
              <w:jc w:val="center"/>
              <w:rPr>
                <w:sz w:val="18"/>
                <w:szCs w:val="18"/>
              </w:rPr>
            </w:pPr>
            <w:r>
              <w:rPr>
                <w:sz w:val="18"/>
                <w:szCs w:val="18"/>
              </w:rPr>
              <w:t>林地</w:t>
            </w:r>
          </w:p>
        </w:tc>
        <w:tc>
          <w:tcPr>
            <w:tcW w:w="918" w:type="dxa"/>
            <w:gridSpan w:val="4"/>
            <w:vAlign w:val="center"/>
          </w:tcPr>
          <w:p w14:paraId="134D241A">
            <w:pPr>
              <w:jc w:val="center"/>
              <w:rPr>
                <w:sz w:val="18"/>
                <w:szCs w:val="18"/>
              </w:rPr>
            </w:pPr>
          </w:p>
        </w:tc>
        <w:tc>
          <w:tcPr>
            <w:tcW w:w="1709" w:type="dxa"/>
            <w:gridSpan w:val="8"/>
            <w:vAlign w:val="center"/>
          </w:tcPr>
          <w:p w14:paraId="6A5B1119">
            <w:pPr>
              <w:jc w:val="center"/>
              <w:rPr>
                <w:sz w:val="18"/>
                <w:szCs w:val="18"/>
              </w:rPr>
            </w:pPr>
            <w:r>
              <w:rPr>
                <w:sz w:val="18"/>
                <w:szCs w:val="18"/>
              </w:rPr>
              <w:t>林地</w:t>
            </w:r>
          </w:p>
        </w:tc>
        <w:tc>
          <w:tcPr>
            <w:tcW w:w="845" w:type="dxa"/>
            <w:gridSpan w:val="5"/>
            <w:vAlign w:val="center"/>
          </w:tcPr>
          <w:p w14:paraId="60E67DBB">
            <w:pPr>
              <w:jc w:val="center"/>
              <w:rPr>
                <w:sz w:val="18"/>
                <w:szCs w:val="18"/>
              </w:rPr>
            </w:pPr>
          </w:p>
        </w:tc>
        <w:tc>
          <w:tcPr>
            <w:tcW w:w="822" w:type="dxa"/>
            <w:gridSpan w:val="4"/>
            <w:vAlign w:val="center"/>
          </w:tcPr>
          <w:p w14:paraId="38032544">
            <w:pPr>
              <w:jc w:val="center"/>
              <w:rPr>
                <w:sz w:val="18"/>
                <w:szCs w:val="18"/>
              </w:rPr>
            </w:pPr>
            <w:r>
              <w:rPr>
                <w:sz w:val="18"/>
                <w:szCs w:val="18"/>
              </w:rPr>
              <w:t>4961</w:t>
            </w:r>
          </w:p>
        </w:tc>
        <w:tc>
          <w:tcPr>
            <w:tcW w:w="1197" w:type="dxa"/>
            <w:gridSpan w:val="2"/>
            <w:vAlign w:val="center"/>
          </w:tcPr>
          <w:p w14:paraId="3F0EFA0E">
            <w:pPr>
              <w:jc w:val="center"/>
              <w:rPr>
                <w:sz w:val="18"/>
                <w:szCs w:val="18"/>
              </w:rPr>
            </w:pPr>
            <w:r>
              <w:rPr>
                <w:sz w:val="18"/>
                <w:szCs w:val="18"/>
              </w:rPr>
              <w:t>0</w:t>
            </w:r>
          </w:p>
        </w:tc>
      </w:tr>
      <w:tr w14:paraId="343C8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2BC79B3C">
            <w:pPr>
              <w:jc w:val="center"/>
              <w:rPr>
                <w:sz w:val="18"/>
                <w:szCs w:val="18"/>
              </w:rPr>
            </w:pPr>
          </w:p>
        </w:tc>
        <w:tc>
          <w:tcPr>
            <w:tcW w:w="1570" w:type="dxa"/>
            <w:gridSpan w:val="6"/>
            <w:vAlign w:val="center"/>
          </w:tcPr>
          <w:p w14:paraId="13E4002E">
            <w:pPr>
              <w:jc w:val="center"/>
              <w:rPr>
                <w:sz w:val="18"/>
                <w:szCs w:val="18"/>
              </w:rPr>
            </w:pPr>
            <w:r>
              <w:rPr>
                <w:sz w:val="18"/>
                <w:szCs w:val="18"/>
              </w:rPr>
              <w:t>其它土地</w:t>
            </w:r>
          </w:p>
        </w:tc>
        <w:tc>
          <w:tcPr>
            <w:tcW w:w="851" w:type="dxa"/>
            <w:gridSpan w:val="3"/>
          </w:tcPr>
          <w:p w14:paraId="66B5E859">
            <w:pPr>
              <w:jc w:val="center"/>
            </w:pPr>
            <w:r>
              <w:rPr>
                <w:sz w:val="18"/>
                <w:szCs w:val="18"/>
              </w:rPr>
              <w:t>10553</w:t>
            </w:r>
          </w:p>
        </w:tc>
        <w:tc>
          <w:tcPr>
            <w:tcW w:w="1984" w:type="dxa"/>
            <w:gridSpan w:val="6"/>
            <w:vAlign w:val="center"/>
          </w:tcPr>
          <w:p w14:paraId="76BDD0BB">
            <w:pPr>
              <w:jc w:val="center"/>
              <w:rPr>
                <w:sz w:val="18"/>
                <w:szCs w:val="18"/>
              </w:rPr>
            </w:pPr>
            <w:r>
              <w:rPr>
                <w:sz w:val="18"/>
                <w:szCs w:val="18"/>
              </w:rPr>
              <w:t>其它土地</w:t>
            </w:r>
          </w:p>
        </w:tc>
        <w:tc>
          <w:tcPr>
            <w:tcW w:w="896" w:type="dxa"/>
            <w:gridSpan w:val="3"/>
            <w:vAlign w:val="center"/>
          </w:tcPr>
          <w:p w14:paraId="147C612D">
            <w:pPr>
              <w:jc w:val="center"/>
              <w:rPr>
                <w:sz w:val="18"/>
                <w:szCs w:val="18"/>
              </w:rPr>
            </w:pPr>
            <w:r>
              <w:rPr>
                <w:sz w:val="18"/>
                <w:szCs w:val="18"/>
              </w:rPr>
              <w:t>41</w:t>
            </w:r>
          </w:p>
        </w:tc>
        <w:tc>
          <w:tcPr>
            <w:tcW w:w="1869" w:type="dxa"/>
            <w:gridSpan w:val="7"/>
            <w:vAlign w:val="center"/>
          </w:tcPr>
          <w:p w14:paraId="6281ABD7">
            <w:pPr>
              <w:jc w:val="center"/>
              <w:rPr>
                <w:sz w:val="18"/>
                <w:szCs w:val="18"/>
              </w:rPr>
            </w:pPr>
            <w:r>
              <w:rPr>
                <w:sz w:val="18"/>
                <w:szCs w:val="18"/>
              </w:rPr>
              <w:t>其它土地</w:t>
            </w:r>
          </w:p>
        </w:tc>
        <w:tc>
          <w:tcPr>
            <w:tcW w:w="918" w:type="dxa"/>
            <w:gridSpan w:val="4"/>
          </w:tcPr>
          <w:p w14:paraId="5B41FB42">
            <w:pPr>
              <w:jc w:val="center"/>
            </w:pPr>
          </w:p>
        </w:tc>
        <w:tc>
          <w:tcPr>
            <w:tcW w:w="1709" w:type="dxa"/>
            <w:gridSpan w:val="8"/>
            <w:vAlign w:val="center"/>
          </w:tcPr>
          <w:p w14:paraId="6B0BE0B1">
            <w:pPr>
              <w:jc w:val="center"/>
              <w:rPr>
                <w:sz w:val="18"/>
                <w:szCs w:val="18"/>
              </w:rPr>
            </w:pPr>
            <w:r>
              <w:rPr>
                <w:sz w:val="18"/>
                <w:szCs w:val="18"/>
              </w:rPr>
              <w:t>其它土地</w:t>
            </w:r>
          </w:p>
        </w:tc>
        <w:tc>
          <w:tcPr>
            <w:tcW w:w="845" w:type="dxa"/>
            <w:gridSpan w:val="5"/>
            <w:vAlign w:val="center"/>
          </w:tcPr>
          <w:p w14:paraId="10981E27">
            <w:pPr>
              <w:jc w:val="center"/>
              <w:rPr>
                <w:sz w:val="18"/>
                <w:szCs w:val="18"/>
              </w:rPr>
            </w:pPr>
          </w:p>
        </w:tc>
        <w:tc>
          <w:tcPr>
            <w:tcW w:w="822" w:type="dxa"/>
            <w:gridSpan w:val="4"/>
            <w:vAlign w:val="center"/>
          </w:tcPr>
          <w:p w14:paraId="4EDDF605">
            <w:pPr>
              <w:jc w:val="center"/>
              <w:rPr>
                <w:sz w:val="18"/>
                <w:szCs w:val="18"/>
              </w:rPr>
            </w:pPr>
            <w:r>
              <w:rPr>
                <w:sz w:val="18"/>
                <w:szCs w:val="18"/>
              </w:rPr>
              <w:t>10594</w:t>
            </w:r>
          </w:p>
        </w:tc>
        <w:tc>
          <w:tcPr>
            <w:tcW w:w="1197" w:type="dxa"/>
            <w:gridSpan w:val="2"/>
            <w:vAlign w:val="center"/>
          </w:tcPr>
          <w:p w14:paraId="263473ED">
            <w:pPr>
              <w:jc w:val="center"/>
              <w:rPr>
                <w:sz w:val="18"/>
                <w:szCs w:val="18"/>
              </w:rPr>
            </w:pPr>
            <w:r>
              <w:rPr>
                <w:sz w:val="18"/>
                <w:szCs w:val="18"/>
              </w:rPr>
              <w:t>0</w:t>
            </w:r>
          </w:p>
        </w:tc>
      </w:tr>
      <w:tr w14:paraId="7D781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16C9E94D">
            <w:pPr>
              <w:jc w:val="center"/>
              <w:rPr>
                <w:sz w:val="18"/>
                <w:szCs w:val="18"/>
              </w:rPr>
            </w:pPr>
          </w:p>
        </w:tc>
        <w:tc>
          <w:tcPr>
            <w:tcW w:w="1570" w:type="dxa"/>
            <w:gridSpan w:val="6"/>
            <w:vAlign w:val="center"/>
          </w:tcPr>
          <w:p w14:paraId="0B59DC5E">
            <w:pPr>
              <w:jc w:val="center"/>
              <w:rPr>
                <w:sz w:val="18"/>
                <w:szCs w:val="18"/>
              </w:rPr>
            </w:pPr>
            <w:r>
              <w:rPr>
                <w:sz w:val="18"/>
                <w:szCs w:val="18"/>
              </w:rPr>
              <w:t>合计</w:t>
            </w:r>
          </w:p>
        </w:tc>
        <w:tc>
          <w:tcPr>
            <w:tcW w:w="851" w:type="dxa"/>
            <w:gridSpan w:val="3"/>
          </w:tcPr>
          <w:p w14:paraId="45D84B44">
            <w:pPr>
              <w:jc w:val="center"/>
            </w:pPr>
            <w:r>
              <w:rPr>
                <w:sz w:val="18"/>
                <w:szCs w:val="18"/>
              </w:rPr>
              <w:t>18545</w:t>
            </w:r>
          </w:p>
        </w:tc>
        <w:tc>
          <w:tcPr>
            <w:tcW w:w="1984" w:type="dxa"/>
            <w:gridSpan w:val="6"/>
            <w:vAlign w:val="center"/>
          </w:tcPr>
          <w:p w14:paraId="4F0513AD">
            <w:pPr>
              <w:jc w:val="center"/>
              <w:rPr>
                <w:sz w:val="18"/>
                <w:szCs w:val="18"/>
              </w:rPr>
            </w:pPr>
            <w:r>
              <w:rPr>
                <w:sz w:val="18"/>
                <w:szCs w:val="18"/>
              </w:rPr>
              <w:t>合计</w:t>
            </w:r>
          </w:p>
        </w:tc>
        <w:tc>
          <w:tcPr>
            <w:tcW w:w="896" w:type="dxa"/>
            <w:gridSpan w:val="3"/>
            <w:vAlign w:val="center"/>
          </w:tcPr>
          <w:p w14:paraId="5FDA508E">
            <w:pPr>
              <w:jc w:val="center"/>
              <w:rPr>
                <w:sz w:val="18"/>
                <w:szCs w:val="18"/>
              </w:rPr>
            </w:pPr>
            <w:r>
              <w:rPr>
                <w:sz w:val="18"/>
                <w:szCs w:val="18"/>
              </w:rPr>
              <w:t>5603</w:t>
            </w:r>
          </w:p>
        </w:tc>
        <w:tc>
          <w:tcPr>
            <w:tcW w:w="1869" w:type="dxa"/>
            <w:gridSpan w:val="7"/>
            <w:vAlign w:val="center"/>
          </w:tcPr>
          <w:p w14:paraId="5F00DBAE">
            <w:pPr>
              <w:jc w:val="center"/>
              <w:rPr>
                <w:sz w:val="18"/>
                <w:szCs w:val="18"/>
              </w:rPr>
            </w:pPr>
            <w:r>
              <w:rPr>
                <w:sz w:val="18"/>
                <w:szCs w:val="18"/>
              </w:rPr>
              <w:t>合计</w:t>
            </w:r>
          </w:p>
        </w:tc>
        <w:tc>
          <w:tcPr>
            <w:tcW w:w="918" w:type="dxa"/>
            <w:gridSpan w:val="4"/>
          </w:tcPr>
          <w:p w14:paraId="37FA7DFD">
            <w:pPr>
              <w:jc w:val="center"/>
            </w:pPr>
          </w:p>
        </w:tc>
        <w:tc>
          <w:tcPr>
            <w:tcW w:w="1709" w:type="dxa"/>
            <w:gridSpan w:val="8"/>
            <w:vAlign w:val="center"/>
          </w:tcPr>
          <w:p w14:paraId="34044F9F">
            <w:pPr>
              <w:jc w:val="center"/>
              <w:rPr>
                <w:sz w:val="18"/>
                <w:szCs w:val="18"/>
              </w:rPr>
            </w:pPr>
            <w:r>
              <w:rPr>
                <w:sz w:val="18"/>
                <w:szCs w:val="18"/>
              </w:rPr>
              <w:t>合计</w:t>
            </w:r>
          </w:p>
        </w:tc>
        <w:tc>
          <w:tcPr>
            <w:tcW w:w="845" w:type="dxa"/>
            <w:gridSpan w:val="5"/>
            <w:vAlign w:val="center"/>
          </w:tcPr>
          <w:p w14:paraId="7787BF2B">
            <w:pPr>
              <w:jc w:val="center"/>
              <w:rPr>
                <w:sz w:val="18"/>
                <w:szCs w:val="18"/>
              </w:rPr>
            </w:pPr>
          </w:p>
        </w:tc>
        <w:tc>
          <w:tcPr>
            <w:tcW w:w="822" w:type="dxa"/>
            <w:gridSpan w:val="4"/>
            <w:vAlign w:val="center"/>
          </w:tcPr>
          <w:p w14:paraId="462422CF">
            <w:pPr>
              <w:jc w:val="center"/>
              <w:rPr>
                <w:sz w:val="18"/>
                <w:szCs w:val="18"/>
              </w:rPr>
            </w:pPr>
            <w:r>
              <w:rPr>
                <w:sz w:val="18"/>
                <w:szCs w:val="18"/>
              </w:rPr>
              <w:t>24148</w:t>
            </w:r>
          </w:p>
        </w:tc>
        <w:tc>
          <w:tcPr>
            <w:tcW w:w="1197" w:type="dxa"/>
            <w:gridSpan w:val="2"/>
            <w:vAlign w:val="center"/>
          </w:tcPr>
          <w:p w14:paraId="7882E322">
            <w:pPr>
              <w:jc w:val="center"/>
              <w:rPr>
                <w:sz w:val="18"/>
                <w:szCs w:val="18"/>
              </w:rPr>
            </w:pPr>
            <w:r>
              <w:rPr>
                <w:sz w:val="18"/>
                <w:szCs w:val="18"/>
              </w:rPr>
              <w:t>0</w:t>
            </w:r>
          </w:p>
        </w:tc>
      </w:tr>
      <w:tr w14:paraId="75B33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restart"/>
            <w:vAlign w:val="center"/>
          </w:tcPr>
          <w:p w14:paraId="797B74BF">
            <w:pPr>
              <w:jc w:val="center"/>
              <w:rPr>
                <w:sz w:val="18"/>
                <w:szCs w:val="18"/>
              </w:rPr>
            </w:pPr>
            <w:r>
              <w:rPr>
                <w:sz w:val="18"/>
                <w:szCs w:val="18"/>
              </w:rPr>
              <w:t>采矿固体废弃物排放</w:t>
            </w:r>
          </w:p>
        </w:tc>
        <w:tc>
          <w:tcPr>
            <w:tcW w:w="2421" w:type="dxa"/>
            <w:gridSpan w:val="9"/>
            <w:vAlign w:val="center"/>
          </w:tcPr>
          <w:p w14:paraId="3612D115">
            <w:pPr>
              <w:jc w:val="center"/>
              <w:rPr>
                <w:sz w:val="18"/>
                <w:szCs w:val="18"/>
              </w:rPr>
            </w:pPr>
            <w:r>
              <w:rPr>
                <w:sz w:val="18"/>
                <w:szCs w:val="18"/>
              </w:rPr>
              <w:t>类型</w:t>
            </w:r>
          </w:p>
        </w:tc>
        <w:tc>
          <w:tcPr>
            <w:tcW w:w="2880" w:type="dxa"/>
            <w:gridSpan w:val="9"/>
            <w:vAlign w:val="center"/>
          </w:tcPr>
          <w:p w14:paraId="1348421A">
            <w:pPr>
              <w:jc w:val="center"/>
              <w:rPr>
                <w:sz w:val="18"/>
                <w:szCs w:val="18"/>
              </w:rPr>
            </w:pPr>
            <w:r>
              <w:rPr>
                <w:sz w:val="18"/>
                <w:szCs w:val="18"/>
              </w:rPr>
              <w:t>年排放量(10</w:t>
            </w:r>
            <w:r>
              <w:rPr>
                <w:sz w:val="18"/>
                <w:szCs w:val="18"/>
                <w:vertAlign w:val="superscript"/>
              </w:rPr>
              <w:t>4</w:t>
            </w:r>
            <w:r>
              <w:rPr>
                <w:sz w:val="18"/>
                <w:szCs w:val="18"/>
              </w:rPr>
              <w:t>m</w:t>
            </w:r>
            <w:r>
              <w:rPr>
                <w:sz w:val="18"/>
                <w:szCs w:val="18"/>
                <w:vertAlign w:val="superscript"/>
              </w:rPr>
              <w:t>3</w:t>
            </w:r>
            <w:r>
              <w:rPr>
                <w:sz w:val="18"/>
                <w:szCs w:val="18"/>
              </w:rPr>
              <w:t>/a)</w:t>
            </w:r>
          </w:p>
        </w:tc>
        <w:tc>
          <w:tcPr>
            <w:tcW w:w="2787" w:type="dxa"/>
            <w:gridSpan w:val="11"/>
            <w:vAlign w:val="center"/>
          </w:tcPr>
          <w:p w14:paraId="2B27309C">
            <w:pPr>
              <w:jc w:val="center"/>
              <w:rPr>
                <w:sz w:val="18"/>
                <w:szCs w:val="18"/>
              </w:rPr>
            </w:pPr>
            <w:r>
              <w:rPr>
                <w:sz w:val="18"/>
                <w:szCs w:val="18"/>
              </w:rPr>
              <w:t>年综合利用量(10</w:t>
            </w:r>
            <w:r>
              <w:rPr>
                <w:sz w:val="18"/>
                <w:szCs w:val="18"/>
                <w:vertAlign w:val="superscript"/>
              </w:rPr>
              <w:t>4</w:t>
            </w:r>
            <w:r>
              <w:rPr>
                <w:sz w:val="18"/>
                <w:szCs w:val="18"/>
              </w:rPr>
              <w:t>m</w:t>
            </w:r>
            <w:r>
              <w:rPr>
                <w:sz w:val="18"/>
                <w:szCs w:val="18"/>
                <w:vertAlign w:val="superscript"/>
              </w:rPr>
              <w:t>3</w:t>
            </w:r>
            <w:r>
              <w:rPr>
                <w:sz w:val="18"/>
                <w:szCs w:val="18"/>
              </w:rPr>
              <w:t>/a)</w:t>
            </w:r>
          </w:p>
        </w:tc>
        <w:tc>
          <w:tcPr>
            <w:tcW w:w="2250" w:type="dxa"/>
            <w:gridSpan w:val="11"/>
            <w:vAlign w:val="center"/>
          </w:tcPr>
          <w:p w14:paraId="5574CB4C">
            <w:pPr>
              <w:jc w:val="center"/>
              <w:rPr>
                <w:sz w:val="18"/>
                <w:szCs w:val="18"/>
              </w:rPr>
            </w:pPr>
            <w:r>
              <w:rPr>
                <w:sz w:val="18"/>
                <w:szCs w:val="18"/>
              </w:rPr>
              <w:t>累计积存量(10</w:t>
            </w:r>
            <w:r>
              <w:rPr>
                <w:sz w:val="18"/>
                <w:szCs w:val="18"/>
                <w:vertAlign w:val="superscript"/>
              </w:rPr>
              <w:t>4</w:t>
            </w:r>
            <w:r>
              <w:rPr>
                <w:sz w:val="18"/>
                <w:szCs w:val="18"/>
              </w:rPr>
              <w:t>m</w:t>
            </w:r>
            <w:r>
              <w:rPr>
                <w:sz w:val="18"/>
                <w:szCs w:val="18"/>
                <w:vertAlign w:val="superscript"/>
              </w:rPr>
              <w:t>3</w:t>
            </w:r>
            <w:r>
              <w:rPr>
                <w:sz w:val="18"/>
                <w:szCs w:val="18"/>
              </w:rPr>
              <w:t>)</w:t>
            </w:r>
          </w:p>
        </w:tc>
        <w:tc>
          <w:tcPr>
            <w:tcW w:w="2323" w:type="dxa"/>
            <w:gridSpan w:val="8"/>
            <w:vAlign w:val="center"/>
          </w:tcPr>
          <w:p w14:paraId="44562AAD">
            <w:pPr>
              <w:jc w:val="center"/>
              <w:rPr>
                <w:sz w:val="18"/>
                <w:szCs w:val="18"/>
              </w:rPr>
            </w:pPr>
            <w:r>
              <w:rPr>
                <w:sz w:val="18"/>
                <w:szCs w:val="18"/>
              </w:rPr>
              <w:t>主要利用方式</w:t>
            </w:r>
          </w:p>
        </w:tc>
      </w:tr>
      <w:tr w14:paraId="722B7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trPr>
        <w:tc>
          <w:tcPr>
            <w:tcW w:w="1518" w:type="dxa"/>
            <w:vMerge w:val="continue"/>
            <w:vAlign w:val="center"/>
          </w:tcPr>
          <w:p w14:paraId="0E91F31D">
            <w:pPr>
              <w:jc w:val="center"/>
              <w:rPr>
                <w:sz w:val="18"/>
                <w:szCs w:val="18"/>
              </w:rPr>
            </w:pPr>
          </w:p>
        </w:tc>
        <w:tc>
          <w:tcPr>
            <w:tcW w:w="2421" w:type="dxa"/>
            <w:gridSpan w:val="9"/>
            <w:vAlign w:val="center"/>
          </w:tcPr>
          <w:p w14:paraId="55C3E15B">
            <w:pPr>
              <w:jc w:val="center"/>
              <w:rPr>
                <w:sz w:val="18"/>
                <w:szCs w:val="18"/>
              </w:rPr>
            </w:pPr>
          </w:p>
        </w:tc>
        <w:tc>
          <w:tcPr>
            <w:tcW w:w="2880" w:type="dxa"/>
            <w:gridSpan w:val="9"/>
            <w:vAlign w:val="center"/>
          </w:tcPr>
          <w:p w14:paraId="2849AB0D">
            <w:pPr>
              <w:jc w:val="center"/>
              <w:rPr>
                <w:sz w:val="18"/>
                <w:szCs w:val="18"/>
              </w:rPr>
            </w:pPr>
          </w:p>
        </w:tc>
        <w:tc>
          <w:tcPr>
            <w:tcW w:w="2787" w:type="dxa"/>
            <w:gridSpan w:val="11"/>
            <w:vAlign w:val="center"/>
          </w:tcPr>
          <w:p w14:paraId="63FED45E">
            <w:pPr>
              <w:jc w:val="center"/>
              <w:rPr>
                <w:sz w:val="18"/>
                <w:szCs w:val="18"/>
              </w:rPr>
            </w:pPr>
          </w:p>
        </w:tc>
        <w:tc>
          <w:tcPr>
            <w:tcW w:w="2250" w:type="dxa"/>
            <w:gridSpan w:val="11"/>
            <w:vAlign w:val="center"/>
          </w:tcPr>
          <w:p w14:paraId="6E901B33">
            <w:pPr>
              <w:jc w:val="center"/>
              <w:rPr>
                <w:sz w:val="18"/>
                <w:szCs w:val="18"/>
              </w:rPr>
            </w:pPr>
          </w:p>
        </w:tc>
        <w:tc>
          <w:tcPr>
            <w:tcW w:w="2323" w:type="dxa"/>
            <w:gridSpan w:val="8"/>
            <w:vAlign w:val="center"/>
          </w:tcPr>
          <w:p w14:paraId="55097FDA">
            <w:pPr>
              <w:jc w:val="center"/>
              <w:rPr>
                <w:sz w:val="18"/>
                <w:szCs w:val="18"/>
              </w:rPr>
            </w:pPr>
          </w:p>
        </w:tc>
      </w:tr>
      <w:tr w14:paraId="4F5A9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65ABE84F">
            <w:pPr>
              <w:jc w:val="center"/>
              <w:rPr>
                <w:sz w:val="18"/>
                <w:szCs w:val="18"/>
              </w:rPr>
            </w:pPr>
          </w:p>
        </w:tc>
        <w:tc>
          <w:tcPr>
            <w:tcW w:w="2421" w:type="dxa"/>
            <w:gridSpan w:val="9"/>
            <w:vAlign w:val="center"/>
          </w:tcPr>
          <w:p w14:paraId="6CC7A87F">
            <w:pPr>
              <w:jc w:val="center"/>
              <w:rPr>
                <w:sz w:val="18"/>
                <w:szCs w:val="18"/>
              </w:rPr>
            </w:pPr>
            <w:r>
              <w:rPr>
                <w:sz w:val="18"/>
                <w:szCs w:val="18"/>
              </w:rPr>
              <w:t>合计</w:t>
            </w:r>
          </w:p>
        </w:tc>
        <w:tc>
          <w:tcPr>
            <w:tcW w:w="2880" w:type="dxa"/>
            <w:gridSpan w:val="9"/>
            <w:vAlign w:val="center"/>
          </w:tcPr>
          <w:p w14:paraId="55BE17EF">
            <w:pPr>
              <w:jc w:val="center"/>
              <w:rPr>
                <w:sz w:val="18"/>
                <w:szCs w:val="18"/>
              </w:rPr>
            </w:pPr>
          </w:p>
        </w:tc>
        <w:tc>
          <w:tcPr>
            <w:tcW w:w="2787" w:type="dxa"/>
            <w:gridSpan w:val="11"/>
            <w:vAlign w:val="center"/>
          </w:tcPr>
          <w:p w14:paraId="547E2D34">
            <w:pPr>
              <w:jc w:val="center"/>
              <w:rPr>
                <w:sz w:val="18"/>
                <w:szCs w:val="18"/>
              </w:rPr>
            </w:pPr>
          </w:p>
        </w:tc>
        <w:tc>
          <w:tcPr>
            <w:tcW w:w="2250" w:type="dxa"/>
            <w:gridSpan w:val="11"/>
            <w:vAlign w:val="center"/>
          </w:tcPr>
          <w:p w14:paraId="285A7CC9">
            <w:pPr>
              <w:jc w:val="center"/>
              <w:rPr>
                <w:sz w:val="18"/>
                <w:szCs w:val="18"/>
              </w:rPr>
            </w:pPr>
          </w:p>
        </w:tc>
        <w:tc>
          <w:tcPr>
            <w:tcW w:w="2323" w:type="dxa"/>
            <w:gridSpan w:val="8"/>
            <w:vAlign w:val="center"/>
          </w:tcPr>
          <w:p w14:paraId="5FE84C9A">
            <w:pPr>
              <w:jc w:val="center"/>
              <w:rPr>
                <w:sz w:val="18"/>
                <w:szCs w:val="18"/>
              </w:rPr>
            </w:pPr>
          </w:p>
        </w:tc>
      </w:tr>
      <w:tr w14:paraId="0EEE9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restart"/>
            <w:tcBorders>
              <w:right w:val="single" w:color="auto" w:sz="4" w:space="0"/>
            </w:tcBorders>
            <w:vAlign w:val="center"/>
          </w:tcPr>
          <w:p w14:paraId="65A7FE6B">
            <w:pPr>
              <w:spacing w:line="216" w:lineRule="auto"/>
              <w:jc w:val="center"/>
              <w:rPr>
                <w:sz w:val="18"/>
                <w:szCs w:val="18"/>
              </w:rPr>
            </w:pPr>
            <w:r>
              <w:rPr>
                <w:sz w:val="18"/>
                <w:szCs w:val="18"/>
              </w:rPr>
              <w:t>含水层破坏情况</w:t>
            </w:r>
          </w:p>
        </w:tc>
        <w:tc>
          <w:tcPr>
            <w:tcW w:w="2264" w:type="dxa"/>
            <w:gridSpan w:val="8"/>
            <w:tcBorders>
              <w:left w:val="single" w:color="auto" w:sz="4" w:space="0"/>
            </w:tcBorders>
            <w:vAlign w:val="center"/>
          </w:tcPr>
          <w:p w14:paraId="0348E0A9">
            <w:pPr>
              <w:spacing w:line="216" w:lineRule="auto"/>
              <w:jc w:val="center"/>
              <w:rPr>
                <w:sz w:val="18"/>
                <w:szCs w:val="18"/>
              </w:rPr>
            </w:pPr>
            <w:r>
              <w:rPr>
                <w:sz w:val="18"/>
                <w:szCs w:val="18"/>
              </w:rPr>
              <w:t>影响含水层的类型</w:t>
            </w:r>
          </w:p>
        </w:tc>
        <w:tc>
          <w:tcPr>
            <w:tcW w:w="3417" w:type="dxa"/>
            <w:gridSpan w:val="11"/>
            <w:tcBorders>
              <w:right w:val="single" w:color="auto" w:sz="4" w:space="0"/>
            </w:tcBorders>
            <w:vAlign w:val="center"/>
          </w:tcPr>
          <w:p w14:paraId="438F5B24">
            <w:pPr>
              <w:spacing w:line="216" w:lineRule="auto"/>
              <w:jc w:val="center"/>
              <w:rPr>
                <w:sz w:val="18"/>
                <w:szCs w:val="18"/>
              </w:rPr>
            </w:pPr>
            <w:r>
              <w:rPr>
                <w:sz w:val="18"/>
                <w:szCs w:val="18"/>
              </w:rPr>
              <w:t>区域含水层遭受影响或破坏的面积(km</w:t>
            </w:r>
            <w:r>
              <w:rPr>
                <w:sz w:val="18"/>
                <w:szCs w:val="18"/>
                <w:vertAlign w:val="superscript"/>
              </w:rPr>
              <w:t>2</w:t>
            </w:r>
            <w:r>
              <w:rPr>
                <w:sz w:val="18"/>
                <w:szCs w:val="18"/>
              </w:rPr>
              <w:t>)</w:t>
            </w:r>
          </w:p>
        </w:tc>
        <w:tc>
          <w:tcPr>
            <w:tcW w:w="2551" w:type="dxa"/>
            <w:gridSpan w:val="11"/>
            <w:tcBorders>
              <w:right w:val="single" w:color="auto" w:sz="4" w:space="0"/>
            </w:tcBorders>
            <w:vAlign w:val="center"/>
          </w:tcPr>
          <w:p w14:paraId="5FB0B8C4">
            <w:pPr>
              <w:spacing w:line="216" w:lineRule="auto"/>
              <w:jc w:val="center"/>
              <w:rPr>
                <w:sz w:val="18"/>
                <w:szCs w:val="18"/>
              </w:rPr>
            </w:pPr>
            <w:r>
              <w:rPr>
                <w:sz w:val="18"/>
                <w:szCs w:val="18"/>
              </w:rPr>
              <w:t>地下水位最大下降幅度(m)</w:t>
            </w:r>
          </w:p>
        </w:tc>
        <w:tc>
          <w:tcPr>
            <w:tcW w:w="2268" w:type="dxa"/>
            <w:gridSpan w:val="11"/>
            <w:tcBorders>
              <w:right w:val="single" w:color="auto" w:sz="4" w:space="0"/>
            </w:tcBorders>
            <w:vAlign w:val="center"/>
          </w:tcPr>
          <w:p w14:paraId="0A74638D">
            <w:pPr>
              <w:spacing w:line="216" w:lineRule="auto"/>
              <w:jc w:val="center"/>
              <w:rPr>
                <w:sz w:val="18"/>
                <w:szCs w:val="18"/>
              </w:rPr>
            </w:pPr>
            <w:r>
              <w:rPr>
                <w:sz w:val="18"/>
                <w:szCs w:val="18"/>
              </w:rPr>
              <w:t>含水层被疏干的面积(m</w:t>
            </w:r>
            <w:r>
              <w:rPr>
                <w:sz w:val="18"/>
                <w:szCs w:val="18"/>
                <w:vertAlign w:val="superscript"/>
              </w:rPr>
              <w:t>2</w:t>
            </w:r>
            <w:r>
              <w:rPr>
                <w:sz w:val="18"/>
                <w:szCs w:val="18"/>
              </w:rPr>
              <w:t>)</w:t>
            </w:r>
          </w:p>
        </w:tc>
        <w:tc>
          <w:tcPr>
            <w:tcW w:w="2161" w:type="dxa"/>
            <w:gridSpan w:val="7"/>
            <w:tcBorders>
              <w:right w:val="single" w:color="auto" w:sz="4" w:space="0"/>
            </w:tcBorders>
            <w:vAlign w:val="center"/>
          </w:tcPr>
          <w:p w14:paraId="030D9848">
            <w:pPr>
              <w:spacing w:line="216" w:lineRule="auto"/>
              <w:jc w:val="center"/>
              <w:rPr>
                <w:sz w:val="18"/>
                <w:szCs w:val="18"/>
              </w:rPr>
            </w:pPr>
            <w:r>
              <w:rPr>
                <w:sz w:val="18"/>
                <w:szCs w:val="18"/>
              </w:rPr>
              <w:t>受影响的对象</w:t>
            </w:r>
          </w:p>
        </w:tc>
      </w:tr>
      <w:tr w14:paraId="46485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tcBorders>
              <w:right w:val="single" w:color="auto" w:sz="4" w:space="0"/>
            </w:tcBorders>
            <w:vAlign w:val="center"/>
          </w:tcPr>
          <w:p w14:paraId="53FE1159">
            <w:pPr>
              <w:spacing w:line="216" w:lineRule="auto"/>
              <w:jc w:val="center"/>
              <w:rPr>
                <w:sz w:val="18"/>
                <w:szCs w:val="18"/>
              </w:rPr>
            </w:pPr>
          </w:p>
        </w:tc>
        <w:tc>
          <w:tcPr>
            <w:tcW w:w="2264" w:type="dxa"/>
            <w:gridSpan w:val="8"/>
            <w:tcBorders>
              <w:left w:val="single" w:color="auto" w:sz="4" w:space="0"/>
            </w:tcBorders>
            <w:vAlign w:val="center"/>
          </w:tcPr>
          <w:p w14:paraId="3837711E">
            <w:pPr>
              <w:spacing w:line="216" w:lineRule="auto"/>
              <w:jc w:val="center"/>
              <w:rPr>
                <w:sz w:val="18"/>
                <w:szCs w:val="18"/>
              </w:rPr>
            </w:pPr>
          </w:p>
        </w:tc>
        <w:tc>
          <w:tcPr>
            <w:tcW w:w="3417" w:type="dxa"/>
            <w:gridSpan w:val="11"/>
            <w:tcBorders>
              <w:right w:val="single" w:color="auto" w:sz="4" w:space="0"/>
            </w:tcBorders>
            <w:vAlign w:val="center"/>
          </w:tcPr>
          <w:p w14:paraId="75530A62">
            <w:pPr>
              <w:spacing w:line="216" w:lineRule="auto"/>
              <w:jc w:val="center"/>
              <w:rPr>
                <w:sz w:val="18"/>
                <w:szCs w:val="18"/>
              </w:rPr>
            </w:pPr>
          </w:p>
        </w:tc>
        <w:tc>
          <w:tcPr>
            <w:tcW w:w="2551" w:type="dxa"/>
            <w:gridSpan w:val="11"/>
            <w:tcBorders>
              <w:right w:val="single" w:color="auto" w:sz="4" w:space="0"/>
            </w:tcBorders>
            <w:vAlign w:val="center"/>
          </w:tcPr>
          <w:p w14:paraId="2993C139">
            <w:pPr>
              <w:spacing w:line="216" w:lineRule="auto"/>
              <w:jc w:val="center"/>
              <w:rPr>
                <w:sz w:val="18"/>
                <w:szCs w:val="18"/>
              </w:rPr>
            </w:pPr>
          </w:p>
        </w:tc>
        <w:tc>
          <w:tcPr>
            <w:tcW w:w="2268" w:type="dxa"/>
            <w:gridSpan w:val="11"/>
            <w:tcBorders>
              <w:right w:val="single" w:color="auto" w:sz="4" w:space="0"/>
            </w:tcBorders>
            <w:vAlign w:val="center"/>
          </w:tcPr>
          <w:p w14:paraId="7B7A7954">
            <w:pPr>
              <w:spacing w:line="216" w:lineRule="auto"/>
              <w:jc w:val="center"/>
              <w:rPr>
                <w:sz w:val="18"/>
                <w:szCs w:val="18"/>
              </w:rPr>
            </w:pPr>
          </w:p>
        </w:tc>
        <w:tc>
          <w:tcPr>
            <w:tcW w:w="2161" w:type="dxa"/>
            <w:gridSpan w:val="7"/>
            <w:tcBorders>
              <w:right w:val="single" w:color="auto" w:sz="4" w:space="0"/>
            </w:tcBorders>
            <w:vAlign w:val="center"/>
          </w:tcPr>
          <w:p w14:paraId="52B8EA8F">
            <w:pPr>
              <w:spacing w:line="216" w:lineRule="auto"/>
              <w:jc w:val="center"/>
              <w:rPr>
                <w:sz w:val="18"/>
                <w:szCs w:val="18"/>
              </w:rPr>
            </w:pPr>
          </w:p>
        </w:tc>
      </w:tr>
      <w:tr w14:paraId="51884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trPr>
        <w:tc>
          <w:tcPr>
            <w:tcW w:w="1518" w:type="dxa"/>
            <w:vMerge w:val="restart"/>
            <w:tcBorders>
              <w:right w:val="single" w:color="auto" w:sz="4" w:space="0"/>
            </w:tcBorders>
            <w:vAlign w:val="center"/>
          </w:tcPr>
          <w:p w14:paraId="2561C0EB">
            <w:pPr>
              <w:spacing w:line="216" w:lineRule="auto"/>
              <w:jc w:val="center"/>
              <w:rPr>
                <w:sz w:val="18"/>
                <w:szCs w:val="18"/>
              </w:rPr>
            </w:pPr>
            <w:r>
              <w:rPr>
                <w:sz w:val="18"/>
                <w:szCs w:val="18"/>
              </w:rPr>
              <w:t>地形地貌景观</w:t>
            </w:r>
          </w:p>
          <w:p w14:paraId="076A6543">
            <w:pPr>
              <w:spacing w:line="216" w:lineRule="auto"/>
              <w:jc w:val="center"/>
              <w:rPr>
                <w:sz w:val="18"/>
                <w:szCs w:val="18"/>
              </w:rPr>
            </w:pPr>
            <w:r>
              <w:rPr>
                <w:sz w:val="18"/>
                <w:szCs w:val="18"/>
              </w:rPr>
              <w:t>破坏</w:t>
            </w:r>
          </w:p>
        </w:tc>
        <w:tc>
          <w:tcPr>
            <w:tcW w:w="2264" w:type="dxa"/>
            <w:gridSpan w:val="8"/>
            <w:tcBorders>
              <w:left w:val="single" w:color="auto" w:sz="4" w:space="0"/>
            </w:tcBorders>
            <w:vAlign w:val="center"/>
          </w:tcPr>
          <w:p w14:paraId="0D00A7C0">
            <w:pPr>
              <w:spacing w:line="216" w:lineRule="auto"/>
              <w:jc w:val="center"/>
              <w:rPr>
                <w:sz w:val="18"/>
                <w:szCs w:val="18"/>
              </w:rPr>
            </w:pPr>
            <w:r>
              <w:rPr>
                <w:sz w:val="18"/>
                <w:szCs w:val="18"/>
              </w:rPr>
              <w:t>破坏的地形地貌景观类型</w:t>
            </w:r>
          </w:p>
        </w:tc>
        <w:tc>
          <w:tcPr>
            <w:tcW w:w="3417" w:type="dxa"/>
            <w:gridSpan w:val="11"/>
            <w:tcBorders>
              <w:right w:val="single" w:color="auto" w:sz="4" w:space="0"/>
            </w:tcBorders>
            <w:vAlign w:val="center"/>
          </w:tcPr>
          <w:p w14:paraId="7F8FF076">
            <w:pPr>
              <w:spacing w:line="216" w:lineRule="auto"/>
              <w:jc w:val="center"/>
              <w:rPr>
                <w:sz w:val="18"/>
                <w:szCs w:val="18"/>
              </w:rPr>
            </w:pPr>
            <w:r>
              <w:rPr>
                <w:sz w:val="18"/>
                <w:szCs w:val="18"/>
              </w:rPr>
              <w:t>被破坏的面积(m</w:t>
            </w:r>
            <w:r>
              <w:rPr>
                <w:sz w:val="18"/>
                <w:szCs w:val="18"/>
                <w:vertAlign w:val="superscript"/>
              </w:rPr>
              <w:t>2</w:t>
            </w:r>
            <w:r>
              <w:rPr>
                <w:sz w:val="18"/>
                <w:szCs w:val="18"/>
              </w:rPr>
              <w:t>)</w:t>
            </w:r>
          </w:p>
        </w:tc>
        <w:tc>
          <w:tcPr>
            <w:tcW w:w="4819" w:type="dxa"/>
            <w:gridSpan w:val="22"/>
            <w:tcBorders>
              <w:right w:val="single" w:color="auto" w:sz="4" w:space="0"/>
            </w:tcBorders>
            <w:vAlign w:val="center"/>
          </w:tcPr>
          <w:p w14:paraId="0EDB9752">
            <w:pPr>
              <w:spacing w:line="216" w:lineRule="auto"/>
              <w:jc w:val="center"/>
              <w:rPr>
                <w:sz w:val="18"/>
                <w:szCs w:val="18"/>
              </w:rPr>
            </w:pPr>
            <w:r>
              <w:rPr>
                <w:sz w:val="18"/>
                <w:szCs w:val="18"/>
              </w:rPr>
              <w:t>破坏程度</w:t>
            </w:r>
          </w:p>
        </w:tc>
        <w:tc>
          <w:tcPr>
            <w:tcW w:w="2161" w:type="dxa"/>
            <w:gridSpan w:val="7"/>
            <w:tcBorders>
              <w:right w:val="single" w:color="auto" w:sz="4" w:space="0"/>
            </w:tcBorders>
            <w:vAlign w:val="center"/>
          </w:tcPr>
          <w:p w14:paraId="281C7C8A">
            <w:pPr>
              <w:spacing w:line="216" w:lineRule="auto"/>
              <w:jc w:val="center"/>
              <w:rPr>
                <w:sz w:val="18"/>
                <w:szCs w:val="18"/>
              </w:rPr>
            </w:pPr>
            <w:r>
              <w:rPr>
                <w:sz w:val="18"/>
                <w:szCs w:val="18"/>
              </w:rPr>
              <w:t>修复的难易程度</w:t>
            </w:r>
          </w:p>
        </w:tc>
      </w:tr>
      <w:tr w14:paraId="0C126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tcBorders>
              <w:right w:val="single" w:color="auto" w:sz="4" w:space="0"/>
            </w:tcBorders>
            <w:vAlign w:val="center"/>
          </w:tcPr>
          <w:p w14:paraId="4E211884">
            <w:pPr>
              <w:spacing w:line="216" w:lineRule="auto"/>
              <w:jc w:val="center"/>
              <w:rPr>
                <w:sz w:val="18"/>
                <w:szCs w:val="18"/>
              </w:rPr>
            </w:pPr>
          </w:p>
        </w:tc>
        <w:tc>
          <w:tcPr>
            <w:tcW w:w="2264" w:type="dxa"/>
            <w:gridSpan w:val="8"/>
            <w:tcBorders>
              <w:left w:val="single" w:color="auto" w:sz="4" w:space="0"/>
            </w:tcBorders>
            <w:vAlign w:val="center"/>
          </w:tcPr>
          <w:p w14:paraId="6EBC417B">
            <w:pPr>
              <w:spacing w:line="216" w:lineRule="auto"/>
              <w:jc w:val="center"/>
              <w:rPr>
                <w:sz w:val="18"/>
                <w:szCs w:val="18"/>
              </w:rPr>
            </w:pPr>
            <w:r>
              <w:rPr>
                <w:sz w:val="18"/>
                <w:szCs w:val="18"/>
              </w:rPr>
              <w:t>原生的自然景观</w:t>
            </w:r>
          </w:p>
        </w:tc>
        <w:tc>
          <w:tcPr>
            <w:tcW w:w="3417" w:type="dxa"/>
            <w:gridSpan w:val="11"/>
            <w:tcBorders>
              <w:right w:val="single" w:color="auto" w:sz="4" w:space="0"/>
            </w:tcBorders>
            <w:vAlign w:val="center"/>
          </w:tcPr>
          <w:p w14:paraId="3EA3635A">
            <w:pPr>
              <w:spacing w:line="216" w:lineRule="auto"/>
              <w:jc w:val="center"/>
              <w:rPr>
                <w:sz w:val="18"/>
                <w:szCs w:val="18"/>
              </w:rPr>
            </w:pPr>
          </w:p>
        </w:tc>
        <w:tc>
          <w:tcPr>
            <w:tcW w:w="4819" w:type="dxa"/>
            <w:gridSpan w:val="22"/>
            <w:tcBorders>
              <w:right w:val="single" w:color="auto" w:sz="4" w:space="0"/>
            </w:tcBorders>
            <w:vAlign w:val="center"/>
          </w:tcPr>
          <w:p w14:paraId="775423F1">
            <w:pPr>
              <w:spacing w:line="216" w:lineRule="auto"/>
              <w:jc w:val="center"/>
              <w:rPr>
                <w:sz w:val="18"/>
                <w:szCs w:val="18"/>
              </w:rPr>
            </w:pPr>
          </w:p>
        </w:tc>
        <w:tc>
          <w:tcPr>
            <w:tcW w:w="2161" w:type="dxa"/>
            <w:gridSpan w:val="7"/>
            <w:tcBorders>
              <w:right w:val="single" w:color="auto" w:sz="4" w:space="0"/>
            </w:tcBorders>
            <w:vAlign w:val="center"/>
          </w:tcPr>
          <w:p w14:paraId="32C96474">
            <w:pPr>
              <w:spacing w:line="216" w:lineRule="auto"/>
              <w:jc w:val="center"/>
              <w:rPr>
                <w:sz w:val="18"/>
                <w:szCs w:val="18"/>
              </w:rPr>
            </w:pPr>
          </w:p>
        </w:tc>
      </w:tr>
      <w:tr w14:paraId="7925E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0" w:hRule="atLeast"/>
        </w:trPr>
        <w:tc>
          <w:tcPr>
            <w:tcW w:w="1518" w:type="dxa"/>
            <w:vMerge w:val="restart"/>
            <w:vAlign w:val="center"/>
          </w:tcPr>
          <w:p w14:paraId="3A26D4F9">
            <w:pPr>
              <w:spacing w:line="216" w:lineRule="auto"/>
              <w:jc w:val="center"/>
              <w:rPr>
                <w:sz w:val="18"/>
                <w:szCs w:val="18"/>
              </w:rPr>
            </w:pPr>
            <w:r>
              <w:rPr>
                <w:sz w:val="18"/>
                <w:szCs w:val="18"/>
              </w:rPr>
              <w:t>采矿引起的</w:t>
            </w:r>
          </w:p>
          <w:p w14:paraId="5F92A892">
            <w:pPr>
              <w:spacing w:line="216" w:lineRule="auto"/>
              <w:jc w:val="center"/>
              <w:rPr>
                <w:sz w:val="18"/>
                <w:szCs w:val="18"/>
              </w:rPr>
            </w:pPr>
            <w:r>
              <w:rPr>
                <w:sz w:val="18"/>
                <w:szCs w:val="18"/>
              </w:rPr>
              <w:t>崩塌、滑坡、泥石流等</w:t>
            </w:r>
          </w:p>
          <w:p w14:paraId="1E73B248">
            <w:pPr>
              <w:spacing w:line="216" w:lineRule="auto"/>
              <w:jc w:val="center"/>
              <w:rPr>
                <w:sz w:val="18"/>
                <w:szCs w:val="18"/>
              </w:rPr>
            </w:pPr>
            <w:r>
              <w:rPr>
                <w:sz w:val="18"/>
                <w:szCs w:val="18"/>
              </w:rPr>
              <w:t>情况</w:t>
            </w:r>
          </w:p>
        </w:tc>
        <w:tc>
          <w:tcPr>
            <w:tcW w:w="754" w:type="dxa"/>
            <w:gridSpan w:val="2"/>
            <w:vMerge w:val="restart"/>
            <w:vAlign w:val="center"/>
          </w:tcPr>
          <w:p w14:paraId="7F0E8670">
            <w:pPr>
              <w:spacing w:line="216" w:lineRule="auto"/>
              <w:jc w:val="center"/>
              <w:rPr>
                <w:sz w:val="18"/>
                <w:szCs w:val="18"/>
              </w:rPr>
            </w:pPr>
            <w:r>
              <w:rPr>
                <w:sz w:val="18"/>
                <w:szCs w:val="18"/>
              </w:rPr>
              <w:t>种类</w:t>
            </w:r>
          </w:p>
        </w:tc>
        <w:tc>
          <w:tcPr>
            <w:tcW w:w="674" w:type="dxa"/>
            <w:gridSpan w:val="3"/>
            <w:vMerge w:val="restart"/>
            <w:vAlign w:val="center"/>
          </w:tcPr>
          <w:p w14:paraId="7F3B4B1E">
            <w:pPr>
              <w:spacing w:line="216" w:lineRule="auto"/>
              <w:jc w:val="center"/>
              <w:rPr>
                <w:sz w:val="18"/>
                <w:szCs w:val="18"/>
              </w:rPr>
            </w:pPr>
            <w:r>
              <w:rPr>
                <w:sz w:val="18"/>
                <w:szCs w:val="18"/>
              </w:rPr>
              <w:t>发生时间</w:t>
            </w:r>
          </w:p>
        </w:tc>
        <w:tc>
          <w:tcPr>
            <w:tcW w:w="836" w:type="dxa"/>
            <w:gridSpan w:val="3"/>
            <w:vMerge w:val="restart"/>
            <w:vAlign w:val="center"/>
          </w:tcPr>
          <w:p w14:paraId="7E71EB25">
            <w:pPr>
              <w:spacing w:line="216" w:lineRule="auto"/>
              <w:jc w:val="center"/>
              <w:rPr>
                <w:sz w:val="18"/>
                <w:szCs w:val="18"/>
              </w:rPr>
            </w:pPr>
            <w:r>
              <w:rPr>
                <w:sz w:val="18"/>
                <w:szCs w:val="18"/>
              </w:rPr>
              <w:t>发生</w:t>
            </w:r>
          </w:p>
          <w:p w14:paraId="4EADA76C">
            <w:pPr>
              <w:spacing w:line="216" w:lineRule="auto"/>
              <w:jc w:val="center"/>
              <w:rPr>
                <w:sz w:val="18"/>
                <w:szCs w:val="18"/>
              </w:rPr>
            </w:pPr>
            <w:r>
              <w:rPr>
                <w:sz w:val="18"/>
                <w:szCs w:val="18"/>
              </w:rPr>
              <w:t>地点</w:t>
            </w:r>
          </w:p>
        </w:tc>
        <w:tc>
          <w:tcPr>
            <w:tcW w:w="865" w:type="dxa"/>
            <w:gridSpan w:val="3"/>
            <w:vMerge w:val="restart"/>
            <w:vAlign w:val="center"/>
          </w:tcPr>
          <w:p w14:paraId="0DE45055">
            <w:pPr>
              <w:spacing w:line="216" w:lineRule="auto"/>
              <w:jc w:val="center"/>
              <w:rPr>
                <w:sz w:val="18"/>
                <w:szCs w:val="18"/>
              </w:rPr>
            </w:pPr>
            <w:r>
              <w:rPr>
                <w:sz w:val="18"/>
                <w:szCs w:val="18"/>
              </w:rPr>
              <w:t>规模</w:t>
            </w:r>
          </w:p>
        </w:tc>
        <w:tc>
          <w:tcPr>
            <w:tcW w:w="709" w:type="dxa"/>
            <w:gridSpan w:val="2"/>
            <w:vMerge w:val="restart"/>
            <w:vAlign w:val="center"/>
          </w:tcPr>
          <w:p w14:paraId="065759C2">
            <w:pPr>
              <w:spacing w:line="216" w:lineRule="auto"/>
              <w:jc w:val="center"/>
              <w:rPr>
                <w:sz w:val="18"/>
                <w:szCs w:val="18"/>
              </w:rPr>
            </w:pPr>
            <w:r>
              <w:rPr>
                <w:sz w:val="18"/>
                <w:szCs w:val="18"/>
              </w:rPr>
              <w:t>影响</w:t>
            </w:r>
          </w:p>
          <w:p w14:paraId="7656B53D">
            <w:pPr>
              <w:spacing w:line="216" w:lineRule="auto"/>
              <w:jc w:val="center"/>
              <w:rPr>
                <w:sz w:val="18"/>
                <w:szCs w:val="18"/>
              </w:rPr>
            </w:pPr>
            <w:r>
              <w:rPr>
                <w:sz w:val="18"/>
                <w:szCs w:val="18"/>
              </w:rPr>
              <w:t>范围(m</w:t>
            </w:r>
            <w:r>
              <w:rPr>
                <w:sz w:val="18"/>
                <w:szCs w:val="18"/>
                <w:vertAlign w:val="superscript"/>
              </w:rPr>
              <w:t>2</w:t>
            </w:r>
            <w:r>
              <w:rPr>
                <w:sz w:val="18"/>
                <w:szCs w:val="18"/>
              </w:rPr>
              <w:t>)</w:t>
            </w:r>
          </w:p>
        </w:tc>
        <w:tc>
          <w:tcPr>
            <w:tcW w:w="851" w:type="dxa"/>
            <w:gridSpan w:val="3"/>
            <w:vMerge w:val="restart"/>
            <w:vAlign w:val="center"/>
          </w:tcPr>
          <w:p w14:paraId="3A6FBB46">
            <w:pPr>
              <w:spacing w:line="216" w:lineRule="auto"/>
              <w:jc w:val="center"/>
              <w:rPr>
                <w:sz w:val="18"/>
                <w:szCs w:val="18"/>
              </w:rPr>
            </w:pPr>
            <w:r>
              <w:rPr>
                <w:sz w:val="18"/>
                <w:szCs w:val="18"/>
              </w:rPr>
              <w:t>体积</w:t>
            </w:r>
          </w:p>
          <w:p w14:paraId="24E37F75">
            <w:pPr>
              <w:spacing w:line="216" w:lineRule="auto"/>
              <w:jc w:val="center"/>
              <w:rPr>
                <w:sz w:val="18"/>
                <w:szCs w:val="18"/>
              </w:rPr>
            </w:pPr>
            <w:r>
              <w:rPr>
                <w:sz w:val="18"/>
                <w:szCs w:val="18"/>
              </w:rPr>
              <w:t>(m</w:t>
            </w:r>
            <w:r>
              <w:rPr>
                <w:sz w:val="18"/>
                <w:szCs w:val="18"/>
                <w:vertAlign w:val="superscript"/>
              </w:rPr>
              <w:t>3</w:t>
            </w:r>
            <w:r>
              <w:rPr>
                <w:sz w:val="18"/>
                <w:szCs w:val="18"/>
              </w:rPr>
              <w:t>)</w:t>
            </w:r>
          </w:p>
        </w:tc>
        <w:tc>
          <w:tcPr>
            <w:tcW w:w="6070" w:type="dxa"/>
            <w:gridSpan w:val="27"/>
            <w:vAlign w:val="center"/>
          </w:tcPr>
          <w:p w14:paraId="00689711">
            <w:pPr>
              <w:spacing w:line="216" w:lineRule="auto"/>
              <w:jc w:val="center"/>
              <w:rPr>
                <w:sz w:val="18"/>
                <w:szCs w:val="18"/>
              </w:rPr>
            </w:pPr>
            <w:r>
              <w:rPr>
                <w:sz w:val="18"/>
                <w:szCs w:val="18"/>
              </w:rPr>
              <w:t>危害</w:t>
            </w:r>
          </w:p>
        </w:tc>
        <w:tc>
          <w:tcPr>
            <w:tcW w:w="454" w:type="dxa"/>
            <w:gridSpan w:val="2"/>
            <w:vMerge w:val="restart"/>
            <w:vAlign w:val="center"/>
          </w:tcPr>
          <w:p w14:paraId="059A02E4">
            <w:pPr>
              <w:spacing w:line="216" w:lineRule="auto"/>
              <w:jc w:val="center"/>
              <w:rPr>
                <w:sz w:val="18"/>
                <w:szCs w:val="18"/>
              </w:rPr>
            </w:pPr>
            <w:r>
              <w:rPr>
                <w:sz w:val="18"/>
                <w:szCs w:val="18"/>
              </w:rPr>
              <w:t>发生</w:t>
            </w:r>
          </w:p>
          <w:p w14:paraId="2029A7DA">
            <w:pPr>
              <w:spacing w:line="216" w:lineRule="auto"/>
              <w:jc w:val="center"/>
              <w:rPr>
                <w:sz w:val="18"/>
                <w:szCs w:val="18"/>
              </w:rPr>
            </w:pPr>
            <w:r>
              <w:rPr>
                <w:sz w:val="18"/>
                <w:szCs w:val="18"/>
              </w:rPr>
              <w:t>原因</w:t>
            </w:r>
          </w:p>
        </w:tc>
        <w:tc>
          <w:tcPr>
            <w:tcW w:w="455" w:type="dxa"/>
            <w:gridSpan w:val="2"/>
            <w:vMerge w:val="restart"/>
            <w:vAlign w:val="center"/>
          </w:tcPr>
          <w:p w14:paraId="1C3FD657">
            <w:pPr>
              <w:spacing w:line="216" w:lineRule="auto"/>
              <w:jc w:val="center"/>
              <w:rPr>
                <w:sz w:val="18"/>
                <w:szCs w:val="18"/>
              </w:rPr>
            </w:pPr>
            <w:r>
              <w:rPr>
                <w:sz w:val="18"/>
                <w:szCs w:val="18"/>
              </w:rPr>
              <w:t>防治</w:t>
            </w:r>
          </w:p>
          <w:p w14:paraId="2DECDAD4">
            <w:pPr>
              <w:spacing w:line="216" w:lineRule="auto"/>
              <w:jc w:val="center"/>
              <w:rPr>
                <w:sz w:val="18"/>
                <w:szCs w:val="18"/>
              </w:rPr>
            </w:pPr>
            <w:r>
              <w:rPr>
                <w:sz w:val="18"/>
                <w:szCs w:val="18"/>
              </w:rPr>
              <w:t>情况</w:t>
            </w:r>
          </w:p>
        </w:tc>
        <w:tc>
          <w:tcPr>
            <w:tcW w:w="993" w:type="dxa"/>
            <w:vMerge w:val="restart"/>
            <w:vAlign w:val="center"/>
          </w:tcPr>
          <w:p w14:paraId="505DC40E">
            <w:pPr>
              <w:spacing w:line="216" w:lineRule="auto"/>
              <w:jc w:val="center"/>
              <w:rPr>
                <w:sz w:val="18"/>
                <w:szCs w:val="18"/>
              </w:rPr>
            </w:pPr>
            <w:r>
              <w:rPr>
                <w:sz w:val="18"/>
                <w:szCs w:val="18"/>
              </w:rPr>
              <w:t>治理面积(m</w:t>
            </w:r>
            <w:r>
              <w:rPr>
                <w:sz w:val="18"/>
                <w:szCs w:val="18"/>
                <w:vertAlign w:val="superscript"/>
              </w:rPr>
              <w:t>2</w:t>
            </w:r>
            <w:r>
              <w:rPr>
                <w:sz w:val="18"/>
                <w:szCs w:val="18"/>
              </w:rPr>
              <w:t>)</w:t>
            </w:r>
          </w:p>
        </w:tc>
      </w:tr>
      <w:tr w14:paraId="4BF1A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01269CD4">
            <w:pPr>
              <w:spacing w:line="216" w:lineRule="auto"/>
              <w:jc w:val="center"/>
              <w:rPr>
                <w:sz w:val="18"/>
                <w:szCs w:val="18"/>
              </w:rPr>
            </w:pPr>
          </w:p>
        </w:tc>
        <w:tc>
          <w:tcPr>
            <w:tcW w:w="754" w:type="dxa"/>
            <w:gridSpan w:val="2"/>
            <w:vMerge w:val="continue"/>
            <w:vAlign w:val="center"/>
          </w:tcPr>
          <w:p w14:paraId="257C87D4">
            <w:pPr>
              <w:spacing w:line="216" w:lineRule="auto"/>
              <w:jc w:val="center"/>
              <w:rPr>
                <w:sz w:val="18"/>
                <w:szCs w:val="18"/>
              </w:rPr>
            </w:pPr>
          </w:p>
        </w:tc>
        <w:tc>
          <w:tcPr>
            <w:tcW w:w="674" w:type="dxa"/>
            <w:gridSpan w:val="3"/>
            <w:vMerge w:val="continue"/>
            <w:vAlign w:val="center"/>
          </w:tcPr>
          <w:p w14:paraId="389FAA68">
            <w:pPr>
              <w:spacing w:line="216" w:lineRule="auto"/>
              <w:jc w:val="center"/>
              <w:rPr>
                <w:sz w:val="18"/>
                <w:szCs w:val="18"/>
              </w:rPr>
            </w:pPr>
          </w:p>
        </w:tc>
        <w:tc>
          <w:tcPr>
            <w:tcW w:w="836" w:type="dxa"/>
            <w:gridSpan w:val="3"/>
            <w:vMerge w:val="continue"/>
            <w:vAlign w:val="center"/>
          </w:tcPr>
          <w:p w14:paraId="748D65C1">
            <w:pPr>
              <w:spacing w:line="216" w:lineRule="auto"/>
              <w:jc w:val="center"/>
              <w:rPr>
                <w:sz w:val="18"/>
                <w:szCs w:val="18"/>
              </w:rPr>
            </w:pPr>
          </w:p>
        </w:tc>
        <w:tc>
          <w:tcPr>
            <w:tcW w:w="865" w:type="dxa"/>
            <w:gridSpan w:val="3"/>
            <w:vMerge w:val="continue"/>
            <w:vAlign w:val="center"/>
          </w:tcPr>
          <w:p w14:paraId="793ADE68">
            <w:pPr>
              <w:spacing w:line="216" w:lineRule="auto"/>
              <w:jc w:val="center"/>
              <w:rPr>
                <w:sz w:val="18"/>
                <w:szCs w:val="18"/>
              </w:rPr>
            </w:pPr>
          </w:p>
        </w:tc>
        <w:tc>
          <w:tcPr>
            <w:tcW w:w="709" w:type="dxa"/>
            <w:gridSpan w:val="2"/>
            <w:vMerge w:val="continue"/>
            <w:vAlign w:val="center"/>
          </w:tcPr>
          <w:p w14:paraId="6E6BEEEE">
            <w:pPr>
              <w:spacing w:line="216" w:lineRule="auto"/>
              <w:jc w:val="center"/>
              <w:rPr>
                <w:sz w:val="18"/>
                <w:szCs w:val="18"/>
              </w:rPr>
            </w:pPr>
          </w:p>
        </w:tc>
        <w:tc>
          <w:tcPr>
            <w:tcW w:w="851" w:type="dxa"/>
            <w:gridSpan w:val="3"/>
            <w:vMerge w:val="continue"/>
            <w:vAlign w:val="center"/>
          </w:tcPr>
          <w:p w14:paraId="3C6B9A1E">
            <w:pPr>
              <w:spacing w:line="216" w:lineRule="auto"/>
              <w:jc w:val="center"/>
              <w:rPr>
                <w:sz w:val="18"/>
                <w:szCs w:val="18"/>
              </w:rPr>
            </w:pPr>
          </w:p>
        </w:tc>
        <w:tc>
          <w:tcPr>
            <w:tcW w:w="992" w:type="dxa"/>
            <w:gridSpan w:val="3"/>
            <w:vAlign w:val="center"/>
          </w:tcPr>
          <w:p w14:paraId="26A44618">
            <w:pPr>
              <w:spacing w:line="216" w:lineRule="auto"/>
              <w:jc w:val="center"/>
              <w:rPr>
                <w:sz w:val="18"/>
                <w:szCs w:val="18"/>
              </w:rPr>
            </w:pPr>
            <w:r>
              <w:rPr>
                <w:sz w:val="18"/>
                <w:szCs w:val="18"/>
              </w:rPr>
              <w:t>死亡人数</w:t>
            </w:r>
          </w:p>
          <w:p w14:paraId="69D66560">
            <w:pPr>
              <w:spacing w:line="216" w:lineRule="auto"/>
              <w:jc w:val="center"/>
              <w:rPr>
                <w:sz w:val="18"/>
                <w:szCs w:val="18"/>
              </w:rPr>
            </w:pPr>
            <w:r>
              <w:rPr>
                <w:sz w:val="18"/>
                <w:szCs w:val="18"/>
              </w:rPr>
              <w:t>(人)</w:t>
            </w:r>
          </w:p>
        </w:tc>
        <w:tc>
          <w:tcPr>
            <w:tcW w:w="1736" w:type="dxa"/>
            <w:gridSpan w:val="7"/>
            <w:vAlign w:val="center"/>
          </w:tcPr>
          <w:p w14:paraId="6FC7239F">
            <w:pPr>
              <w:spacing w:line="216" w:lineRule="auto"/>
              <w:jc w:val="center"/>
              <w:rPr>
                <w:sz w:val="18"/>
                <w:szCs w:val="18"/>
              </w:rPr>
            </w:pPr>
            <w:r>
              <w:rPr>
                <w:sz w:val="18"/>
                <w:szCs w:val="18"/>
              </w:rPr>
              <w:t>受伤人数</w:t>
            </w:r>
          </w:p>
          <w:p w14:paraId="7281F72D">
            <w:pPr>
              <w:spacing w:line="216" w:lineRule="auto"/>
              <w:jc w:val="center"/>
              <w:rPr>
                <w:sz w:val="18"/>
                <w:szCs w:val="18"/>
              </w:rPr>
            </w:pPr>
            <w:r>
              <w:rPr>
                <w:sz w:val="18"/>
                <w:szCs w:val="18"/>
              </w:rPr>
              <w:t>(人)</w:t>
            </w:r>
          </w:p>
        </w:tc>
        <w:tc>
          <w:tcPr>
            <w:tcW w:w="937" w:type="dxa"/>
            <w:gridSpan w:val="5"/>
            <w:vAlign w:val="center"/>
          </w:tcPr>
          <w:p w14:paraId="59E5A5AA">
            <w:pPr>
              <w:spacing w:line="216" w:lineRule="auto"/>
              <w:jc w:val="center"/>
              <w:rPr>
                <w:sz w:val="18"/>
                <w:szCs w:val="18"/>
              </w:rPr>
            </w:pPr>
            <w:r>
              <w:rPr>
                <w:sz w:val="18"/>
                <w:szCs w:val="18"/>
              </w:rPr>
              <w:t>破坏房屋</w:t>
            </w:r>
          </w:p>
          <w:p w14:paraId="7E7126A8">
            <w:pPr>
              <w:spacing w:line="216" w:lineRule="auto"/>
              <w:jc w:val="center"/>
              <w:rPr>
                <w:sz w:val="18"/>
                <w:szCs w:val="18"/>
              </w:rPr>
            </w:pPr>
            <w:r>
              <w:rPr>
                <w:sz w:val="18"/>
                <w:szCs w:val="18"/>
              </w:rPr>
              <w:t>(间)</w:t>
            </w:r>
          </w:p>
        </w:tc>
        <w:tc>
          <w:tcPr>
            <w:tcW w:w="958" w:type="dxa"/>
            <w:gridSpan w:val="4"/>
            <w:vAlign w:val="center"/>
          </w:tcPr>
          <w:p w14:paraId="55A9F318">
            <w:pPr>
              <w:spacing w:line="216" w:lineRule="auto"/>
              <w:jc w:val="center"/>
              <w:rPr>
                <w:sz w:val="18"/>
                <w:szCs w:val="18"/>
              </w:rPr>
            </w:pPr>
            <w:r>
              <w:rPr>
                <w:sz w:val="18"/>
                <w:szCs w:val="18"/>
              </w:rPr>
              <w:t>毁坏土地(m</w:t>
            </w:r>
            <w:r>
              <w:rPr>
                <w:sz w:val="18"/>
                <w:szCs w:val="18"/>
                <w:vertAlign w:val="superscript"/>
              </w:rPr>
              <w:t>2</w:t>
            </w:r>
            <w:r>
              <w:rPr>
                <w:sz w:val="18"/>
                <w:szCs w:val="18"/>
              </w:rPr>
              <w:t>)</w:t>
            </w:r>
          </w:p>
        </w:tc>
        <w:tc>
          <w:tcPr>
            <w:tcW w:w="1447" w:type="dxa"/>
            <w:gridSpan w:val="8"/>
            <w:vAlign w:val="center"/>
          </w:tcPr>
          <w:p w14:paraId="6C7D6244">
            <w:pPr>
              <w:spacing w:line="216" w:lineRule="auto"/>
              <w:jc w:val="center"/>
              <w:rPr>
                <w:sz w:val="18"/>
                <w:szCs w:val="18"/>
              </w:rPr>
            </w:pPr>
            <w:r>
              <w:rPr>
                <w:sz w:val="18"/>
                <w:szCs w:val="18"/>
              </w:rPr>
              <w:t>直接经济损失(万元)</w:t>
            </w:r>
          </w:p>
        </w:tc>
        <w:tc>
          <w:tcPr>
            <w:tcW w:w="454" w:type="dxa"/>
            <w:gridSpan w:val="2"/>
            <w:vMerge w:val="continue"/>
            <w:vAlign w:val="center"/>
          </w:tcPr>
          <w:p w14:paraId="18380714">
            <w:pPr>
              <w:spacing w:line="216" w:lineRule="auto"/>
              <w:jc w:val="center"/>
              <w:rPr>
                <w:sz w:val="18"/>
                <w:szCs w:val="18"/>
              </w:rPr>
            </w:pPr>
          </w:p>
        </w:tc>
        <w:tc>
          <w:tcPr>
            <w:tcW w:w="455" w:type="dxa"/>
            <w:gridSpan w:val="2"/>
            <w:vMerge w:val="continue"/>
            <w:vAlign w:val="center"/>
          </w:tcPr>
          <w:p w14:paraId="45EC2CA7">
            <w:pPr>
              <w:spacing w:line="216" w:lineRule="auto"/>
              <w:jc w:val="center"/>
              <w:rPr>
                <w:sz w:val="18"/>
                <w:szCs w:val="18"/>
              </w:rPr>
            </w:pPr>
          </w:p>
        </w:tc>
        <w:tc>
          <w:tcPr>
            <w:tcW w:w="993" w:type="dxa"/>
            <w:vMerge w:val="continue"/>
            <w:vAlign w:val="center"/>
          </w:tcPr>
          <w:p w14:paraId="4FC3CDD3">
            <w:pPr>
              <w:spacing w:line="216" w:lineRule="auto"/>
              <w:jc w:val="center"/>
              <w:rPr>
                <w:sz w:val="18"/>
                <w:szCs w:val="18"/>
              </w:rPr>
            </w:pPr>
          </w:p>
        </w:tc>
      </w:tr>
      <w:tr w14:paraId="33302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4DD0A0FC">
            <w:pPr>
              <w:spacing w:line="216" w:lineRule="auto"/>
              <w:jc w:val="center"/>
              <w:rPr>
                <w:sz w:val="18"/>
                <w:szCs w:val="18"/>
              </w:rPr>
            </w:pPr>
          </w:p>
        </w:tc>
        <w:tc>
          <w:tcPr>
            <w:tcW w:w="754" w:type="dxa"/>
            <w:gridSpan w:val="2"/>
            <w:vAlign w:val="center"/>
          </w:tcPr>
          <w:p w14:paraId="61E033CE">
            <w:pPr>
              <w:spacing w:line="216" w:lineRule="auto"/>
              <w:jc w:val="center"/>
              <w:rPr>
                <w:sz w:val="18"/>
                <w:szCs w:val="18"/>
              </w:rPr>
            </w:pPr>
            <w:r>
              <w:rPr>
                <w:sz w:val="18"/>
                <w:szCs w:val="18"/>
              </w:rPr>
              <w:t>0</w:t>
            </w:r>
          </w:p>
        </w:tc>
        <w:tc>
          <w:tcPr>
            <w:tcW w:w="674" w:type="dxa"/>
            <w:gridSpan w:val="3"/>
            <w:vAlign w:val="center"/>
          </w:tcPr>
          <w:p w14:paraId="05ECBE98">
            <w:pPr>
              <w:spacing w:line="216" w:lineRule="auto"/>
              <w:jc w:val="center"/>
              <w:rPr>
                <w:sz w:val="18"/>
                <w:szCs w:val="18"/>
              </w:rPr>
            </w:pPr>
            <w:r>
              <w:rPr>
                <w:sz w:val="18"/>
                <w:szCs w:val="18"/>
              </w:rPr>
              <w:t>0</w:t>
            </w:r>
          </w:p>
        </w:tc>
        <w:tc>
          <w:tcPr>
            <w:tcW w:w="836" w:type="dxa"/>
            <w:gridSpan w:val="3"/>
            <w:vAlign w:val="center"/>
          </w:tcPr>
          <w:p w14:paraId="7E74A3CD">
            <w:pPr>
              <w:spacing w:line="216" w:lineRule="auto"/>
              <w:jc w:val="center"/>
              <w:rPr>
                <w:sz w:val="18"/>
                <w:szCs w:val="18"/>
              </w:rPr>
            </w:pPr>
            <w:r>
              <w:rPr>
                <w:sz w:val="18"/>
                <w:szCs w:val="18"/>
              </w:rPr>
              <w:t>0</w:t>
            </w:r>
          </w:p>
        </w:tc>
        <w:tc>
          <w:tcPr>
            <w:tcW w:w="865" w:type="dxa"/>
            <w:gridSpan w:val="3"/>
            <w:vAlign w:val="center"/>
          </w:tcPr>
          <w:p w14:paraId="2B23D3AD">
            <w:pPr>
              <w:spacing w:line="216" w:lineRule="auto"/>
              <w:jc w:val="center"/>
              <w:rPr>
                <w:sz w:val="18"/>
                <w:szCs w:val="18"/>
              </w:rPr>
            </w:pPr>
            <w:r>
              <w:rPr>
                <w:sz w:val="18"/>
                <w:szCs w:val="18"/>
              </w:rPr>
              <w:t>0</w:t>
            </w:r>
          </w:p>
        </w:tc>
        <w:tc>
          <w:tcPr>
            <w:tcW w:w="709" w:type="dxa"/>
            <w:gridSpan w:val="2"/>
            <w:vAlign w:val="center"/>
          </w:tcPr>
          <w:p w14:paraId="5D8DDDDB">
            <w:pPr>
              <w:spacing w:line="216" w:lineRule="auto"/>
              <w:jc w:val="center"/>
              <w:rPr>
                <w:sz w:val="18"/>
                <w:szCs w:val="18"/>
              </w:rPr>
            </w:pPr>
            <w:r>
              <w:rPr>
                <w:sz w:val="18"/>
                <w:szCs w:val="18"/>
              </w:rPr>
              <w:t>0</w:t>
            </w:r>
          </w:p>
        </w:tc>
        <w:tc>
          <w:tcPr>
            <w:tcW w:w="851" w:type="dxa"/>
            <w:gridSpan w:val="3"/>
            <w:vAlign w:val="center"/>
          </w:tcPr>
          <w:p w14:paraId="6D316ECE">
            <w:pPr>
              <w:spacing w:line="216" w:lineRule="auto"/>
              <w:jc w:val="center"/>
              <w:rPr>
                <w:sz w:val="18"/>
                <w:szCs w:val="18"/>
              </w:rPr>
            </w:pPr>
            <w:r>
              <w:rPr>
                <w:sz w:val="18"/>
                <w:szCs w:val="18"/>
              </w:rPr>
              <w:t>0</w:t>
            </w:r>
          </w:p>
        </w:tc>
        <w:tc>
          <w:tcPr>
            <w:tcW w:w="992" w:type="dxa"/>
            <w:gridSpan w:val="3"/>
            <w:vAlign w:val="center"/>
          </w:tcPr>
          <w:p w14:paraId="06000E8D">
            <w:pPr>
              <w:spacing w:line="216" w:lineRule="auto"/>
              <w:jc w:val="center"/>
              <w:rPr>
                <w:sz w:val="18"/>
                <w:szCs w:val="18"/>
              </w:rPr>
            </w:pPr>
            <w:r>
              <w:rPr>
                <w:sz w:val="18"/>
                <w:szCs w:val="18"/>
              </w:rPr>
              <w:t>0</w:t>
            </w:r>
          </w:p>
        </w:tc>
        <w:tc>
          <w:tcPr>
            <w:tcW w:w="1736" w:type="dxa"/>
            <w:gridSpan w:val="7"/>
            <w:vAlign w:val="center"/>
          </w:tcPr>
          <w:p w14:paraId="5F38AA18">
            <w:pPr>
              <w:spacing w:line="216" w:lineRule="auto"/>
              <w:jc w:val="center"/>
              <w:rPr>
                <w:sz w:val="18"/>
                <w:szCs w:val="18"/>
              </w:rPr>
            </w:pPr>
            <w:r>
              <w:rPr>
                <w:sz w:val="18"/>
                <w:szCs w:val="18"/>
              </w:rPr>
              <w:t>0</w:t>
            </w:r>
          </w:p>
        </w:tc>
        <w:tc>
          <w:tcPr>
            <w:tcW w:w="937" w:type="dxa"/>
            <w:gridSpan w:val="5"/>
            <w:vAlign w:val="center"/>
          </w:tcPr>
          <w:p w14:paraId="643CD7C0">
            <w:pPr>
              <w:spacing w:line="216" w:lineRule="auto"/>
              <w:jc w:val="center"/>
              <w:rPr>
                <w:sz w:val="18"/>
                <w:szCs w:val="18"/>
              </w:rPr>
            </w:pPr>
            <w:r>
              <w:rPr>
                <w:sz w:val="18"/>
                <w:szCs w:val="18"/>
              </w:rPr>
              <w:t>0</w:t>
            </w:r>
          </w:p>
        </w:tc>
        <w:tc>
          <w:tcPr>
            <w:tcW w:w="958" w:type="dxa"/>
            <w:gridSpan w:val="4"/>
            <w:vAlign w:val="center"/>
          </w:tcPr>
          <w:p w14:paraId="3018F822">
            <w:pPr>
              <w:spacing w:line="216" w:lineRule="auto"/>
              <w:jc w:val="center"/>
              <w:rPr>
                <w:sz w:val="18"/>
                <w:szCs w:val="18"/>
              </w:rPr>
            </w:pPr>
            <w:r>
              <w:rPr>
                <w:sz w:val="18"/>
                <w:szCs w:val="18"/>
              </w:rPr>
              <w:t>0</w:t>
            </w:r>
          </w:p>
        </w:tc>
        <w:tc>
          <w:tcPr>
            <w:tcW w:w="1447" w:type="dxa"/>
            <w:gridSpan w:val="8"/>
            <w:vAlign w:val="center"/>
          </w:tcPr>
          <w:p w14:paraId="240537FB">
            <w:pPr>
              <w:spacing w:line="216" w:lineRule="auto"/>
              <w:jc w:val="center"/>
              <w:rPr>
                <w:sz w:val="18"/>
                <w:szCs w:val="18"/>
              </w:rPr>
            </w:pPr>
            <w:r>
              <w:rPr>
                <w:sz w:val="18"/>
                <w:szCs w:val="18"/>
              </w:rPr>
              <w:t>0</w:t>
            </w:r>
          </w:p>
        </w:tc>
        <w:tc>
          <w:tcPr>
            <w:tcW w:w="454" w:type="dxa"/>
            <w:gridSpan w:val="2"/>
            <w:vAlign w:val="center"/>
          </w:tcPr>
          <w:p w14:paraId="31ECE597">
            <w:pPr>
              <w:spacing w:line="216" w:lineRule="auto"/>
              <w:jc w:val="center"/>
              <w:rPr>
                <w:sz w:val="18"/>
                <w:szCs w:val="18"/>
              </w:rPr>
            </w:pPr>
            <w:r>
              <w:rPr>
                <w:sz w:val="18"/>
                <w:szCs w:val="18"/>
              </w:rPr>
              <w:t>0</w:t>
            </w:r>
          </w:p>
        </w:tc>
        <w:tc>
          <w:tcPr>
            <w:tcW w:w="455" w:type="dxa"/>
            <w:gridSpan w:val="2"/>
            <w:vMerge w:val="restart"/>
            <w:vAlign w:val="center"/>
          </w:tcPr>
          <w:p w14:paraId="7780351D">
            <w:pPr>
              <w:spacing w:line="216" w:lineRule="auto"/>
              <w:jc w:val="center"/>
              <w:rPr>
                <w:sz w:val="18"/>
                <w:szCs w:val="18"/>
              </w:rPr>
            </w:pPr>
            <w:r>
              <w:rPr>
                <w:sz w:val="18"/>
                <w:szCs w:val="18"/>
              </w:rPr>
              <w:t>0</w:t>
            </w:r>
          </w:p>
        </w:tc>
        <w:tc>
          <w:tcPr>
            <w:tcW w:w="993" w:type="dxa"/>
            <w:vMerge w:val="restart"/>
            <w:vAlign w:val="center"/>
          </w:tcPr>
          <w:p w14:paraId="5AD002A7">
            <w:pPr>
              <w:spacing w:line="216" w:lineRule="auto"/>
              <w:jc w:val="center"/>
              <w:rPr>
                <w:sz w:val="18"/>
                <w:szCs w:val="18"/>
              </w:rPr>
            </w:pPr>
            <w:r>
              <w:rPr>
                <w:sz w:val="18"/>
                <w:szCs w:val="18"/>
              </w:rPr>
              <w:t>0</w:t>
            </w:r>
          </w:p>
        </w:tc>
      </w:tr>
      <w:tr w14:paraId="25B84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5807620A">
            <w:pPr>
              <w:spacing w:line="216" w:lineRule="auto"/>
              <w:jc w:val="center"/>
              <w:rPr>
                <w:sz w:val="18"/>
                <w:szCs w:val="18"/>
              </w:rPr>
            </w:pPr>
          </w:p>
        </w:tc>
        <w:tc>
          <w:tcPr>
            <w:tcW w:w="754" w:type="dxa"/>
            <w:gridSpan w:val="2"/>
            <w:vAlign w:val="center"/>
          </w:tcPr>
          <w:p w14:paraId="56CBF3F1">
            <w:pPr>
              <w:spacing w:line="216" w:lineRule="auto"/>
              <w:jc w:val="center"/>
              <w:rPr>
                <w:sz w:val="18"/>
                <w:szCs w:val="18"/>
              </w:rPr>
            </w:pPr>
            <w:r>
              <w:rPr>
                <w:sz w:val="18"/>
                <w:szCs w:val="18"/>
              </w:rPr>
              <w:t>0</w:t>
            </w:r>
          </w:p>
        </w:tc>
        <w:tc>
          <w:tcPr>
            <w:tcW w:w="674" w:type="dxa"/>
            <w:gridSpan w:val="3"/>
            <w:vAlign w:val="center"/>
          </w:tcPr>
          <w:p w14:paraId="61F80F84">
            <w:pPr>
              <w:spacing w:line="216" w:lineRule="auto"/>
              <w:jc w:val="center"/>
              <w:rPr>
                <w:sz w:val="18"/>
                <w:szCs w:val="18"/>
              </w:rPr>
            </w:pPr>
            <w:r>
              <w:rPr>
                <w:sz w:val="18"/>
                <w:szCs w:val="18"/>
              </w:rPr>
              <w:t>0</w:t>
            </w:r>
          </w:p>
        </w:tc>
        <w:tc>
          <w:tcPr>
            <w:tcW w:w="836" w:type="dxa"/>
            <w:gridSpan w:val="3"/>
            <w:vAlign w:val="center"/>
          </w:tcPr>
          <w:p w14:paraId="1BA04F71">
            <w:pPr>
              <w:spacing w:line="216" w:lineRule="auto"/>
              <w:jc w:val="center"/>
              <w:rPr>
                <w:sz w:val="18"/>
                <w:szCs w:val="18"/>
              </w:rPr>
            </w:pPr>
            <w:r>
              <w:rPr>
                <w:sz w:val="18"/>
                <w:szCs w:val="18"/>
              </w:rPr>
              <w:t>0</w:t>
            </w:r>
          </w:p>
        </w:tc>
        <w:tc>
          <w:tcPr>
            <w:tcW w:w="865" w:type="dxa"/>
            <w:gridSpan w:val="3"/>
            <w:vAlign w:val="center"/>
          </w:tcPr>
          <w:p w14:paraId="701BD7D0">
            <w:pPr>
              <w:spacing w:line="216" w:lineRule="auto"/>
              <w:jc w:val="center"/>
              <w:rPr>
                <w:sz w:val="18"/>
                <w:szCs w:val="18"/>
              </w:rPr>
            </w:pPr>
            <w:r>
              <w:rPr>
                <w:sz w:val="18"/>
                <w:szCs w:val="18"/>
              </w:rPr>
              <w:t>0</w:t>
            </w:r>
          </w:p>
        </w:tc>
        <w:tc>
          <w:tcPr>
            <w:tcW w:w="709" w:type="dxa"/>
            <w:gridSpan w:val="2"/>
            <w:vAlign w:val="center"/>
          </w:tcPr>
          <w:p w14:paraId="31F6D65F">
            <w:pPr>
              <w:spacing w:line="216" w:lineRule="auto"/>
              <w:jc w:val="center"/>
              <w:rPr>
                <w:sz w:val="18"/>
                <w:szCs w:val="18"/>
              </w:rPr>
            </w:pPr>
            <w:r>
              <w:rPr>
                <w:sz w:val="18"/>
                <w:szCs w:val="18"/>
              </w:rPr>
              <w:t>0</w:t>
            </w:r>
          </w:p>
        </w:tc>
        <w:tc>
          <w:tcPr>
            <w:tcW w:w="851" w:type="dxa"/>
            <w:gridSpan w:val="3"/>
            <w:vAlign w:val="center"/>
          </w:tcPr>
          <w:p w14:paraId="09701372">
            <w:pPr>
              <w:spacing w:line="216" w:lineRule="auto"/>
              <w:jc w:val="center"/>
              <w:rPr>
                <w:sz w:val="18"/>
                <w:szCs w:val="18"/>
              </w:rPr>
            </w:pPr>
            <w:r>
              <w:rPr>
                <w:sz w:val="18"/>
                <w:szCs w:val="18"/>
              </w:rPr>
              <w:t>0</w:t>
            </w:r>
          </w:p>
        </w:tc>
        <w:tc>
          <w:tcPr>
            <w:tcW w:w="992" w:type="dxa"/>
            <w:gridSpan w:val="3"/>
            <w:vAlign w:val="center"/>
          </w:tcPr>
          <w:p w14:paraId="2D8F6CED">
            <w:pPr>
              <w:spacing w:line="216" w:lineRule="auto"/>
              <w:jc w:val="center"/>
              <w:rPr>
                <w:sz w:val="18"/>
                <w:szCs w:val="18"/>
              </w:rPr>
            </w:pPr>
            <w:r>
              <w:rPr>
                <w:sz w:val="18"/>
                <w:szCs w:val="18"/>
              </w:rPr>
              <w:t>0</w:t>
            </w:r>
          </w:p>
        </w:tc>
        <w:tc>
          <w:tcPr>
            <w:tcW w:w="1736" w:type="dxa"/>
            <w:gridSpan w:val="7"/>
            <w:vAlign w:val="center"/>
          </w:tcPr>
          <w:p w14:paraId="01B1C1D6">
            <w:pPr>
              <w:spacing w:line="216" w:lineRule="auto"/>
              <w:jc w:val="center"/>
              <w:rPr>
                <w:sz w:val="18"/>
                <w:szCs w:val="18"/>
              </w:rPr>
            </w:pPr>
            <w:r>
              <w:rPr>
                <w:sz w:val="18"/>
                <w:szCs w:val="18"/>
              </w:rPr>
              <w:t>0</w:t>
            </w:r>
          </w:p>
        </w:tc>
        <w:tc>
          <w:tcPr>
            <w:tcW w:w="937" w:type="dxa"/>
            <w:gridSpan w:val="5"/>
            <w:vAlign w:val="center"/>
          </w:tcPr>
          <w:p w14:paraId="4C7ADBA8">
            <w:pPr>
              <w:spacing w:line="216" w:lineRule="auto"/>
              <w:jc w:val="center"/>
              <w:rPr>
                <w:sz w:val="18"/>
                <w:szCs w:val="18"/>
              </w:rPr>
            </w:pPr>
            <w:r>
              <w:rPr>
                <w:sz w:val="18"/>
                <w:szCs w:val="18"/>
              </w:rPr>
              <w:t>0</w:t>
            </w:r>
          </w:p>
        </w:tc>
        <w:tc>
          <w:tcPr>
            <w:tcW w:w="958" w:type="dxa"/>
            <w:gridSpan w:val="4"/>
            <w:vAlign w:val="center"/>
          </w:tcPr>
          <w:p w14:paraId="09EA0B5C">
            <w:pPr>
              <w:spacing w:line="216" w:lineRule="auto"/>
              <w:jc w:val="center"/>
              <w:rPr>
                <w:sz w:val="18"/>
                <w:szCs w:val="18"/>
              </w:rPr>
            </w:pPr>
            <w:r>
              <w:rPr>
                <w:sz w:val="18"/>
                <w:szCs w:val="18"/>
              </w:rPr>
              <w:t>0</w:t>
            </w:r>
          </w:p>
        </w:tc>
        <w:tc>
          <w:tcPr>
            <w:tcW w:w="1447" w:type="dxa"/>
            <w:gridSpan w:val="8"/>
            <w:vAlign w:val="center"/>
          </w:tcPr>
          <w:p w14:paraId="628231DE">
            <w:pPr>
              <w:spacing w:line="216" w:lineRule="auto"/>
              <w:jc w:val="center"/>
              <w:rPr>
                <w:sz w:val="18"/>
                <w:szCs w:val="18"/>
              </w:rPr>
            </w:pPr>
            <w:r>
              <w:rPr>
                <w:sz w:val="18"/>
                <w:szCs w:val="18"/>
              </w:rPr>
              <w:t>0</w:t>
            </w:r>
          </w:p>
        </w:tc>
        <w:tc>
          <w:tcPr>
            <w:tcW w:w="454" w:type="dxa"/>
            <w:gridSpan w:val="2"/>
            <w:vAlign w:val="center"/>
          </w:tcPr>
          <w:p w14:paraId="04039419">
            <w:pPr>
              <w:spacing w:line="216" w:lineRule="auto"/>
              <w:jc w:val="center"/>
              <w:rPr>
                <w:sz w:val="18"/>
                <w:szCs w:val="18"/>
              </w:rPr>
            </w:pPr>
            <w:r>
              <w:rPr>
                <w:sz w:val="18"/>
                <w:szCs w:val="18"/>
              </w:rPr>
              <w:t>0</w:t>
            </w:r>
          </w:p>
        </w:tc>
        <w:tc>
          <w:tcPr>
            <w:tcW w:w="455" w:type="dxa"/>
            <w:gridSpan w:val="2"/>
            <w:vMerge w:val="continue"/>
            <w:vAlign w:val="center"/>
          </w:tcPr>
          <w:p w14:paraId="406487E6">
            <w:pPr>
              <w:spacing w:line="216" w:lineRule="auto"/>
              <w:jc w:val="center"/>
              <w:rPr>
                <w:sz w:val="18"/>
                <w:szCs w:val="18"/>
              </w:rPr>
            </w:pPr>
          </w:p>
        </w:tc>
        <w:tc>
          <w:tcPr>
            <w:tcW w:w="993" w:type="dxa"/>
            <w:vMerge w:val="continue"/>
            <w:vAlign w:val="center"/>
          </w:tcPr>
          <w:p w14:paraId="7E08E211">
            <w:pPr>
              <w:spacing w:line="216" w:lineRule="auto"/>
              <w:jc w:val="center"/>
              <w:rPr>
                <w:sz w:val="18"/>
                <w:szCs w:val="18"/>
              </w:rPr>
            </w:pPr>
          </w:p>
        </w:tc>
      </w:tr>
      <w:tr w14:paraId="6EECA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restart"/>
            <w:vAlign w:val="center"/>
          </w:tcPr>
          <w:p w14:paraId="4184B0F4">
            <w:pPr>
              <w:spacing w:line="216" w:lineRule="auto"/>
              <w:jc w:val="center"/>
              <w:rPr>
                <w:sz w:val="18"/>
                <w:szCs w:val="18"/>
              </w:rPr>
            </w:pPr>
            <w:r>
              <w:rPr>
                <w:sz w:val="18"/>
                <w:szCs w:val="18"/>
              </w:rPr>
              <w:t>采矿引起的</w:t>
            </w:r>
          </w:p>
          <w:p w14:paraId="052D3926">
            <w:pPr>
              <w:spacing w:line="216" w:lineRule="auto"/>
              <w:jc w:val="center"/>
              <w:rPr>
                <w:sz w:val="18"/>
                <w:szCs w:val="18"/>
              </w:rPr>
            </w:pPr>
            <w:r>
              <w:rPr>
                <w:sz w:val="18"/>
                <w:szCs w:val="18"/>
              </w:rPr>
              <w:t>地面塌陷</w:t>
            </w:r>
          </w:p>
          <w:p w14:paraId="22506BF0">
            <w:pPr>
              <w:spacing w:line="216" w:lineRule="auto"/>
              <w:jc w:val="center"/>
              <w:rPr>
                <w:sz w:val="18"/>
                <w:szCs w:val="18"/>
              </w:rPr>
            </w:pPr>
            <w:r>
              <w:rPr>
                <w:sz w:val="18"/>
                <w:szCs w:val="18"/>
              </w:rPr>
              <w:t>情况</w:t>
            </w:r>
          </w:p>
        </w:tc>
        <w:tc>
          <w:tcPr>
            <w:tcW w:w="754" w:type="dxa"/>
            <w:gridSpan w:val="2"/>
            <w:vMerge w:val="restart"/>
            <w:vAlign w:val="center"/>
          </w:tcPr>
          <w:p w14:paraId="39471255">
            <w:pPr>
              <w:spacing w:line="216" w:lineRule="auto"/>
              <w:jc w:val="center"/>
              <w:rPr>
                <w:sz w:val="18"/>
                <w:szCs w:val="18"/>
              </w:rPr>
            </w:pPr>
            <w:r>
              <w:rPr>
                <w:sz w:val="18"/>
                <w:szCs w:val="18"/>
              </w:rPr>
              <w:t>发生</w:t>
            </w:r>
          </w:p>
          <w:p w14:paraId="7E3ED53D">
            <w:pPr>
              <w:spacing w:line="216" w:lineRule="auto"/>
              <w:jc w:val="center"/>
              <w:rPr>
                <w:sz w:val="18"/>
                <w:szCs w:val="18"/>
              </w:rPr>
            </w:pPr>
            <w:r>
              <w:rPr>
                <w:sz w:val="18"/>
                <w:szCs w:val="18"/>
              </w:rPr>
              <w:t>时间</w:t>
            </w:r>
          </w:p>
        </w:tc>
        <w:tc>
          <w:tcPr>
            <w:tcW w:w="674" w:type="dxa"/>
            <w:gridSpan w:val="3"/>
            <w:vMerge w:val="restart"/>
            <w:vAlign w:val="center"/>
          </w:tcPr>
          <w:p w14:paraId="60980F8D">
            <w:pPr>
              <w:spacing w:line="216" w:lineRule="auto"/>
              <w:jc w:val="center"/>
              <w:rPr>
                <w:sz w:val="18"/>
                <w:szCs w:val="18"/>
              </w:rPr>
            </w:pPr>
            <w:r>
              <w:rPr>
                <w:sz w:val="18"/>
                <w:szCs w:val="18"/>
              </w:rPr>
              <w:t>发生地点</w:t>
            </w:r>
          </w:p>
        </w:tc>
        <w:tc>
          <w:tcPr>
            <w:tcW w:w="836" w:type="dxa"/>
            <w:gridSpan w:val="3"/>
            <w:vMerge w:val="restart"/>
            <w:vAlign w:val="center"/>
          </w:tcPr>
          <w:p w14:paraId="29CB02B1">
            <w:pPr>
              <w:spacing w:line="216" w:lineRule="auto"/>
              <w:jc w:val="center"/>
              <w:rPr>
                <w:sz w:val="18"/>
                <w:szCs w:val="18"/>
              </w:rPr>
            </w:pPr>
            <w:r>
              <w:rPr>
                <w:sz w:val="18"/>
                <w:szCs w:val="18"/>
              </w:rPr>
              <w:t>规模</w:t>
            </w:r>
          </w:p>
        </w:tc>
        <w:tc>
          <w:tcPr>
            <w:tcW w:w="865" w:type="dxa"/>
            <w:gridSpan w:val="3"/>
            <w:vMerge w:val="restart"/>
            <w:vAlign w:val="center"/>
          </w:tcPr>
          <w:p w14:paraId="35802F56">
            <w:pPr>
              <w:spacing w:line="216" w:lineRule="auto"/>
              <w:jc w:val="center"/>
              <w:rPr>
                <w:sz w:val="18"/>
                <w:szCs w:val="18"/>
              </w:rPr>
            </w:pPr>
            <w:r>
              <w:rPr>
                <w:sz w:val="18"/>
                <w:szCs w:val="18"/>
              </w:rPr>
              <w:t>塌陷坑</w:t>
            </w:r>
          </w:p>
          <w:p w14:paraId="56EE9454">
            <w:pPr>
              <w:spacing w:line="216" w:lineRule="auto"/>
              <w:jc w:val="center"/>
              <w:rPr>
                <w:sz w:val="18"/>
                <w:szCs w:val="18"/>
              </w:rPr>
            </w:pPr>
            <w:r>
              <w:rPr>
                <w:sz w:val="18"/>
                <w:szCs w:val="18"/>
              </w:rPr>
              <w:t>(个)</w:t>
            </w:r>
          </w:p>
        </w:tc>
        <w:tc>
          <w:tcPr>
            <w:tcW w:w="709" w:type="dxa"/>
            <w:gridSpan w:val="2"/>
            <w:vMerge w:val="restart"/>
            <w:vAlign w:val="center"/>
          </w:tcPr>
          <w:p w14:paraId="4542EB0E">
            <w:pPr>
              <w:spacing w:line="216" w:lineRule="auto"/>
              <w:jc w:val="center"/>
              <w:rPr>
                <w:sz w:val="18"/>
                <w:szCs w:val="18"/>
              </w:rPr>
            </w:pPr>
            <w:r>
              <w:rPr>
                <w:sz w:val="18"/>
                <w:szCs w:val="18"/>
              </w:rPr>
              <w:t>影响</w:t>
            </w:r>
          </w:p>
          <w:p w14:paraId="16E6ED8F">
            <w:pPr>
              <w:spacing w:line="216" w:lineRule="auto"/>
              <w:jc w:val="center"/>
              <w:rPr>
                <w:sz w:val="18"/>
                <w:szCs w:val="18"/>
              </w:rPr>
            </w:pPr>
            <w:r>
              <w:rPr>
                <w:sz w:val="18"/>
                <w:szCs w:val="18"/>
              </w:rPr>
              <w:t>范围</w:t>
            </w:r>
          </w:p>
          <w:p w14:paraId="49AC6CBE">
            <w:pPr>
              <w:spacing w:line="216" w:lineRule="auto"/>
              <w:jc w:val="center"/>
              <w:rPr>
                <w:sz w:val="18"/>
                <w:szCs w:val="18"/>
              </w:rPr>
            </w:pPr>
            <w:r>
              <w:rPr>
                <w:sz w:val="18"/>
                <w:szCs w:val="18"/>
              </w:rPr>
              <w:t>(m</w:t>
            </w:r>
            <w:r>
              <w:rPr>
                <w:sz w:val="18"/>
                <w:szCs w:val="18"/>
                <w:vertAlign w:val="superscript"/>
              </w:rPr>
              <w:t>2</w:t>
            </w:r>
            <w:r>
              <w:rPr>
                <w:sz w:val="18"/>
                <w:szCs w:val="18"/>
              </w:rPr>
              <w:t>)</w:t>
            </w:r>
          </w:p>
        </w:tc>
        <w:tc>
          <w:tcPr>
            <w:tcW w:w="851" w:type="dxa"/>
            <w:gridSpan w:val="3"/>
            <w:vMerge w:val="restart"/>
            <w:vAlign w:val="center"/>
          </w:tcPr>
          <w:p w14:paraId="03F938E3">
            <w:pPr>
              <w:spacing w:line="216" w:lineRule="auto"/>
              <w:jc w:val="center"/>
              <w:rPr>
                <w:sz w:val="18"/>
                <w:szCs w:val="18"/>
              </w:rPr>
            </w:pPr>
            <w:r>
              <w:rPr>
                <w:sz w:val="18"/>
                <w:szCs w:val="18"/>
              </w:rPr>
              <w:t>最大</w:t>
            </w:r>
          </w:p>
          <w:p w14:paraId="09A17C04">
            <w:pPr>
              <w:spacing w:line="216" w:lineRule="auto"/>
              <w:jc w:val="center"/>
              <w:rPr>
                <w:sz w:val="18"/>
                <w:szCs w:val="18"/>
              </w:rPr>
            </w:pPr>
            <w:r>
              <w:rPr>
                <w:sz w:val="18"/>
                <w:szCs w:val="18"/>
              </w:rPr>
              <w:t>长度</w:t>
            </w:r>
          </w:p>
          <w:p w14:paraId="42E61529">
            <w:pPr>
              <w:spacing w:line="216" w:lineRule="auto"/>
              <w:jc w:val="center"/>
              <w:rPr>
                <w:sz w:val="18"/>
                <w:szCs w:val="18"/>
              </w:rPr>
            </w:pPr>
            <w:r>
              <w:rPr>
                <w:sz w:val="18"/>
                <w:szCs w:val="18"/>
              </w:rPr>
              <w:t>(m)</w:t>
            </w:r>
          </w:p>
        </w:tc>
        <w:tc>
          <w:tcPr>
            <w:tcW w:w="992" w:type="dxa"/>
            <w:gridSpan w:val="3"/>
            <w:vMerge w:val="restart"/>
            <w:vAlign w:val="center"/>
          </w:tcPr>
          <w:p w14:paraId="1639E93D">
            <w:pPr>
              <w:spacing w:line="216" w:lineRule="auto"/>
              <w:jc w:val="center"/>
              <w:rPr>
                <w:sz w:val="18"/>
                <w:szCs w:val="18"/>
              </w:rPr>
            </w:pPr>
            <w:r>
              <w:rPr>
                <w:sz w:val="18"/>
                <w:szCs w:val="18"/>
              </w:rPr>
              <w:t>最大</w:t>
            </w:r>
          </w:p>
          <w:p w14:paraId="4E8C3F64">
            <w:pPr>
              <w:spacing w:line="216" w:lineRule="auto"/>
              <w:jc w:val="center"/>
              <w:rPr>
                <w:sz w:val="18"/>
                <w:szCs w:val="18"/>
              </w:rPr>
            </w:pPr>
            <w:r>
              <w:rPr>
                <w:sz w:val="18"/>
                <w:szCs w:val="18"/>
              </w:rPr>
              <w:t>深度</w:t>
            </w:r>
          </w:p>
          <w:p w14:paraId="582DC12A">
            <w:pPr>
              <w:spacing w:line="216" w:lineRule="auto"/>
              <w:jc w:val="center"/>
              <w:rPr>
                <w:sz w:val="18"/>
                <w:szCs w:val="18"/>
              </w:rPr>
            </w:pPr>
            <w:r>
              <w:rPr>
                <w:sz w:val="18"/>
                <w:szCs w:val="18"/>
              </w:rPr>
              <w:t>(m)</w:t>
            </w:r>
          </w:p>
        </w:tc>
        <w:tc>
          <w:tcPr>
            <w:tcW w:w="5078" w:type="dxa"/>
            <w:gridSpan w:val="24"/>
            <w:vAlign w:val="center"/>
          </w:tcPr>
          <w:p w14:paraId="37447661">
            <w:pPr>
              <w:spacing w:line="216" w:lineRule="auto"/>
              <w:jc w:val="center"/>
              <w:rPr>
                <w:sz w:val="18"/>
                <w:szCs w:val="18"/>
              </w:rPr>
            </w:pPr>
            <w:r>
              <w:rPr>
                <w:sz w:val="18"/>
                <w:szCs w:val="18"/>
              </w:rPr>
              <w:t>危害</w:t>
            </w:r>
          </w:p>
        </w:tc>
        <w:tc>
          <w:tcPr>
            <w:tcW w:w="454" w:type="dxa"/>
            <w:gridSpan w:val="2"/>
            <w:vMerge w:val="restart"/>
            <w:vAlign w:val="center"/>
          </w:tcPr>
          <w:p w14:paraId="0AB660B0">
            <w:pPr>
              <w:spacing w:line="216" w:lineRule="auto"/>
              <w:jc w:val="center"/>
              <w:rPr>
                <w:sz w:val="18"/>
                <w:szCs w:val="18"/>
              </w:rPr>
            </w:pPr>
            <w:r>
              <w:rPr>
                <w:sz w:val="18"/>
                <w:szCs w:val="18"/>
              </w:rPr>
              <w:t>发生</w:t>
            </w:r>
          </w:p>
          <w:p w14:paraId="21FAB131">
            <w:pPr>
              <w:spacing w:line="216" w:lineRule="auto"/>
              <w:jc w:val="center"/>
              <w:rPr>
                <w:sz w:val="18"/>
                <w:szCs w:val="18"/>
              </w:rPr>
            </w:pPr>
            <w:r>
              <w:rPr>
                <w:sz w:val="18"/>
                <w:szCs w:val="18"/>
              </w:rPr>
              <w:t>原因</w:t>
            </w:r>
          </w:p>
        </w:tc>
        <w:tc>
          <w:tcPr>
            <w:tcW w:w="455" w:type="dxa"/>
            <w:gridSpan w:val="2"/>
            <w:vMerge w:val="restart"/>
            <w:vAlign w:val="center"/>
          </w:tcPr>
          <w:p w14:paraId="097B410B">
            <w:pPr>
              <w:spacing w:line="216" w:lineRule="auto"/>
              <w:jc w:val="center"/>
              <w:rPr>
                <w:sz w:val="18"/>
                <w:szCs w:val="18"/>
              </w:rPr>
            </w:pPr>
            <w:r>
              <w:rPr>
                <w:sz w:val="18"/>
                <w:szCs w:val="18"/>
              </w:rPr>
              <w:t>防治</w:t>
            </w:r>
          </w:p>
          <w:p w14:paraId="7DF4FE19">
            <w:pPr>
              <w:spacing w:line="216" w:lineRule="auto"/>
              <w:jc w:val="center"/>
              <w:rPr>
                <w:sz w:val="18"/>
                <w:szCs w:val="18"/>
              </w:rPr>
            </w:pPr>
            <w:r>
              <w:rPr>
                <w:sz w:val="18"/>
                <w:szCs w:val="18"/>
              </w:rPr>
              <w:t>情况</w:t>
            </w:r>
          </w:p>
        </w:tc>
        <w:tc>
          <w:tcPr>
            <w:tcW w:w="993" w:type="dxa"/>
            <w:vMerge w:val="restart"/>
            <w:vAlign w:val="center"/>
          </w:tcPr>
          <w:p w14:paraId="227BE701">
            <w:pPr>
              <w:spacing w:line="216" w:lineRule="auto"/>
              <w:jc w:val="center"/>
              <w:rPr>
                <w:sz w:val="18"/>
                <w:szCs w:val="18"/>
              </w:rPr>
            </w:pPr>
            <w:r>
              <w:rPr>
                <w:sz w:val="18"/>
                <w:szCs w:val="18"/>
              </w:rPr>
              <w:t>治理面积(m</w:t>
            </w:r>
            <w:r>
              <w:rPr>
                <w:sz w:val="18"/>
                <w:szCs w:val="18"/>
                <w:vertAlign w:val="superscript"/>
              </w:rPr>
              <w:t>2</w:t>
            </w:r>
            <w:r>
              <w:rPr>
                <w:sz w:val="18"/>
                <w:szCs w:val="18"/>
              </w:rPr>
              <w:t>)</w:t>
            </w:r>
          </w:p>
        </w:tc>
      </w:tr>
      <w:tr w14:paraId="52A5F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5" w:hRule="atLeast"/>
        </w:trPr>
        <w:tc>
          <w:tcPr>
            <w:tcW w:w="1518" w:type="dxa"/>
            <w:vMerge w:val="continue"/>
            <w:tcBorders>
              <w:bottom w:val="single" w:color="auto" w:sz="4" w:space="0"/>
            </w:tcBorders>
            <w:vAlign w:val="center"/>
          </w:tcPr>
          <w:p w14:paraId="0FACDA37">
            <w:pPr>
              <w:spacing w:line="216" w:lineRule="auto"/>
              <w:jc w:val="center"/>
              <w:rPr>
                <w:sz w:val="18"/>
                <w:szCs w:val="18"/>
              </w:rPr>
            </w:pPr>
          </w:p>
        </w:tc>
        <w:tc>
          <w:tcPr>
            <w:tcW w:w="754" w:type="dxa"/>
            <w:gridSpan w:val="2"/>
            <w:vMerge w:val="continue"/>
            <w:tcBorders>
              <w:bottom w:val="single" w:color="auto" w:sz="4" w:space="0"/>
            </w:tcBorders>
            <w:vAlign w:val="center"/>
          </w:tcPr>
          <w:p w14:paraId="01958708">
            <w:pPr>
              <w:spacing w:line="216" w:lineRule="auto"/>
              <w:jc w:val="center"/>
              <w:rPr>
                <w:sz w:val="18"/>
                <w:szCs w:val="18"/>
              </w:rPr>
            </w:pPr>
          </w:p>
        </w:tc>
        <w:tc>
          <w:tcPr>
            <w:tcW w:w="674" w:type="dxa"/>
            <w:gridSpan w:val="3"/>
            <w:vMerge w:val="continue"/>
            <w:tcBorders>
              <w:bottom w:val="single" w:color="auto" w:sz="4" w:space="0"/>
            </w:tcBorders>
            <w:vAlign w:val="center"/>
          </w:tcPr>
          <w:p w14:paraId="005E6DF0">
            <w:pPr>
              <w:spacing w:line="216" w:lineRule="auto"/>
              <w:jc w:val="center"/>
              <w:rPr>
                <w:sz w:val="18"/>
                <w:szCs w:val="18"/>
              </w:rPr>
            </w:pPr>
          </w:p>
        </w:tc>
        <w:tc>
          <w:tcPr>
            <w:tcW w:w="836" w:type="dxa"/>
            <w:gridSpan w:val="3"/>
            <w:vMerge w:val="continue"/>
            <w:tcBorders>
              <w:bottom w:val="single" w:color="auto" w:sz="4" w:space="0"/>
            </w:tcBorders>
            <w:vAlign w:val="center"/>
          </w:tcPr>
          <w:p w14:paraId="3B6CE15C">
            <w:pPr>
              <w:spacing w:line="216" w:lineRule="auto"/>
              <w:jc w:val="center"/>
              <w:rPr>
                <w:sz w:val="18"/>
                <w:szCs w:val="18"/>
              </w:rPr>
            </w:pPr>
          </w:p>
        </w:tc>
        <w:tc>
          <w:tcPr>
            <w:tcW w:w="865" w:type="dxa"/>
            <w:gridSpan w:val="3"/>
            <w:vMerge w:val="continue"/>
            <w:tcBorders>
              <w:bottom w:val="single" w:color="auto" w:sz="4" w:space="0"/>
            </w:tcBorders>
            <w:vAlign w:val="center"/>
          </w:tcPr>
          <w:p w14:paraId="7AF6DBEB">
            <w:pPr>
              <w:spacing w:line="216" w:lineRule="auto"/>
              <w:jc w:val="center"/>
              <w:rPr>
                <w:sz w:val="18"/>
                <w:szCs w:val="18"/>
              </w:rPr>
            </w:pPr>
          </w:p>
        </w:tc>
        <w:tc>
          <w:tcPr>
            <w:tcW w:w="709" w:type="dxa"/>
            <w:gridSpan w:val="2"/>
            <w:vMerge w:val="continue"/>
            <w:tcBorders>
              <w:bottom w:val="single" w:color="auto" w:sz="4" w:space="0"/>
            </w:tcBorders>
            <w:vAlign w:val="center"/>
          </w:tcPr>
          <w:p w14:paraId="7CE89343">
            <w:pPr>
              <w:spacing w:line="216" w:lineRule="auto"/>
              <w:jc w:val="center"/>
              <w:rPr>
                <w:sz w:val="18"/>
                <w:szCs w:val="18"/>
              </w:rPr>
            </w:pPr>
          </w:p>
        </w:tc>
        <w:tc>
          <w:tcPr>
            <w:tcW w:w="851" w:type="dxa"/>
            <w:gridSpan w:val="3"/>
            <w:vMerge w:val="continue"/>
            <w:tcBorders>
              <w:bottom w:val="single" w:color="auto" w:sz="4" w:space="0"/>
            </w:tcBorders>
            <w:vAlign w:val="center"/>
          </w:tcPr>
          <w:p w14:paraId="14A2171D">
            <w:pPr>
              <w:spacing w:line="216" w:lineRule="auto"/>
              <w:jc w:val="center"/>
              <w:rPr>
                <w:sz w:val="18"/>
                <w:szCs w:val="18"/>
              </w:rPr>
            </w:pPr>
          </w:p>
        </w:tc>
        <w:tc>
          <w:tcPr>
            <w:tcW w:w="992" w:type="dxa"/>
            <w:gridSpan w:val="3"/>
            <w:vMerge w:val="continue"/>
            <w:tcBorders>
              <w:bottom w:val="single" w:color="auto" w:sz="4" w:space="0"/>
            </w:tcBorders>
            <w:vAlign w:val="center"/>
          </w:tcPr>
          <w:p w14:paraId="2A8AFB57">
            <w:pPr>
              <w:spacing w:line="216" w:lineRule="auto"/>
              <w:jc w:val="center"/>
              <w:rPr>
                <w:sz w:val="18"/>
                <w:szCs w:val="18"/>
              </w:rPr>
            </w:pPr>
          </w:p>
        </w:tc>
        <w:tc>
          <w:tcPr>
            <w:tcW w:w="1172" w:type="dxa"/>
            <w:gridSpan w:val="5"/>
            <w:tcBorders>
              <w:bottom w:val="single" w:color="auto" w:sz="4" w:space="0"/>
            </w:tcBorders>
            <w:vAlign w:val="center"/>
          </w:tcPr>
          <w:p w14:paraId="7982CB42">
            <w:pPr>
              <w:spacing w:line="216" w:lineRule="auto"/>
              <w:jc w:val="center"/>
              <w:rPr>
                <w:sz w:val="18"/>
                <w:szCs w:val="18"/>
              </w:rPr>
            </w:pPr>
            <w:r>
              <w:rPr>
                <w:sz w:val="18"/>
                <w:szCs w:val="18"/>
              </w:rPr>
              <w:t>死亡人数(人)</w:t>
            </w:r>
          </w:p>
        </w:tc>
        <w:tc>
          <w:tcPr>
            <w:tcW w:w="967" w:type="dxa"/>
            <w:gridSpan w:val="4"/>
            <w:tcBorders>
              <w:bottom w:val="single" w:color="auto" w:sz="4" w:space="0"/>
            </w:tcBorders>
            <w:vAlign w:val="center"/>
          </w:tcPr>
          <w:p w14:paraId="0493D213">
            <w:pPr>
              <w:spacing w:line="216" w:lineRule="auto"/>
              <w:jc w:val="center"/>
              <w:rPr>
                <w:sz w:val="18"/>
                <w:szCs w:val="18"/>
              </w:rPr>
            </w:pPr>
            <w:r>
              <w:rPr>
                <w:sz w:val="18"/>
                <w:szCs w:val="18"/>
              </w:rPr>
              <w:t>受伤人</w:t>
            </w:r>
          </w:p>
          <w:p w14:paraId="5318711E">
            <w:pPr>
              <w:spacing w:line="216" w:lineRule="auto"/>
              <w:jc w:val="center"/>
              <w:rPr>
                <w:sz w:val="18"/>
                <w:szCs w:val="18"/>
              </w:rPr>
            </w:pPr>
            <w:r>
              <w:rPr>
                <w:sz w:val="18"/>
                <w:szCs w:val="18"/>
              </w:rPr>
              <w:t>数(人)</w:t>
            </w:r>
          </w:p>
        </w:tc>
        <w:tc>
          <w:tcPr>
            <w:tcW w:w="975" w:type="dxa"/>
            <w:gridSpan w:val="5"/>
            <w:tcBorders>
              <w:bottom w:val="single" w:color="auto" w:sz="4" w:space="0"/>
            </w:tcBorders>
            <w:vAlign w:val="center"/>
          </w:tcPr>
          <w:p w14:paraId="5F8050AA">
            <w:pPr>
              <w:spacing w:line="216" w:lineRule="auto"/>
              <w:jc w:val="center"/>
              <w:rPr>
                <w:sz w:val="18"/>
                <w:szCs w:val="18"/>
              </w:rPr>
            </w:pPr>
            <w:r>
              <w:rPr>
                <w:sz w:val="18"/>
                <w:szCs w:val="18"/>
              </w:rPr>
              <w:t>破坏房</w:t>
            </w:r>
          </w:p>
          <w:p w14:paraId="221D58FB">
            <w:pPr>
              <w:spacing w:line="216" w:lineRule="auto"/>
              <w:jc w:val="center"/>
              <w:rPr>
                <w:sz w:val="18"/>
                <w:szCs w:val="18"/>
              </w:rPr>
            </w:pPr>
            <w:r>
              <w:rPr>
                <w:sz w:val="18"/>
                <w:szCs w:val="18"/>
              </w:rPr>
              <w:t>屋(间)</w:t>
            </w:r>
          </w:p>
        </w:tc>
        <w:tc>
          <w:tcPr>
            <w:tcW w:w="812" w:type="dxa"/>
            <w:gridSpan w:val="3"/>
            <w:tcBorders>
              <w:bottom w:val="single" w:color="auto" w:sz="4" w:space="0"/>
            </w:tcBorders>
            <w:vAlign w:val="center"/>
          </w:tcPr>
          <w:p w14:paraId="3FEEFBE9">
            <w:pPr>
              <w:spacing w:line="216" w:lineRule="auto"/>
              <w:jc w:val="center"/>
              <w:rPr>
                <w:sz w:val="18"/>
                <w:szCs w:val="18"/>
              </w:rPr>
            </w:pPr>
            <w:r>
              <w:rPr>
                <w:sz w:val="18"/>
                <w:szCs w:val="18"/>
              </w:rPr>
              <w:t>毁坏土地(m</w:t>
            </w:r>
            <w:r>
              <w:rPr>
                <w:sz w:val="18"/>
                <w:szCs w:val="18"/>
                <w:vertAlign w:val="superscript"/>
              </w:rPr>
              <w:t>2</w:t>
            </w:r>
            <w:r>
              <w:rPr>
                <w:sz w:val="18"/>
                <w:szCs w:val="18"/>
              </w:rPr>
              <w:t>)</w:t>
            </w:r>
          </w:p>
        </w:tc>
        <w:tc>
          <w:tcPr>
            <w:tcW w:w="1152" w:type="dxa"/>
            <w:gridSpan w:val="7"/>
            <w:tcBorders>
              <w:bottom w:val="single" w:color="auto" w:sz="4" w:space="0"/>
            </w:tcBorders>
            <w:vAlign w:val="center"/>
          </w:tcPr>
          <w:p w14:paraId="2B56C01E">
            <w:pPr>
              <w:spacing w:line="216" w:lineRule="auto"/>
              <w:jc w:val="center"/>
              <w:rPr>
                <w:sz w:val="18"/>
                <w:szCs w:val="18"/>
              </w:rPr>
            </w:pPr>
            <w:r>
              <w:rPr>
                <w:sz w:val="18"/>
                <w:szCs w:val="18"/>
              </w:rPr>
              <w:t>直接经济损失(万元)</w:t>
            </w:r>
          </w:p>
        </w:tc>
        <w:tc>
          <w:tcPr>
            <w:tcW w:w="454" w:type="dxa"/>
            <w:gridSpan w:val="2"/>
            <w:vMerge w:val="continue"/>
            <w:tcBorders>
              <w:bottom w:val="single" w:color="auto" w:sz="4" w:space="0"/>
            </w:tcBorders>
            <w:vAlign w:val="center"/>
          </w:tcPr>
          <w:p w14:paraId="4DC61CBB">
            <w:pPr>
              <w:spacing w:line="216" w:lineRule="auto"/>
              <w:jc w:val="center"/>
              <w:rPr>
                <w:sz w:val="18"/>
                <w:szCs w:val="18"/>
              </w:rPr>
            </w:pPr>
          </w:p>
        </w:tc>
        <w:tc>
          <w:tcPr>
            <w:tcW w:w="455" w:type="dxa"/>
            <w:gridSpan w:val="2"/>
            <w:vMerge w:val="continue"/>
            <w:tcBorders>
              <w:bottom w:val="single" w:color="auto" w:sz="4" w:space="0"/>
            </w:tcBorders>
            <w:vAlign w:val="center"/>
          </w:tcPr>
          <w:p w14:paraId="67F1057D">
            <w:pPr>
              <w:spacing w:line="216" w:lineRule="auto"/>
              <w:jc w:val="center"/>
              <w:rPr>
                <w:sz w:val="18"/>
                <w:szCs w:val="18"/>
              </w:rPr>
            </w:pPr>
          </w:p>
        </w:tc>
        <w:tc>
          <w:tcPr>
            <w:tcW w:w="993" w:type="dxa"/>
            <w:vMerge w:val="continue"/>
            <w:tcBorders>
              <w:bottom w:val="single" w:color="auto" w:sz="4" w:space="0"/>
            </w:tcBorders>
            <w:vAlign w:val="center"/>
          </w:tcPr>
          <w:p w14:paraId="501EAED7">
            <w:pPr>
              <w:spacing w:line="216" w:lineRule="auto"/>
              <w:jc w:val="center"/>
              <w:rPr>
                <w:sz w:val="18"/>
                <w:szCs w:val="18"/>
              </w:rPr>
            </w:pPr>
          </w:p>
        </w:tc>
      </w:tr>
      <w:tr w14:paraId="1F885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67636DFE">
            <w:pPr>
              <w:spacing w:line="216" w:lineRule="auto"/>
              <w:jc w:val="center"/>
              <w:rPr>
                <w:sz w:val="18"/>
                <w:szCs w:val="18"/>
              </w:rPr>
            </w:pPr>
          </w:p>
        </w:tc>
        <w:tc>
          <w:tcPr>
            <w:tcW w:w="754" w:type="dxa"/>
            <w:gridSpan w:val="2"/>
            <w:vAlign w:val="center"/>
          </w:tcPr>
          <w:p w14:paraId="19277FCC">
            <w:pPr>
              <w:spacing w:line="216" w:lineRule="auto"/>
              <w:jc w:val="center"/>
              <w:rPr>
                <w:sz w:val="18"/>
                <w:szCs w:val="18"/>
              </w:rPr>
            </w:pPr>
            <w:r>
              <w:rPr>
                <w:sz w:val="18"/>
                <w:szCs w:val="18"/>
              </w:rPr>
              <w:t>0</w:t>
            </w:r>
          </w:p>
        </w:tc>
        <w:tc>
          <w:tcPr>
            <w:tcW w:w="674" w:type="dxa"/>
            <w:gridSpan w:val="3"/>
            <w:vAlign w:val="center"/>
          </w:tcPr>
          <w:p w14:paraId="25CC344E">
            <w:pPr>
              <w:spacing w:line="216" w:lineRule="auto"/>
              <w:jc w:val="center"/>
              <w:rPr>
                <w:sz w:val="18"/>
                <w:szCs w:val="18"/>
              </w:rPr>
            </w:pPr>
            <w:r>
              <w:rPr>
                <w:sz w:val="18"/>
                <w:szCs w:val="18"/>
              </w:rPr>
              <w:t>0</w:t>
            </w:r>
          </w:p>
        </w:tc>
        <w:tc>
          <w:tcPr>
            <w:tcW w:w="836" w:type="dxa"/>
            <w:gridSpan w:val="3"/>
            <w:vAlign w:val="center"/>
          </w:tcPr>
          <w:p w14:paraId="44603B93">
            <w:pPr>
              <w:spacing w:line="216" w:lineRule="auto"/>
              <w:jc w:val="center"/>
              <w:rPr>
                <w:sz w:val="18"/>
                <w:szCs w:val="18"/>
              </w:rPr>
            </w:pPr>
            <w:r>
              <w:rPr>
                <w:sz w:val="18"/>
                <w:szCs w:val="18"/>
              </w:rPr>
              <w:t>0</w:t>
            </w:r>
          </w:p>
        </w:tc>
        <w:tc>
          <w:tcPr>
            <w:tcW w:w="865" w:type="dxa"/>
            <w:gridSpan w:val="3"/>
            <w:vAlign w:val="center"/>
          </w:tcPr>
          <w:p w14:paraId="772EE99D">
            <w:pPr>
              <w:spacing w:line="216" w:lineRule="auto"/>
              <w:jc w:val="center"/>
              <w:rPr>
                <w:sz w:val="18"/>
                <w:szCs w:val="18"/>
              </w:rPr>
            </w:pPr>
            <w:r>
              <w:rPr>
                <w:sz w:val="18"/>
                <w:szCs w:val="18"/>
              </w:rPr>
              <w:t>0</w:t>
            </w:r>
          </w:p>
        </w:tc>
        <w:tc>
          <w:tcPr>
            <w:tcW w:w="709" w:type="dxa"/>
            <w:gridSpan w:val="2"/>
            <w:vAlign w:val="center"/>
          </w:tcPr>
          <w:p w14:paraId="2424186F">
            <w:pPr>
              <w:spacing w:line="216" w:lineRule="auto"/>
              <w:jc w:val="center"/>
              <w:rPr>
                <w:sz w:val="18"/>
                <w:szCs w:val="18"/>
              </w:rPr>
            </w:pPr>
            <w:r>
              <w:rPr>
                <w:sz w:val="18"/>
                <w:szCs w:val="18"/>
              </w:rPr>
              <w:t>0</w:t>
            </w:r>
          </w:p>
        </w:tc>
        <w:tc>
          <w:tcPr>
            <w:tcW w:w="851" w:type="dxa"/>
            <w:gridSpan w:val="3"/>
            <w:vAlign w:val="center"/>
          </w:tcPr>
          <w:p w14:paraId="6D7452FF">
            <w:pPr>
              <w:spacing w:line="216" w:lineRule="auto"/>
              <w:jc w:val="center"/>
              <w:rPr>
                <w:sz w:val="18"/>
                <w:szCs w:val="18"/>
              </w:rPr>
            </w:pPr>
            <w:r>
              <w:rPr>
                <w:sz w:val="18"/>
                <w:szCs w:val="18"/>
              </w:rPr>
              <w:t>0</w:t>
            </w:r>
          </w:p>
        </w:tc>
        <w:tc>
          <w:tcPr>
            <w:tcW w:w="992" w:type="dxa"/>
            <w:gridSpan w:val="3"/>
            <w:vAlign w:val="center"/>
          </w:tcPr>
          <w:p w14:paraId="0B881881">
            <w:pPr>
              <w:spacing w:line="216" w:lineRule="auto"/>
              <w:jc w:val="center"/>
              <w:rPr>
                <w:sz w:val="18"/>
                <w:szCs w:val="18"/>
              </w:rPr>
            </w:pPr>
            <w:r>
              <w:rPr>
                <w:sz w:val="18"/>
                <w:szCs w:val="18"/>
              </w:rPr>
              <w:t>0</w:t>
            </w:r>
          </w:p>
        </w:tc>
        <w:tc>
          <w:tcPr>
            <w:tcW w:w="1172" w:type="dxa"/>
            <w:gridSpan w:val="5"/>
            <w:vAlign w:val="center"/>
          </w:tcPr>
          <w:p w14:paraId="04E6C94A">
            <w:pPr>
              <w:spacing w:line="216" w:lineRule="auto"/>
              <w:jc w:val="center"/>
              <w:rPr>
                <w:sz w:val="18"/>
                <w:szCs w:val="18"/>
              </w:rPr>
            </w:pPr>
            <w:r>
              <w:rPr>
                <w:sz w:val="18"/>
                <w:szCs w:val="18"/>
              </w:rPr>
              <w:t>0</w:t>
            </w:r>
          </w:p>
        </w:tc>
        <w:tc>
          <w:tcPr>
            <w:tcW w:w="967" w:type="dxa"/>
            <w:gridSpan w:val="4"/>
            <w:vAlign w:val="center"/>
          </w:tcPr>
          <w:p w14:paraId="0F0BE511">
            <w:pPr>
              <w:spacing w:line="216" w:lineRule="auto"/>
              <w:jc w:val="center"/>
              <w:rPr>
                <w:sz w:val="18"/>
                <w:szCs w:val="18"/>
              </w:rPr>
            </w:pPr>
            <w:r>
              <w:rPr>
                <w:sz w:val="18"/>
                <w:szCs w:val="18"/>
              </w:rPr>
              <w:t>0</w:t>
            </w:r>
          </w:p>
        </w:tc>
        <w:tc>
          <w:tcPr>
            <w:tcW w:w="975" w:type="dxa"/>
            <w:gridSpan w:val="5"/>
            <w:vAlign w:val="center"/>
          </w:tcPr>
          <w:p w14:paraId="217B765A">
            <w:pPr>
              <w:spacing w:line="216" w:lineRule="auto"/>
              <w:jc w:val="center"/>
              <w:rPr>
                <w:sz w:val="18"/>
                <w:szCs w:val="18"/>
              </w:rPr>
            </w:pPr>
            <w:r>
              <w:rPr>
                <w:sz w:val="18"/>
                <w:szCs w:val="18"/>
              </w:rPr>
              <w:t>0</w:t>
            </w:r>
          </w:p>
        </w:tc>
        <w:tc>
          <w:tcPr>
            <w:tcW w:w="812" w:type="dxa"/>
            <w:gridSpan w:val="3"/>
            <w:vAlign w:val="center"/>
          </w:tcPr>
          <w:p w14:paraId="23CF4B4F">
            <w:pPr>
              <w:spacing w:line="216" w:lineRule="auto"/>
              <w:jc w:val="center"/>
              <w:rPr>
                <w:sz w:val="18"/>
                <w:szCs w:val="18"/>
              </w:rPr>
            </w:pPr>
            <w:r>
              <w:rPr>
                <w:sz w:val="18"/>
                <w:szCs w:val="18"/>
              </w:rPr>
              <w:t>0</w:t>
            </w:r>
          </w:p>
        </w:tc>
        <w:tc>
          <w:tcPr>
            <w:tcW w:w="1152" w:type="dxa"/>
            <w:gridSpan w:val="7"/>
            <w:vAlign w:val="center"/>
          </w:tcPr>
          <w:p w14:paraId="270A6F01">
            <w:pPr>
              <w:spacing w:line="216" w:lineRule="auto"/>
              <w:jc w:val="center"/>
              <w:rPr>
                <w:sz w:val="18"/>
                <w:szCs w:val="18"/>
              </w:rPr>
            </w:pPr>
            <w:r>
              <w:rPr>
                <w:sz w:val="18"/>
                <w:szCs w:val="18"/>
              </w:rPr>
              <w:t>0</w:t>
            </w:r>
          </w:p>
        </w:tc>
        <w:tc>
          <w:tcPr>
            <w:tcW w:w="454" w:type="dxa"/>
            <w:gridSpan w:val="2"/>
            <w:vAlign w:val="center"/>
          </w:tcPr>
          <w:p w14:paraId="5C2C65A9">
            <w:pPr>
              <w:spacing w:line="216" w:lineRule="auto"/>
              <w:jc w:val="center"/>
              <w:rPr>
                <w:sz w:val="18"/>
                <w:szCs w:val="18"/>
              </w:rPr>
            </w:pPr>
            <w:r>
              <w:rPr>
                <w:sz w:val="18"/>
                <w:szCs w:val="18"/>
              </w:rPr>
              <w:t>0</w:t>
            </w:r>
          </w:p>
        </w:tc>
        <w:tc>
          <w:tcPr>
            <w:tcW w:w="455" w:type="dxa"/>
            <w:gridSpan w:val="2"/>
            <w:vMerge w:val="restart"/>
            <w:vAlign w:val="center"/>
          </w:tcPr>
          <w:p w14:paraId="3B73EAA5">
            <w:pPr>
              <w:spacing w:line="216" w:lineRule="auto"/>
              <w:jc w:val="center"/>
              <w:rPr>
                <w:sz w:val="18"/>
                <w:szCs w:val="18"/>
              </w:rPr>
            </w:pPr>
            <w:r>
              <w:rPr>
                <w:sz w:val="18"/>
                <w:szCs w:val="18"/>
              </w:rPr>
              <w:t>0</w:t>
            </w:r>
          </w:p>
        </w:tc>
        <w:tc>
          <w:tcPr>
            <w:tcW w:w="993" w:type="dxa"/>
            <w:vMerge w:val="restart"/>
            <w:vAlign w:val="center"/>
          </w:tcPr>
          <w:p w14:paraId="5BC9898F">
            <w:pPr>
              <w:spacing w:line="216" w:lineRule="auto"/>
              <w:jc w:val="center"/>
              <w:rPr>
                <w:sz w:val="18"/>
                <w:szCs w:val="18"/>
              </w:rPr>
            </w:pPr>
            <w:r>
              <w:rPr>
                <w:sz w:val="18"/>
                <w:szCs w:val="18"/>
              </w:rPr>
              <w:t>0</w:t>
            </w:r>
          </w:p>
        </w:tc>
      </w:tr>
      <w:tr w14:paraId="0C611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0823A6C8">
            <w:pPr>
              <w:spacing w:line="216" w:lineRule="auto"/>
              <w:jc w:val="center"/>
              <w:rPr>
                <w:sz w:val="18"/>
                <w:szCs w:val="18"/>
              </w:rPr>
            </w:pPr>
          </w:p>
        </w:tc>
        <w:tc>
          <w:tcPr>
            <w:tcW w:w="754" w:type="dxa"/>
            <w:gridSpan w:val="2"/>
            <w:vAlign w:val="center"/>
          </w:tcPr>
          <w:p w14:paraId="43EAA429">
            <w:pPr>
              <w:spacing w:line="216" w:lineRule="auto"/>
              <w:jc w:val="center"/>
              <w:rPr>
                <w:sz w:val="18"/>
                <w:szCs w:val="18"/>
              </w:rPr>
            </w:pPr>
            <w:r>
              <w:rPr>
                <w:sz w:val="18"/>
                <w:szCs w:val="18"/>
              </w:rPr>
              <w:t>0</w:t>
            </w:r>
          </w:p>
        </w:tc>
        <w:tc>
          <w:tcPr>
            <w:tcW w:w="674" w:type="dxa"/>
            <w:gridSpan w:val="3"/>
            <w:vAlign w:val="center"/>
          </w:tcPr>
          <w:p w14:paraId="710210FE">
            <w:pPr>
              <w:spacing w:line="216" w:lineRule="auto"/>
              <w:jc w:val="center"/>
              <w:rPr>
                <w:sz w:val="18"/>
                <w:szCs w:val="18"/>
              </w:rPr>
            </w:pPr>
            <w:r>
              <w:rPr>
                <w:sz w:val="18"/>
                <w:szCs w:val="18"/>
              </w:rPr>
              <w:t>0</w:t>
            </w:r>
          </w:p>
        </w:tc>
        <w:tc>
          <w:tcPr>
            <w:tcW w:w="836" w:type="dxa"/>
            <w:gridSpan w:val="3"/>
            <w:vAlign w:val="center"/>
          </w:tcPr>
          <w:p w14:paraId="4CFE5797">
            <w:pPr>
              <w:spacing w:line="216" w:lineRule="auto"/>
              <w:jc w:val="center"/>
              <w:rPr>
                <w:sz w:val="18"/>
                <w:szCs w:val="18"/>
              </w:rPr>
            </w:pPr>
            <w:r>
              <w:rPr>
                <w:sz w:val="18"/>
                <w:szCs w:val="18"/>
              </w:rPr>
              <w:t>0</w:t>
            </w:r>
          </w:p>
        </w:tc>
        <w:tc>
          <w:tcPr>
            <w:tcW w:w="865" w:type="dxa"/>
            <w:gridSpan w:val="3"/>
            <w:vAlign w:val="center"/>
          </w:tcPr>
          <w:p w14:paraId="13F17DA0">
            <w:pPr>
              <w:spacing w:line="216" w:lineRule="auto"/>
              <w:jc w:val="center"/>
              <w:rPr>
                <w:sz w:val="18"/>
                <w:szCs w:val="18"/>
              </w:rPr>
            </w:pPr>
            <w:r>
              <w:rPr>
                <w:sz w:val="18"/>
                <w:szCs w:val="18"/>
              </w:rPr>
              <w:t>0</w:t>
            </w:r>
          </w:p>
        </w:tc>
        <w:tc>
          <w:tcPr>
            <w:tcW w:w="709" w:type="dxa"/>
            <w:gridSpan w:val="2"/>
            <w:vAlign w:val="center"/>
          </w:tcPr>
          <w:p w14:paraId="25C9F4B6">
            <w:pPr>
              <w:spacing w:line="216" w:lineRule="auto"/>
              <w:jc w:val="center"/>
              <w:rPr>
                <w:sz w:val="18"/>
                <w:szCs w:val="18"/>
              </w:rPr>
            </w:pPr>
            <w:r>
              <w:rPr>
                <w:sz w:val="18"/>
                <w:szCs w:val="18"/>
              </w:rPr>
              <w:t>0</w:t>
            </w:r>
          </w:p>
        </w:tc>
        <w:tc>
          <w:tcPr>
            <w:tcW w:w="851" w:type="dxa"/>
            <w:gridSpan w:val="3"/>
            <w:vAlign w:val="center"/>
          </w:tcPr>
          <w:p w14:paraId="28848410">
            <w:pPr>
              <w:spacing w:line="216" w:lineRule="auto"/>
              <w:jc w:val="center"/>
              <w:rPr>
                <w:sz w:val="18"/>
                <w:szCs w:val="18"/>
              </w:rPr>
            </w:pPr>
            <w:r>
              <w:rPr>
                <w:sz w:val="18"/>
                <w:szCs w:val="18"/>
              </w:rPr>
              <w:t>0</w:t>
            </w:r>
          </w:p>
        </w:tc>
        <w:tc>
          <w:tcPr>
            <w:tcW w:w="992" w:type="dxa"/>
            <w:gridSpan w:val="3"/>
            <w:vAlign w:val="center"/>
          </w:tcPr>
          <w:p w14:paraId="0185EC75">
            <w:pPr>
              <w:spacing w:line="216" w:lineRule="auto"/>
              <w:jc w:val="center"/>
              <w:rPr>
                <w:sz w:val="18"/>
                <w:szCs w:val="18"/>
              </w:rPr>
            </w:pPr>
            <w:r>
              <w:rPr>
                <w:sz w:val="18"/>
                <w:szCs w:val="18"/>
              </w:rPr>
              <w:t>0</w:t>
            </w:r>
          </w:p>
        </w:tc>
        <w:tc>
          <w:tcPr>
            <w:tcW w:w="1172" w:type="dxa"/>
            <w:gridSpan w:val="5"/>
            <w:vAlign w:val="center"/>
          </w:tcPr>
          <w:p w14:paraId="6108BEC7">
            <w:pPr>
              <w:spacing w:line="216" w:lineRule="auto"/>
              <w:jc w:val="center"/>
              <w:rPr>
                <w:sz w:val="18"/>
                <w:szCs w:val="18"/>
              </w:rPr>
            </w:pPr>
            <w:r>
              <w:rPr>
                <w:sz w:val="18"/>
                <w:szCs w:val="18"/>
              </w:rPr>
              <w:t>0</w:t>
            </w:r>
          </w:p>
        </w:tc>
        <w:tc>
          <w:tcPr>
            <w:tcW w:w="967" w:type="dxa"/>
            <w:gridSpan w:val="4"/>
            <w:vAlign w:val="center"/>
          </w:tcPr>
          <w:p w14:paraId="6E180872">
            <w:pPr>
              <w:spacing w:line="216" w:lineRule="auto"/>
              <w:jc w:val="center"/>
              <w:rPr>
                <w:sz w:val="18"/>
                <w:szCs w:val="18"/>
              </w:rPr>
            </w:pPr>
            <w:r>
              <w:rPr>
                <w:sz w:val="18"/>
                <w:szCs w:val="18"/>
              </w:rPr>
              <w:t>0</w:t>
            </w:r>
          </w:p>
        </w:tc>
        <w:tc>
          <w:tcPr>
            <w:tcW w:w="975" w:type="dxa"/>
            <w:gridSpan w:val="5"/>
            <w:vAlign w:val="center"/>
          </w:tcPr>
          <w:p w14:paraId="5C000C01">
            <w:pPr>
              <w:spacing w:line="216" w:lineRule="auto"/>
              <w:jc w:val="center"/>
              <w:rPr>
                <w:sz w:val="18"/>
                <w:szCs w:val="18"/>
              </w:rPr>
            </w:pPr>
            <w:r>
              <w:rPr>
                <w:sz w:val="18"/>
                <w:szCs w:val="18"/>
              </w:rPr>
              <w:t>0</w:t>
            </w:r>
          </w:p>
        </w:tc>
        <w:tc>
          <w:tcPr>
            <w:tcW w:w="812" w:type="dxa"/>
            <w:gridSpan w:val="3"/>
            <w:vAlign w:val="center"/>
          </w:tcPr>
          <w:p w14:paraId="5E691D5A">
            <w:pPr>
              <w:spacing w:line="216" w:lineRule="auto"/>
              <w:jc w:val="center"/>
              <w:rPr>
                <w:sz w:val="18"/>
                <w:szCs w:val="18"/>
              </w:rPr>
            </w:pPr>
            <w:r>
              <w:rPr>
                <w:sz w:val="18"/>
                <w:szCs w:val="18"/>
              </w:rPr>
              <w:t>0</w:t>
            </w:r>
          </w:p>
        </w:tc>
        <w:tc>
          <w:tcPr>
            <w:tcW w:w="1152" w:type="dxa"/>
            <w:gridSpan w:val="7"/>
            <w:vAlign w:val="center"/>
          </w:tcPr>
          <w:p w14:paraId="413A9F00">
            <w:pPr>
              <w:spacing w:line="216" w:lineRule="auto"/>
              <w:jc w:val="center"/>
              <w:rPr>
                <w:sz w:val="18"/>
                <w:szCs w:val="18"/>
              </w:rPr>
            </w:pPr>
            <w:r>
              <w:rPr>
                <w:sz w:val="18"/>
                <w:szCs w:val="18"/>
              </w:rPr>
              <w:t>0</w:t>
            </w:r>
          </w:p>
        </w:tc>
        <w:tc>
          <w:tcPr>
            <w:tcW w:w="454" w:type="dxa"/>
            <w:gridSpan w:val="2"/>
            <w:vAlign w:val="center"/>
          </w:tcPr>
          <w:p w14:paraId="6E68390F">
            <w:pPr>
              <w:spacing w:line="216" w:lineRule="auto"/>
              <w:jc w:val="center"/>
              <w:rPr>
                <w:sz w:val="18"/>
                <w:szCs w:val="18"/>
              </w:rPr>
            </w:pPr>
            <w:r>
              <w:rPr>
                <w:sz w:val="18"/>
                <w:szCs w:val="18"/>
              </w:rPr>
              <w:t>0</w:t>
            </w:r>
          </w:p>
        </w:tc>
        <w:tc>
          <w:tcPr>
            <w:tcW w:w="455" w:type="dxa"/>
            <w:gridSpan w:val="2"/>
            <w:vMerge w:val="continue"/>
            <w:vAlign w:val="center"/>
          </w:tcPr>
          <w:p w14:paraId="16F2E972">
            <w:pPr>
              <w:spacing w:line="216" w:lineRule="auto"/>
              <w:jc w:val="center"/>
              <w:rPr>
                <w:sz w:val="18"/>
                <w:szCs w:val="18"/>
              </w:rPr>
            </w:pPr>
          </w:p>
        </w:tc>
        <w:tc>
          <w:tcPr>
            <w:tcW w:w="993" w:type="dxa"/>
            <w:vMerge w:val="continue"/>
            <w:vAlign w:val="center"/>
          </w:tcPr>
          <w:p w14:paraId="5C04DBDD">
            <w:pPr>
              <w:spacing w:line="216" w:lineRule="auto"/>
              <w:jc w:val="center"/>
              <w:rPr>
                <w:sz w:val="18"/>
                <w:szCs w:val="18"/>
              </w:rPr>
            </w:pPr>
          </w:p>
        </w:tc>
      </w:tr>
      <w:tr w14:paraId="3CA9F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restart"/>
            <w:vAlign w:val="center"/>
          </w:tcPr>
          <w:p w14:paraId="2D2B9CFB">
            <w:pPr>
              <w:spacing w:line="216" w:lineRule="auto"/>
              <w:jc w:val="center"/>
              <w:rPr>
                <w:sz w:val="18"/>
                <w:szCs w:val="18"/>
              </w:rPr>
            </w:pPr>
            <w:r>
              <w:rPr>
                <w:sz w:val="18"/>
                <w:szCs w:val="18"/>
              </w:rPr>
              <w:t>采矿引起的</w:t>
            </w:r>
          </w:p>
          <w:p w14:paraId="1C617F43">
            <w:pPr>
              <w:spacing w:line="216" w:lineRule="auto"/>
              <w:jc w:val="center"/>
              <w:rPr>
                <w:sz w:val="18"/>
                <w:szCs w:val="18"/>
              </w:rPr>
            </w:pPr>
            <w:r>
              <w:rPr>
                <w:sz w:val="18"/>
                <w:szCs w:val="18"/>
              </w:rPr>
              <w:t>地裂缝</w:t>
            </w:r>
          </w:p>
          <w:p w14:paraId="3492C8DE">
            <w:pPr>
              <w:spacing w:line="216" w:lineRule="auto"/>
              <w:jc w:val="center"/>
              <w:rPr>
                <w:sz w:val="18"/>
                <w:szCs w:val="18"/>
              </w:rPr>
            </w:pPr>
            <w:r>
              <w:rPr>
                <w:sz w:val="18"/>
                <w:szCs w:val="18"/>
              </w:rPr>
              <w:t>情况</w:t>
            </w:r>
          </w:p>
        </w:tc>
        <w:tc>
          <w:tcPr>
            <w:tcW w:w="754" w:type="dxa"/>
            <w:gridSpan w:val="2"/>
            <w:vMerge w:val="restart"/>
            <w:vAlign w:val="center"/>
          </w:tcPr>
          <w:p w14:paraId="368251AA">
            <w:pPr>
              <w:spacing w:line="216" w:lineRule="auto"/>
              <w:jc w:val="center"/>
              <w:rPr>
                <w:sz w:val="18"/>
                <w:szCs w:val="18"/>
              </w:rPr>
            </w:pPr>
            <w:r>
              <w:rPr>
                <w:sz w:val="18"/>
                <w:szCs w:val="18"/>
              </w:rPr>
              <w:t>发生</w:t>
            </w:r>
          </w:p>
          <w:p w14:paraId="0BD6F1AD">
            <w:pPr>
              <w:spacing w:line="216" w:lineRule="auto"/>
              <w:jc w:val="center"/>
              <w:rPr>
                <w:sz w:val="18"/>
                <w:szCs w:val="18"/>
              </w:rPr>
            </w:pPr>
            <w:r>
              <w:rPr>
                <w:sz w:val="18"/>
                <w:szCs w:val="18"/>
              </w:rPr>
              <w:t>时间</w:t>
            </w:r>
          </w:p>
        </w:tc>
        <w:tc>
          <w:tcPr>
            <w:tcW w:w="674" w:type="dxa"/>
            <w:gridSpan w:val="3"/>
            <w:vMerge w:val="restart"/>
            <w:vAlign w:val="center"/>
          </w:tcPr>
          <w:p w14:paraId="39AFEDAC">
            <w:pPr>
              <w:spacing w:line="216" w:lineRule="auto"/>
              <w:jc w:val="center"/>
              <w:rPr>
                <w:sz w:val="18"/>
                <w:szCs w:val="18"/>
              </w:rPr>
            </w:pPr>
            <w:r>
              <w:rPr>
                <w:sz w:val="18"/>
                <w:szCs w:val="18"/>
              </w:rPr>
              <w:t>发生地点</w:t>
            </w:r>
          </w:p>
        </w:tc>
        <w:tc>
          <w:tcPr>
            <w:tcW w:w="836" w:type="dxa"/>
            <w:gridSpan w:val="3"/>
            <w:vMerge w:val="restart"/>
            <w:vAlign w:val="center"/>
          </w:tcPr>
          <w:p w14:paraId="79187E5A">
            <w:pPr>
              <w:spacing w:line="216" w:lineRule="auto"/>
              <w:jc w:val="center"/>
              <w:rPr>
                <w:sz w:val="18"/>
                <w:szCs w:val="18"/>
              </w:rPr>
            </w:pPr>
            <w:r>
              <w:rPr>
                <w:sz w:val="18"/>
                <w:szCs w:val="18"/>
              </w:rPr>
              <w:t>数量</w:t>
            </w:r>
          </w:p>
          <w:p w14:paraId="3A79D99F">
            <w:pPr>
              <w:spacing w:line="216" w:lineRule="auto"/>
              <w:jc w:val="center"/>
              <w:rPr>
                <w:sz w:val="18"/>
                <w:szCs w:val="18"/>
              </w:rPr>
            </w:pPr>
            <w:r>
              <w:rPr>
                <w:sz w:val="18"/>
                <w:szCs w:val="18"/>
              </w:rPr>
              <w:t>(个)</w:t>
            </w:r>
          </w:p>
        </w:tc>
        <w:tc>
          <w:tcPr>
            <w:tcW w:w="865" w:type="dxa"/>
            <w:gridSpan w:val="3"/>
            <w:vMerge w:val="restart"/>
            <w:vAlign w:val="center"/>
          </w:tcPr>
          <w:p w14:paraId="63828694">
            <w:pPr>
              <w:spacing w:line="216" w:lineRule="auto"/>
              <w:jc w:val="center"/>
              <w:rPr>
                <w:sz w:val="18"/>
                <w:szCs w:val="18"/>
              </w:rPr>
            </w:pPr>
            <w:r>
              <w:rPr>
                <w:sz w:val="18"/>
                <w:szCs w:val="18"/>
              </w:rPr>
              <w:t>最大</w:t>
            </w:r>
          </w:p>
          <w:p w14:paraId="37B09747">
            <w:pPr>
              <w:spacing w:line="216" w:lineRule="auto"/>
              <w:jc w:val="center"/>
              <w:rPr>
                <w:sz w:val="18"/>
                <w:szCs w:val="18"/>
              </w:rPr>
            </w:pPr>
            <w:r>
              <w:rPr>
                <w:sz w:val="18"/>
                <w:szCs w:val="18"/>
              </w:rPr>
              <w:t>长度</w:t>
            </w:r>
          </w:p>
          <w:p w14:paraId="475BAF11">
            <w:pPr>
              <w:spacing w:line="216" w:lineRule="auto"/>
              <w:jc w:val="center"/>
              <w:rPr>
                <w:sz w:val="18"/>
                <w:szCs w:val="18"/>
              </w:rPr>
            </w:pPr>
            <w:r>
              <w:rPr>
                <w:sz w:val="18"/>
                <w:szCs w:val="18"/>
              </w:rPr>
              <w:t>(m)</w:t>
            </w:r>
          </w:p>
        </w:tc>
        <w:tc>
          <w:tcPr>
            <w:tcW w:w="709" w:type="dxa"/>
            <w:gridSpan w:val="2"/>
            <w:vMerge w:val="restart"/>
            <w:vAlign w:val="center"/>
          </w:tcPr>
          <w:p w14:paraId="6F594FF9">
            <w:pPr>
              <w:spacing w:line="216" w:lineRule="auto"/>
              <w:jc w:val="center"/>
              <w:rPr>
                <w:sz w:val="18"/>
                <w:szCs w:val="18"/>
              </w:rPr>
            </w:pPr>
            <w:r>
              <w:rPr>
                <w:sz w:val="18"/>
                <w:szCs w:val="18"/>
              </w:rPr>
              <w:t>最大</w:t>
            </w:r>
          </w:p>
          <w:p w14:paraId="4D3CAFD8">
            <w:pPr>
              <w:spacing w:line="216" w:lineRule="auto"/>
              <w:jc w:val="center"/>
              <w:rPr>
                <w:sz w:val="18"/>
                <w:szCs w:val="18"/>
              </w:rPr>
            </w:pPr>
            <w:r>
              <w:rPr>
                <w:sz w:val="18"/>
                <w:szCs w:val="18"/>
              </w:rPr>
              <w:t>宽度</w:t>
            </w:r>
          </w:p>
          <w:p w14:paraId="125E27A3">
            <w:pPr>
              <w:spacing w:line="216" w:lineRule="auto"/>
              <w:jc w:val="center"/>
              <w:rPr>
                <w:sz w:val="18"/>
                <w:szCs w:val="18"/>
              </w:rPr>
            </w:pPr>
            <w:r>
              <w:rPr>
                <w:sz w:val="18"/>
                <w:szCs w:val="18"/>
              </w:rPr>
              <w:t>(m)</w:t>
            </w:r>
          </w:p>
        </w:tc>
        <w:tc>
          <w:tcPr>
            <w:tcW w:w="851" w:type="dxa"/>
            <w:gridSpan w:val="3"/>
            <w:vMerge w:val="restart"/>
            <w:vAlign w:val="center"/>
          </w:tcPr>
          <w:p w14:paraId="0E74AAF9">
            <w:pPr>
              <w:spacing w:line="216" w:lineRule="auto"/>
              <w:jc w:val="center"/>
              <w:rPr>
                <w:sz w:val="18"/>
                <w:szCs w:val="18"/>
              </w:rPr>
            </w:pPr>
            <w:r>
              <w:rPr>
                <w:sz w:val="18"/>
                <w:szCs w:val="18"/>
              </w:rPr>
              <w:t>最大</w:t>
            </w:r>
          </w:p>
          <w:p w14:paraId="1D44099D">
            <w:pPr>
              <w:spacing w:line="216" w:lineRule="auto"/>
              <w:jc w:val="center"/>
              <w:rPr>
                <w:sz w:val="18"/>
                <w:szCs w:val="18"/>
              </w:rPr>
            </w:pPr>
            <w:r>
              <w:rPr>
                <w:sz w:val="18"/>
                <w:szCs w:val="18"/>
              </w:rPr>
              <w:t>深度</w:t>
            </w:r>
          </w:p>
          <w:p w14:paraId="73A4D72A">
            <w:pPr>
              <w:spacing w:line="216" w:lineRule="auto"/>
              <w:jc w:val="center"/>
              <w:rPr>
                <w:sz w:val="18"/>
                <w:szCs w:val="18"/>
              </w:rPr>
            </w:pPr>
            <w:r>
              <w:rPr>
                <w:sz w:val="18"/>
                <w:szCs w:val="18"/>
              </w:rPr>
              <w:t>(m)</w:t>
            </w:r>
          </w:p>
        </w:tc>
        <w:tc>
          <w:tcPr>
            <w:tcW w:w="992" w:type="dxa"/>
            <w:gridSpan w:val="3"/>
            <w:vMerge w:val="restart"/>
            <w:vAlign w:val="center"/>
          </w:tcPr>
          <w:p w14:paraId="4C790213">
            <w:pPr>
              <w:spacing w:line="216" w:lineRule="auto"/>
              <w:jc w:val="center"/>
              <w:rPr>
                <w:sz w:val="18"/>
                <w:szCs w:val="18"/>
              </w:rPr>
            </w:pPr>
            <w:r>
              <w:rPr>
                <w:sz w:val="18"/>
                <w:szCs w:val="18"/>
              </w:rPr>
              <w:t>走向</w:t>
            </w:r>
          </w:p>
        </w:tc>
        <w:tc>
          <w:tcPr>
            <w:tcW w:w="5078" w:type="dxa"/>
            <w:gridSpan w:val="24"/>
            <w:vAlign w:val="center"/>
          </w:tcPr>
          <w:p w14:paraId="7A5AEFFF">
            <w:pPr>
              <w:spacing w:line="216" w:lineRule="auto"/>
              <w:jc w:val="center"/>
              <w:rPr>
                <w:sz w:val="18"/>
                <w:szCs w:val="18"/>
              </w:rPr>
            </w:pPr>
            <w:r>
              <w:rPr>
                <w:sz w:val="18"/>
                <w:szCs w:val="18"/>
              </w:rPr>
              <w:t>危害</w:t>
            </w:r>
          </w:p>
        </w:tc>
        <w:tc>
          <w:tcPr>
            <w:tcW w:w="454" w:type="dxa"/>
            <w:gridSpan w:val="2"/>
            <w:vMerge w:val="restart"/>
            <w:vAlign w:val="center"/>
          </w:tcPr>
          <w:p w14:paraId="2BF361D8">
            <w:pPr>
              <w:spacing w:line="216" w:lineRule="auto"/>
              <w:jc w:val="center"/>
              <w:rPr>
                <w:sz w:val="18"/>
                <w:szCs w:val="18"/>
              </w:rPr>
            </w:pPr>
            <w:r>
              <w:rPr>
                <w:sz w:val="18"/>
                <w:szCs w:val="18"/>
              </w:rPr>
              <w:t>发生</w:t>
            </w:r>
          </w:p>
          <w:p w14:paraId="5C33E1CC">
            <w:pPr>
              <w:spacing w:line="216" w:lineRule="auto"/>
              <w:jc w:val="center"/>
              <w:rPr>
                <w:sz w:val="18"/>
                <w:szCs w:val="18"/>
              </w:rPr>
            </w:pPr>
            <w:r>
              <w:rPr>
                <w:sz w:val="18"/>
                <w:szCs w:val="18"/>
              </w:rPr>
              <w:t>原因</w:t>
            </w:r>
          </w:p>
        </w:tc>
        <w:tc>
          <w:tcPr>
            <w:tcW w:w="455" w:type="dxa"/>
            <w:gridSpan w:val="2"/>
            <w:vMerge w:val="restart"/>
            <w:vAlign w:val="center"/>
          </w:tcPr>
          <w:p w14:paraId="5C311C69">
            <w:pPr>
              <w:spacing w:line="216" w:lineRule="auto"/>
              <w:jc w:val="center"/>
              <w:rPr>
                <w:sz w:val="18"/>
                <w:szCs w:val="18"/>
              </w:rPr>
            </w:pPr>
            <w:r>
              <w:rPr>
                <w:sz w:val="18"/>
                <w:szCs w:val="18"/>
              </w:rPr>
              <w:t>防治</w:t>
            </w:r>
          </w:p>
          <w:p w14:paraId="1F9A0E77">
            <w:pPr>
              <w:spacing w:line="216" w:lineRule="auto"/>
              <w:jc w:val="center"/>
              <w:rPr>
                <w:sz w:val="18"/>
                <w:szCs w:val="18"/>
              </w:rPr>
            </w:pPr>
            <w:r>
              <w:rPr>
                <w:sz w:val="18"/>
                <w:szCs w:val="18"/>
              </w:rPr>
              <w:t>情况</w:t>
            </w:r>
          </w:p>
        </w:tc>
        <w:tc>
          <w:tcPr>
            <w:tcW w:w="993" w:type="dxa"/>
            <w:vMerge w:val="restart"/>
            <w:vAlign w:val="center"/>
          </w:tcPr>
          <w:p w14:paraId="0FAF89FC">
            <w:pPr>
              <w:spacing w:line="216" w:lineRule="auto"/>
              <w:jc w:val="center"/>
              <w:rPr>
                <w:sz w:val="18"/>
                <w:szCs w:val="18"/>
              </w:rPr>
            </w:pPr>
            <w:r>
              <w:rPr>
                <w:sz w:val="18"/>
                <w:szCs w:val="18"/>
              </w:rPr>
              <w:t>治理面积(m</w:t>
            </w:r>
            <w:r>
              <w:rPr>
                <w:sz w:val="18"/>
                <w:szCs w:val="18"/>
                <w:vertAlign w:val="superscript"/>
              </w:rPr>
              <w:t>2</w:t>
            </w:r>
            <w:r>
              <w:rPr>
                <w:sz w:val="18"/>
                <w:szCs w:val="18"/>
              </w:rPr>
              <w:t>)</w:t>
            </w:r>
          </w:p>
        </w:tc>
      </w:tr>
      <w:tr w14:paraId="60D1C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31267228">
            <w:pPr>
              <w:spacing w:line="216" w:lineRule="auto"/>
              <w:jc w:val="center"/>
              <w:rPr>
                <w:sz w:val="18"/>
                <w:szCs w:val="18"/>
              </w:rPr>
            </w:pPr>
          </w:p>
        </w:tc>
        <w:tc>
          <w:tcPr>
            <w:tcW w:w="754" w:type="dxa"/>
            <w:gridSpan w:val="2"/>
            <w:vMerge w:val="continue"/>
            <w:vAlign w:val="center"/>
          </w:tcPr>
          <w:p w14:paraId="176EFBE1">
            <w:pPr>
              <w:spacing w:line="216" w:lineRule="auto"/>
              <w:jc w:val="center"/>
              <w:rPr>
                <w:sz w:val="18"/>
                <w:szCs w:val="18"/>
              </w:rPr>
            </w:pPr>
          </w:p>
        </w:tc>
        <w:tc>
          <w:tcPr>
            <w:tcW w:w="674" w:type="dxa"/>
            <w:gridSpan w:val="3"/>
            <w:vMerge w:val="continue"/>
            <w:vAlign w:val="center"/>
          </w:tcPr>
          <w:p w14:paraId="1570D6FE">
            <w:pPr>
              <w:spacing w:line="216" w:lineRule="auto"/>
              <w:jc w:val="center"/>
              <w:rPr>
                <w:sz w:val="18"/>
                <w:szCs w:val="18"/>
              </w:rPr>
            </w:pPr>
          </w:p>
        </w:tc>
        <w:tc>
          <w:tcPr>
            <w:tcW w:w="836" w:type="dxa"/>
            <w:gridSpan w:val="3"/>
            <w:vMerge w:val="continue"/>
            <w:vAlign w:val="center"/>
          </w:tcPr>
          <w:p w14:paraId="7EAD8AAE">
            <w:pPr>
              <w:spacing w:line="216" w:lineRule="auto"/>
              <w:jc w:val="center"/>
              <w:rPr>
                <w:sz w:val="18"/>
                <w:szCs w:val="18"/>
              </w:rPr>
            </w:pPr>
          </w:p>
        </w:tc>
        <w:tc>
          <w:tcPr>
            <w:tcW w:w="865" w:type="dxa"/>
            <w:gridSpan w:val="3"/>
            <w:vMerge w:val="continue"/>
            <w:vAlign w:val="center"/>
          </w:tcPr>
          <w:p w14:paraId="08238480">
            <w:pPr>
              <w:spacing w:line="216" w:lineRule="auto"/>
              <w:jc w:val="center"/>
              <w:rPr>
                <w:sz w:val="18"/>
                <w:szCs w:val="18"/>
              </w:rPr>
            </w:pPr>
          </w:p>
        </w:tc>
        <w:tc>
          <w:tcPr>
            <w:tcW w:w="709" w:type="dxa"/>
            <w:gridSpan w:val="2"/>
            <w:vMerge w:val="continue"/>
            <w:vAlign w:val="center"/>
          </w:tcPr>
          <w:p w14:paraId="64CAD653">
            <w:pPr>
              <w:spacing w:line="216" w:lineRule="auto"/>
              <w:jc w:val="center"/>
              <w:rPr>
                <w:sz w:val="18"/>
                <w:szCs w:val="18"/>
              </w:rPr>
            </w:pPr>
          </w:p>
        </w:tc>
        <w:tc>
          <w:tcPr>
            <w:tcW w:w="851" w:type="dxa"/>
            <w:gridSpan w:val="3"/>
            <w:vMerge w:val="continue"/>
            <w:vAlign w:val="center"/>
          </w:tcPr>
          <w:p w14:paraId="11B69778">
            <w:pPr>
              <w:spacing w:line="216" w:lineRule="auto"/>
              <w:jc w:val="center"/>
              <w:rPr>
                <w:sz w:val="18"/>
                <w:szCs w:val="18"/>
              </w:rPr>
            </w:pPr>
          </w:p>
        </w:tc>
        <w:tc>
          <w:tcPr>
            <w:tcW w:w="992" w:type="dxa"/>
            <w:gridSpan w:val="3"/>
            <w:vMerge w:val="continue"/>
            <w:vAlign w:val="center"/>
          </w:tcPr>
          <w:p w14:paraId="0A2B63B4">
            <w:pPr>
              <w:spacing w:line="216" w:lineRule="auto"/>
              <w:jc w:val="center"/>
              <w:rPr>
                <w:sz w:val="18"/>
                <w:szCs w:val="18"/>
              </w:rPr>
            </w:pPr>
          </w:p>
        </w:tc>
        <w:tc>
          <w:tcPr>
            <w:tcW w:w="1172" w:type="dxa"/>
            <w:gridSpan w:val="5"/>
            <w:vAlign w:val="center"/>
          </w:tcPr>
          <w:p w14:paraId="3F0E9550">
            <w:pPr>
              <w:spacing w:line="216" w:lineRule="auto"/>
              <w:jc w:val="center"/>
              <w:rPr>
                <w:sz w:val="18"/>
                <w:szCs w:val="18"/>
              </w:rPr>
            </w:pPr>
            <w:r>
              <w:rPr>
                <w:sz w:val="18"/>
                <w:szCs w:val="18"/>
              </w:rPr>
              <w:t>死亡人数(人)</w:t>
            </w:r>
          </w:p>
        </w:tc>
        <w:tc>
          <w:tcPr>
            <w:tcW w:w="810" w:type="dxa"/>
            <w:gridSpan w:val="3"/>
            <w:vAlign w:val="center"/>
          </w:tcPr>
          <w:p w14:paraId="12B5CF2B">
            <w:pPr>
              <w:spacing w:line="216" w:lineRule="auto"/>
              <w:jc w:val="center"/>
              <w:rPr>
                <w:sz w:val="18"/>
                <w:szCs w:val="18"/>
              </w:rPr>
            </w:pPr>
            <w:r>
              <w:rPr>
                <w:sz w:val="18"/>
                <w:szCs w:val="18"/>
              </w:rPr>
              <w:t>受伤人数(人)</w:t>
            </w:r>
          </w:p>
        </w:tc>
        <w:tc>
          <w:tcPr>
            <w:tcW w:w="1132" w:type="dxa"/>
            <w:gridSpan w:val="6"/>
            <w:vAlign w:val="center"/>
          </w:tcPr>
          <w:p w14:paraId="2F669AFA">
            <w:pPr>
              <w:spacing w:line="216" w:lineRule="auto"/>
              <w:jc w:val="center"/>
              <w:rPr>
                <w:sz w:val="18"/>
                <w:szCs w:val="18"/>
              </w:rPr>
            </w:pPr>
            <w:r>
              <w:rPr>
                <w:sz w:val="18"/>
                <w:szCs w:val="18"/>
              </w:rPr>
              <w:t>破坏房</w:t>
            </w:r>
          </w:p>
          <w:p w14:paraId="0512FA0E">
            <w:pPr>
              <w:spacing w:line="216" w:lineRule="auto"/>
              <w:jc w:val="center"/>
              <w:rPr>
                <w:sz w:val="18"/>
                <w:szCs w:val="18"/>
              </w:rPr>
            </w:pPr>
            <w:r>
              <w:rPr>
                <w:sz w:val="18"/>
                <w:szCs w:val="18"/>
              </w:rPr>
              <w:t>屋(间)</w:t>
            </w:r>
          </w:p>
        </w:tc>
        <w:tc>
          <w:tcPr>
            <w:tcW w:w="812" w:type="dxa"/>
            <w:gridSpan w:val="3"/>
            <w:vAlign w:val="center"/>
          </w:tcPr>
          <w:p w14:paraId="2AF524FB">
            <w:pPr>
              <w:spacing w:line="216" w:lineRule="auto"/>
              <w:jc w:val="center"/>
              <w:rPr>
                <w:sz w:val="18"/>
                <w:szCs w:val="18"/>
              </w:rPr>
            </w:pPr>
            <w:r>
              <w:rPr>
                <w:sz w:val="18"/>
                <w:szCs w:val="18"/>
              </w:rPr>
              <w:t>毁坏土地(m</w:t>
            </w:r>
            <w:r>
              <w:rPr>
                <w:sz w:val="18"/>
                <w:szCs w:val="18"/>
                <w:vertAlign w:val="superscript"/>
              </w:rPr>
              <w:t>2</w:t>
            </w:r>
            <w:r>
              <w:rPr>
                <w:sz w:val="18"/>
                <w:szCs w:val="18"/>
              </w:rPr>
              <w:t>)</w:t>
            </w:r>
          </w:p>
        </w:tc>
        <w:tc>
          <w:tcPr>
            <w:tcW w:w="1152" w:type="dxa"/>
            <w:gridSpan w:val="7"/>
            <w:vAlign w:val="center"/>
          </w:tcPr>
          <w:p w14:paraId="5613A722">
            <w:pPr>
              <w:spacing w:line="216" w:lineRule="auto"/>
              <w:jc w:val="center"/>
              <w:rPr>
                <w:sz w:val="18"/>
                <w:szCs w:val="18"/>
              </w:rPr>
            </w:pPr>
            <w:r>
              <w:rPr>
                <w:sz w:val="18"/>
                <w:szCs w:val="18"/>
              </w:rPr>
              <w:t>直接经济损失(万元)</w:t>
            </w:r>
          </w:p>
        </w:tc>
        <w:tc>
          <w:tcPr>
            <w:tcW w:w="454" w:type="dxa"/>
            <w:gridSpan w:val="2"/>
            <w:vMerge w:val="continue"/>
            <w:vAlign w:val="center"/>
          </w:tcPr>
          <w:p w14:paraId="24D1B26F">
            <w:pPr>
              <w:spacing w:line="216" w:lineRule="auto"/>
              <w:jc w:val="center"/>
              <w:rPr>
                <w:sz w:val="18"/>
                <w:szCs w:val="18"/>
              </w:rPr>
            </w:pPr>
          </w:p>
        </w:tc>
        <w:tc>
          <w:tcPr>
            <w:tcW w:w="455" w:type="dxa"/>
            <w:gridSpan w:val="2"/>
            <w:vMerge w:val="continue"/>
            <w:vAlign w:val="center"/>
          </w:tcPr>
          <w:p w14:paraId="1B7F625C">
            <w:pPr>
              <w:spacing w:line="216" w:lineRule="auto"/>
              <w:jc w:val="center"/>
              <w:rPr>
                <w:sz w:val="18"/>
                <w:szCs w:val="18"/>
              </w:rPr>
            </w:pPr>
          </w:p>
        </w:tc>
        <w:tc>
          <w:tcPr>
            <w:tcW w:w="993" w:type="dxa"/>
            <w:vMerge w:val="continue"/>
            <w:vAlign w:val="center"/>
          </w:tcPr>
          <w:p w14:paraId="384D1B2B">
            <w:pPr>
              <w:spacing w:line="216" w:lineRule="auto"/>
              <w:jc w:val="center"/>
              <w:rPr>
                <w:sz w:val="18"/>
                <w:szCs w:val="18"/>
              </w:rPr>
            </w:pPr>
          </w:p>
        </w:tc>
      </w:tr>
      <w:tr w14:paraId="26245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0E5B55AE">
            <w:pPr>
              <w:spacing w:line="216" w:lineRule="auto"/>
              <w:jc w:val="center"/>
              <w:rPr>
                <w:sz w:val="18"/>
                <w:szCs w:val="18"/>
              </w:rPr>
            </w:pPr>
          </w:p>
        </w:tc>
        <w:tc>
          <w:tcPr>
            <w:tcW w:w="754" w:type="dxa"/>
            <w:gridSpan w:val="2"/>
            <w:vAlign w:val="center"/>
          </w:tcPr>
          <w:p w14:paraId="35218AC1">
            <w:pPr>
              <w:spacing w:line="216" w:lineRule="auto"/>
              <w:jc w:val="center"/>
              <w:rPr>
                <w:sz w:val="18"/>
                <w:szCs w:val="18"/>
              </w:rPr>
            </w:pPr>
            <w:r>
              <w:rPr>
                <w:sz w:val="18"/>
                <w:szCs w:val="18"/>
              </w:rPr>
              <w:t>0</w:t>
            </w:r>
          </w:p>
        </w:tc>
        <w:tc>
          <w:tcPr>
            <w:tcW w:w="674" w:type="dxa"/>
            <w:gridSpan w:val="3"/>
            <w:vAlign w:val="center"/>
          </w:tcPr>
          <w:p w14:paraId="5284CB0B">
            <w:pPr>
              <w:spacing w:line="216" w:lineRule="auto"/>
              <w:jc w:val="center"/>
              <w:rPr>
                <w:sz w:val="18"/>
                <w:szCs w:val="18"/>
              </w:rPr>
            </w:pPr>
            <w:r>
              <w:rPr>
                <w:sz w:val="18"/>
                <w:szCs w:val="18"/>
              </w:rPr>
              <w:t>0</w:t>
            </w:r>
          </w:p>
        </w:tc>
        <w:tc>
          <w:tcPr>
            <w:tcW w:w="836" w:type="dxa"/>
            <w:gridSpan w:val="3"/>
            <w:vAlign w:val="center"/>
          </w:tcPr>
          <w:p w14:paraId="0236E6FD">
            <w:pPr>
              <w:spacing w:line="216" w:lineRule="auto"/>
              <w:jc w:val="center"/>
              <w:rPr>
                <w:sz w:val="18"/>
                <w:szCs w:val="18"/>
              </w:rPr>
            </w:pPr>
            <w:r>
              <w:rPr>
                <w:sz w:val="18"/>
                <w:szCs w:val="18"/>
              </w:rPr>
              <w:t>0</w:t>
            </w:r>
          </w:p>
        </w:tc>
        <w:tc>
          <w:tcPr>
            <w:tcW w:w="865" w:type="dxa"/>
            <w:gridSpan w:val="3"/>
            <w:vAlign w:val="center"/>
          </w:tcPr>
          <w:p w14:paraId="0605D93D">
            <w:pPr>
              <w:spacing w:line="216" w:lineRule="auto"/>
              <w:jc w:val="center"/>
              <w:rPr>
                <w:sz w:val="18"/>
                <w:szCs w:val="18"/>
              </w:rPr>
            </w:pPr>
            <w:r>
              <w:rPr>
                <w:sz w:val="18"/>
                <w:szCs w:val="18"/>
              </w:rPr>
              <w:t>0</w:t>
            </w:r>
          </w:p>
        </w:tc>
        <w:tc>
          <w:tcPr>
            <w:tcW w:w="709" w:type="dxa"/>
            <w:gridSpan w:val="2"/>
            <w:vAlign w:val="center"/>
          </w:tcPr>
          <w:p w14:paraId="1C5B6844">
            <w:pPr>
              <w:spacing w:line="216" w:lineRule="auto"/>
              <w:jc w:val="center"/>
              <w:rPr>
                <w:sz w:val="18"/>
                <w:szCs w:val="18"/>
              </w:rPr>
            </w:pPr>
            <w:r>
              <w:rPr>
                <w:sz w:val="18"/>
                <w:szCs w:val="18"/>
              </w:rPr>
              <w:t>0</w:t>
            </w:r>
          </w:p>
        </w:tc>
        <w:tc>
          <w:tcPr>
            <w:tcW w:w="851" w:type="dxa"/>
            <w:gridSpan w:val="3"/>
            <w:vAlign w:val="center"/>
          </w:tcPr>
          <w:p w14:paraId="48D44DB9">
            <w:pPr>
              <w:spacing w:line="216" w:lineRule="auto"/>
              <w:jc w:val="center"/>
              <w:rPr>
                <w:sz w:val="18"/>
                <w:szCs w:val="18"/>
              </w:rPr>
            </w:pPr>
            <w:r>
              <w:rPr>
                <w:sz w:val="18"/>
                <w:szCs w:val="18"/>
              </w:rPr>
              <w:t>0</w:t>
            </w:r>
          </w:p>
        </w:tc>
        <w:tc>
          <w:tcPr>
            <w:tcW w:w="992" w:type="dxa"/>
            <w:gridSpan w:val="3"/>
            <w:vAlign w:val="center"/>
          </w:tcPr>
          <w:p w14:paraId="786723A3">
            <w:pPr>
              <w:spacing w:line="216" w:lineRule="auto"/>
              <w:jc w:val="center"/>
              <w:rPr>
                <w:sz w:val="18"/>
                <w:szCs w:val="18"/>
              </w:rPr>
            </w:pPr>
            <w:r>
              <w:rPr>
                <w:sz w:val="18"/>
                <w:szCs w:val="18"/>
              </w:rPr>
              <w:t>0</w:t>
            </w:r>
          </w:p>
        </w:tc>
        <w:tc>
          <w:tcPr>
            <w:tcW w:w="1172" w:type="dxa"/>
            <w:gridSpan w:val="5"/>
            <w:vAlign w:val="center"/>
          </w:tcPr>
          <w:p w14:paraId="19A5C901">
            <w:pPr>
              <w:spacing w:line="216" w:lineRule="auto"/>
              <w:jc w:val="center"/>
              <w:rPr>
                <w:sz w:val="18"/>
                <w:szCs w:val="18"/>
              </w:rPr>
            </w:pPr>
            <w:r>
              <w:rPr>
                <w:sz w:val="18"/>
                <w:szCs w:val="18"/>
              </w:rPr>
              <w:t>0</w:t>
            </w:r>
          </w:p>
        </w:tc>
        <w:tc>
          <w:tcPr>
            <w:tcW w:w="810" w:type="dxa"/>
            <w:gridSpan w:val="3"/>
            <w:vAlign w:val="center"/>
          </w:tcPr>
          <w:p w14:paraId="1A9E8BCD">
            <w:pPr>
              <w:spacing w:line="216" w:lineRule="auto"/>
              <w:jc w:val="center"/>
              <w:rPr>
                <w:sz w:val="18"/>
                <w:szCs w:val="18"/>
              </w:rPr>
            </w:pPr>
            <w:r>
              <w:rPr>
                <w:sz w:val="18"/>
                <w:szCs w:val="18"/>
              </w:rPr>
              <w:t>0</w:t>
            </w:r>
          </w:p>
        </w:tc>
        <w:tc>
          <w:tcPr>
            <w:tcW w:w="1132" w:type="dxa"/>
            <w:gridSpan w:val="6"/>
            <w:vAlign w:val="center"/>
          </w:tcPr>
          <w:p w14:paraId="7FE9C720">
            <w:pPr>
              <w:spacing w:line="216" w:lineRule="auto"/>
              <w:jc w:val="center"/>
              <w:rPr>
                <w:sz w:val="18"/>
                <w:szCs w:val="18"/>
              </w:rPr>
            </w:pPr>
            <w:r>
              <w:rPr>
                <w:sz w:val="18"/>
                <w:szCs w:val="18"/>
              </w:rPr>
              <w:t>0</w:t>
            </w:r>
          </w:p>
        </w:tc>
        <w:tc>
          <w:tcPr>
            <w:tcW w:w="812" w:type="dxa"/>
            <w:gridSpan w:val="3"/>
            <w:vAlign w:val="center"/>
          </w:tcPr>
          <w:p w14:paraId="43523861">
            <w:pPr>
              <w:spacing w:line="216" w:lineRule="auto"/>
              <w:jc w:val="center"/>
              <w:rPr>
                <w:sz w:val="18"/>
                <w:szCs w:val="18"/>
              </w:rPr>
            </w:pPr>
            <w:r>
              <w:rPr>
                <w:sz w:val="18"/>
                <w:szCs w:val="18"/>
              </w:rPr>
              <w:t>0</w:t>
            </w:r>
          </w:p>
        </w:tc>
        <w:tc>
          <w:tcPr>
            <w:tcW w:w="1152" w:type="dxa"/>
            <w:gridSpan w:val="7"/>
            <w:vAlign w:val="center"/>
          </w:tcPr>
          <w:p w14:paraId="736F6E26">
            <w:pPr>
              <w:spacing w:line="216" w:lineRule="auto"/>
              <w:jc w:val="center"/>
              <w:rPr>
                <w:sz w:val="18"/>
                <w:szCs w:val="18"/>
              </w:rPr>
            </w:pPr>
            <w:r>
              <w:rPr>
                <w:sz w:val="18"/>
                <w:szCs w:val="18"/>
              </w:rPr>
              <w:t>0</w:t>
            </w:r>
          </w:p>
        </w:tc>
        <w:tc>
          <w:tcPr>
            <w:tcW w:w="454" w:type="dxa"/>
            <w:gridSpan w:val="2"/>
            <w:vAlign w:val="center"/>
          </w:tcPr>
          <w:p w14:paraId="073F4E3D">
            <w:pPr>
              <w:spacing w:line="216" w:lineRule="auto"/>
              <w:jc w:val="center"/>
              <w:rPr>
                <w:sz w:val="18"/>
                <w:szCs w:val="18"/>
              </w:rPr>
            </w:pPr>
            <w:r>
              <w:rPr>
                <w:sz w:val="18"/>
                <w:szCs w:val="18"/>
              </w:rPr>
              <w:t>0</w:t>
            </w:r>
          </w:p>
        </w:tc>
        <w:tc>
          <w:tcPr>
            <w:tcW w:w="455" w:type="dxa"/>
            <w:gridSpan w:val="2"/>
            <w:vMerge w:val="restart"/>
            <w:vAlign w:val="center"/>
          </w:tcPr>
          <w:p w14:paraId="1B6F83A1">
            <w:pPr>
              <w:spacing w:line="216" w:lineRule="auto"/>
              <w:jc w:val="center"/>
              <w:rPr>
                <w:sz w:val="18"/>
                <w:szCs w:val="18"/>
              </w:rPr>
            </w:pPr>
            <w:r>
              <w:rPr>
                <w:sz w:val="18"/>
                <w:szCs w:val="18"/>
              </w:rPr>
              <w:t>0</w:t>
            </w:r>
          </w:p>
        </w:tc>
        <w:tc>
          <w:tcPr>
            <w:tcW w:w="993" w:type="dxa"/>
            <w:vMerge w:val="restart"/>
            <w:vAlign w:val="center"/>
          </w:tcPr>
          <w:p w14:paraId="142C5CF9">
            <w:pPr>
              <w:spacing w:line="216" w:lineRule="auto"/>
              <w:jc w:val="center"/>
              <w:rPr>
                <w:sz w:val="18"/>
                <w:szCs w:val="18"/>
              </w:rPr>
            </w:pPr>
            <w:r>
              <w:rPr>
                <w:sz w:val="18"/>
                <w:szCs w:val="18"/>
              </w:rPr>
              <w:t>0</w:t>
            </w:r>
          </w:p>
        </w:tc>
      </w:tr>
      <w:tr w14:paraId="644AC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trPr>
        <w:tc>
          <w:tcPr>
            <w:tcW w:w="1518" w:type="dxa"/>
            <w:vMerge w:val="continue"/>
            <w:vAlign w:val="center"/>
          </w:tcPr>
          <w:p w14:paraId="276DBAAA">
            <w:pPr>
              <w:spacing w:line="216" w:lineRule="auto"/>
              <w:jc w:val="center"/>
              <w:rPr>
                <w:sz w:val="18"/>
                <w:szCs w:val="18"/>
              </w:rPr>
            </w:pPr>
          </w:p>
        </w:tc>
        <w:tc>
          <w:tcPr>
            <w:tcW w:w="754" w:type="dxa"/>
            <w:gridSpan w:val="2"/>
            <w:vAlign w:val="center"/>
          </w:tcPr>
          <w:p w14:paraId="6D6D640B">
            <w:pPr>
              <w:spacing w:line="216" w:lineRule="auto"/>
              <w:jc w:val="center"/>
              <w:rPr>
                <w:sz w:val="18"/>
                <w:szCs w:val="18"/>
              </w:rPr>
            </w:pPr>
            <w:r>
              <w:rPr>
                <w:sz w:val="18"/>
                <w:szCs w:val="18"/>
              </w:rPr>
              <w:t>0</w:t>
            </w:r>
          </w:p>
        </w:tc>
        <w:tc>
          <w:tcPr>
            <w:tcW w:w="674" w:type="dxa"/>
            <w:gridSpan w:val="3"/>
            <w:vAlign w:val="center"/>
          </w:tcPr>
          <w:p w14:paraId="6EBF8064">
            <w:pPr>
              <w:spacing w:line="216" w:lineRule="auto"/>
              <w:jc w:val="center"/>
              <w:rPr>
                <w:sz w:val="18"/>
                <w:szCs w:val="18"/>
              </w:rPr>
            </w:pPr>
            <w:r>
              <w:rPr>
                <w:sz w:val="18"/>
                <w:szCs w:val="18"/>
              </w:rPr>
              <w:t>0</w:t>
            </w:r>
          </w:p>
        </w:tc>
        <w:tc>
          <w:tcPr>
            <w:tcW w:w="836" w:type="dxa"/>
            <w:gridSpan w:val="3"/>
            <w:vAlign w:val="center"/>
          </w:tcPr>
          <w:p w14:paraId="5D76C819">
            <w:pPr>
              <w:spacing w:line="216" w:lineRule="auto"/>
              <w:jc w:val="center"/>
              <w:rPr>
                <w:sz w:val="18"/>
                <w:szCs w:val="18"/>
              </w:rPr>
            </w:pPr>
            <w:r>
              <w:rPr>
                <w:sz w:val="18"/>
                <w:szCs w:val="18"/>
              </w:rPr>
              <w:t>0</w:t>
            </w:r>
          </w:p>
        </w:tc>
        <w:tc>
          <w:tcPr>
            <w:tcW w:w="865" w:type="dxa"/>
            <w:gridSpan w:val="3"/>
            <w:vAlign w:val="center"/>
          </w:tcPr>
          <w:p w14:paraId="37B4D7DF">
            <w:pPr>
              <w:spacing w:line="216" w:lineRule="auto"/>
              <w:jc w:val="center"/>
              <w:rPr>
                <w:sz w:val="18"/>
                <w:szCs w:val="18"/>
              </w:rPr>
            </w:pPr>
            <w:r>
              <w:rPr>
                <w:sz w:val="18"/>
                <w:szCs w:val="18"/>
              </w:rPr>
              <w:t>0</w:t>
            </w:r>
          </w:p>
        </w:tc>
        <w:tc>
          <w:tcPr>
            <w:tcW w:w="709" w:type="dxa"/>
            <w:gridSpan w:val="2"/>
            <w:vAlign w:val="center"/>
          </w:tcPr>
          <w:p w14:paraId="30F98AF2">
            <w:pPr>
              <w:spacing w:line="216" w:lineRule="auto"/>
              <w:jc w:val="center"/>
              <w:rPr>
                <w:sz w:val="18"/>
                <w:szCs w:val="18"/>
              </w:rPr>
            </w:pPr>
            <w:r>
              <w:rPr>
                <w:sz w:val="18"/>
                <w:szCs w:val="18"/>
              </w:rPr>
              <w:t>0</w:t>
            </w:r>
          </w:p>
        </w:tc>
        <w:tc>
          <w:tcPr>
            <w:tcW w:w="851" w:type="dxa"/>
            <w:gridSpan w:val="3"/>
            <w:vAlign w:val="center"/>
          </w:tcPr>
          <w:p w14:paraId="2CBA077B">
            <w:pPr>
              <w:spacing w:line="216" w:lineRule="auto"/>
              <w:jc w:val="center"/>
              <w:rPr>
                <w:sz w:val="18"/>
                <w:szCs w:val="18"/>
              </w:rPr>
            </w:pPr>
            <w:r>
              <w:rPr>
                <w:sz w:val="18"/>
                <w:szCs w:val="18"/>
              </w:rPr>
              <w:t>0</w:t>
            </w:r>
          </w:p>
        </w:tc>
        <w:tc>
          <w:tcPr>
            <w:tcW w:w="992" w:type="dxa"/>
            <w:gridSpan w:val="3"/>
            <w:vAlign w:val="center"/>
          </w:tcPr>
          <w:p w14:paraId="76D77E96">
            <w:pPr>
              <w:spacing w:line="216" w:lineRule="auto"/>
              <w:jc w:val="center"/>
              <w:rPr>
                <w:sz w:val="18"/>
                <w:szCs w:val="18"/>
              </w:rPr>
            </w:pPr>
            <w:r>
              <w:rPr>
                <w:sz w:val="18"/>
                <w:szCs w:val="18"/>
              </w:rPr>
              <w:t>0</w:t>
            </w:r>
          </w:p>
        </w:tc>
        <w:tc>
          <w:tcPr>
            <w:tcW w:w="1172" w:type="dxa"/>
            <w:gridSpan w:val="5"/>
            <w:vAlign w:val="center"/>
          </w:tcPr>
          <w:p w14:paraId="054A7264">
            <w:pPr>
              <w:spacing w:line="216" w:lineRule="auto"/>
              <w:jc w:val="center"/>
              <w:rPr>
                <w:sz w:val="18"/>
                <w:szCs w:val="18"/>
              </w:rPr>
            </w:pPr>
            <w:r>
              <w:rPr>
                <w:sz w:val="18"/>
                <w:szCs w:val="18"/>
              </w:rPr>
              <w:t>0</w:t>
            </w:r>
          </w:p>
        </w:tc>
        <w:tc>
          <w:tcPr>
            <w:tcW w:w="810" w:type="dxa"/>
            <w:gridSpan w:val="3"/>
            <w:vAlign w:val="center"/>
          </w:tcPr>
          <w:p w14:paraId="4293A299">
            <w:pPr>
              <w:spacing w:line="216" w:lineRule="auto"/>
              <w:jc w:val="center"/>
              <w:rPr>
                <w:sz w:val="18"/>
                <w:szCs w:val="18"/>
              </w:rPr>
            </w:pPr>
            <w:r>
              <w:rPr>
                <w:sz w:val="18"/>
                <w:szCs w:val="18"/>
              </w:rPr>
              <w:t>0</w:t>
            </w:r>
          </w:p>
        </w:tc>
        <w:tc>
          <w:tcPr>
            <w:tcW w:w="1132" w:type="dxa"/>
            <w:gridSpan w:val="6"/>
            <w:vAlign w:val="center"/>
          </w:tcPr>
          <w:p w14:paraId="412E7653">
            <w:pPr>
              <w:spacing w:line="216" w:lineRule="auto"/>
              <w:jc w:val="center"/>
              <w:rPr>
                <w:sz w:val="18"/>
                <w:szCs w:val="18"/>
              </w:rPr>
            </w:pPr>
            <w:r>
              <w:rPr>
                <w:sz w:val="18"/>
                <w:szCs w:val="18"/>
              </w:rPr>
              <w:t>0</w:t>
            </w:r>
          </w:p>
        </w:tc>
        <w:tc>
          <w:tcPr>
            <w:tcW w:w="812" w:type="dxa"/>
            <w:gridSpan w:val="3"/>
            <w:vAlign w:val="center"/>
          </w:tcPr>
          <w:p w14:paraId="61B18917">
            <w:pPr>
              <w:spacing w:line="216" w:lineRule="auto"/>
              <w:jc w:val="center"/>
              <w:rPr>
                <w:sz w:val="18"/>
                <w:szCs w:val="18"/>
              </w:rPr>
            </w:pPr>
            <w:r>
              <w:rPr>
                <w:sz w:val="18"/>
                <w:szCs w:val="18"/>
              </w:rPr>
              <w:t>0</w:t>
            </w:r>
          </w:p>
        </w:tc>
        <w:tc>
          <w:tcPr>
            <w:tcW w:w="1152" w:type="dxa"/>
            <w:gridSpan w:val="7"/>
            <w:vAlign w:val="center"/>
          </w:tcPr>
          <w:p w14:paraId="083A8099">
            <w:pPr>
              <w:spacing w:line="216" w:lineRule="auto"/>
              <w:jc w:val="center"/>
              <w:rPr>
                <w:sz w:val="18"/>
                <w:szCs w:val="18"/>
              </w:rPr>
            </w:pPr>
            <w:r>
              <w:rPr>
                <w:sz w:val="18"/>
                <w:szCs w:val="18"/>
              </w:rPr>
              <w:t>0</w:t>
            </w:r>
          </w:p>
        </w:tc>
        <w:tc>
          <w:tcPr>
            <w:tcW w:w="454" w:type="dxa"/>
            <w:gridSpan w:val="2"/>
            <w:vAlign w:val="center"/>
          </w:tcPr>
          <w:p w14:paraId="03954F56">
            <w:pPr>
              <w:spacing w:line="216" w:lineRule="auto"/>
              <w:jc w:val="center"/>
              <w:rPr>
                <w:sz w:val="18"/>
                <w:szCs w:val="18"/>
              </w:rPr>
            </w:pPr>
            <w:r>
              <w:rPr>
                <w:sz w:val="18"/>
                <w:szCs w:val="18"/>
              </w:rPr>
              <w:t>0</w:t>
            </w:r>
          </w:p>
        </w:tc>
        <w:tc>
          <w:tcPr>
            <w:tcW w:w="455" w:type="dxa"/>
            <w:gridSpan w:val="2"/>
            <w:vMerge w:val="continue"/>
            <w:vAlign w:val="center"/>
          </w:tcPr>
          <w:p w14:paraId="43BA5D64">
            <w:pPr>
              <w:spacing w:line="216" w:lineRule="auto"/>
              <w:jc w:val="center"/>
              <w:rPr>
                <w:sz w:val="18"/>
                <w:szCs w:val="18"/>
              </w:rPr>
            </w:pPr>
          </w:p>
        </w:tc>
        <w:tc>
          <w:tcPr>
            <w:tcW w:w="993" w:type="dxa"/>
            <w:vMerge w:val="continue"/>
            <w:vAlign w:val="center"/>
          </w:tcPr>
          <w:p w14:paraId="2F6AABB8">
            <w:pPr>
              <w:spacing w:line="216" w:lineRule="auto"/>
              <w:jc w:val="center"/>
              <w:rPr>
                <w:sz w:val="18"/>
                <w:szCs w:val="18"/>
              </w:rPr>
            </w:pPr>
          </w:p>
        </w:tc>
      </w:tr>
    </w:tbl>
    <w:p w14:paraId="2AECE28A">
      <w:pPr>
        <w:rPr>
          <w:bCs/>
          <w:sz w:val="18"/>
          <w:szCs w:val="18"/>
        </w:rPr>
      </w:pPr>
    </w:p>
    <w:p w14:paraId="6EBA6049">
      <w:pPr>
        <w:rPr>
          <w:bCs/>
          <w:sz w:val="18"/>
          <w:szCs w:val="18"/>
        </w:rPr>
        <w:sectPr>
          <w:pgSz w:w="16838" w:h="11906" w:orient="landscape"/>
          <w:pgMar w:top="1800" w:right="1440" w:bottom="1800" w:left="1440" w:header="851" w:footer="992" w:gutter="0"/>
          <w:cols w:space="425" w:num="1"/>
          <w:docGrid w:type="lines" w:linePitch="312" w:charSpace="0"/>
        </w:sectPr>
      </w:pPr>
      <w:r>
        <w:rPr>
          <w:bCs/>
          <w:sz w:val="18"/>
          <w:szCs w:val="18"/>
        </w:rPr>
        <w:t>矿山企业（盖章）：</w:t>
      </w:r>
      <w:r>
        <w:rPr>
          <w:sz w:val="18"/>
          <w:szCs w:val="18"/>
        </w:rPr>
        <w:t>广元市利州区紫兰建材厂</w:t>
      </w:r>
      <w:r>
        <w:rPr>
          <w:bCs/>
          <w:sz w:val="18"/>
          <w:szCs w:val="18"/>
        </w:rPr>
        <w:t>填表单位（盖章）：</w:t>
      </w:r>
      <w:r>
        <w:rPr>
          <w:sz w:val="18"/>
          <w:szCs w:val="18"/>
        </w:rPr>
        <w:t>广元林晨工程咨询服务有限公司</w:t>
      </w:r>
      <w:r>
        <w:rPr>
          <w:bCs/>
          <w:sz w:val="18"/>
          <w:szCs w:val="18"/>
        </w:rPr>
        <w:t>填表</w:t>
      </w:r>
      <w:r>
        <w:rPr>
          <w:sz w:val="18"/>
          <w:szCs w:val="18"/>
        </w:rPr>
        <w:t>人：周爽</w:t>
      </w:r>
      <w:r>
        <w:rPr>
          <w:bCs/>
          <w:sz w:val="18"/>
          <w:szCs w:val="18"/>
        </w:rPr>
        <w:t>日期：2020年4月16日</w:t>
      </w:r>
    </w:p>
    <w:p w14:paraId="1AD5BF83">
      <w:pPr>
        <w:pStyle w:val="5"/>
        <w:spacing w:after="0" w:line="415" w:lineRule="auto"/>
        <w:jc w:val="left"/>
      </w:pPr>
      <w:bookmarkStart w:id="321" w:name="_Toc43851733"/>
      <w:r>
        <w:t>8、工程区材料价格信息表</w:t>
      </w:r>
      <w:bookmarkEnd w:id="321"/>
    </w:p>
    <w:p w14:paraId="62BF4FBC">
      <w:pPr>
        <w:jc w:val="center"/>
        <w:rPr>
          <w:bCs/>
          <w:sz w:val="18"/>
          <w:szCs w:val="18"/>
        </w:rPr>
      </w:pPr>
      <w:r>
        <w:drawing>
          <wp:inline distT="0" distB="0" distL="0" distR="0">
            <wp:extent cx="6766560" cy="4576445"/>
            <wp:effectExtent l="0" t="0" r="0" b="0"/>
            <wp:docPr id="11" name="图片 11" descr="C:\Users\123\AppData\Roaming\Tencent\Users\1070675099\QQ\WinTemp\RichOle\XI]@247E}0_H29T5`8~A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23\AppData\Roaming\Tencent\Users\1070675099\QQ\WinTemp\RichOle\XI]@247E}0_H29T5`8~A16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6791215" cy="4593699"/>
                    </a:xfrm>
                    <a:prstGeom prst="rect">
                      <a:avLst/>
                    </a:prstGeom>
                    <a:noFill/>
                    <a:ln>
                      <a:noFill/>
                    </a:ln>
                  </pic:spPr>
                </pic:pic>
              </a:graphicData>
            </a:graphic>
          </wp:inline>
        </w:drawing>
      </w:r>
    </w:p>
    <w:p w14:paraId="36562CA0">
      <w:pPr>
        <w:widowControl/>
        <w:jc w:val="center"/>
        <w:rPr>
          <w:kern w:val="0"/>
          <w:sz w:val="24"/>
        </w:rPr>
      </w:pPr>
      <w:r>
        <w:rPr>
          <w:kern w:val="0"/>
          <w:sz w:val="24"/>
        </w:rPr>
        <w:drawing>
          <wp:inline distT="0" distB="0" distL="0" distR="0">
            <wp:extent cx="8058150" cy="5430520"/>
            <wp:effectExtent l="0" t="0" r="0" b="0"/>
            <wp:docPr id="17" name="图片 17" descr="C:\Users\123\AppData\Roaming\Tencent\Users\1070675099\QQ\WinTemp\RichOle\{%[~AIQZP21PSS`~3K[4M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123\AppData\Roaming\Tencent\Users\1070675099\QQ\WinTemp\RichOle\{%[~AIQZP21PSS`~3K[4M48.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8061666" cy="5432715"/>
                    </a:xfrm>
                    <a:prstGeom prst="rect">
                      <a:avLst/>
                    </a:prstGeom>
                    <a:noFill/>
                    <a:ln>
                      <a:noFill/>
                    </a:ln>
                  </pic:spPr>
                </pic:pic>
              </a:graphicData>
            </a:graphic>
          </wp:inline>
        </w:drawing>
      </w:r>
    </w:p>
    <w:p w14:paraId="37D396E4">
      <w:pPr>
        <w:widowControl/>
        <w:jc w:val="center"/>
        <w:rPr>
          <w:kern w:val="0"/>
          <w:sz w:val="24"/>
        </w:rPr>
      </w:pPr>
      <w:r>
        <w:rPr>
          <w:kern w:val="0"/>
          <w:sz w:val="24"/>
        </w:rPr>
        <w:drawing>
          <wp:inline distT="0" distB="0" distL="0" distR="0">
            <wp:extent cx="7937500" cy="5390515"/>
            <wp:effectExtent l="0" t="0" r="0" b="0"/>
            <wp:docPr id="18" name="图片 18" descr="C:\Users\123\AppData\Roaming\Tencent\Users\1070675099\QQ\WinTemp\RichOle\5D}ZJA~~EAFB%`W[]ORQ7Z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123\AppData\Roaming\Tencent\Users\1070675099\QQ\WinTemp\RichOle\5D}ZJA~~EAFB%`W[]ORQ7ZN.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7944512" cy="5395425"/>
                    </a:xfrm>
                    <a:prstGeom prst="rect">
                      <a:avLst/>
                    </a:prstGeom>
                    <a:noFill/>
                    <a:ln>
                      <a:noFill/>
                    </a:ln>
                  </pic:spPr>
                </pic:pic>
              </a:graphicData>
            </a:graphic>
          </wp:inline>
        </w:drawing>
      </w:r>
    </w:p>
    <w:p w14:paraId="33C455BB">
      <w:pPr>
        <w:widowControl/>
        <w:jc w:val="center"/>
        <w:rPr>
          <w:kern w:val="0"/>
          <w:sz w:val="24"/>
        </w:rPr>
      </w:pPr>
      <w:r>
        <w:rPr>
          <w:kern w:val="0"/>
          <w:sz w:val="24"/>
        </w:rPr>
        <w:drawing>
          <wp:inline distT="0" distB="0" distL="0" distR="0">
            <wp:extent cx="8914130" cy="5430520"/>
            <wp:effectExtent l="0" t="0" r="0" b="0"/>
            <wp:docPr id="19" name="图片 19" descr="C:\Users\123\AppData\Roaming\Tencent\Users\1070675099\QQ\WinTemp\RichOle\M818[4@OYGL%T)PTH68H6I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123\AppData\Roaming\Tencent\Users\1070675099\QQ\WinTemp\RichOle\M818[4@OYGL%T)PTH68H6I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8916377" cy="5431724"/>
                    </a:xfrm>
                    <a:prstGeom prst="rect">
                      <a:avLst/>
                    </a:prstGeom>
                    <a:noFill/>
                    <a:ln>
                      <a:noFill/>
                    </a:ln>
                  </pic:spPr>
                </pic:pic>
              </a:graphicData>
            </a:graphic>
          </wp:inline>
        </w:drawing>
      </w:r>
    </w:p>
    <w:p w14:paraId="6E5E906A">
      <w:pPr>
        <w:widowControl/>
        <w:jc w:val="center"/>
        <w:rPr>
          <w:kern w:val="0"/>
          <w:sz w:val="24"/>
        </w:rPr>
      </w:pPr>
      <w:r>
        <w:rPr>
          <w:kern w:val="0"/>
          <w:sz w:val="24"/>
        </w:rPr>
        <w:drawing>
          <wp:inline distT="0" distB="0" distL="0" distR="0">
            <wp:extent cx="8064500" cy="5438140"/>
            <wp:effectExtent l="0" t="0" r="0" b="0"/>
            <wp:docPr id="20" name="图片 20" descr="C:\Users\123\AppData\Roaming\Tencent\Users\1070675099\QQ\WinTemp\RichOle\YYPUDMPPI51VE]~WL@[O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123\AppData\Roaming\Tencent\Users\1070675099\QQ\WinTemp\RichOle\YYPUDMPPI51VE]~WL@[OK%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8071817" cy="5443271"/>
                    </a:xfrm>
                    <a:prstGeom prst="rect">
                      <a:avLst/>
                    </a:prstGeom>
                    <a:noFill/>
                    <a:ln>
                      <a:noFill/>
                    </a:ln>
                  </pic:spPr>
                </pic:pic>
              </a:graphicData>
            </a:graphic>
          </wp:inline>
        </w:drawing>
      </w:r>
    </w:p>
    <w:p w14:paraId="27FF61FD">
      <w:pPr>
        <w:jc w:val="center"/>
        <w:rPr>
          <w:bCs/>
          <w:sz w:val="18"/>
          <w:szCs w:val="18"/>
        </w:rPr>
      </w:pPr>
      <w:r>
        <w:drawing>
          <wp:inline distT="0" distB="0" distL="0" distR="0">
            <wp:extent cx="9029700" cy="2583815"/>
            <wp:effectExtent l="0" t="0" r="0" b="0"/>
            <wp:docPr id="12" name="图片 12" descr="C:\Users\123\AppData\Roaming\Tencent\Users\1070675099\QQ\WinTemp\RichOle\@1Z@PS])~CX`CX07K}(KIJ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23\AppData\Roaming\Tencent\Users\1070675099\QQ\WinTemp\RichOle\@1Z@PS])~CX`CX07K}(KIJL.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9032910" cy="2585025"/>
                    </a:xfrm>
                    <a:prstGeom prst="rect">
                      <a:avLst/>
                    </a:prstGeom>
                    <a:noFill/>
                    <a:ln>
                      <a:noFill/>
                    </a:ln>
                  </pic:spPr>
                </pic:pic>
              </a:graphicData>
            </a:graphic>
          </wp:inline>
        </w:drawing>
      </w:r>
    </w:p>
    <w:p w14:paraId="19E6EAE9">
      <w:pPr>
        <w:rPr>
          <w:bCs/>
          <w:sz w:val="18"/>
          <w:szCs w:val="18"/>
        </w:rPr>
        <w:sectPr>
          <w:pgSz w:w="16838" w:h="11906" w:orient="landscape"/>
          <w:pgMar w:top="1800" w:right="1440" w:bottom="1800" w:left="1440" w:header="851" w:footer="992" w:gutter="0"/>
          <w:cols w:space="425" w:num="1"/>
          <w:docGrid w:type="lines" w:linePitch="312" w:charSpace="0"/>
        </w:sectPr>
      </w:pPr>
    </w:p>
    <w:p w14:paraId="20E31449">
      <w:pPr>
        <w:pStyle w:val="5"/>
        <w:rPr>
          <w:lang w:val="zh-CN"/>
        </w:rPr>
      </w:pPr>
      <w:bookmarkStart w:id="322" w:name="_Toc43851734"/>
      <w:r>
        <w:rPr>
          <w:lang w:val="zh-CN"/>
        </w:rPr>
        <w:t>9、项目区现场照</w:t>
      </w:r>
      <w:bookmarkEnd w:id="322"/>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00"/>
        <w:gridCol w:w="222"/>
      </w:tblGrid>
      <w:tr w14:paraId="40DE8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nil"/>
              <w:left w:val="nil"/>
              <w:bottom w:val="nil"/>
              <w:right w:val="nil"/>
            </w:tcBorders>
          </w:tcPr>
          <w:p w14:paraId="09401466">
            <w:pPr>
              <w:widowControl/>
              <w:ind w:firstLine="240" w:firstLineChars="100"/>
              <w:rPr>
                <w:sz w:val="24"/>
                <w:lang w:val="zh-CN"/>
              </w:rPr>
            </w:pPr>
            <w:r>
              <w:rPr>
                <w:sz w:val="24"/>
              </w:rPr>
              <w:drawing>
                <wp:inline distT="0" distB="0" distL="0" distR="0">
                  <wp:extent cx="4854575" cy="3641090"/>
                  <wp:effectExtent l="0" t="0" r="0" b="0"/>
                  <wp:docPr id="22" name="图片 22" descr="C:\Users\123\Desktop\宝轮\宝轮砖厂野外照片\IMG_20200611_10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123\Desktop\宝轮\宝轮砖厂野外照片\IMG_20200611_1015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4855600" cy="3642231"/>
                          </a:xfrm>
                          <a:prstGeom prst="rect">
                            <a:avLst/>
                          </a:prstGeom>
                          <a:noFill/>
                          <a:ln>
                            <a:noFill/>
                          </a:ln>
                        </pic:spPr>
                      </pic:pic>
                    </a:graphicData>
                  </a:graphic>
                </wp:inline>
              </w:drawing>
            </w:r>
          </w:p>
        </w:tc>
      </w:tr>
      <w:tr w14:paraId="25964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nil"/>
              <w:left w:val="nil"/>
              <w:bottom w:val="nil"/>
              <w:right w:val="nil"/>
            </w:tcBorders>
          </w:tcPr>
          <w:p w14:paraId="15028528">
            <w:pPr>
              <w:widowControl/>
              <w:jc w:val="center"/>
              <w:rPr>
                <w:sz w:val="24"/>
                <w:lang w:val="zh-CN"/>
              </w:rPr>
            </w:pPr>
            <w:r>
              <w:rPr>
                <w:sz w:val="24"/>
                <w:lang w:val="zh-CN"/>
              </w:rPr>
              <w:t>项目区工业广场照片</w:t>
            </w:r>
          </w:p>
        </w:tc>
      </w:tr>
      <w:tr w14:paraId="76984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1" w:type="dxa"/>
            <w:tcBorders>
              <w:top w:val="nil"/>
              <w:left w:val="nil"/>
              <w:bottom w:val="nil"/>
              <w:right w:val="nil"/>
            </w:tcBorders>
          </w:tcPr>
          <w:p w14:paraId="704091C2">
            <w:pPr>
              <w:widowControl/>
              <w:jc w:val="center"/>
              <w:rPr>
                <w:sz w:val="24"/>
                <w:lang w:val="zh-CN"/>
              </w:rPr>
            </w:pPr>
            <w:r>
              <w:rPr>
                <w:sz w:val="24"/>
              </w:rPr>
              <w:drawing>
                <wp:inline distT="0" distB="0" distL="0" distR="0">
                  <wp:extent cx="4918075" cy="3689350"/>
                  <wp:effectExtent l="0" t="0" r="0" b="0"/>
                  <wp:docPr id="23" name="图片 23" descr="C:\Users\123\Desktop\宝轮\宝轮砖厂野外照片\IMG_20200611_10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23\Desktop\宝轮\宝轮砖厂野外照片\IMG_20200611_1010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922911" cy="3692723"/>
                          </a:xfrm>
                          <a:prstGeom prst="rect">
                            <a:avLst/>
                          </a:prstGeom>
                          <a:noFill/>
                          <a:ln>
                            <a:noFill/>
                          </a:ln>
                        </pic:spPr>
                      </pic:pic>
                    </a:graphicData>
                  </a:graphic>
                </wp:inline>
              </w:drawing>
            </w:r>
          </w:p>
        </w:tc>
        <w:tc>
          <w:tcPr>
            <w:tcW w:w="221" w:type="dxa"/>
            <w:tcBorders>
              <w:top w:val="nil"/>
              <w:left w:val="nil"/>
              <w:bottom w:val="nil"/>
              <w:right w:val="nil"/>
            </w:tcBorders>
          </w:tcPr>
          <w:p w14:paraId="03D91427">
            <w:pPr>
              <w:widowControl/>
              <w:jc w:val="left"/>
              <w:rPr>
                <w:sz w:val="24"/>
                <w:lang w:val="zh-CN"/>
              </w:rPr>
            </w:pPr>
          </w:p>
        </w:tc>
      </w:tr>
      <w:tr w14:paraId="37345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Borders>
              <w:top w:val="nil"/>
              <w:left w:val="nil"/>
              <w:bottom w:val="nil"/>
              <w:right w:val="nil"/>
            </w:tcBorders>
          </w:tcPr>
          <w:p w14:paraId="3D99655D">
            <w:pPr>
              <w:widowControl/>
              <w:jc w:val="center"/>
              <w:rPr>
                <w:sz w:val="24"/>
                <w:lang w:val="zh-CN"/>
              </w:rPr>
            </w:pPr>
            <w:r>
              <w:rPr>
                <w:sz w:val="24"/>
                <w:lang w:val="zh-CN"/>
              </w:rPr>
              <w:t>项目区边坡区照片</w:t>
            </w:r>
          </w:p>
        </w:tc>
      </w:tr>
    </w:tbl>
    <w:p w14:paraId="40FCDBE6">
      <w:pPr>
        <w:pStyle w:val="5"/>
        <w:pageBreakBefore/>
        <w:spacing w:line="415" w:lineRule="auto"/>
        <w:rPr>
          <w:lang w:val="zh-CN"/>
        </w:rPr>
      </w:pPr>
      <w:bookmarkStart w:id="323" w:name="_Toc43851735"/>
      <w:r>
        <w:rPr>
          <w:lang w:val="zh-CN"/>
        </w:rPr>
        <w:t>10、监管协议</w:t>
      </w:r>
      <w:bookmarkEnd w:id="323"/>
    </w:p>
    <w:p w14:paraId="2C9A2CD1">
      <w:pPr>
        <w:spacing w:before="156" w:after="156"/>
        <w:ind w:firstLine="720"/>
        <w:jc w:val="center"/>
        <w:rPr>
          <w:rFonts w:eastAsia="黑体"/>
          <w:sz w:val="36"/>
          <w:szCs w:val="36"/>
        </w:rPr>
      </w:pPr>
      <w:r>
        <w:rPr>
          <w:rFonts w:eastAsia="黑体"/>
          <w:sz w:val="36"/>
          <w:szCs w:val="36"/>
        </w:rPr>
        <w:t>土地复垦监管协议</w:t>
      </w:r>
    </w:p>
    <w:p w14:paraId="05AFF266">
      <w:pPr>
        <w:spacing w:before="156" w:after="156"/>
        <w:ind w:firstLine="640"/>
        <w:jc w:val="center"/>
      </w:pPr>
      <w:r>
        <w:rPr>
          <w:rFonts w:eastAsia="黑体"/>
          <w:sz w:val="32"/>
          <w:szCs w:val="32"/>
        </w:rPr>
        <w:t>第一章总则</w:t>
      </w:r>
    </w:p>
    <w:p w14:paraId="1FE3766F">
      <w:pPr>
        <w:spacing w:before="156" w:after="156" w:line="360" w:lineRule="auto"/>
        <w:ind w:firstLine="480"/>
        <w:jc w:val="left"/>
        <w:rPr>
          <w:rFonts w:eastAsia="仿宋"/>
          <w:sz w:val="24"/>
        </w:rPr>
      </w:pPr>
      <w:r>
        <w:rPr>
          <w:rFonts w:eastAsia="仿宋"/>
          <w:sz w:val="24"/>
        </w:rPr>
        <w:t>第一条根据《中华人民共和国土地管理法》、《中华人民共和国合同法》、《土地复垦条例》和其他有关法律法规的规定，为落实土地复垦费用，保障土地复垦的顺利开展，复垦义务人与国土资源管理部门双方本着平等、自愿、诚实信用的原则，签订本协议。</w:t>
      </w:r>
    </w:p>
    <w:p w14:paraId="6E3C59EA">
      <w:pPr>
        <w:spacing w:before="156" w:after="156" w:line="360" w:lineRule="auto"/>
        <w:ind w:firstLine="480"/>
        <w:jc w:val="left"/>
        <w:rPr>
          <w:rFonts w:eastAsia="仿宋"/>
          <w:sz w:val="24"/>
        </w:rPr>
      </w:pPr>
      <w:r>
        <w:rPr>
          <w:rFonts w:eastAsia="仿宋"/>
          <w:sz w:val="24"/>
        </w:rPr>
        <w:t>第二条根据土地复垦法律法规赋予的职责，甲方有权依法对本行政区域内生产建设活动损毁土地的复垦进行监督管理，监督乙方落实土地复垦费用，履行土地复垦义务。</w:t>
      </w:r>
    </w:p>
    <w:p w14:paraId="626D2FF5">
      <w:pPr>
        <w:spacing w:before="156" w:after="156" w:line="360" w:lineRule="auto"/>
        <w:ind w:firstLine="480"/>
        <w:jc w:val="left"/>
        <w:rPr>
          <w:rFonts w:eastAsia="仿宋"/>
          <w:sz w:val="24"/>
        </w:rPr>
      </w:pPr>
      <w:r>
        <w:rPr>
          <w:rFonts w:eastAsia="仿宋"/>
          <w:sz w:val="24"/>
        </w:rPr>
        <w:t>第三条乙方应当遵守土地复垦法律法规，按照“谁损毁，谁复垦”的原则，依法履行土地复垦义务。土地复垦费用的存储、使用应接受甲方的监督管理。</w:t>
      </w:r>
    </w:p>
    <w:p w14:paraId="6F5224C8">
      <w:pPr>
        <w:spacing w:before="156" w:after="156" w:line="360" w:lineRule="auto"/>
        <w:ind w:firstLine="480"/>
        <w:jc w:val="left"/>
        <w:rPr>
          <w:rFonts w:eastAsia="仿宋"/>
          <w:sz w:val="24"/>
        </w:rPr>
      </w:pPr>
      <w:r>
        <w:rPr>
          <w:rFonts w:eastAsia="仿宋"/>
          <w:sz w:val="24"/>
        </w:rPr>
        <w:t>第四条本协议所称土地复垦费用，是指复垦义务人为履行土地复垦义务，依据土地复垦方案完成土地复垦任务所需要的费用。土地复垦费用属于土地复垦义务人所有，专项用于土地复垦义务人损毁土地的复垦。</w:t>
      </w:r>
    </w:p>
    <w:p w14:paraId="6B082668">
      <w:pPr>
        <w:spacing w:before="156" w:after="156" w:line="360" w:lineRule="auto"/>
        <w:ind w:firstLine="480"/>
        <w:jc w:val="left"/>
        <w:rPr>
          <w:rFonts w:eastAsia="仿宋"/>
          <w:sz w:val="24"/>
        </w:rPr>
      </w:pPr>
      <w:r>
        <w:rPr>
          <w:rFonts w:eastAsia="仿宋"/>
          <w:sz w:val="24"/>
        </w:rPr>
        <w:t>第五条土地复垦费用账户按照“企业所有，政府监管，专户存储，专款专用”的原则管理。</w:t>
      </w:r>
    </w:p>
    <w:p w14:paraId="62B4C3F3">
      <w:pPr>
        <w:spacing w:before="156" w:after="156" w:line="360" w:lineRule="auto"/>
        <w:ind w:firstLine="480"/>
        <w:jc w:val="left"/>
        <w:rPr>
          <w:rFonts w:eastAsia="仿宋"/>
          <w:sz w:val="24"/>
        </w:rPr>
      </w:pPr>
      <w:r>
        <w:rPr>
          <w:rFonts w:eastAsia="仿宋"/>
          <w:sz w:val="24"/>
        </w:rPr>
        <w:t>第六条本协议在土地复垦方案及各阶段土地复垦计划通过备案后签订。</w:t>
      </w:r>
    </w:p>
    <w:p w14:paraId="15239577">
      <w:pPr>
        <w:spacing w:before="156" w:after="156"/>
        <w:ind w:firstLine="640"/>
        <w:jc w:val="center"/>
      </w:pPr>
      <w:r>
        <w:rPr>
          <w:rFonts w:eastAsia="黑体"/>
          <w:sz w:val="32"/>
          <w:szCs w:val="32"/>
        </w:rPr>
        <w:t>第二章乙方复垦任务</w:t>
      </w:r>
    </w:p>
    <w:p w14:paraId="6D139602">
      <w:pPr>
        <w:spacing w:before="156" w:after="156" w:line="360" w:lineRule="auto"/>
        <w:ind w:firstLine="480"/>
        <w:jc w:val="left"/>
        <w:rPr>
          <w:rFonts w:eastAsia="仿宋"/>
          <w:sz w:val="24"/>
        </w:rPr>
      </w:pPr>
      <w:r>
        <w:rPr>
          <w:rFonts w:eastAsia="仿宋"/>
          <w:sz w:val="24"/>
        </w:rPr>
        <w:t>第七条</w:t>
      </w:r>
    </w:p>
    <w:p w14:paraId="353A863A">
      <w:pPr>
        <w:spacing w:before="156" w:after="156" w:line="360" w:lineRule="auto"/>
        <w:ind w:firstLine="480"/>
        <w:jc w:val="left"/>
        <w:rPr>
          <w:rFonts w:eastAsia="仿宋"/>
          <w:sz w:val="24"/>
        </w:rPr>
      </w:pPr>
      <w:r>
        <w:rPr>
          <w:rFonts w:eastAsia="仿宋"/>
          <w:sz w:val="24"/>
        </w:rPr>
        <w:t>乙方项目位置：</w:t>
      </w:r>
    </w:p>
    <w:p w14:paraId="1A60E3E0">
      <w:pPr>
        <w:spacing w:before="156" w:after="156" w:line="360" w:lineRule="auto"/>
        <w:ind w:firstLine="480"/>
        <w:jc w:val="left"/>
        <w:rPr>
          <w:rFonts w:eastAsia="仿宋"/>
          <w:sz w:val="24"/>
        </w:rPr>
      </w:pPr>
      <w:r>
        <w:rPr>
          <w:rFonts w:eastAsia="仿宋"/>
          <w:sz w:val="24"/>
        </w:rPr>
        <w:t>项目名称：</w:t>
      </w:r>
    </w:p>
    <w:p w14:paraId="2EA8A7C0">
      <w:pPr>
        <w:spacing w:before="156" w:after="156" w:line="360" w:lineRule="auto"/>
        <w:ind w:firstLine="480"/>
        <w:jc w:val="left"/>
        <w:rPr>
          <w:rFonts w:eastAsia="仿宋"/>
          <w:sz w:val="24"/>
        </w:rPr>
      </w:pPr>
      <w:r>
        <w:rPr>
          <w:rFonts w:eastAsia="仿宋"/>
          <w:sz w:val="24"/>
        </w:rPr>
        <w:t>采矿许可证号：</w:t>
      </w:r>
    </w:p>
    <w:p w14:paraId="21467417">
      <w:pPr>
        <w:spacing w:before="156" w:after="156" w:line="360" w:lineRule="auto"/>
        <w:ind w:firstLine="480"/>
        <w:jc w:val="left"/>
        <w:rPr>
          <w:rFonts w:eastAsia="仿宋"/>
          <w:sz w:val="24"/>
        </w:rPr>
      </w:pPr>
      <w:r>
        <w:rPr>
          <w:rFonts w:eastAsia="仿宋"/>
          <w:sz w:val="24"/>
        </w:rPr>
        <w:t>矿区面积平方千米，开采矿种矿，开采方式开采，剩余开采年限年。</w:t>
      </w:r>
    </w:p>
    <w:p w14:paraId="74AB4BFC">
      <w:pPr>
        <w:spacing w:before="156" w:after="156" w:line="360" w:lineRule="auto"/>
        <w:ind w:firstLine="480"/>
        <w:jc w:val="left"/>
        <w:rPr>
          <w:rFonts w:eastAsia="仿宋"/>
          <w:sz w:val="24"/>
        </w:rPr>
      </w:pPr>
      <w:r>
        <w:rPr>
          <w:rFonts w:eastAsia="仿宋"/>
          <w:sz w:val="24"/>
        </w:rPr>
        <w:t>第八条根据土地复垦方案，预计该项目损毁土地总面积公顷，拟复垦土地总面积公顷（见下表G．1），工程静态总投资万元。土地复垦方案服务期限为年。</w:t>
      </w:r>
    </w:p>
    <w:p w14:paraId="6ADFB524">
      <w:pPr>
        <w:spacing w:before="156" w:after="156"/>
        <w:ind w:firstLine="422"/>
        <w:jc w:val="center"/>
        <w:rPr>
          <w:rFonts w:eastAsia="黑体"/>
          <w:b/>
          <w:szCs w:val="21"/>
        </w:rPr>
      </w:pPr>
      <w:r>
        <w:rPr>
          <w:rFonts w:eastAsia="黑体"/>
          <w:b/>
          <w:szCs w:val="21"/>
        </w:rPr>
        <w:t>表G.1 土地复垦任务表</w:t>
      </w:r>
    </w:p>
    <w:tbl>
      <w:tblPr>
        <w:tblStyle w:val="29"/>
        <w:tblW w:w="5000" w:type="pct"/>
        <w:tblInd w:w="0" w:type="dxa"/>
        <w:tblLayout w:type="autofit"/>
        <w:tblCellMar>
          <w:top w:w="0" w:type="dxa"/>
          <w:left w:w="108" w:type="dxa"/>
          <w:bottom w:w="0" w:type="dxa"/>
          <w:right w:w="108" w:type="dxa"/>
        </w:tblCellMar>
      </w:tblPr>
      <w:tblGrid>
        <w:gridCol w:w="3086"/>
        <w:gridCol w:w="2719"/>
        <w:gridCol w:w="2717"/>
      </w:tblGrid>
      <w:tr w14:paraId="324ADCB1">
        <w:tblPrEx>
          <w:tblCellMar>
            <w:top w:w="0" w:type="dxa"/>
            <w:left w:w="108" w:type="dxa"/>
            <w:bottom w:w="0" w:type="dxa"/>
            <w:right w:w="108" w:type="dxa"/>
          </w:tblCellMar>
        </w:tblPrEx>
        <w:trPr>
          <w:trHeight w:val="285" w:hRule="atLeast"/>
        </w:trPr>
        <w:tc>
          <w:tcPr>
            <w:tcW w:w="1811" w:type="pct"/>
            <w:tcBorders>
              <w:top w:val="single" w:color="000000" w:sz="8" w:space="0"/>
              <w:left w:val="single" w:color="000000" w:sz="8" w:space="0"/>
              <w:bottom w:val="single" w:color="000000" w:sz="8" w:space="0"/>
              <w:right w:val="single" w:color="000000" w:sz="8" w:space="0"/>
            </w:tcBorders>
            <w:vAlign w:val="center"/>
          </w:tcPr>
          <w:p w14:paraId="16E26DA0">
            <w:pPr>
              <w:widowControl/>
              <w:spacing w:before="120" w:after="120"/>
              <w:ind w:firstLine="420"/>
              <w:jc w:val="center"/>
              <w:rPr>
                <w:rFonts w:eastAsia="仿宋"/>
                <w:kern w:val="0"/>
                <w:szCs w:val="21"/>
              </w:rPr>
            </w:pPr>
            <w:r>
              <w:rPr>
                <w:rFonts w:eastAsia="仿宋"/>
                <w:kern w:val="0"/>
                <w:szCs w:val="21"/>
              </w:rPr>
              <w:t>科目</w:t>
            </w:r>
          </w:p>
        </w:tc>
        <w:tc>
          <w:tcPr>
            <w:tcW w:w="1595" w:type="pct"/>
            <w:tcBorders>
              <w:top w:val="single" w:color="000000" w:sz="8" w:space="0"/>
              <w:left w:val="nil"/>
              <w:bottom w:val="single" w:color="000000" w:sz="8" w:space="0"/>
              <w:right w:val="single" w:color="000000" w:sz="8" w:space="0"/>
            </w:tcBorders>
            <w:vAlign w:val="center"/>
          </w:tcPr>
          <w:p w14:paraId="290A246B">
            <w:pPr>
              <w:widowControl/>
              <w:ind w:firstLine="420"/>
              <w:jc w:val="center"/>
              <w:rPr>
                <w:rFonts w:eastAsia="仿宋"/>
                <w:kern w:val="0"/>
                <w:szCs w:val="21"/>
              </w:rPr>
            </w:pPr>
            <w:r>
              <w:rPr>
                <w:rFonts w:eastAsia="仿宋"/>
                <w:kern w:val="0"/>
                <w:szCs w:val="21"/>
              </w:rPr>
              <w:t>复垦总目标任务</w:t>
            </w:r>
          </w:p>
        </w:tc>
        <w:tc>
          <w:tcPr>
            <w:tcW w:w="1595" w:type="pct"/>
            <w:tcBorders>
              <w:top w:val="single" w:color="000000" w:sz="8" w:space="0"/>
              <w:left w:val="nil"/>
              <w:bottom w:val="single" w:color="000000" w:sz="8" w:space="0"/>
              <w:right w:val="single" w:color="000000" w:sz="8" w:space="0"/>
            </w:tcBorders>
            <w:vAlign w:val="center"/>
          </w:tcPr>
          <w:p w14:paraId="5A446BB1">
            <w:pPr>
              <w:widowControl/>
              <w:ind w:firstLine="420"/>
              <w:jc w:val="center"/>
              <w:rPr>
                <w:rFonts w:eastAsia="仿宋"/>
                <w:kern w:val="0"/>
                <w:szCs w:val="21"/>
              </w:rPr>
            </w:pPr>
            <w:r>
              <w:rPr>
                <w:rFonts w:eastAsia="仿宋"/>
                <w:kern w:val="0"/>
                <w:szCs w:val="21"/>
              </w:rPr>
              <w:t>本阶段目标任务</w:t>
            </w:r>
          </w:p>
        </w:tc>
      </w:tr>
      <w:tr w14:paraId="32AE5775">
        <w:tblPrEx>
          <w:tblCellMar>
            <w:top w:w="0" w:type="dxa"/>
            <w:left w:w="108" w:type="dxa"/>
            <w:bottom w:w="0" w:type="dxa"/>
            <w:right w:w="108" w:type="dxa"/>
          </w:tblCellMar>
        </w:tblPrEx>
        <w:trPr>
          <w:trHeight w:val="345" w:hRule="atLeast"/>
        </w:trPr>
        <w:tc>
          <w:tcPr>
            <w:tcW w:w="1811" w:type="pct"/>
            <w:tcBorders>
              <w:top w:val="nil"/>
              <w:left w:val="single" w:color="000000" w:sz="8" w:space="0"/>
              <w:bottom w:val="single" w:color="000000" w:sz="8" w:space="0"/>
              <w:right w:val="single" w:color="000000" w:sz="8" w:space="0"/>
            </w:tcBorders>
            <w:vAlign w:val="center"/>
          </w:tcPr>
          <w:p w14:paraId="4EF716DB">
            <w:pPr>
              <w:widowControl/>
              <w:ind w:firstLine="420"/>
              <w:jc w:val="center"/>
              <w:rPr>
                <w:rFonts w:eastAsia="仿宋"/>
                <w:kern w:val="0"/>
                <w:szCs w:val="21"/>
              </w:rPr>
            </w:pPr>
            <w:r>
              <w:rPr>
                <w:rFonts w:eastAsia="仿宋"/>
                <w:kern w:val="0"/>
                <w:szCs w:val="21"/>
              </w:rPr>
              <w:t>耕地/ hm</w:t>
            </w:r>
            <w:r>
              <w:rPr>
                <w:rFonts w:eastAsia="仿宋"/>
                <w:kern w:val="0"/>
                <w:szCs w:val="21"/>
                <w:vertAlign w:val="superscript"/>
              </w:rPr>
              <w:t>2</w:t>
            </w:r>
          </w:p>
        </w:tc>
        <w:tc>
          <w:tcPr>
            <w:tcW w:w="1595" w:type="pct"/>
            <w:tcBorders>
              <w:top w:val="nil"/>
              <w:left w:val="nil"/>
              <w:bottom w:val="single" w:color="000000" w:sz="8" w:space="0"/>
              <w:right w:val="single" w:color="000000" w:sz="8" w:space="0"/>
            </w:tcBorders>
            <w:vAlign w:val="center"/>
          </w:tcPr>
          <w:p w14:paraId="03C91092">
            <w:pPr>
              <w:widowControl/>
              <w:ind w:firstLine="420"/>
              <w:jc w:val="center"/>
              <w:rPr>
                <w:rFonts w:eastAsia="仿宋"/>
                <w:kern w:val="0"/>
                <w:szCs w:val="21"/>
              </w:rPr>
            </w:pPr>
          </w:p>
        </w:tc>
        <w:tc>
          <w:tcPr>
            <w:tcW w:w="1595" w:type="pct"/>
            <w:tcBorders>
              <w:top w:val="nil"/>
              <w:left w:val="nil"/>
              <w:bottom w:val="single" w:color="000000" w:sz="8" w:space="0"/>
              <w:right w:val="single" w:color="000000" w:sz="8" w:space="0"/>
            </w:tcBorders>
            <w:vAlign w:val="center"/>
          </w:tcPr>
          <w:p w14:paraId="492FCC5C">
            <w:pPr>
              <w:widowControl/>
              <w:ind w:firstLine="420"/>
              <w:jc w:val="center"/>
              <w:rPr>
                <w:rFonts w:eastAsia="仿宋"/>
                <w:kern w:val="0"/>
                <w:szCs w:val="21"/>
              </w:rPr>
            </w:pPr>
          </w:p>
        </w:tc>
      </w:tr>
      <w:tr w14:paraId="61942627">
        <w:tblPrEx>
          <w:tblCellMar>
            <w:top w:w="0" w:type="dxa"/>
            <w:left w:w="108" w:type="dxa"/>
            <w:bottom w:w="0" w:type="dxa"/>
            <w:right w:w="108" w:type="dxa"/>
          </w:tblCellMar>
        </w:tblPrEx>
        <w:trPr>
          <w:trHeight w:val="345" w:hRule="atLeast"/>
        </w:trPr>
        <w:tc>
          <w:tcPr>
            <w:tcW w:w="1811" w:type="pct"/>
            <w:tcBorders>
              <w:top w:val="nil"/>
              <w:left w:val="single" w:color="000000" w:sz="8" w:space="0"/>
              <w:bottom w:val="single" w:color="000000" w:sz="8" w:space="0"/>
              <w:right w:val="single" w:color="000000" w:sz="8" w:space="0"/>
            </w:tcBorders>
            <w:vAlign w:val="center"/>
          </w:tcPr>
          <w:p w14:paraId="56096AB0">
            <w:pPr>
              <w:widowControl/>
              <w:ind w:firstLine="420"/>
              <w:jc w:val="center"/>
              <w:rPr>
                <w:rFonts w:eastAsia="仿宋"/>
                <w:kern w:val="0"/>
                <w:szCs w:val="21"/>
              </w:rPr>
            </w:pPr>
            <w:r>
              <w:rPr>
                <w:rFonts w:eastAsia="仿宋"/>
                <w:kern w:val="0"/>
                <w:szCs w:val="21"/>
              </w:rPr>
              <w:t>园地/ hm</w:t>
            </w:r>
            <w:r>
              <w:rPr>
                <w:rFonts w:eastAsia="仿宋"/>
                <w:kern w:val="0"/>
                <w:szCs w:val="21"/>
                <w:vertAlign w:val="superscript"/>
              </w:rPr>
              <w:t>2</w:t>
            </w:r>
          </w:p>
        </w:tc>
        <w:tc>
          <w:tcPr>
            <w:tcW w:w="1595" w:type="pct"/>
            <w:tcBorders>
              <w:top w:val="nil"/>
              <w:left w:val="nil"/>
              <w:bottom w:val="single" w:color="000000" w:sz="8" w:space="0"/>
              <w:right w:val="single" w:color="000000" w:sz="8" w:space="0"/>
            </w:tcBorders>
            <w:vAlign w:val="center"/>
          </w:tcPr>
          <w:p w14:paraId="4700BB58">
            <w:pPr>
              <w:widowControl/>
              <w:ind w:firstLine="420"/>
              <w:jc w:val="center"/>
              <w:rPr>
                <w:rFonts w:eastAsia="仿宋"/>
                <w:kern w:val="0"/>
                <w:szCs w:val="21"/>
              </w:rPr>
            </w:pPr>
          </w:p>
        </w:tc>
        <w:tc>
          <w:tcPr>
            <w:tcW w:w="1595" w:type="pct"/>
            <w:tcBorders>
              <w:top w:val="nil"/>
              <w:left w:val="nil"/>
              <w:bottom w:val="single" w:color="000000" w:sz="8" w:space="0"/>
              <w:right w:val="single" w:color="000000" w:sz="8" w:space="0"/>
            </w:tcBorders>
            <w:vAlign w:val="center"/>
          </w:tcPr>
          <w:p w14:paraId="60CB43FE">
            <w:pPr>
              <w:widowControl/>
              <w:ind w:firstLine="420"/>
              <w:jc w:val="center"/>
              <w:rPr>
                <w:rFonts w:eastAsia="仿宋"/>
                <w:kern w:val="0"/>
                <w:szCs w:val="21"/>
              </w:rPr>
            </w:pPr>
          </w:p>
        </w:tc>
      </w:tr>
      <w:tr w14:paraId="2F2FAF06">
        <w:tblPrEx>
          <w:tblCellMar>
            <w:top w:w="0" w:type="dxa"/>
            <w:left w:w="108" w:type="dxa"/>
            <w:bottom w:w="0" w:type="dxa"/>
            <w:right w:w="108" w:type="dxa"/>
          </w:tblCellMar>
        </w:tblPrEx>
        <w:trPr>
          <w:trHeight w:val="345" w:hRule="atLeast"/>
        </w:trPr>
        <w:tc>
          <w:tcPr>
            <w:tcW w:w="1811" w:type="pct"/>
            <w:tcBorders>
              <w:top w:val="nil"/>
              <w:left w:val="single" w:color="000000" w:sz="8" w:space="0"/>
              <w:bottom w:val="single" w:color="000000" w:sz="8" w:space="0"/>
              <w:right w:val="single" w:color="000000" w:sz="8" w:space="0"/>
            </w:tcBorders>
            <w:vAlign w:val="center"/>
          </w:tcPr>
          <w:p w14:paraId="5FD163BC">
            <w:pPr>
              <w:widowControl/>
              <w:ind w:firstLine="420"/>
              <w:jc w:val="center"/>
              <w:rPr>
                <w:rFonts w:eastAsia="仿宋"/>
                <w:kern w:val="0"/>
                <w:szCs w:val="21"/>
              </w:rPr>
            </w:pPr>
            <w:r>
              <w:rPr>
                <w:rFonts w:eastAsia="仿宋"/>
                <w:kern w:val="0"/>
                <w:szCs w:val="21"/>
              </w:rPr>
              <w:t>林地/ hm</w:t>
            </w:r>
            <w:r>
              <w:rPr>
                <w:rFonts w:eastAsia="仿宋"/>
                <w:kern w:val="0"/>
                <w:szCs w:val="21"/>
                <w:vertAlign w:val="superscript"/>
              </w:rPr>
              <w:t>2</w:t>
            </w:r>
          </w:p>
        </w:tc>
        <w:tc>
          <w:tcPr>
            <w:tcW w:w="1595" w:type="pct"/>
            <w:tcBorders>
              <w:top w:val="nil"/>
              <w:left w:val="nil"/>
              <w:bottom w:val="single" w:color="000000" w:sz="8" w:space="0"/>
              <w:right w:val="single" w:color="000000" w:sz="8" w:space="0"/>
            </w:tcBorders>
            <w:vAlign w:val="center"/>
          </w:tcPr>
          <w:p w14:paraId="238A62BD">
            <w:pPr>
              <w:widowControl/>
              <w:ind w:firstLine="420"/>
              <w:jc w:val="center"/>
              <w:rPr>
                <w:rFonts w:eastAsia="仿宋"/>
                <w:kern w:val="0"/>
                <w:szCs w:val="21"/>
              </w:rPr>
            </w:pPr>
          </w:p>
        </w:tc>
        <w:tc>
          <w:tcPr>
            <w:tcW w:w="1595" w:type="pct"/>
            <w:tcBorders>
              <w:top w:val="nil"/>
              <w:left w:val="nil"/>
              <w:bottom w:val="single" w:color="000000" w:sz="8" w:space="0"/>
              <w:right w:val="single" w:color="000000" w:sz="8" w:space="0"/>
            </w:tcBorders>
            <w:vAlign w:val="center"/>
          </w:tcPr>
          <w:p w14:paraId="09E74D42">
            <w:pPr>
              <w:widowControl/>
              <w:ind w:firstLine="420"/>
              <w:jc w:val="center"/>
              <w:rPr>
                <w:rFonts w:eastAsia="仿宋"/>
                <w:kern w:val="0"/>
                <w:szCs w:val="21"/>
              </w:rPr>
            </w:pPr>
          </w:p>
        </w:tc>
      </w:tr>
      <w:tr w14:paraId="59ED0E46">
        <w:tblPrEx>
          <w:tblCellMar>
            <w:top w:w="0" w:type="dxa"/>
            <w:left w:w="108" w:type="dxa"/>
            <w:bottom w:w="0" w:type="dxa"/>
            <w:right w:w="108" w:type="dxa"/>
          </w:tblCellMar>
        </w:tblPrEx>
        <w:trPr>
          <w:trHeight w:val="345" w:hRule="atLeast"/>
        </w:trPr>
        <w:tc>
          <w:tcPr>
            <w:tcW w:w="1811" w:type="pct"/>
            <w:tcBorders>
              <w:top w:val="nil"/>
              <w:left w:val="single" w:color="000000" w:sz="8" w:space="0"/>
              <w:bottom w:val="single" w:color="000000" w:sz="8" w:space="0"/>
              <w:right w:val="single" w:color="000000" w:sz="8" w:space="0"/>
            </w:tcBorders>
            <w:vAlign w:val="center"/>
          </w:tcPr>
          <w:p w14:paraId="2D097BA2">
            <w:pPr>
              <w:widowControl/>
              <w:ind w:firstLine="420"/>
              <w:jc w:val="center"/>
              <w:rPr>
                <w:rFonts w:eastAsia="仿宋"/>
                <w:kern w:val="0"/>
                <w:szCs w:val="21"/>
              </w:rPr>
            </w:pPr>
            <w:r>
              <w:rPr>
                <w:rFonts w:eastAsia="仿宋"/>
                <w:kern w:val="0"/>
                <w:szCs w:val="21"/>
              </w:rPr>
              <w:t>草地/ hm</w:t>
            </w:r>
            <w:r>
              <w:rPr>
                <w:rFonts w:eastAsia="仿宋"/>
                <w:kern w:val="0"/>
                <w:szCs w:val="21"/>
                <w:vertAlign w:val="superscript"/>
              </w:rPr>
              <w:t>2</w:t>
            </w:r>
          </w:p>
        </w:tc>
        <w:tc>
          <w:tcPr>
            <w:tcW w:w="1595" w:type="pct"/>
            <w:tcBorders>
              <w:top w:val="nil"/>
              <w:left w:val="nil"/>
              <w:bottom w:val="single" w:color="000000" w:sz="8" w:space="0"/>
              <w:right w:val="single" w:color="000000" w:sz="8" w:space="0"/>
            </w:tcBorders>
            <w:vAlign w:val="center"/>
          </w:tcPr>
          <w:p w14:paraId="65A2B009">
            <w:pPr>
              <w:widowControl/>
              <w:ind w:firstLine="420"/>
              <w:jc w:val="center"/>
              <w:rPr>
                <w:rFonts w:eastAsia="仿宋"/>
                <w:kern w:val="0"/>
                <w:szCs w:val="21"/>
              </w:rPr>
            </w:pPr>
          </w:p>
        </w:tc>
        <w:tc>
          <w:tcPr>
            <w:tcW w:w="1595" w:type="pct"/>
            <w:tcBorders>
              <w:top w:val="nil"/>
              <w:left w:val="nil"/>
              <w:bottom w:val="single" w:color="000000" w:sz="8" w:space="0"/>
              <w:right w:val="single" w:color="000000" w:sz="8" w:space="0"/>
            </w:tcBorders>
            <w:vAlign w:val="center"/>
          </w:tcPr>
          <w:p w14:paraId="533117D0">
            <w:pPr>
              <w:widowControl/>
              <w:ind w:firstLine="420"/>
              <w:jc w:val="center"/>
              <w:rPr>
                <w:rFonts w:eastAsia="仿宋"/>
                <w:kern w:val="0"/>
                <w:szCs w:val="21"/>
              </w:rPr>
            </w:pPr>
          </w:p>
        </w:tc>
      </w:tr>
      <w:tr w14:paraId="18EE80AD">
        <w:tblPrEx>
          <w:tblCellMar>
            <w:top w:w="0" w:type="dxa"/>
            <w:left w:w="108" w:type="dxa"/>
            <w:bottom w:w="0" w:type="dxa"/>
            <w:right w:w="108" w:type="dxa"/>
          </w:tblCellMar>
        </w:tblPrEx>
        <w:trPr>
          <w:trHeight w:val="345" w:hRule="atLeast"/>
        </w:trPr>
        <w:tc>
          <w:tcPr>
            <w:tcW w:w="1811" w:type="pct"/>
            <w:tcBorders>
              <w:top w:val="nil"/>
              <w:left w:val="single" w:color="000000" w:sz="8" w:space="0"/>
              <w:bottom w:val="single" w:color="000000" w:sz="8" w:space="0"/>
              <w:right w:val="single" w:color="000000" w:sz="8" w:space="0"/>
            </w:tcBorders>
            <w:vAlign w:val="center"/>
          </w:tcPr>
          <w:p w14:paraId="3538F3B9">
            <w:pPr>
              <w:widowControl/>
              <w:ind w:firstLine="420"/>
              <w:jc w:val="center"/>
              <w:rPr>
                <w:rFonts w:eastAsia="仿宋"/>
                <w:kern w:val="0"/>
                <w:szCs w:val="21"/>
              </w:rPr>
            </w:pPr>
            <w:r>
              <w:rPr>
                <w:rFonts w:eastAsia="仿宋"/>
                <w:kern w:val="0"/>
                <w:szCs w:val="21"/>
              </w:rPr>
              <w:t>复垦面积合计/ hm</w:t>
            </w:r>
            <w:r>
              <w:rPr>
                <w:rFonts w:eastAsia="仿宋"/>
                <w:kern w:val="0"/>
                <w:szCs w:val="21"/>
                <w:vertAlign w:val="superscript"/>
              </w:rPr>
              <w:t>2</w:t>
            </w:r>
          </w:p>
        </w:tc>
        <w:tc>
          <w:tcPr>
            <w:tcW w:w="1595" w:type="pct"/>
            <w:tcBorders>
              <w:top w:val="nil"/>
              <w:left w:val="nil"/>
              <w:bottom w:val="single" w:color="000000" w:sz="8" w:space="0"/>
              <w:right w:val="single" w:color="000000" w:sz="8" w:space="0"/>
            </w:tcBorders>
            <w:vAlign w:val="center"/>
          </w:tcPr>
          <w:p w14:paraId="18A78DC1">
            <w:pPr>
              <w:widowControl/>
              <w:ind w:firstLine="420"/>
              <w:jc w:val="center"/>
              <w:rPr>
                <w:rFonts w:eastAsia="仿宋"/>
                <w:kern w:val="0"/>
                <w:szCs w:val="21"/>
              </w:rPr>
            </w:pPr>
          </w:p>
        </w:tc>
        <w:tc>
          <w:tcPr>
            <w:tcW w:w="1595" w:type="pct"/>
            <w:tcBorders>
              <w:top w:val="nil"/>
              <w:left w:val="nil"/>
              <w:bottom w:val="single" w:color="000000" w:sz="8" w:space="0"/>
              <w:right w:val="single" w:color="000000" w:sz="8" w:space="0"/>
            </w:tcBorders>
            <w:vAlign w:val="center"/>
          </w:tcPr>
          <w:p w14:paraId="3D658A42">
            <w:pPr>
              <w:widowControl/>
              <w:ind w:firstLine="420"/>
              <w:jc w:val="center"/>
              <w:rPr>
                <w:rFonts w:eastAsia="仿宋"/>
                <w:kern w:val="0"/>
                <w:szCs w:val="21"/>
              </w:rPr>
            </w:pPr>
          </w:p>
        </w:tc>
      </w:tr>
      <w:tr w14:paraId="53F6DCA1">
        <w:tblPrEx>
          <w:tblCellMar>
            <w:top w:w="0" w:type="dxa"/>
            <w:left w:w="108" w:type="dxa"/>
            <w:bottom w:w="0" w:type="dxa"/>
            <w:right w:w="108" w:type="dxa"/>
          </w:tblCellMar>
        </w:tblPrEx>
        <w:trPr>
          <w:trHeight w:val="285" w:hRule="atLeast"/>
        </w:trPr>
        <w:tc>
          <w:tcPr>
            <w:tcW w:w="1811" w:type="pct"/>
            <w:tcBorders>
              <w:top w:val="nil"/>
              <w:left w:val="single" w:color="000000" w:sz="8" w:space="0"/>
              <w:bottom w:val="single" w:color="000000" w:sz="8" w:space="0"/>
              <w:right w:val="single" w:color="000000" w:sz="8" w:space="0"/>
            </w:tcBorders>
            <w:vAlign w:val="center"/>
          </w:tcPr>
          <w:p w14:paraId="0231F032">
            <w:pPr>
              <w:widowControl/>
              <w:ind w:firstLine="420"/>
              <w:jc w:val="center"/>
              <w:rPr>
                <w:rFonts w:eastAsia="仿宋"/>
                <w:kern w:val="0"/>
                <w:szCs w:val="21"/>
              </w:rPr>
            </w:pPr>
            <w:r>
              <w:rPr>
                <w:rFonts w:eastAsia="仿宋"/>
                <w:kern w:val="0"/>
                <w:szCs w:val="21"/>
              </w:rPr>
              <w:t>费用使用量/万元</w:t>
            </w:r>
          </w:p>
        </w:tc>
        <w:tc>
          <w:tcPr>
            <w:tcW w:w="1595" w:type="pct"/>
            <w:tcBorders>
              <w:top w:val="nil"/>
              <w:left w:val="nil"/>
              <w:bottom w:val="single" w:color="000000" w:sz="8" w:space="0"/>
              <w:right w:val="single" w:color="000000" w:sz="8" w:space="0"/>
            </w:tcBorders>
            <w:vAlign w:val="center"/>
          </w:tcPr>
          <w:p w14:paraId="3E665FA7">
            <w:pPr>
              <w:widowControl/>
              <w:ind w:firstLine="420"/>
              <w:jc w:val="center"/>
              <w:rPr>
                <w:rFonts w:eastAsia="仿宋"/>
                <w:kern w:val="0"/>
                <w:szCs w:val="21"/>
              </w:rPr>
            </w:pPr>
          </w:p>
        </w:tc>
        <w:tc>
          <w:tcPr>
            <w:tcW w:w="1595" w:type="pct"/>
            <w:tcBorders>
              <w:top w:val="nil"/>
              <w:left w:val="nil"/>
              <w:bottom w:val="single" w:color="000000" w:sz="8" w:space="0"/>
              <w:right w:val="single" w:color="000000" w:sz="8" w:space="0"/>
            </w:tcBorders>
            <w:vAlign w:val="center"/>
          </w:tcPr>
          <w:p w14:paraId="50DE79E5">
            <w:pPr>
              <w:widowControl/>
              <w:ind w:firstLine="420"/>
              <w:jc w:val="center"/>
              <w:rPr>
                <w:rFonts w:eastAsia="仿宋"/>
                <w:kern w:val="0"/>
                <w:szCs w:val="21"/>
              </w:rPr>
            </w:pPr>
          </w:p>
        </w:tc>
      </w:tr>
      <w:tr w14:paraId="69D527CA">
        <w:tblPrEx>
          <w:tblCellMar>
            <w:top w:w="0" w:type="dxa"/>
            <w:left w:w="108" w:type="dxa"/>
            <w:bottom w:w="0" w:type="dxa"/>
            <w:right w:w="108" w:type="dxa"/>
          </w:tblCellMar>
        </w:tblPrEx>
        <w:trPr>
          <w:trHeight w:val="285" w:hRule="atLeast"/>
        </w:trPr>
        <w:tc>
          <w:tcPr>
            <w:tcW w:w="1811" w:type="pct"/>
            <w:tcBorders>
              <w:top w:val="nil"/>
              <w:left w:val="single" w:color="000000" w:sz="8" w:space="0"/>
              <w:bottom w:val="single" w:color="000000" w:sz="8" w:space="0"/>
              <w:right w:val="single" w:color="000000" w:sz="8" w:space="0"/>
            </w:tcBorders>
            <w:vAlign w:val="center"/>
          </w:tcPr>
          <w:p w14:paraId="41F00705">
            <w:pPr>
              <w:widowControl/>
              <w:ind w:firstLine="420"/>
              <w:jc w:val="center"/>
              <w:rPr>
                <w:rFonts w:eastAsia="仿宋"/>
                <w:kern w:val="0"/>
                <w:szCs w:val="21"/>
              </w:rPr>
            </w:pPr>
            <w:r>
              <w:rPr>
                <w:rFonts w:eastAsia="仿宋"/>
                <w:kern w:val="0"/>
                <w:szCs w:val="21"/>
              </w:rPr>
              <w:t>费用提存量/万元</w:t>
            </w:r>
          </w:p>
        </w:tc>
        <w:tc>
          <w:tcPr>
            <w:tcW w:w="1595" w:type="pct"/>
            <w:tcBorders>
              <w:top w:val="nil"/>
              <w:left w:val="nil"/>
              <w:bottom w:val="single" w:color="000000" w:sz="8" w:space="0"/>
              <w:right w:val="single" w:color="000000" w:sz="8" w:space="0"/>
            </w:tcBorders>
            <w:vAlign w:val="center"/>
          </w:tcPr>
          <w:p w14:paraId="0E369CB3">
            <w:pPr>
              <w:widowControl/>
              <w:ind w:firstLine="420"/>
              <w:jc w:val="center"/>
              <w:rPr>
                <w:rFonts w:eastAsia="仿宋"/>
                <w:kern w:val="0"/>
                <w:szCs w:val="21"/>
              </w:rPr>
            </w:pPr>
          </w:p>
        </w:tc>
        <w:tc>
          <w:tcPr>
            <w:tcW w:w="1595" w:type="pct"/>
            <w:tcBorders>
              <w:top w:val="nil"/>
              <w:left w:val="nil"/>
              <w:bottom w:val="single" w:color="000000" w:sz="8" w:space="0"/>
              <w:right w:val="single" w:color="000000" w:sz="8" w:space="0"/>
            </w:tcBorders>
            <w:vAlign w:val="center"/>
          </w:tcPr>
          <w:p w14:paraId="4417F070">
            <w:pPr>
              <w:widowControl/>
              <w:ind w:firstLine="420"/>
              <w:jc w:val="center"/>
              <w:rPr>
                <w:rFonts w:eastAsia="仿宋"/>
                <w:kern w:val="0"/>
                <w:szCs w:val="21"/>
              </w:rPr>
            </w:pPr>
          </w:p>
        </w:tc>
      </w:tr>
    </w:tbl>
    <w:p w14:paraId="0B694830">
      <w:pPr>
        <w:spacing w:before="156" w:after="156" w:line="360" w:lineRule="auto"/>
        <w:ind w:firstLine="480"/>
        <w:jc w:val="left"/>
        <w:rPr>
          <w:rFonts w:eastAsia="仿宋"/>
          <w:sz w:val="24"/>
        </w:rPr>
      </w:pPr>
      <w:r>
        <w:rPr>
          <w:rFonts w:eastAsia="仿宋"/>
          <w:sz w:val="24"/>
        </w:rPr>
        <w:t>第九条土地复垦义务人应当于每年12月31日前向县级以上地方人民政府国土资源主管部门报告当年的土地损毁情况、土地复垦费用使用情况以及土地复垦工程实施情况。</w:t>
      </w:r>
    </w:p>
    <w:p w14:paraId="79AAB240">
      <w:pPr>
        <w:spacing w:before="156" w:after="156"/>
        <w:ind w:firstLine="640"/>
        <w:jc w:val="center"/>
        <w:rPr>
          <w:rFonts w:eastAsia="黑体"/>
          <w:sz w:val="32"/>
          <w:szCs w:val="32"/>
        </w:rPr>
      </w:pPr>
      <w:r>
        <w:rPr>
          <w:rFonts w:eastAsia="黑体"/>
          <w:sz w:val="32"/>
          <w:szCs w:val="32"/>
        </w:rPr>
        <w:t>第三章土地复垦费用的存储</w:t>
      </w:r>
    </w:p>
    <w:p w14:paraId="4D68F3DF">
      <w:pPr>
        <w:spacing w:before="156" w:after="156" w:line="360" w:lineRule="auto"/>
        <w:ind w:firstLine="480"/>
        <w:jc w:val="left"/>
        <w:rPr>
          <w:rFonts w:eastAsia="仿宋"/>
          <w:sz w:val="24"/>
        </w:rPr>
      </w:pPr>
      <w:r>
        <w:rPr>
          <w:rFonts w:eastAsia="仿宋"/>
          <w:sz w:val="24"/>
        </w:rPr>
        <w:t>第十条乙方应将土地复垦费用存人土地复垦费用共管账户。</w:t>
      </w:r>
    </w:p>
    <w:p w14:paraId="689D962E">
      <w:pPr>
        <w:spacing w:before="156" w:after="156" w:line="360" w:lineRule="auto"/>
        <w:ind w:firstLine="480"/>
        <w:jc w:val="left"/>
        <w:rPr>
          <w:rFonts w:eastAsia="仿宋"/>
          <w:sz w:val="24"/>
        </w:rPr>
      </w:pPr>
      <w:r>
        <w:rPr>
          <w:rFonts w:eastAsia="仿宋"/>
          <w:sz w:val="24"/>
        </w:rPr>
        <w:t>第十一条乙方应依据批复的土地复垦方案及阶段土地复垦计划中确定的费用预存计划，分</w:t>
      </w:r>
      <w:r>
        <w:rPr>
          <w:rFonts w:eastAsia="仿宋"/>
          <w:sz w:val="24"/>
          <w:u w:val="single"/>
        </w:rPr>
        <w:t>一</w:t>
      </w:r>
      <w:r>
        <w:rPr>
          <w:rFonts w:eastAsia="仿宋"/>
          <w:sz w:val="24"/>
        </w:rPr>
        <w:t>期将土地复垦费用存人土地复垦费用共管账户。</w:t>
      </w:r>
    </w:p>
    <w:p w14:paraId="6A8E72F3">
      <w:pPr>
        <w:spacing w:before="156" w:after="156" w:line="360" w:lineRule="auto"/>
        <w:ind w:firstLine="480"/>
        <w:jc w:val="left"/>
        <w:rPr>
          <w:rFonts w:eastAsia="仿宋"/>
          <w:sz w:val="24"/>
        </w:rPr>
      </w:pPr>
      <w:r>
        <w:rPr>
          <w:rFonts w:eastAsia="仿宋"/>
          <w:sz w:val="24"/>
        </w:rPr>
        <w:t>第十二条乙方应在每个费用预算存计划开始后的10个工作日内将相应的土地复垦费用存人土地复垦费用共管账户。具体存储金额和时间如下：</w:t>
      </w:r>
    </w:p>
    <w:p w14:paraId="0F6813EE">
      <w:pPr>
        <w:spacing w:before="156" w:after="156" w:line="360" w:lineRule="auto"/>
        <w:ind w:firstLine="480"/>
        <w:jc w:val="left"/>
        <w:rPr>
          <w:rFonts w:eastAsia="仿宋"/>
          <w:sz w:val="24"/>
        </w:rPr>
      </w:pPr>
      <w:r>
        <w:rPr>
          <w:rFonts w:eastAsia="仿宋"/>
          <w:sz w:val="24"/>
        </w:rPr>
        <w:t>第一期存储金额：人民币大写（小写元）</w:t>
      </w:r>
    </w:p>
    <w:p w14:paraId="730DD46A">
      <w:pPr>
        <w:spacing w:before="156" w:after="156" w:line="360" w:lineRule="auto"/>
        <w:ind w:firstLine="480"/>
        <w:jc w:val="left"/>
        <w:rPr>
          <w:rFonts w:eastAsia="仿宋"/>
          <w:sz w:val="24"/>
        </w:rPr>
      </w:pPr>
      <w:r>
        <w:rPr>
          <w:rFonts w:eastAsia="仿宋"/>
          <w:sz w:val="24"/>
        </w:rPr>
        <w:t>存储日期：年月日前</w:t>
      </w:r>
    </w:p>
    <w:p w14:paraId="3793D95C">
      <w:pPr>
        <w:spacing w:before="156" w:after="156" w:line="360" w:lineRule="auto"/>
        <w:ind w:firstLine="480"/>
        <w:jc w:val="left"/>
        <w:rPr>
          <w:rFonts w:eastAsia="仿宋"/>
          <w:sz w:val="24"/>
        </w:rPr>
      </w:pPr>
      <w:r>
        <w:rPr>
          <w:rFonts w:eastAsia="仿宋"/>
          <w:sz w:val="24"/>
        </w:rPr>
        <w:t>第十三条土地复垦费用所产生的利息归乙方所有，可用于抵减下一期应存储的土地复垦费用。</w:t>
      </w:r>
    </w:p>
    <w:p w14:paraId="5BE79EA0">
      <w:pPr>
        <w:spacing w:before="156" w:after="156" w:line="360" w:lineRule="auto"/>
        <w:ind w:firstLine="480"/>
        <w:jc w:val="left"/>
        <w:rPr>
          <w:rFonts w:eastAsia="仿宋"/>
          <w:sz w:val="24"/>
        </w:rPr>
      </w:pPr>
      <w:r>
        <w:rPr>
          <w:rFonts w:eastAsia="仿宋"/>
          <w:sz w:val="24"/>
        </w:rPr>
        <w:t>第十四条如乙方不能按本协议第十二条规定的日期存储土地复垦费用，须每天按未存储土地复垦费用的万分之一向土地复垦费用共管账户缴纳滞纳金。滞纳金不能用于抵减下一期应存储的土地复垦费用。</w:t>
      </w:r>
    </w:p>
    <w:p w14:paraId="640A1795">
      <w:pPr>
        <w:spacing w:before="156" w:after="156"/>
        <w:ind w:firstLine="640"/>
        <w:jc w:val="center"/>
        <w:rPr>
          <w:rFonts w:eastAsia="黑体"/>
          <w:sz w:val="32"/>
          <w:szCs w:val="32"/>
        </w:rPr>
      </w:pPr>
      <w:r>
        <w:rPr>
          <w:rFonts w:eastAsia="黑体"/>
          <w:sz w:val="32"/>
          <w:szCs w:val="32"/>
        </w:rPr>
        <w:t>第四章土地复垦费用的管理和使用</w:t>
      </w:r>
    </w:p>
    <w:p w14:paraId="66490256">
      <w:pPr>
        <w:spacing w:before="156" w:after="156" w:line="360" w:lineRule="auto"/>
        <w:ind w:firstLine="480"/>
        <w:jc w:val="left"/>
        <w:rPr>
          <w:rFonts w:eastAsia="仿宋"/>
          <w:sz w:val="24"/>
        </w:rPr>
      </w:pPr>
      <w:r>
        <w:rPr>
          <w:rFonts w:eastAsia="仿宋"/>
          <w:sz w:val="24"/>
        </w:rPr>
        <w:t>第十五条乙方按照土地复垦方案和阶段土地复垦计划的要求完成阶段土地复垦任务后向甲方提出阶段验收申请。验收合格后，乙方可向甲方申请从土地复垦费用共管账户中支取费用。</w:t>
      </w:r>
    </w:p>
    <w:p w14:paraId="44460AB4">
      <w:pPr>
        <w:spacing w:before="156" w:after="156" w:line="360" w:lineRule="auto"/>
        <w:ind w:firstLine="480"/>
        <w:jc w:val="left"/>
        <w:rPr>
          <w:rFonts w:eastAsia="仿宋"/>
          <w:sz w:val="24"/>
        </w:rPr>
      </w:pPr>
      <w:r>
        <w:rPr>
          <w:rFonts w:eastAsia="仿宋"/>
          <w:sz w:val="24"/>
        </w:rPr>
        <w:t>第十六条乙方在按照土地复垦方案和阶段土地复垦计划完成全部复垦任务后向甲方提出最终验收申请。验收合格后，乙方可向甲方申请从土地复垦费用共管账户中支取结余费用的80%。</w:t>
      </w:r>
    </w:p>
    <w:p w14:paraId="3097F850">
      <w:pPr>
        <w:spacing w:before="156" w:after="156" w:line="360" w:lineRule="auto"/>
        <w:ind w:firstLine="480"/>
        <w:jc w:val="left"/>
        <w:rPr>
          <w:rFonts w:eastAsia="仿宋"/>
          <w:sz w:val="24"/>
        </w:rPr>
      </w:pPr>
      <w:r>
        <w:rPr>
          <w:rFonts w:eastAsia="仿宋"/>
          <w:sz w:val="24"/>
        </w:rPr>
        <w:t>第十七条复垦为农用地的，甲方应当会同有关部门在最终验收合格后的5年内对土地复垦效果进行跟踪评价。复垦效果达到土地复垦方案和阶段土地复垦计划要求的，乙方可向甲方申请从土地复垦费用共管账户中支取结余所有费用。</w:t>
      </w:r>
    </w:p>
    <w:p w14:paraId="061B3DFB">
      <w:pPr>
        <w:spacing w:before="156" w:after="156" w:line="360" w:lineRule="auto"/>
        <w:ind w:firstLine="480"/>
        <w:jc w:val="left"/>
        <w:rPr>
          <w:rFonts w:eastAsia="仿宋"/>
          <w:sz w:val="24"/>
        </w:rPr>
      </w:pPr>
      <w:r>
        <w:rPr>
          <w:rFonts w:eastAsia="仿宋"/>
          <w:sz w:val="24"/>
        </w:rPr>
        <w:t>第十八条甲方接到乙方支取费用申请后，应当在_10_个工作日内配合乙方办理费用支取手续。</w:t>
      </w:r>
    </w:p>
    <w:p w14:paraId="00F17B20">
      <w:pPr>
        <w:spacing w:before="156" w:after="156"/>
        <w:ind w:firstLine="640"/>
        <w:jc w:val="center"/>
        <w:rPr>
          <w:rFonts w:eastAsia="黑体"/>
          <w:sz w:val="32"/>
          <w:szCs w:val="32"/>
        </w:rPr>
      </w:pPr>
      <w:r>
        <w:rPr>
          <w:rFonts w:eastAsia="黑体"/>
          <w:sz w:val="32"/>
          <w:szCs w:val="32"/>
        </w:rPr>
        <w:t>第五章协议修订和转让</w:t>
      </w:r>
    </w:p>
    <w:p w14:paraId="5229D74E">
      <w:pPr>
        <w:spacing w:before="156" w:after="156" w:line="360" w:lineRule="auto"/>
        <w:ind w:firstLine="480"/>
        <w:jc w:val="left"/>
        <w:rPr>
          <w:rFonts w:eastAsia="仿宋"/>
          <w:sz w:val="24"/>
        </w:rPr>
      </w:pPr>
      <w:r>
        <w:rPr>
          <w:rFonts w:eastAsia="仿宋"/>
          <w:sz w:val="24"/>
        </w:rPr>
        <w:t>第十九条本协议对双方及其各自的继承人及经许可的受让人具有同等约束力。</w:t>
      </w:r>
    </w:p>
    <w:p w14:paraId="350D0FB7">
      <w:pPr>
        <w:spacing w:before="156" w:after="156" w:line="360" w:lineRule="auto"/>
        <w:ind w:firstLine="480"/>
        <w:jc w:val="left"/>
        <w:rPr>
          <w:rFonts w:eastAsia="仿宋"/>
          <w:sz w:val="24"/>
        </w:rPr>
      </w:pPr>
      <w:r>
        <w:rPr>
          <w:rFonts w:eastAsia="仿宋"/>
          <w:sz w:val="24"/>
        </w:rPr>
        <w:t>第二十条本协议签订后，未经双方共同确认，原则上不进行修订。</w:t>
      </w:r>
    </w:p>
    <w:p w14:paraId="4F2B8C1F">
      <w:pPr>
        <w:spacing w:before="156" w:after="156" w:line="360" w:lineRule="auto"/>
        <w:ind w:firstLine="480"/>
        <w:jc w:val="left"/>
        <w:rPr>
          <w:rFonts w:eastAsia="仿宋"/>
          <w:sz w:val="24"/>
        </w:rPr>
      </w:pPr>
      <w:r>
        <w:rPr>
          <w:rFonts w:eastAsia="仿宋"/>
          <w:sz w:val="24"/>
        </w:rPr>
        <w:t>第二十一条如甲方与土地复垦相关的行政管理权发生转移，协议双方应在协商的基础上修改本协议中的相关条款。</w:t>
      </w:r>
    </w:p>
    <w:p w14:paraId="56B975FD">
      <w:pPr>
        <w:spacing w:before="156" w:after="156" w:line="360" w:lineRule="auto"/>
        <w:ind w:firstLine="480"/>
        <w:jc w:val="left"/>
        <w:rPr>
          <w:rFonts w:eastAsia="仿宋"/>
          <w:sz w:val="24"/>
        </w:rPr>
      </w:pPr>
      <w:r>
        <w:rPr>
          <w:rFonts w:eastAsia="仿宋"/>
          <w:sz w:val="24"/>
        </w:rPr>
        <w:t>第二十二条乙方转让采矿权的，本协议终止。受让方应与甲方重新签订书面协议，受让方应承担乙方在本协议中规定的所有义务和责任。</w:t>
      </w:r>
    </w:p>
    <w:p w14:paraId="125E0117">
      <w:pPr>
        <w:spacing w:before="156" w:after="156" w:line="360" w:lineRule="auto"/>
        <w:ind w:firstLine="480"/>
        <w:jc w:val="left"/>
        <w:rPr>
          <w:rFonts w:eastAsia="仿宋"/>
          <w:sz w:val="24"/>
        </w:rPr>
      </w:pPr>
      <w:r>
        <w:rPr>
          <w:rFonts w:eastAsia="仿宋"/>
          <w:sz w:val="24"/>
        </w:rPr>
        <w:t>第二十三条乙方对土地复垦方案进行重大调整，需要重新编制土地复垦方案的，双方须根据新审批的土地复垦方案和阶段土地复垦计划重新签订协议。</w:t>
      </w:r>
    </w:p>
    <w:p w14:paraId="17B21AAB">
      <w:pPr>
        <w:spacing w:before="156" w:after="156" w:line="360" w:lineRule="auto"/>
        <w:ind w:firstLine="480"/>
        <w:jc w:val="left"/>
        <w:rPr>
          <w:rFonts w:eastAsia="仿宋"/>
          <w:sz w:val="24"/>
        </w:rPr>
      </w:pPr>
      <w:r>
        <w:rPr>
          <w:rFonts w:eastAsia="仿宋"/>
          <w:sz w:val="24"/>
        </w:rPr>
        <w:t>第二十四条乙方可在其认为合适的情况下缩减、中断或中止经营。在上述缩减、中断或中止期间，乙方应与甲方协商，在甲方认为合理的范围内免除其在本协议中应履行的义务，并经协议双方确认后，补签相关协议作为本协议的补充文本。</w:t>
      </w:r>
    </w:p>
    <w:p w14:paraId="0AC76A5F">
      <w:pPr>
        <w:spacing w:before="156" w:after="156"/>
        <w:ind w:firstLine="640"/>
        <w:jc w:val="center"/>
      </w:pPr>
      <w:r>
        <w:rPr>
          <w:rFonts w:eastAsia="黑体"/>
          <w:sz w:val="32"/>
          <w:szCs w:val="32"/>
        </w:rPr>
        <w:t>第六章协议终止</w:t>
      </w:r>
    </w:p>
    <w:p w14:paraId="75D45FEF">
      <w:pPr>
        <w:spacing w:before="156" w:after="156" w:line="360" w:lineRule="auto"/>
        <w:ind w:firstLine="480"/>
        <w:jc w:val="left"/>
        <w:rPr>
          <w:rFonts w:eastAsia="仿宋"/>
          <w:sz w:val="24"/>
        </w:rPr>
      </w:pPr>
      <w:r>
        <w:rPr>
          <w:rFonts w:eastAsia="仿宋"/>
          <w:sz w:val="24"/>
        </w:rPr>
        <w:t>第二十五条本协议自双方签字并加盖公章之日起生效，至双方义务履行完毕后失效。</w:t>
      </w:r>
    </w:p>
    <w:p w14:paraId="24CBE204">
      <w:pPr>
        <w:spacing w:before="156" w:after="156"/>
        <w:ind w:firstLine="640"/>
        <w:jc w:val="center"/>
      </w:pPr>
      <w:r>
        <w:rPr>
          <w:rFonts w:eastAsia="黑体"/>
          <w:sz w:val="32"/>
          <w:szCs w:val="32"/>
        </w:rPr>
        <w:t>第七章违约责任</w:t>
      </w:r>
    </w:p>
    <w:p w14:paraId="7369B401">
      <w:pPr>
        <w:spacing w:before="156" w:after="156" w:line="360" w:lineRule="auto"/>
        <w:ind w:firstLine="480"/>
        <w:jc w:val="left"/>
        <w:rPr>
          <w:rFonts w:eastAsia="仿宋"/>
          <w:sz w:val="24"/>
        </w:rPr>
      </w:pPr>
      <w:r>
        <w:rPr>
          <w:rFonts w:eastAsia="仿宋"/>
          <w:sz w:val="24"/>
        </w:rPr>
        <w:t>第二十六条乙方不履行本协议中规定的土地复垦义务，或复垦验收不合格经整改仍不合格的，甲方有权将乙方土地复垦费用共管账户中相应数额的土地复垦费用转力土地复垦费，由甲方代为组织复垦。</w:t>
      </w:r>
    </w:p>
    <w:p w14:paraId="3B3E4BF2">
      <w:pPr>
        <w:spacing w:before="156" w:after="156" w:line="360" w:lineRule="auto"/>
        <w:ind w:firstLine="480"/>
        <w:jc w:val="left"/>
        <w:rPr>
          <w:rFonts w:eastAsia="仿宋"/>
          <w:sz w:val="24"/>
        </w:rPr>
      </w:pPr>
      <w:r>
        <w:rPr>
          <w:rFonts w:eastAsia="仿宋"/>
          <w:sz w:val="24"/>
        </w:rPr>
        <w:t>第二十七条如乙方被宣告破产或进入破产、解散、清算程序，或无力偿还到期债务，土地复垦费用在按法律规定偿付相关债务后，须优先用于缴纳土地复垦费。</w:t>
      </w:r>
    </w:p>
    <w:p w14:paraId="15C67970">
      <w:pPr>
        <w:spacing w:before="156" w:after="156" w:line="360" w:lineRule="auto"/>
        <w:ind w:firstLine="480"/>
        <w:jc w:val="left"/>
        <w:rPr>
          <w:rFonts w:eastAsia="仿宋"/>
          <w:sz w:val="24"/>
        </w:rPr>
      </w:pPr>
      <w:r>
        <w:rPr>
          <w:rFonts w:eastAsia="仿宋"/>
          <w:sz w:val="24"/>
        </w:rPr>
        <w:t>第二十八条乙方按照本协议约定完成土地复垦工作，并提交验收申请，甲方收到验收申请 10 个工作日内无正当理由不进行验收的，或验收合格后不配合乙方办理费用支取手续的，乙方有权向甲方的上级主管部门反映情况。</w:t>
      </w:r>
    </w:p>
    <w:p w14:paraId="01BF4F7C">
      <w:pPr>
        <w:spacing w:before="156" w:after="156" w:line="360" w:lineRule="auto"/>
        <w:ind w:firstLine="480"/>
        <w:jc w:val="left"/>
        <w:rPr>
          <w:rFonts w:eastAsia="仿宋"/>
          <w:sz w:val="24"/>
        </w:rPr>
      </w:pPr>
      <w:r>
        <w:rPr>
          <w:rFonts w:eastAsia="仿宋"/>
          <w:sz w:val="24"/>
        </w:rPr>
        <w:t>第二十九条乙方因遭遇不可抗力而延迟或停止履行本协议中规定的义务，经甲方确认的，不应构成乙方在此期间对本协议的违约。</w:t>
      </w:r>
    </w:p>
    <w:p w14:paraId="23CD339D">
      <w:pPr>
        <w:spacing w:before="156" w:after="156"/>
        <w:ind w:firstLine="640"/>
        <w:jc w:val="center"/>
        <w:rPr>
          <w:rFonts w:eastAsia="黑体"/>
          <w:sz w:val="32"/>
          <w:szCs w:val="32"/>
        </w:rPr>
      </w:pPr>
      <w:r>
        <w:rPr>
          <w:rFonts w:eastAsia="黑体"/>
          <w:sz w:val="32"/>
          <w:szCs w:val="32"/>
        </w:rPr>
        <w:t>第八章争议解决</w:t>
      </w:r>
    </w:p>
    <w:p w14:paraId="7F603833">
      <w:pPr>
        <w:spacing w:before="156" w:after="156" w:line="360" w:lineRule="auto"/>
        <w:ind w:firstLine="480"/>
        <w:jc w:val="left"/>
        <w:rPr>
          <w:rFonts w:eastAsia="仿宋"/>
          <w:sz w:val="24"/>
        </w:rPr>
      </w:pPr>
      <w:r>
        <w:rPr>
          <w:rFonts w:eastAsia="仿宋"/>
          <w:sz w:val="24"/>
        </w:rPr>
        <w:t>第三十条本协议执行过程中如发生争议、纠纷，协议双方首先应协商解决。如在开始协商后60个工作日内未能解决争议，则任何一方可向协议签订地有管辖权的人民法院提起诉讼，按照其当时有效的仲裁规则进行仲裁。最终仲裁裁决对协议双方均具有约束力。除仲裁裁决另有规定外，仲裁费用由败诉方承担。</w:t>
      </w:r>
    </w:p>
    <w:p w14:paraId="0DF4795E">
      <w:pPr>
        <w:spacing w:before="156" w:after="156" w:line="360" w:lineRule="auto"/>
        <w:ind w:firstLine="480"/>
        <w:jc w:val="left"/>
        <w:rPr>
          <w:rFonts w:eastAsia="仿宋"/>
          <w:sz w:val="24"/>
        </w:rPr>
      </w:pPr>
      <w:r>
        <w:rPr>
          <w:rFonts w:eastAsia="仿宋"/>
          <w:sz w:val="24"/>
        </w:rPr>
        <w:t>第三十一条争议仲裁期间，除争议事项外，协议双方应继续行使各自在本协议中规定的其他权利，并应继续履行各自在本协议中规定的其他义务。</w:t>
      </w:r>
    </w:p>
    <w:p w14:paraId="2ED23197">
      <w:pPr>
        <w:spacing w:before="156" w:after="156"/>
        <w:ind w:firstLine="640"/>
        <w:jc w:val="center"/>
        <w:rPr>
          <w:rFonts w:eastAsia="黑体"/>
          <w:sz w:val="32"/>
          <w:szCs w:val="32"/>
        </w:rPr>
      </w:pPr>
      <w:r>
        <w:rPr>
          <w:rFonts w:eastAsia="黑体"/>
          <w:sz w:val="32"/>
          <w:szCs w:val="32"/>
        </w:rPr>
        <w:t>第九章附则</w:t>
      </w:r>
    </w:p>
    <w:p w14:paraId="157F57A6">
      <w:pPr>
        <w:spacing w:before="156" w:after="156"/>
        <w:ind w:firstLine="480"/>
        <w:jc w:val="left"/>
        <w:rPr>
          <w:rFonts w:eastAsia="仿宋"/>
          <w:sz w:val="24"/>
        </w:rPr>
      </w:pPr>
      <w:r>
        <w:rPr>
          <w:rFonts w:eastAsia="仿宋"/>
          <w:sz w:val="24"/>
        </w:rPr>
        <w:t>第三十二条本协议一式两份，甲、乙双方各持一份，具有同等法律效力。</w:t>
      </w:r>
    </w:p>
    <w:p w14:paraId="3C534E10">
      <w:pPr>
        <w:spacing w:before="156" w:after="156"/>
        <w:ind w:firstLine="480"/>
        <w:jc w:val="left"/>
        <w:rPr>
          <w:rFonts w:eastAsia="仿宋"/>
          <w:sz w:val="24"/>
        </w:rPr>
      </w:pPr>
      <w:r>
        <w:rPr>
          <w:rFonts w:eastAsia="仿宋"/>
          <w:sz w:val="24"/>
        </w:rPr>
        <w:t>第三十三条本协议未尽事宜，可由双方商定后以书面形式作为本协议附件，与本协议具有同等法律效力。</w:t>
      </w:r>
    </w:p>
    <w:tbl>
      <w:tblPr>
        <w:tblStyle w:val="3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6CFF5C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66C440CE">
            <w:pPr>
              <w:spacing w:before="156" w:after="156"/>
              <w:jc w:val="left"/>
              <w:rPr>
                <w:rFonts w:eastAsia="仿宋"/>
                <w:sz w:val="24"/>
              </w:rPr>
            </w:pPr>
            <w:r>
              <w:rPr>
                <w:rFonts w:eastAsia="仿宋"/>
                <w:sz w:val="24"/>
              </w:rPr>
              <w:t>甲方（公章）：</w:t>
            </w:r>
          </w:p>
        </w:tc>
        <w:tc>
          <w:tcPr>
            <w:tcW w:w="2500" w:type="pct"/>
          </w:tcPr>
          <w:p w14:paraId="122CB1AB">
            <w:pPr>
              <w:spacing w:before="156" w:after="156"/>
              <w:jc w:val="left"/>
              <w:rPr>
                <w:rFonts w:eastAsia="仿宋"/>
                <w:sz w:val="24"/>
              </w:rPr>
            </w:pPr>
            <w:r>
              <w:rPr>
                <w:rFonts w:eastAsia="仿宋"/>
                <w:sz w:val="24"/>
              </w:rPr>
              <w:t>乙方（公章）：</w:t>
            </w:r>
          </w:p>
        </w:tc>
      </w:tr>
      <w:tr w14:paraId="630C90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44AD40D0">
            <w:pPr>
              <w:spacing w:before="156" w:after="156"/>
              <w:jc w:val="left"/>
              <w:rPr>
                <w:rFonts w:eastAsia="仿宋"/>
                <w:sz w:val="24"/>
              </w:rPr>
            </w:pPr>
          </w:p>
        </w:tc>
        <w:tc>
          <w:tcPr>
            <w:tcW w:w="2500" w:type="pct"/>
          </w:tcPr>
          <w:p w14:paraId="32AB0C9E">
            <w:pPr>
              <w:spacing w:before="156" w:after="156"/>
              <w:jc w:val="left"/>
              <w:rPr>
                <w:rFonts w:eastAsia="仿宋"/>
                <w:sz w:val="24"/>
              </w:rPr>
            </w:pPr>
          </w:p>
        </w:tc>
      </w:tr>
      <w:tr w14:paraId="08E166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3D10B608">
            <w:pPr>
              <w:spacing w:before="156" w:after="156"/>
              <w:jc w:val="left"/>
              <w:rPr>
                <w:rFonts w:eastAsia="仿宋"/>
                <w:sz w:val="24"/>
              </w:rPr>
            </w:pPr>
            <w:r>
              <w:rPr>
                <w:rFonts w:eastAsia="仿宋"/>
                <w:sz w:val="24"/>
              </w:rPr>
              <w:t>地址：</w:t>
            </w:r>
          </w:p>
        </w:tc>
        <w:tc>
          <w:tcPr>
            <w:tcW w:w="2500" w:type="pct"/>
          </w:tcPr>
          <w:p w14:paraId="3A5248A2">
            <w:pPr>
              <w:spacing w:before="156" w:after="156"/>
              <w:jc w:val="left"/>
              <w:rPr>
                <w:rFonts w:eastAsia="仿宋"/>
                <w:sz w:val="24"/>
              </w:rPr>
            </w:pPr>
            <w:r>
              <w:rPr>
                <w:rFonts w:eastAsia="仿宋"/>
                <w:sz w:val="24"/>
              </w:rPr>
              <w:t>地址：</w:t>
            </w:r>
          </w:p>
        </w:tc>
      </w:tr>
      <w:tr w14:paraId="028D53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504E32E5">
            <w:pPr>
              <w:spacing w:before="156" w:after="156"/>
              <w:jc w:val="left"/>
              <w:rPr>
                <w:rFonts w:eastAsia="仿宋"/>
                <w:sz w:val="24"/>
              </w:rPr>
            </w:pPr>
            <w:r>
              <w:rPr>
                <w:rFonts w:eastAsia="仿宋"/>
                <w:sz w:val="24"/>
              </w:rPr>
              <w:t>邮编：</w:t>
            </w:r>
          </w:p>
        </w:tc>
        <w:tc>
          <w:tcPr>
            <w:tcW w:w="2500" w:type="pct"/>
          </w:tcPr>
          <w:p w14:paraId="3CA73928">
            <w:pPr>
              <w:spacing w:before="156" w:after="156"/>
              <w:jc w:val="left"/>
              <w:rPr>
                <w:rFonts w:eastAsia="仿宋"/>
                <w:sz w:val="24"/>
              </w:rPr>
            </w:pPr>
            <w:r>
              <w:rPr>
                <w:rFonts w:eastAsia="仿宋"/>
                <w:sz w:val="24"/>
              </w:rPr>
              <w:t>邮编：</w:t>
            </w:r>
          </w:p>
        </w:tc>
      </w:tr>
      <w:tr w14:paraId="414AB4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6CEC4617">
            <w:pPr>
              <w:spacing w:before="156" w:after="156"/>
              <w:jc w:val="left"/>
              <w:rPr>
                <w:rFonts w:eastAsia="仿宋"/>
                <w:sz w:val="24"/>
              </w:rPr>
            </w:pPr>
            <w:r>
              <w:rPr>
                <w:rFonts w:eastAsia="仿宋"/>
                <w:sz w:val="24"/>
              </w:rPr>
              <w:t>电话：</w:t>
            </w:r>
          </w:p>
        </w:tc>
        <w:tc>
          <w:tcPr>
            <w:tcW w:w="2500" w:type="pct"/>
          </w:tcPr>
          <w:p w14:paraId="59630515">
            <w:pPr>
              <w:spacing w:before="156" w:after="156"/>
              <w:jc w:val="left"/>
              <w:rPr>
                <w:rFonts w:eastAsia="仿宋"/>
                <w:sz w:val="24"/>
              </w:rPr>
            </w:pPr>
            <w:r>
              <w:rPr>
                <w:rFonts w:eastAsia="仿宋"/>
                <w:sz w:val="24"/>
              </w:rPr>
              <w:t>电话：</w:t>
            </w:r>
          </w:p>
        </w:tc>
      </w:tr>
      <w:tr w14:paraId="1AA23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566F1534">
            <w:pPr>
              <w:spacing w:before="156" w:after="156"/>
              <w:jc w:val="left"/>
              <w:rPr>
                <w:rFonts w:eastAsia="仿宋"/>
                <w:sz w:val="24"/>
              </w:rPr>
            </w:pPr>
            <w:r>
              <w:rPr>
                <w:rFonts w:eastAsia="仿宋"/>
                <w:sz w:val="24"/>
              </w:rPr>
              <w:t>法定代表人（委托代理人）</w:t>
            </w:r>
          </w:p>
        </w:tc>
        <w:tc>
          <w:tcPr>
            <w:tcW w:w="2500" w:type="pct"/>
          </w:tcPr>
          <w:p w14:paraId="19CB422B">
            <w:pPr>
              <w:spacing w:before="156" w:after="156"/>
              <w:jc w:val="left"/>
              <w:rPr>
                <w:rFonts w:eastAsia="仿宋"/>
                <w:sz w:val="24"/>
              </w:rPr>
            </w:pPr>
            <w:r>
              <w:rPr>
                <w:rFonts w:eastAsia="仿宋"/>
                <w:sz w:val="24"/>
              </w:rPr>
              <w:t>法定代表人（委托代理人）</w:t>
            </w:r>
          </w:p>
        </w:tc>
      </w:tr>
      <w:tr w14:paraId="5E7D3E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3BABB352">
            <w:pPr>
              <w:spacing w:before="156" w:after="156"/>
              <w:jc w:val="left"/>
              <w:rPr>
                <w:rFonts w:eastAsia="仿宋"/>
                <w:sz w:val="24"/>
              </w:rPr>
            </w:pPr>
            <w:r>
              <w:rPr>
                <w:rFonts w:eastAsia="仿宋"/>
                <w:sz w:val="24"/>
              </w:rPr>
              <w:t>（签字）</w:t>
            </w:r>
          </w:p>
        </w:tc>
        <w:tc>
          <w:tcPr>
            <w:tcW w:w="2500" w:type="pct"/>
          </w:tcPr>
          <w:p w14:paraId="0E917ACE">
            <w:pPr>
              <w:spacing w:before="156" w:after="156"/>
              <w:jc w:val="left"/>
              <w:rPr>
                <w:rFonts w:eastAsia="仿宋"/>
                <w:sz w:val="24"/>
              </w:rPr>
            </w:pPr>
            <w:r>
              <w:rPr>
                <w:rFonts w:eastAsia="仿宋"/>
                <w:sz w:val="24"/>
              </w:rPr>
              <w:t>（签字）</w:t>
            </w:r>
          </w:p>
        </w:tc>
      </w:tr>
      <w:tr w14:paraId="298D2D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00" w:type="pct"/>
          </w:tcPr>
          <w:p w14:paraId="0A5CF0DF">
            <w:pPr>
              <w:spacing w:before="156" w:after="156"/>
              <w:jc w:val="left"/>
              <w:rPr>
                <w:rFonts w:eastAsia="仿宋"/>
                <w:sz w:val="24"/>
              </w:rPr>
            </w:pPr>
            <w:r>
              <w:rPr>
                <w:rFonts w:eastAsia="仿宋"/>
                <w:sz w:val="24"/>
              </w:rPr>
              <w:t>年月日</w:t>
            </w:r>
          </w:p>
        </w:tc>
        <w:tc>
          <w:tcPr>
            <w:tcW w:w="2500" w:type="pct"/>
          </w:tcPr>
          <w:p w14:paraId="341D49D8">
            <w:pPr>
              <w:spacing w:before="156" w:after="156"/>
              <w:jc w:val="left"/>
              <w:rPr>
                <w:rFonts w:eastAsia="仿宋"/>
                <w:sz w:val="24"/>
              </w:rPr>
            </w:pPr>
            <w:r>
              <w:rPr>
                <w:rFonts w:eastAsia="仿宋"/>
                <w:sz w:val="24"/>
              </w:rPr>
              <w:t>年月日</w:t>
            </w:r>
          </w:p>
        </w:tc>
      </w:tr>
    </w:tbl>
    <w:p w14:paraId="69562FC1"/>
    <w:p w14:paraId="6FEE664B">
      <w:pPr>
        <w:jc w:val="center"/>
      </w:pPr>
    </w:p>
    <w:p w14:paraId="44FDD145"/>
    <w:p w14:paraId="663954B5">
      <w:pPr>
        <w:widowControl/>
        <w:jc w:val="left"/>
      </w:pPr>
      <w:r>
        <w:br w:type="page"/>
      </w:r>
    </w:p>
    <w:p w14:paraId="6A854FDE">
      <w:pPr>
        <w:pStyle w:val="5"/>
        <w:rPr>
          <w:lang w:val="zh-CN"/>
        </w:rPr>
      </w:pPr>
      <w:bookmarkStart w:id="324" w:name="_Toc43851736"/>
      <w:r>
        <w:rPr>
          <w:lang w:val="zh-CN"/>
        </w:rPr>
        <w:t>11、编制单位承诺书</w:t>
      </w:r>
      <w:bookmarkEnd w:id="324"/>
    </w:p>
    <w:p w14:paraId="371BE893">
      <w:pPr>
        <w:widowControl/>
        <w:jc w:val="left"/>
        <w:rPr>
          <w:rFonts w:ascii="宋体" w:hAnsi="宋体" w:cs="宋体"/>
          <w:kern w:val="0"/>
          <w:sz w:val="24"/>
        </w:rPr>
      </w:pPr>
      <w:r>
        <w:rPr>
          <w:rFonts w:ascii="宋体" w:hAnsi="宋体" w:cs="宋体"/>
          <w:kern w:val="0"/>
          <w:sz w:val="24"/>
        </w:rPr>
        <w:drawing>
          <wp:inline distT="0" distB="0" distL="0" distR="0">
            <wp:extent cx="6024880" cy="7600950"/>
            <wp:effectExtent l="0" t="0" r="0" b="0"/>
            <wp:docPr id="34" name="图片 34" descr="C:\Users\123\AppData\Roaming\Tencent\Users\1070675099\QQ\WinTemp\RichOle\W3DB2DJOCE~VDH~SA4}}Y2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123\AppData\Roaming\Tencent\Users\1070675099\QQ\WinTemp\RichOle\W3DB2DJOCE~VDH~SA4}}Y2W.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6029771" cy="7607517"/>
                    </a:xfrm>
                    <a:prstGeom prst="rect">
                      <a:avLst/>
                    </a:prstGeom>
                    <a:noFill/>
                    <a:ln>
                      <a:noFill/>
                    </a:ln>
                  </pic:spPr>
                </pic:pic>
              </a:graphicData>
            </a:graphic>
          </wp:inline>
        </w:drawing>
      </w:r>
    </w:p>
    <w:p w14:paraId="600220D1">
      <w:pPr>
        <w:widowControl/>
        <w:jc w:val="left"/>
        <w:rPr>
          <w:sz w:val="28"/>
          <w:szCs w:val="28"/>
        </w:rPr>
      </w:pPr>
      <w:r>
        <w:rPr>
          <w:sz w:val="28"/>
          <w:szCs w:val="28"/>
        </w:rPr>
        <w:br w:type="page"/>
      </w:r>
    </w:p>
    <w:p w14:paraId="1AC9A412">
      <w:pPr>
        <w:pStyle w:val="5"/>
        <w:rPr>
          <w:lang w:val="zh-CN"/>
        </w:rPr>
      </w:pPr>
      <w:bookmarkStart w:id="325" w:name="_Toc43851737"/>
      <w:r>
        <w:rPr>
          <w:lang w:val="zh-CN"/>
        </w:rPr>
        <w:t>12、费用承诺书</w:t>
      </w:r>
      <w:bookmarkEnd w:id="325"/>
    </w:p>
    <w:p w14:paraId="16E6D083">
      <w:pPr>
        <w:jc w:val="center"/>
        <w:rPr>
          <w:lang w:val="zh-CN"/>
        </w:rPr>
      </w:pPr>
      <w:r>
        <w:rPr>
          <w:rFonts w:eastAsia="仿宋"/>
          <w:bCs/>
          <w:color w:val="000000"/>
          <w:sz w:val="28"/>
          <w:szCs w:val="28"/>
        </w:rPr>
        <w:drawing>
          <wp:inline distT="0" distB="0" distL="0" distR="0">
            <wp:extent cx="5818505" cy="7998460"/>
            <wp:effectExtent l="0" t="0" r="0" b="0"/>
            <wp:docPr id="28" name="图片 28" descr="C:\Users\123\Desktop\微信图片_2020071916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123\Desktop\微信图片_20200719164100.jpg"/>
                    <pic:cNvPicPr>
                      <a:picLocks noChangeAspect="1" noChangeArrowheads="1"/>
                    </pic:cNvPicPr>
                  </pic:nvPicPr>
                  <pic:blipFill>
                    <a:blip r:embed="rId39">
                      <a:extLst>
                        <a:ext uri="{28A0092B-C50C-407E-A947-70E740481C1C}">
                          <a14:useLocalDpi xmlns:a14="http://schemas.microsoft.com/office/drawing/2010/main" val="0"/>
                        </a:ext>
                      </a:extLst>
                    </a:blip>
                    <a:srcRect l="4126" t="12386" r="4814" b="28292"/>
                    <a:stretch>
                      <a:fillRect/>
                    </a:stretch>
                  </pic:blipFill>
                  <pic:spPr>
                    <a:xfrm>
                      <a:off x="0" y="0"/>
                      <a:ext cx="5827855" cy="8011099"/>
                    </a:xfrm>
                    <a:prstGeom prst="rect">
                      <a:avLst/>
                    </a:prstGeom>
                    <a:noFill/>
                    <a:ln>
                      <a:noFill/>
                    </a:ln>
                  </pic:spPr>
                </pic:pic>
              </a:graphicData>
            </a:graphic>
          </wp:inline>
        </w:drawing>
      </w:r>
    </w:p>
    <w:p w14:paraId="6D26A174">
      <w:pPr>
        <w:pStyle w:val="5"/>
        <w:rPr>
          <w:lang w:val="zh-CN"/>
        </w:rPr>
      </w:pPr>
      <w:bookmarkStart w:id="326" w:name="_Toc43851738"/>
      <w:r>
        <w:rPr>
          <w:lang w:val="zh-CN"/>
        </w:rPr>
        <w:t>13、复垦义务人承诺书</w:t>
      </w:r>
      <w:bookmarkEnd w:id="326"/>
    </w:p>
    <w:p w14:paraId="21F74FEA">
      <w:pPr>
        <w:spacing w:before="120" w:after="120"/>
        <w:jc w:val="center"/>
        <w:rPr>
          <w:lang w:val="zh-CN"/>
        </w:rPr>
      </w:pPr>
      <w:r>
        <w:drawing>
          <wp:inline distT="0" distB="0" distL="0" distR="0">
            <wp:extent cx="5740400" cy="7977505"/>
            <wp:effectExtent l="0" t="0" r="0" b="0"/>
            <wp:docPr id="35" name="图片 35" descr="C:\Users\123\Desktop\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123\Desktop\456.jpg"/>
                    <pic:cNvPicPr>
                      <a:picLocks noChangeAspect="1" noChangeArrowheads="1"/>
                    </pic:cNvPicPr>
                  </pic:nvPicPr>
                  <pic:blipFill>
                    <a:blip r:embed="rId40">
                      <a:extLst>
                        <a:ext uri="{28A0092B-C50C-407E-A947-70E740481C1C}">
                          <a14:useLocalDpi xmlns:a14="http://schemas.microsoft.com/office/drawing/2010/main" val="0"/>
                        </a:ext>
                      </a:extLst>
                    </a:blip>
                    <a:srcRect l="1" t="12151" r="4527" b="24933"/>
                    <a:stretch>
                      <a:fillRect/>
                    </a:stretch>
                  </pic:blipFill>
                  <pic:spPr>
                    <a:xfrm>
                      <a:off x="0" y="0"/>
                      <a:ext cx="5744209" cy="7982508"/>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Arial">
    <w:panose1 w:val="020B0604020202020204"/>
    <w:charset w:val="00"/>
    <w:family w:val="swiss"/>
    <w:pitch w:val="default"/>
    <w:sig w:usb0="E0002EFF" w:usb1="C000785B" w:usb2="00000009" w:usb3="00000000" w:csb0="400001FF" w:csb1="FFFF0000"/>
  </w:font>
  <w:font w:name="宋体-18030">
    <w:altName w:val="宋体"/>
    <w:panose1 w:val="00000000000000000000"/>
    <w:charset w:val="86"/>
    <w:family w:val="roman"/>
    <w:pitch w:val="default"/>
    <w:sig w:usb0="00000000" w:usb1="00000000" w:usb2="000A005E" w:usb3="00000000" w:csb0="00040001"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楷体_GB2312">
    <w:altName w:val="楷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0070410"/>
    </w:sdtPr>
    <w:sdtContent>
      <w:p w14:paraId="39E57D2E">
        <w:pPr>
          <w:pStyle w:val="20"/>
          <w:jc w:val="center"/>
        </w:pPr>
        <w:r>
          <w:fldChar w:fldCharType="begin"/>
        </w:r>
        <w:r>
          <w:instrText xml:space="preserve"> PAGE   \* MERGEFORMAT </w:instrText>
        </w:r>
        <w:r>
          <w:fldChar w:fldCharType="separate"/>
        </w:r>
        <w:r>
          <w:rPr>
            <w:lang w:val="zh-CN"/>
          </w:rPr>
          <w:t>I</w:t>
        </w:r>
        <w:r>
          <w:rPr>
            <w:lang w:val="zh-C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E14F75">
    <w:pPr>
      <w:pStyle w:val="20"/>
      <w:jc w:val="center"/>
    </w:pPr>
    <w:r>
      <w:fldChar w:fldCharType="begin"/>
    </w:r>
    <w:r>
      <w:instrText xml:space="preserve">PAGE   \* MERGEFORMAT</w:instrText>
    </w:r>
    <w:r>
      <w:fldChar w:fldCharType="separate"/>
    </w:r>
    <w:r>
      <w:rPr>
        <w:lang w:val="zh-CN"/>
      </w:rPr>
      <w:t>18</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BB29A">
    <w:pPr>
      <w:pStyle w:val="21"/>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DCF9D">
    <w:pPr>
      <w:pStyle w:val="2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48B17F">
    <w:pPr>
      <w:pStyle w:val="21"/>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3"/>
    <w:multiLevelType w:val="singleLevel"/>
    <w:tmpl w:val="00000003"/>
    <w:lvl w:ilvl="0" w:tentative="0">
      <w:start w:val="2"/>
      <w:numFmt w:val="decimal"/>
      <w:suff w:val="nothing"/>
      <w:lvlText w:val="%1、"/>
      <w:lvlJc w:val="left"/>
    </w:lvl>
  </w:abstractNum>
  <w:abstractNum w:abstractNumId="1">
    <w:nsid w:val="3A0B6F9E"/>
    <w:multiLevelType w:val="multilevel"/>
    <w:tmpl w:val="3A0B6F9E"/>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58EE689B"/>
    <w:multiLevelType w:val="multilevel"/>
    <w:tmpl w:val="58EE689B"/>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7D642D11"/>
    <w:multiLevelType w:val="multilevel"/>
    <w:tmpl w:val="7D642D11"/>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88139F"/>
    <w:rsid w:val="000012EB"/>
    <w:rsid w:val="000023B7"/>
    <w:rsid w:val="00002534"/>
    <w:rsid w:val="00002BCA"/>
    <w:rsid w:val="000044F9"/>
    <w:rsid w:val="0000469C"/>
    <w:rsid w:val="00004DF6"/>
    <w:rsid w:val="000061DF"/>
    <w:rsid w:val="00006A45"/>
    <w:rsid w:val="00006CBE"/>
    <w:rsid w:val="00010B6D"/>
    <w:rsid w:val="00010C50"/>
    <w:rsid w:val="00011001"/>
    <w:rsid w:val="000115D6"/>
    <w:rsid w:val="00011D9E"/>
    <w:rsid w:val="0001346C"/>
    <w:rsid w:val="000146E7"/>
    <w:rsid w:val="00016001"/>
    <w:rsid w:val="000164C1"/>
    <w:rsid w:val="0001683E"/>
    <w:rsid w:val="000177F8"/>
    <w:rsid w:val="000201CE"/>
    <w:rsid w:val="000209E6"/>
    <w:rsid w:val="000213FF"/>
    <w:rsid w:val="000218AB"/>
    <w:rsid w:val="00021B1B"/>
    <w:rsid w:val="000224C0"/>
    <w:rsid w:val="000237E6"/>
    <w:rsid w:val="000243DC"/>
    <w:rsid w:val="0002474F"/>
    <w:rsid w:val="000250D6"/>
    <w:rsid w:val="00025485"/>
    <w:rsid w:val="00027075"/>
    <w:rsid w:val="000273F0"/>
    <w:rsid w:val="0002769B"/>
    <w:rsid w:val="000311CF"/>
    <w:rsid w:val="00031EA1"/>
    <w:rsid w:val="00032C20"/>
    <w:rsid w:val="00033D8A"/>
    <w:rsid w:val="00035611"/>
    <w:rsid w:val="000369DE"/>
    <w:rsid w:val="00040287"/>
    <w:rsid w:val="00040351"/>
    <w:rsid w:val="00040927"/>
    <w:rsid w:val="000428CE"/>
    <w:rsid w:val="00042EC1"/>
    <w:rsid w:val="00043787"/>
    <w:rsid w:val="00043AAE"/>
    <w:rsid w:val="00043DA1"/>
    <w:rsid w:val="0004483A"/>
    <w:rsid w:val="00044C9A"/>
    <w:rsid w:val="00044D23"/>
    <w:rsid w:val="0004500B"/>
    <w:rsid w:val="000456E6"/>
    <w:rsid w:val="00045A5C"/>
    <w:rsid w:val="000466A7"/>
    <w:rsid w:val="00046E87"/>
    <w:rsid w:val="00050594"/>
    <w:rsid w:val="000506F3"/>
    <w:rsid w:val="0005195C"/>
    <w:rsid w:val="00051978"/>
    <w:rsid w:val="00051A81"/>
    <w:rsid w:val="000521C2"/>
    <w:rsid w:val="0005283A"/>
    <w:rsid w:val="000537B3"/>
    <w:rsid w:val="00053A4B"/>
    <w:rsid w:val="00053B93"/>
    <w:rsid w:val="0006081F"/>
    <w:rsid w:val="00061D2B"/>
    <w:rsid w:val="00062BC5"/>
    <w:rsid w:val="000634D4"/>
    <w:rsid w:val="00064395"/>
    <w:rsid w:val="000644A9"/>
    <w:rsid w:val="00064508"/>
    <w:rsid w:val="00064796"/>
    <w:rsid w:val="00064917"/>
    <w:rsid w:val="00064E90"/>
    <w:rsid w:val="00065012"/>
    <w:rsid w:val="0006525D"/>
    <w:rsid w:val="0006573A"/>
    <w:rsid w:val="00065A83"/>
    <w:rsid w:val="00066289"/>
    <w:rsid w:val="00066443"/>
    <w:rsid w:val="00066ACF"/>
    <w:rsid w:val="00066FAA"/>
    <w:rsid w:val="00070FF1"/>
    <w:rsid w:val="00073783"/>
    <w:rsid w:val="000750A3"/>
    <w:rsid w:val="00075C31"/>
    <w:rsid w:val="00080328"/>
    <w:rsid w:val="000810D9"/>
    <w:rsid w:val="00083983"/>
    <w:rsid w:val="00083F44"/>
    <w:rsid w:val="000843D8"/>
    <w:rsid w:val="00084D59"/>
    <w:rsid w:val="00085DF0"/>
    <w:rsid w:val="000862B6"/>
    <w:rsid w:val="00086646"/>
    <w:rsid w:val="000868EF"/>
    <w:rsid w:val="00086DBE"/>
    <w:rsid w:val="000873B2"/>
    <w:rsid w:val="00087E10"/>
    <w:rsid w:val="000906B9"/>
    <w:rsid w:val="00091890"/>
    <w:rsid w:val="00091984"/>
    <w:rsid w:val="0009229F"/>
    <w:rsid w:val="00092D8E"/>
    <w:rsid w:val="00093539"/>
    <w:rsid w:val="00094224"/>
    <w:rsid w:val="00094941"/>
    <w:rsid w:val="00094A6D"/>
    <w:rsid w:val="00094B72"/>
    <w:rsid w:val="0009539E"/>
    <w:rsid w:val="000955A5"/>
    <w:rsid w:val="00096084"/>
    <w:rsid w:val="0009711E"/>
    <w:rsid w:val="00097126"/>
    <w:rsid w:val="00097D60"/>
    <w:rsid w:val="000A0152"/>
    <w:rsid w:val="000A0B1E"/>
    <w:rsid w:val="000A1498"/>
    <w:rsid w:val="000A202E"/>
    <w:rsid w:val="000A217C"/>
    <w:rsid w:val="000A2699"/>
    <w:rsid w:val="000A27F0"/>
    <w:rsid w:val="000A2CAE"/>
    <w:rsid w:val="000A2D36"/>
    <w:rsid w:val="000A4DBC"/>
    <w:rsid w:val="000A5086"/>
    <w:rsid w:val="000A5A64"/>
    <w:rsid w:val="000B151D"/>
    <w:rsid w:val="000B19C2"/>
    <w:rsid w:val="000B2EBC"/>
    <w:rsid w:val="000B3772"/>
    <w:rsid w:val="000B50FA"/>
    <w:rsid w:val="000B5213"/>
    <w:rsid w:val="000B6592"/>
    <w:rsid w:val="000B6882"/>
    <w:rsid w:val="000B6961"/>
    <w:rsid w:val="000B6A6B"/>
    <w:rsid w:val="000B6E0D"/>
    <w:rsid w:val="000C02A8"/>
    <w:rsid w:val="000C050D"/>
    <w:rsid w:val="000C12A3"/>
    <w:rsid w:val="000C27EF"/>
    <w:rsid w:val="000C3494"/>
    <w:rsid w:val="000C62BF"/>
    <w:rsid w:val="000C6955"/>
    <w:rsid w:val="000C6B50"/>
    <w:rsid w:val="000C75F7"/>
    <w:rsid w:val="000D062D"/>
    <w:rsid w:val="000D0EC3"/>
    <w:rsid w:val="000D365F"/>
    <w:rsid w:val="000D368F"/>
    <w:rsid w:val="000D369F"/>
    <w:rsid w:val="000D3B53"/>
    <w:rsid w:val="000D58F5"/>
    <w:rsid w:val="000D60D4"/>
    <w:rsid w:val="000D6ABD"/>
    <w:rsid w:val="000E084F"/>
    <w:rsid w:val="000E09B7"/>
    <w:rsid w:val="000E2A2C"/>
    <w:rsid w:val="000E3FE0"/>
    <w:rsid w:val="000E569D"/>
    <w:rsid w:val="000E78B9"/>
    <w:rsid w:val="000E7FE2"/>
    <w:rsid w:val="000F01BD"/>
    <w:rsid w:val="000F0467"/>
    <w:rsid w:val="000F0709"/>
    <w:rsid w:val="000F132C"/>
    <w:rsid w:val="000F179B"/>
    <w:rsid w:val="000F2021"/>
    <w:rsid w:val="000F3CA5"/>
    <w:rsid w:val="000F5CAC"/>
    <w:rsid w:val="000F7086"/>
    <w:rsid w:val="000F72F8"/>
    <w:rsid w:val="000F7515"/>
    <w:rsid w:val="000F7952"/>
    <w:rsid w:val="00100894"/>
    <w:rsid w:val="00101431"/>
    <w:rsid w:val="00104613"/>
    <w:rsid w:val="00104940"/>
    <w:rsid w:val="00105182"/>
    <w:rsid w:val="00105391"/>
    <w:rsid w:val="00105589"/>
    <w:rsid w:val="001058A1"/>
    <w:rsid w:val="0010591D"/>
    <w:rsid w:val="00105973"/>
    <w:rsid w:val="001060F2"/>
    <w:rsid w:val="00106A9D"/>
    <w:rsid w:val="001070D4"/>
    <w:rsid w:val="001073A5"/>
    <w:rsid w:val="00110E15"/>
    <w:rsid w:val="0011149B"/>
    <w:rsid w:val="00112B75"/>
    <w:rsid w:val="00112F18"/>
    <w:rsid w:val="00113B89"/>
    <w:rsid w:val="00114215"/>
    <w:rsid w:val="00114B40"/>
    <w:rsid w:val="00114D49"/>
    <w:rsid w:val="00114FC3"/>
    <w:rsid w:val="00117CD1"/>
    <w:rsid w:val="00117FF1"/>
    <w:rsid w:val="00120A9B"/>
    <w:rsid w:val="00122D31"/>
    <w:rsid w:val="0012458F"/>
    <w:rsid w:val="00124698"/>
    <w:rsid w:val="001257A4"/>
    <w:rsid w:val="00125E85"/>
    <w:rsid w:val="001262A5"/>
    <w:rsid w:val="001263D4"/>
    <w:rsid w:val="00126FBF"/>
    <w:rsid w:val="00127D37"/>
    <w:rsid w:val="00130633"/>
    <w:rsid w:val="001311DB"/>
    <w:rsid w:val="00132A5A"/>
    <w:rsid w:val="0013304B"/>
    <w:rsid w:val="001338F3"/>
    <w:rsid w:val="00133EE0"/>
    <w:rsid w:val="0013491A"/>
    <w:rsid w:val="00134983"/>
    <w:rsid w:val="00134A3F"/>
    <w:rsid w:val="001350DE"/>
    <w:rsid w:val="00135B1C"/>
    <w:rsid w:val="00135FA1"/>
    <w:rsid w:val="0013604A"/>
    <w:rsid w:val="00136698"/>
    <w:rsid w:val="0013677A"/>
    <w:rsid w:val="0013798A"/>
    <w:rsid w:val="00137BF0"/>
    <w:rsid w:val="0014090D"/>
    <w:rsid w:val="00140F0F"/>
    <w:rsid w:val="00141AA2"/>
    <w:rsid w:val="00143C1E"/>
    <w:rsid w:val="00144504"/>
    <w:rsid w:val="001449C2"/>
    <w:rsid w:val="00146FF4"/>
    <w:rsid w:val="00147CBA"/>
    <w:rsid w:val="0015099E"/>
    <w:rsid w:val="00150AB2"/>
    <w:rsid w:val="00150DF7"/>
    <w:rsid w:val="00150E93"/>
    <w:rsid w:val="00151018"/>
    <w:rsid w:val="00151BA0"/>
    <w:rsid w:val="001523DE"/>
    <w:rsid w:val="00152570"/>
    <w:rsid w:val="00152BD8"/>
    <w:rsid w:val="00154FA0"/>
    <w:rsid w:val="001555A5"/>
    <w:rsid w:val="001555A9"/>
    <w:rsid w:val="00155BB8"/>
    <w:rsid w:val="00155D2A"/>
    <w:rsid w:val="00156006"/>
    <w:rsid w:val="00156365"/>
    <w:rsid w:val="00157B83"/>
    <w:rsid w:val="001611B1"/>
    <w:rsid w:val="0016165E"/>
    <w:rsid w:val="00162013"/>
    <w:rsid w:val="001633ED"/>
    <w:rsid w:val="00164892"/>
    <w:rsid w:val="001656CB"/>
    <w:rsid w:val="00165EC4"/>
    <w:rsid w:val="00170C6C"/>
    <w:rsid w:val="00171721"/>
    <w:rsid w:val="0017204D"/>
    <w:rsid w:val="0017272C"/>
    <w:rsid w:val="00173076"/>
    <w:rsid w:val="00173629"/>
    <w:rsid w:val="00174048"/>
    <w:rsid w:val="001748A5"/>
    <w:rsid w:val="00174914"/>
    <w:rsid w:val="00174DEA"/>
    <w:rsid w:val="00175548"/>
    <w:rsid w:val="0017562E"/>
    <w:rsid w:val="00175769"/>
    <w:rsid w:val="00175C5F"/>
    <w:rsid w:val="00175E98"/>
    <w:rsid w:val="00175F9F"/>
    <w:rsid w:val="00180047"/>
    <w:rsid w:val="001809C4"/>
    <w:rsid w:val="001810EF"/>
    <w:rsid w:val="00182628"/>
    <w:rsid w:val="00182E37"/>
    <w:rsid w:val="001837A2"/>
    <w:rsid w:val="00184372"/>
    <w:rsid w:val="0018579F"/>
    <w:rsid w:val="00186246"/>
    <w:rsid w:val="0019120A"/>
    <w:rsid w:val="001915CD"/>
    <w:rsid w:val="00192576"/>
    <w:rsid w:val="00193BE4"/>
    <w:rsid w:val="0019508D"/>
    <w:rsid w:val="001953C7"/>
    <w:rsid w:val="00195D5A"/>
    <w:rsid w:val="00195FDE"/>
    <w:rsid w:val="00196DB3"/>
    <w:rsid w:val="001A1C15"/>
    <w:rsid w:val="001A1D3D"/>
    <w:rsid w:val="001A42C4"/>
    <w:rsid w:val="001A45D4"/>
    <w:rsid w:val="001A56A5"/>
    <w:rsid w:val="001A5792"/>
    <w:rsid w:val="001A5B33"/>
    <w:rsid w:val="001A5B6B"/>
    <w:rsid w:val="001A62DD"/>
    <w:rsid w:val="001A654B"/>
    <w:rsid w:val="001A6748"/>
    <w:rsid w:val="001A7A10"/>
    <w:rsid w:val="001B0B15"/>
    <w:rsid w:val="001B1165"/>
    <w:rsid w:val="001B1320"/>
    <w:rsid w:val="001B2026"/>
    <w:rsid w:val="001B2F23"/>
    <w:rsid w:val="001B46E7"/>
    <w:rsid w:val="001B5006"/>
    <w:rsid w:val="001B784E"/>
    <w:rsid w:val="001B7C4C"/>
    <w:rsid w:val="001C0A39"/>
    <w:rsid w:val="001C20ED"/>
    <w:rsid w:val="001C2511"/>
    <w:rsid w:val="001C2C65"/>
    <w:rsid w:val="001C32E0"/>
    <w:rsid w:val="001C6A2F"/>
    <w:rsid w:val="001C7BF1"/>
    <w:rsid w:val="001D0314"/>
    <w:rsid w:val="001D16A3"/>
    <w:rsid w:val="001D1DFA"/>
    <w:rsid w:val="001D20CB"/>
    <w:rsid w:val="001D21C3"/>
    <w:rsid w:val="001D2EAE"/>
    <w:rsid w:val="001D2F44"/>
    <w:rsid w:val="001D3E9A"/>
    <w:rsid w:val="001D44E8"/>
    <w:rsid w:val="001D5D35"/>
    <w:rsid w:val="001D6253"/>
    <w:rsid w:val="001D7147"/>
    <w:rsid w:val="001D7774"/>
    <w:rsid w:val="001D7BE2"/>
    <w:rsid w:val="001D7E7C"/>
    <w:rsid w:val="001E0B7D"/>
    <w:rsid w:val="001E1D46"/>
    <w:rsid w:val="001E1EB0"/>
    <w:rsid w:val="001E2FDC"/>
    <w:rsid w:val="001E3356"/>
    <w:rsid w:val="001E44B2"/>
    <w:rsid w:val="001E4559"/>
    <w:rsid w:val="001E4946"/>
    <w:rsid w:val="001E4BC7"/>
    <w:rsid w:val="001E4CDE"/>
    <w:rsid w:val="001E53FF"/>
    <w:rsid w:val="001E55E3"/>
    <w:rsid w:val="001E6236"/>
    <w:rsid w:val="001E663F"/>
    <w:rsid w:val="001E6CD0"/>
    <w:rsid w:val="001F027B"/>
    <w:rsid w:val="001F0CE2"/>
    <w:rsid w:val="001F105C"/>
    <w:rsid w:val="001F282D"/>
    <w:rsid w:val="001F4439"/>
    <w:rsid w:val="001F4DA9"/>
    <w:rsid w:val="001F513B"/>
    <w:rsid w:val="001F58C2"/>
    <w:rsid w:val="001F6065"/>
    <w:rsid w:val="001F6C85"/>
    <w:rsid w:val="001F7C96"/>
    <w:rsid w:val="002001DB"/>
    <w:rsid w:val="00200BFD"/>
    <w:rsid w:val="002010CF"/>
    <w:rsid w:val="002014F7"/>
    <w:rsid w:val="00202A0D"/>
    <w:rsid w:val="0020325E"/>
    <w:rsid w:val="0020333C"/>
    <w:rsid w:val="00204570"/>
    <w:rsid w:val="00204C1B"/>
    <w:rsid w:val="00204E3B"/>
    <w:rsid w:val="0020512C"/>
    <w:rsid w:val="0020558F"/>
    <w:rsid w:val="002059BC"/>
    <w:rsid w:val="00207225"/>
    <w:rsid w:val="00207254"/>
    <w:rsid w:val="002072AD"/>
    <w:rsid w:val="0020791C"/>
    <w:rsid w:val="00207CCB"/>
    <w:rsid w:val="002101F3"/>
    <w:rsid w:val="00210F97"/>
    <w:rsid w:val="00211282"/>
    <w:rsid w:val="00213830"/>
    <w:rsid w:val="00213BC2"/>
    <w:rsid w:val="00214CAC"/>
    <w:rsid w:val="00215670"/>
    <w:rsid w:val="002165E4"/>
    <w:rsid w:val="00220F18"/>
    <w:rsid w:val="002218D9"/>
    <w:rsid w:val="00223080"/>
    <w:rsid w:val="002245C3"/>
    <w:rsid w:val="00225465"/>
    <w:rsid w:val="00225C48"/>
    <w:rsid w:val="00226644"/>
    <w:rsid w:val="00226B84"/>
    <w:rsid w:val="00227042"/>
    <w:rsid w:val="00227563"/>
    <w:rsid w:val="00227F55"/>
    <w:rsid w:val="00230021"/>
    <w:rsid w:val="00230089"/>
    <w:rsid w:val="0023252C"/>
    <w:rsid w:val="00233146"/>
    <w:rsid w:val="00233942"/>
    <w:rsid w:val="0023397C"/>
    <w:rsid w:val="00233ABC"/>
    <w:rsid w:val="00234809"/>
    <w:rsid w:val="00235910"/>
    <w:rsid w:val="00235B78"/>
    <w:rsid w:val="0023647D"/>
    <w:rsid w:val="00240643"/>
    <w:rsid w:val="00240970"/>
    <w:rsid w:val="00240A09"/>
    <w:rsid w:val="00241F96"/>
    <w:rsid w:val="00242AC7"/>
    <w:rsid w:val="00242E5B"/>
    <w:rsid w:val="0024400B"/>
    <w:rsid w:val="00245E8C"/>
    <w:rsid w:val="0024603D"/>
    <w:rsid w:val="00246416"/>
    <w:rsid w:val="0024684C"/>
    <w:rsid w:val="00246F9F"/>
    <w:rsid w:val="002503E5"/>
    <w:rsid w:val="002504ED"/>
    <w:rsid w:val="002506AB"/>
    <w:rsid w:val="002514A3"/>
    <w:rsid w:val="002533EE"/>
    <w:rsid w:val="002543B9"/>
    <w:rsid w:val="00254703"/>
    <w:rsid w:val="00254F28"/>
    <w:rsid w:val="00256287"/>
    <w:rsid w:val="00257ABF"/>
    <w:rsid w:val="00257B67"/>
    <w:rsid w:val="0026292C"/>
    <w:rsid w:val="00262BB6"/>
    <w:rsid w:val="00263B7F"/>
    <w:rsid w:val="00265EF2"/>
    <w:rsid w:val="002675B6"/>
    <w:rsid w:val="00267682"/>
    <w:rsid w:val="00267BC2"/>
    <w:rsid w:val="002700CE"/>
    <w:rsid w:val="002705A3"/>
    <w:rsid w:val="00270D91"/>
    <w:rsid w:val="00271187"/>
    <w:rsid w:val="00271A40"/>
    <w:rsid w:val="00271FA0"/>
    <w:rsid w:val="0027413E"/>
    <w:rsid w:val="002741EA"/>
    <w:rsid w:val="00275366"/>
    <w:rsid w:val="0027596F"/>
    <w:rsid w:val="00276724"/>
    <w:rsid w:val="00276F01"/>
    <w:rsid w:val="002771CB"/>
    <w:rsid w:val="00280C68"/>
    <w:rsid w:val="00280DB1"/>
    <w:rsid w:val="0028243F"/>
    <w:rsid w:val="00283D0E"/>
    <w:rsid w:val="002848AC"/>
    <w:rsid w:val="00284B7A"/>
    <w:rsid w:val="00290846"/>
    <w:rsid w:val="0029084D"/>
    <w:rsid w:val="00291D5E"/>
    <w:rsid w:val="00292713"/>
    <w:rsid w:val="00292A3B"/>
    <w:rsid w:val="00294BC8"/>
    <w:rsid w:val="00295059"/>
    <w:rsid w:val="00296E0B"/>
    <w:rsid w:val="002A0889"/>
    <w:rsid w:val="002A4C00"/>
    <w:rsid w:val="002A5955"/>
    <w:rsid w:val="002A76DC"/>
    <w:rsid w:val="002A7764"/>
    <w:rsid w:val="002A7E32"/>
    <w:rsid w:val="002B0099"/>
    <w:rsid w:val="002B0190"/>
    <w:rsid w:val="002B0DE4"/>
    <w:rsid w:val="002B1820"/>
    <w:rsid w:val="002B1C71"/>
    <w:rsid w:val="002B234B"/>
    <w:rsid w:val="002B2C27"/>
    <w:rsid w:val="002B3800"/>
    <w:rsid w:val="002B39A8"/>
    <w:rsid w:val="002B3AF0"/>
    <w:rsid w:val="002B4BCF"/>
    <w:rsid w:val="002B57FC"/>
    <w:rsid w:val="002B7112"/>
    <w:rsid w:val="002B7430"/>
    <w:rsid w:val="002B78CD"/>
    <w:rsid w:val="002B7902"/>
    <w:rsid w:val="002C0556"/>
    <w:rsid w:val="002C0D3A"/>
    <w:rsid w:val="002C0E72"/>
    <w:rsid w:val="002C13BA"/>
    <w:rsid w:val="002C18B5"/>
    <w:rsid w:val="002C190A"/>
    <w:rsid w:val="002C1F91"/>
    <w:rsid w:val="002C2996"/>
    <w:rsid w:val="002C3C18"/>
    <w:rsid w:val="002C5B24"/>
    <w:rsid w:val="002C5BA9"/>
    <w:rsid w:val="002C7646"/>
    <w:rsid w:val="002D0B82"/>
    <w:rsid w:val="002D0B88"/>
    <w:rsid w:val="002D1872"/>
    <w:rsid w:val="002D1ADE"/>
    <w:rsid w:val="002D2AFE"/>
    <w:rsid w:val="002D45AC"/>
    <w:rsid w:val="002D5843"/>
    <w:rsid w:val="002D5890"/>
    <w:rsid w:val="002D58E8"/>
    <w:rsid w:val="002D594C"/>
    <w:rsid w:val="002D65BF"/>
    <w:rsid w:val="002D7045"/>
    <w:rsid w:val="002E0E5B"/>
    <w:rsid w:val="002E147A"/>
    <w:rsid w:val="002E5FDE"/>
    <w:rsid w:val="002E67AB"/>
    <w:rsid w:val="002E6860"/>
    <w:rsid w:val="002E789F"/>
    <w:rsid w:val="002E7FD0"/>
    <w:rsid w:val="002F07A7"/>
    <w:rsid w:val="002F0BA7"/>
    <w:rsid w:val="002F136D"/>
    <w:rsid w:val="002F15B9"/>
    <w:rsid w:val="002F2872"/>
    <w:rsid w:val="002F2FB3"/>
    <w:rsid w:val="002F4005"/>
    <w:rsid w:val="002F4131"/>
    <w:rsid w:val="002F5167"/>
    <w:rsid w:val="002F51FA"/>
    <w:rsid w:val="002F575A"/>
    <w:rsid w:val="002F6904"/>
    <w:rsid w:val="002F6D55"/>
    <w:rsid w:val="002F708B"/>
    <w:rsid w:val="002F7B85"/>
    <w:rsid w:val="003022A3"/>
    <w:rsid w:val="00303C03"/>
    <w:rsid w:val="0030418D"/>
    <w:rsid w:val="00305ECE"/>
    <w:rsid w:val="00305F05"/>
    <w:rsid w:val="003068F5"/>
    <w:rsid w:val="00306C5D"/>
    <w:rsid w:val="0030711F"/>
    <w:rsid w:val="00307173"/>
    <w:rsid w:val="00307334"/>
    <w:rsid w:val="00307BAE"/>
    <w:rsid w:val="00307F9D"/>
    <w:rsid w:val="00310FDB"/>
    <w:rsid w:val="003112B4"/>
    <w:rsid w:val="00311E9C"/>
    <w:rsid w:val="00316219"/>
    <w:rsid w:val="00317895"/>
    <w:rsid w:val="003179C7"/>
    <w:rsid w:val="00320A2C"/>
    <w:rsid w:val="00320C4C"/>
    <w:rsid w:val="00321701"/>
    <w:rsid w:val="00321C67"/>
    <w:rsid w:val="00324AB0"/>
    <w:rsid w:val="003258F3"/>
    <w:rsid w:val="0032737A"/>
    <w:rsid w:val="00327D18"/>
    <w:rsid w:val="003303EB"/>
    <w:rsid w:val="00330CA3"/>
    <w:rsid w:val="00331311"/>
    <w:rsid w:val="00331D5D"/>
    <w:rsid w:val="00332502"/>
    <w:rsid w:val="00332F00"/>
    <w:rsid w:val="00334212"/>
    <w:rsid w:val="00336370"/>
    <w:rsid w:val="00337123"/>
    <w:rsid w:val="003371CB"/>
    <w:rsid w:val="00337CB8"/>
    <w:rsid w:val="0034357A"/>
    <w:rsid w:val="003437DF"/>
    <w:rsid w:val="003463A5"/>
    <w:rsid w:val="00346784"/>
    <w:rsid w:val="00346A16"/>
    <w:rsid w:val="00346B62"/>
    <w:rsid w:val="00347363"/>
    <w:rsid w:val="003477CC"/>
    <w:rsid w:val="00347A81"/>
    <w:rsid w:val="0035067D"/>
    <w:rsid w:val="00351F14"/>
    <w:rsid w:val="00352EE8"/>
    <w:rsid w:val="0035367A"/>
    <w:rsid w:val="00355E7C"/>
    <w:rsid w:val="00355E9F"/>
    <w:rsid w:val="003566F2"/>
    <w:rsid w:val="0035747C"/>
    <w:rsid w:val="003574B5"/>
    <w:rsid w:val="003574C7"/>
    <w:rsid w:val="003574E0"/>
    <w:rsid w:val="00360467"/>
    <w:rsid w:val="003607C9"/>
    <w:rsid w:val="00362A36"/>
    <w:rsid w:val="00362DAF"/>
    <w:rsid w:val="003640F9"/>
    <w:rsid w:val="003642DC"/>
    <w:rsid w:val="00365DDB"/>
    <w:rsid w:val="003662CE"/>
    <w:rsid w:val="0036696F"/>
    <w:rsid w:val="003719ED"/>
    <w:rsid w:val="00371C36"/>
    <w:rsid w:val="0037201E"/>
    <w:rsid w:val="00372896"/>
    <w:rsid w:val="00372C62"/>
    <w:rsid w:val="00373D12"/>
    <w:rsid w:val="00375CAB"/>
    <w:rsid w:val="00376382"/>
    <w:rsid w:val="003800D5"/>
    <w:rsid w:val="00380C7C"/>
    <w:rsid w:val="00383693"/>
    <w:rsid w:val="003847DD"/>
    <w:rsid w:val="00385266"/>
    <w:rsid w:val="003866C1"/>
    <w:rsid w:val="0038793D"/>
    <w:rsid w:val="0039127B"/>
    <w:rsid w:val="00392284"/>
    <w:rsid w:val="00395555"/>
    <w:rsid w:val="00395F7E"/>
    <w:rsid w:val="003962F8"/>
    <w:rsid w:val="00396356"/>
    <w:rsid w:val="003973A7"/>
    <w:rsid w:val="003A0BF9"/>
    <w:rsid w:val="003A1EBF"/>
    <w:rsid w:val="003A458A"/>
    <w:rsid w:val="003A4C9D"/>
    <w:rsid w:val="003A5476"/>
    <w:rsid w:val="003A5E23"/>
    <w:rsid w:val="003A5E9A"/>
    <w:rsid w:val="003A6FD3"/>
    <w:rsid w:val="003B1595"/>
    <w:rsid w:val="003B1CCD"/>
    <w:rsid w:val="003B279A"/>
    <w:rsid w:val="003B2FC8"/>
    <w:rsid w:val="003B30CF"/>
    <w:rsid w:val="003B349C"/>
    <w:rsid w:val="003B35AB"/>
    <w:rsid w:val="003B3919"/>
    <w:rsid w:val="003B3976"/>
    <w:rsid w:val="003B4AB8"/>
    <w:rsid w:val="003B5E99"/>
    <w:rsid w:val="003B6E0B"/>
    <w:rsid w:val="003B73FA"/>
    <w:rsid w:val="003B78D3"/>
    <w:rsid w:val="003B7E9A"/>
    <w:rsid w:val="003C0AF2"/>
    <w:rsid w:val="003C1495"/>
    <w:rsid w:val="003C17FA"/>
    <w:rsid w:val="003C2350"/>
    <w:rsid w:val="003C3429"/>
    <w:rsid w:val="003C390E"/>
    <w:rsid w:val="003C4CBD"/>
    <w:rsid w:val="003D13A2"/>
    <w:rsid w:val="003D197E"/>
    <w:rsid w:val="003D1EBF"/>
    <w:rsid w:val="003D3965"/>
    <w:rsid w:val="003D41E6"/>
    <w:rsid w:val="003D4288"/>
    <w:rsid w:val="003D4A79"/>
    <w:rsid w:val="003D4D48"/>
    <w:rsid w:val="003D4F9B"/>
    <w:rsid w:val="003D6EA1"/>
    <w:rsid w:val="003D7144"/>
    <w:rsid w:val="003D751C"/>
    <w:rsid w:val="003D7931"/>
    <w:rsid w:val="003D7BD1"/>
    <w:rsid w:val="003E100F"/>
    <w:rsid w:val="003E150D"/>
    <w:rsid w:val="003E1514"/>
    <w:rsid w:val="003E219F"/>
    <w:rsid w:val="003E2CF0"/>
    <w:rsid w:val="003E3393"/>
    <w:rsid w:val="003E35B9"/>
    <w:rsid w:val="003E35C1"/>
    <w:rsid w:val="003E38E2"/>
    <w:rsid w:val="003E38FC"/>
    <w:rsid w:val="003E3F48"/>
    <w:rsid w:val="003E460F"/>
    <w:rsid w:val="003E6009"/>
    <w:rsid w:val="003E63EE"/>
    <w:rsid w:val="003E6EAA"/>
    <w:rsid w:val="003E74BC"/>
    <w:rsid w:val="003E7678"/>
    <w:rsid w:val="003F1511"/>
    <w:rsid w:val="003F1973"/>
    <w:rsid w:val="003F2516"/>
    <w:rsid w:val="003F2EC5"/>
    <w:rsid w:val="003F39E0"/>
    <w:rsid w:val="003F3CA2"/>
    <w:rsid w:val="003F4217"/>
    <w:rsid w:val="003F44FC"/>
    <w:rsid w:val="003F4E6D"/>
    <w:rsid w:val="003F55D0"/>
    <w:rsid w:val="003F55E2"/>
    <w:rsid w:val="003F6133"/>
    <w:rsid w:val="003F79C9"/>
    <w:rsid w:val="003F7C0C"/>
    <w:rsid w:val="00400194"/>
    <w:rsid w:val="004005E4"/>
    <w:rsid w:val="004007A7"/>
    <w:rsid w:val="00401B03"/>
    <w:rsid w:val="00402515"/>
    <w:rsid w:val="00402DEA"/>
    <w:rsid w:val="0040383E"/>
    <w:rsid w:val="00403ADF"/>
    <w:rsid w:val="00404977"/>
    <w:rsid w:val="00405645"/>
    <w:rsid w:val="00405A09"/>
    <w:rsid w:val="00406B38"/>
    <w:rsid w:val="004071FD"/>
    <w:rsid w:val="00407AF2"/>
    <w:rsid w:val="004100BA"/>
    <w:rsid w:val="00410C13"/>
    <w:rsid w:val="004121C1"/>
    <w:rsid w:val="00412A3D"/>
    <w:rsid w:val="00412C20"/>
    <w:rsid w:val="00414006"/>
    <w:rsid w:val="00415909"/>
    <w:rsid w:val="0041617B"/>
    <w:rsid w:val="004178BA"/>
    <w:rsid w:val="00420BF2"/>
    <w:rsid w:val="00420DC3"/>
    <w:rsid w:val="0042107D"/>
    <w:rsid w:val="0042205F"/>
    <w:rsid w:val="00423575"/>
    <w:rsid w:val="004235A4"/>
    <w:rsid w:val="00424662"/>
    <w:rsid w:val="00425175"/>
    <w:rsid w:val="004251B5"/>
    <w:rsid w:val="00425851"/>
    <w:rsid w:val="00425993"/>
    <w:rsid w:val="00425C4E"/>
    <w:rsid w:val="00426752"/>
    <w:rsid w:val="00426C2A"/>
    <w:rsid w:val="004274A0"/>
    <w:rsid w:val="004275EB"/>
    <w:rsid w:val="00427DEB"/>
    <w:rsid w:val="00431BB3"/>
    <w:rsid w:val="00432A0B"/>
    <w:rsid w:val="00434BDC"/>
    <w:rsid w:val="00435909"/>
    <w:rsid w:val="00436B6A"/>
    <w:rsid w:val="00436E9B"/>
    <w:rsid w:val="00442709"/>
    <w:rsid w:val="00442AA0"/>
    <w:rsid w:val="00442BED"/>
    <w:rsid w:val="00442E08"/>
    <w:rsid w:val="004430D1"/>
    <w:rsid w:val="004439B5"/>
    <w:rsid w:val="00444105"/>
    <w:rsid w:val="0044608F"/>
    <w:rsid w:val="00446E99"/>
    <w:rsid w:val="00447346"/>
    <w:rsid w:val="004475EF"/>
    <w:rsid w:val="0044774A"/>
    <w:rsid w:val="00450B3B"/>
    <w:rsid w:val="00450D20"/>
    <w:rsid w:val="00451414"/>
    <w:rsid w:val="00451ED6"/>
    <w:rsid w:val="0045287E"/>
    <w:rsid w:val="00452E51"/>
    <w:rsid w:val="00453A9B"/>
    <w:rsid w:val="00453E03"/>
    <w:rsid w:val="004549C2"/>
    <w:rsid w:val="00454B2F"/>
    <w:rsid w:val="00455410"/>
    <w:rsid w:val="00456CB2"/>
    <w:rsid w:val="00456DA7"/>
    <w:rsid w:val="004625C1"/>
    <w:rsid w:val="00463172"/>
    <w:rsid w:val="0046589C"/>
    <w:rsid w:val="0046737B"/>
    <w:rsid w:val="00470446"/>
    <w:rsid w:val="00470B72"/>
    <w:rsid w:val="00470BFA"/>
    <w:rsid w:val="00470FFD"/>
    <w:rsid w:val="00471060"/>
    <w:rsid w:val="00471B80"/>
    <w:rsid w:val="004723B3"/>
    <w:rsid w:val="0047279D"/>
    <w:rsid w:val="00473411"/>
    <w:rsid w:val="00476D4A"/>
    <w:rsid w:val="00476D74"/>
    <w:rsid w:val="00477A8C"/>
    <w:rsid w:val="004800DD"/>
    <w:rsid w:val="00480227"/>
    <w:rsid w:val="004815C1"/>
    <w:rsid w:val="00482302"/>
    <w:rsid w:val="004826F3"/>
    <w:rsid w:val="00483979"/>
    <w:rsid w:val="00485034"/>
    <w:rsid w:val="00485440"/>
    <w:rsid w:val="00487E39"/>
    <w:rsid w:val="004902D5"/>
    <w:rsid w:val="00491387"/>
    <w:rsid w:val="004917CB"/>
    <w:rsid w:val="004920F2"/>
    <w:rsid w:val="0049320A"/>
    <w:rsid w:val="00494BB6"/>
    <w:rsid w:val="00495931"/>
    <w:rsid w:val="004A03A2"/>
    <w:rsid w:val="004A093E"/>
    <w:rsid w:val="004A19CD"/>
    <w:rsid w:val="004A1E83"/>
    <w:rsid w:val="004A492C"/>
    <w:rsid w:val="004A5092"/>
    <w:rsid w:val="004A549D"/>
    <w:rsid w:val="004A7269"/>
    <w:rsid w:val="004B0193"/>
    <w:rsid w:val="004B0A1F"/>
    <w:rsid w:val="004B0F11"/>
    <w:rsid w:val="004B1A3D"/>
    <w:rsid w:val="004B3400"/>
    <w:rsid w:val="004B3E87"/>
    <w:rsid w:val="004B45A4"/>
    <w:rsid w:val="004B4D13"/>
    <w:rsid w:val="004B6B9B"/>
    <w:rsid w:val="004B6D00"/>
    <w:rsid w:val="004B6D63"/>
    <w:rsid w:val="004B7209"/>
    <w:rsid w:val="004C18ED"/>
    <w:rsid w:val="004C20E4"/>
    <w:rsid w:val="004C21E8"/>
    <w:rsid w:val="004C2C97"/>
    <w:rsid w:val="004C3C29"/>
    <w:rsid w:val="004C4224"/>
    <w:rsid w:val="004C4A81"/>
    <w:rsid w:val="004C586A"/>
    <w:rsid w:val="004C6A43"/>
    <w:rsid w:val="004C6C25"/>
    <w:rsid w:val="004C6D33"/>
    <w:rsid w:val="004C6DA8"/>
    <w:rsid w:val="004C72C3"/>
    <w:rsid w:val="004C77B2"/>
    <w:rsid w:val="004C7DF6"/>
    <w:rsid w:val="004D04D9"/>
    <w:rsid w:val="004D13C9"/>
    <w:rsid w:val="004D3275"/>
    <w:rsid w:val="004D34BA"/>
    <w:rsid w:val="004D38E3"/>
    <w:rsid w:val="004D3CB4"/>
    <w:rsid w:val="004D5B8E"/>
    <w:rsid w:val="004D784C"/>
    <w:rsid w:val="004D7D3A"/>
    <w:rsid w:val="004E0327"/>
    <w:rsid w:val="004E0703"/>
    <w:rsid w:val="004E107F"/>
    <w:rsid w:val="004E196C"/>
    <w:rsid w:val="004E1E8B"/>
    <w:rsid w:val="004E1F44"/>
    <w:rsid w:val="004E226B"/>
    <w:rsid w:val="004E3034"/>
    <w:rsid w:val="004E3297"/>
    <w:rsid w:val="004E34AD"/>
    <w:rsid w:val="004E35C6"/>
    <w:rsid w:val="004E3AC2"/>
    <w:rsid w:val="004E4AB1"/>
    <w:rsid w:val="004E4B7A"/>
    <w:rsid w:val="004E5287"/>
    <w:rsid w:val="004E5D35"/>
    <w:rsid w:val="004E65F3"/>
    <w:rsid w:val="004E6697"/>
    <w:rsid w:val="004E7416"/>
    <w:rsid w:val="004F0CDA"/>
    <w:rsid w:val="004F126D"/>
    <w:rsid w:val="004F2383"/>
    <w:rsid w:val="004F2502"/>
    <w:rsid w:val="004F3AAF"/>
    <w:rsid w:val="004F3ECE"/>
    <w:rsid w:val="004F4185"/>
    <w:rsid w:val="004F4C39"/>
    <w:rsid w:val="004F4EE1"/>
    <w:rsid w:val="004F58BB"/>
    <w:rsid w:val="004F5999"/>
    <w:rsid w:val="004F6267"/>
    <w:rsid w:val="004F62B5"/>
    <w:rsid w:val="004F6D9F"/>
    <w:rsid w:val="004F7B22"/>
    <w:rsid w:val="00501569"/>
    <w:rsid w:val="00501855"/>
    <w:rsid w:val="005018F6"/>
    <w:rsid w:val="00501C4B"/>
    <w:rsid w:val="00502FB2"/>
    <w:rsid w:val="00503E0C"/>
    <w:rsid w:val="00504DA3"/>
    <w:rsid w:val="00504DE4"/>
    <w:rsid w:val="00505B51"/>
    <w:rsid w:val="00505C42"/>
    <w:rsid w:val="00505E7C"/>
    <w:rsid w:val="005067B4"/>
    <w:rsid w:val="00506F99"/>
    <w:rsid w:val="00510069"/>
    <w:rsid w:val="0051043A"/>
    <w:rsid w:val="005106EB"/>
    <w:rsid w:val="0051194A"/>
    <w:rsid w:val="00511A1D"/>
    <w:rsid w:val="00512793"/>
    <w:rsid w:val="0051296A"/>
    <w:rsid w:val="00512AAD"/>
    <w:rsid w:val="00512DB6"/>
    <w:rsid w:val="0051468A"/>
    <w:rsid w:val="0051510C"/>
    <w:rsid w:val="00515482"/>
    <w:rsid w:val="00515FEA"/>
    <w:rsid w:val="00516F05"/>
    <w:rsid w:val="00517871"/>
    <w:rsid w:val="00517A5C"/>
    <w:rsid w:val="00517F7C"/>
    <w:rsid w:val="005218F2"/>
    <w:rsid w:val="00521917"/>
    <w:rsid w:val="00521A18"/>
    <w:rsid w:val="005221E9"/>
    <w:rsid w:val="00522E89"/>
    <w:rsid w:val="0052434F"/>
    <w:rsid w:val="005277A8"/>
    <w:rsid w:val="0053152C"/>
    <w:rsid w:val="00531BD8"/>
    <w:rsid w:val="005329D1"/>
    <w:rsid w:val="00532C91"/>
    <w:rsid w:val="005330E4"/>
    <w:rsid w:val="0053389D"/>
    <w:rsid w:val="00533D07"/>
    <w:rsid w:val="00533F49"/>
    <w:rsid w:val="00534AB3"/>
    <w:rsid w:val="005362C8"/>
    <w:rsid w:val="00536DFA"/>
    <w:rsid w:val="0053766D"/>
    <w:rsid w:val="00541B3A"/>
    <w:rsid w:val="00542C0A"/>
    <w:rsid w:val="00543A2A"/>
    <w:rsid w:val="00543CCD"/>
    <w:rsid w:val="005451ED"/>
    <w:rsid w:val="00545664"/>
    <w:rsid w:val="00545BF9"/>
    <w:rsid w:val="00546486"/>
    <w:rsid w:val="00546678"/>
    <w:rsid w:val="00547450"/>
    <w:rsid w:val="0054763A"/>
    <w:rsid w:val="00547729"/>
    <w:rsid w:val="00547D77"/>
    <w:rsid w:val="005504E8"/>
    <w:rsid w:val="005520CD"/>
    <w:rsid w:val="00553DBD"/>
    <w:rsid w:val="0055558C"/>
    <w:rsid w:val="00555826"/>
    <w:rsid w:val="005560D1"/>
    <w:rsid w:val="00556F0C"/>
    <w:rsid w:val="0055790B"/>
    <w:rsid w:val="0055799D"/>
    <w:rsid w:val="0056028A"/>
    <w:rsid w:val="00560475"/>
    <w:rsid w:val="0056091F"/>
    <w:rsid w:val="00561373"/>
    <w:rsid w:val="00561F1D"/>
    <w:rsid w:val="0056223C"/>
    <w:rsid w:val="00562D9A"/>
    <w:rsid w:val="0056413C"/>
    <w:rsid w:val="00564202"/>
    <w:rsid w:val="00566193"/>
    <w:rsid w:val="0056790A"/>
    <w:rsid w:val="00570096"/>
    <w:rsid w:val="005705C9"/>
    <w:rsid w:val="00571A07"/>
    <w:rsid w:val="005726B5"/>
    <w:rsid w:val="005757A3"/>
    <w:rsid w:val="00575964"/>
    <w:rsid w:val="00575DF4"/>
    <w:rsid w:val="00580E69"/>
    <w:rsid w:val="005821B3"/>
    <w:rsid w:val="00582A76"/>
    <w:rsid w:val="00583071"/>
    <w:rsid w:val="00583553"/>
    <w:rsid w:val="00583ADB"/>
    <w:rsid w:val="00583D20"/>
    <w:rsid w:val="005851FF"/>
    <w:rsid w:val="005859CC"/>
    <w:rsid w:val="00585B07"/>
    <w:rsid w:val="00585D3A"/>
    <w:rsid w:val="00586A59"/>
    <w:rsid w:val="00586BBE"/>
    <w:rsid w:val="00586EC7"/>
    <w:rsid w:val="005878CB"/>
    <w:rsid w:val="00587BBE"/>
    <w:rsid w:val="00590E60"/>
    <w:rsid w:val="00590FD7"/>
    <w:rsid w:val="00591297"/>
    <w:rsid w:val="00592C6E"/>
    <w:rsid w:val="00593283"/>
    <w:rsid w:val="0059383B"/>
    <w:rsid w:val="00593AAB"/>
    <w:rsid w:val="00593CB8"/>
    <w:rsid w:val="005948A4"/>
    <w:rsid w:val="00594B79"/>
    <w:rsid w:val="0059645E"/>
    <w:rsid w:val="00596744"/>
    <w:rsid w:val="00596765"/>
    <w:rsid w:val="005975FE"/>
    <w:rsid w:val="005A1C56"/>
    <w:rsid w:val="005A2E0D"/>
    <w:rsid w:val="005A310B"/>
    <w:rsid w:val="005A49A9"/>
    <w:rsid w:val="005A52A8"/>
    <w:rsid w:val="005A643E"/>
    <w:rsid w:val="005A7F10"/>
    <w:rsid w:val="005B0A03"/>
    <w:rsid w:val="005B0B72"/>
    <w:rsid w:val="005B0D6C"/>
    <w:rsid w:val="005B2490"/>
    <w:rsid w:val="005B59C8"/>
    <w:rsid w:val="005B5D01"/>
    <w:rsid w:val="005B6B42"/>
    <w:rsid w:val="005B6E3F"/>
    <w:rsid w:val="005B7CD4"/>
    <w:rsid w:val="005B7EEF"/>
    <w:rsid w:val="005C0335"/>
    <w:rsid w:val="005C0652"/>
    <w:rsid w:val="005C0D63"/>
    <w:rsid w:val="005C100A"/>
    <w:rsid w:val="005C1D34"/>
    <w:rsid w:val="005C3967"/>
    <w:rsid w:val="005C3E1F"/>
    <w:rsid w:val="005C4B60"/>
    <w:rsid w:val="005C57C7"/>
    <w:rsid w:val="005C671F"/>
    <w:rsid w:val="005C6B0A"/>
    <w:rsid w:val="005C7D91"/>
    <w:rsid w:val="005C7F39"/>
    <w:rsid w:val="005D1161"/>
    <w:rsid w:val="005D16B7"/>
    <w:rsid w:val="005D21BF"/>
    <w:rsid w:val="005D224A"/>
    <w:rsid w:val="005D2543"/>
    <w:rsid w:val="005D2629"/>
    <w:rsid w:val="005D387E"/>
    <w:rsid w:val="005D4468"/>
    <w:rsid w:val="005D4989"/>
    <w:rsid w:val="005D65E6"/>
    <w:rsid w:val="005D6A5D"/>
    <w:rsid w:val="005E0EE8"/>
    <w:rsid w:val="005E2714"/>
    <w:rsid w:val="005E325D"/>
    <w:rsid w:val="005E3C47"/>
    <w:rsid w:val="005E46E8"/>
    <w:rsid w:val="005E5622"/>
    <w:rsid w:val="005E7139"/>
    <w:rsid w:val="005F002A"/>
    <w:rsid w:val="005F046C"/>
    <w:rsid w:val="005F0B35"/>
    <w:rsid w:val="005F153A"/>
    <w:rsid w:val="005F1B92"/>
    <w:rsid w:val="005F287C"/>
    <w:rsid w:val="005F2AC4"/>
    <w:rsid w:val="005F3039"/>
    <w:rsid w:val="005F32BE"/>
    <w:rsid w:val="005F493B"/>
    <w:rsid w:val="005F4B0E"/>
    <w:rsid w:val="005F63EB"/>
    <w:rsid w:val="005F6E0B"/>
    <w:rsid w:val="005F7DA5"/>
    <w:rsid w:val="006007AF"/>
    <w:rsid w:val="00600C0E"/>
    <w:rsid w:val="0060246E"/>
    <w:rsid w:val="0060308E"/>
    <w:rsid w:val="00603299"/>
    <w:rsid w:val="00607CBD"/>
    <w:rsid w:val="006111AF"/>
    <w:rsid w:val="00611331"/>
    <w:rsid w:val="00612DEF"/>
    <w:rsid w:val="00613C54"/>
    <w:rsid w:val="00614AD4"/>
    <w:rsid w:val="006152EF"/>
    <w:rsid w:val="00615591"/>
    <w:rsid w:val="00615F06"/>
    <w:rsid w:val="006166B4"/>
    <w:rsid w:val="00617353"/>
    <w:rsid w:val="006205BA"/>
    <w:rsid w:val="00620729"/>
    <w:rsid w:val="0062081D"/>
    <w:rsid w:val="006214B4"/>
    <w:rsid w:val="006224F1"/>
    <w:rsid w:val="00623002"/>
    <w:rsid w:val="00624BA3"/>
    <w:rsid w:val="00625385"/>
    <w:rsid w:val="00627DB6"/>
    <w:rsid w:val="00627EAA"/>
    <w:rsid w:val="006305FB"/>
    <w:rsid w:val="00630861"/>
    <w:rsid w:val="00632327"/>
    <w:rsid w:val="00632A5F"/>
    <w:rsid w:val="00632CF1"/>
    <w:rsid w:val="00633568"/>
    <w:rsid w:val="00633608"/>
    <w:rsid w:val="00633E5D"/>
    <w:rsid w:val="0063477B"/>
    <w:rsid w:val="00634D94"/>
    <w:rsid w:val="00634DAE"/>
    <w:rsid w:val="00634EC5"/>
    <w:rsid w:val="00634F93"/>
    <w:rsid w:val="006354CB"/>
    <w:rsid w:val="00635BFA"/>
    <w:rsid w:val="00636172"/>
    <w:rsid w:val="00636B5C"/>
    <w:rsid w:val="00637765"/>
    <w:rsid w:val="00640D12"/>
    <w:rsid w:val="00641F12"/>
    <w:rsid w:val="00642A75"/>
    <w:rsid w:val="006433F1"/>
    <w:rsid w:val="00644133"/>
    <w:rsid w:val="00644C2A"/>
    <w:rsid w:val="00644F1B"/>
    <w:rsid w:val="006450CD"/>
    <w:rsid w:val="00646292"/>
    <w:rsid w:val="006471B5"/>
    <w:rsid w:val="006472E8"/>
    <w:rsid w:val="006473ED"/>
    <w:rsid w:val="00650B78"/>
    <w:rsid w:val="00651192"/>
    <w:rsid w:val="0065174D"/>
    <w:rsid w:val="00652A70"/>
    <w:rsid w:val="00652AF7"/>
    <w:rsid w:val="00652CE6"/>
    <w:rsid w:val="00652FC8"/>
    <w:rsid w:val="006536FA"/>
    <w:rsid w:val="006554B6"/>
    <w:rsid w:val="006557DB"/>
    <w:rsid w:val="00655A09"/>
    <w:rsid w:val="006567C1"/>
    <w:rsid w:val="006567DE"/>
    <w:rsid w:val="00657C32"/>
    <w:rsid w:val="00660743"/>
    <w:rsid w:val="00660BE8"/>
    <w:rsid w:val="00660C1D"/>
    <w:rsid w:val="00661A3A"/>
    <w:rsid w:val="00661E53"/>
    <w:rsid w:val="00662669"/>
    <w:rsid w:val="00662888"/>
    <w:rsid w:val="0066423D"/>
    <w:rsid w:val="00664C2D"/>
    <w:rsid w:val="00664CB2"/>
    <w:rsid w:val="00667433"/>
    <w:rsid w:val="0067080F"/>
    <w:rsid w:val="006712CF"/>
    <w:rsid w:val="006716B7"/>
    <w:rsid w:val="00673023"/>
    <w:rsid w:val="0067302F"/>
    <w:rsid w:val="00674BEA"/>
    <w:rsid w:val="006755D8"/>
    <w:rsid w:val="00677CA4"/>
    <w:rsid w:val="00681331"/>
    <w:rsid w:val="0068197D"/>
    <w:rsid w:val="00681C99"/>
    <w:rsid w:val="006820D6"/>
    <w:rsid w:val="006823BE"/>
    <w:rsid w:val="0068298F"/>
    <w:rsid w:val="006838C6"/>
    <w:rsid w:val="0068419A"/>
    <w:rsid w:val="00684AFE"/>
    <w:rsid w:val="00684FF2"/>
    <w:rsid w:val="006858A2"/>
    <w:rsid w:val="00686BDF"/>
    <w:rsid w:val="00686BEC"/>
    <w:rsid w:val="00691362"/>
    <w:rsid w:val="00691676"/>
    <w:rsid w:val="00691FFB"/>
    <w:rsid w:val="006924E6"/>
    <w:rsid w:val="006929E8"/>
    <w:rsid w:val="00694166"/>
    <w:rsid w:val="006943D1"/>
    <w:rsid w:val="0069497C"/>
    <w:rsid w:val="006957E3"/>
    <w:rsid w:val="00697427"/>
    <w:rsid w:val="006977D3"/>
    <w:rsid w:val="006A11AE"/>
    <w:rsid w:val="006A11CD"/>
    <w:rsid w:val="006A218E"/>
    <w:rsid w:val="006A3AEB"/>
    <w:rsid w:val="006A403B"/>
    <w:rsid w:val="006A487C"/>
    <w:rsid w:val="006A4BF4"/>
    <w:rsid w:val="006A5380"/>
    <w:rsid w:val="006A5723"/>
    <w:rsid w:val="006A57AA"/>
    <w:rsid w:val="006A5B31"/>
    <w:rsid w:val="006A67AF"/>
    <w:rsid w:val="006A6A4C"/>
    <w:rsid w:val="006A6AF5"/>
    <w:rsid w:val="006A6FD0"/>
    <w:rsid w:val="006A7724"/>
    <w:rsid w:val="006B01A3"/>
    <w:rsid w:val="006B0440"/>
    <w:rsid w:val="006B0BD9"/>
    <w:rsid w:val="006B1696"/>
    <w:rsid w:val="006B1CD4"/>
    <w:rsid w:val="006B20DB"/>
    <w:rsid w:val="006B23B8"/>
    <w:rsid w:val="006B5B85"/>
    <w:rsid w:val="006B5D8F"/>
    <w:rsid w:val="006B6979"/>
    <w:rsid w:val="006B76FB"/>
    <w:rsid w:val="006C2BA2"/>
    <w:rsid w:val="006C4E19"/>
    <w:rsid w:val="006C6FE1"/>
    <w:rsid w:val="006C70A7"/>
    <w:rsid w:val="006C711F"/>
    <w:rsid w:val="006C7301"/>
    <w:rsid w:val="006C7856"/>
    <w:rsid w:val="006D1A7D"/>
    <w:rsid w:val="006D3418"/>
    <w:rsid w:val="006D3922"/>
    <w:rsid w:val="006D3C3A"/>
    <w:rsid w:val="006D5CCA"/>
    <w:rsid w:val="006D6047"/>
    <w:rsid w:val="006D60F3"/>
    <w:rsid w:val="006D6A8C"/>
    <w:rsid w:val="006E0785"/>
    <w:rsid w:val="006E3EE9"/>
    <w:rsid w:val="006E4B1C"/>
    <w:rsid w:val="006E4B97"/>
    <w:rsid w:val="006E6E17"/>
    <w:rsid w:val="006E791A"/>
    <w:rsid w:val="006E79CE"/>
    <w:rsid w:val="006F04C2"/>
    <w:rsid w:val="006F103F"/>
    <w:rsid w:val="006F17CD"/>
    <w:rsid w:val="006F2121"/>
    <w:rsid w:val="006F2862"/>
    <w:rsid w:val="006F297A"/>
    <w:rsid w:val="006F3B73"/>
    <w:rsid w:val="006F4D1A"/>
    <w:rsid w:val="006F572C"/>
    <w:rsid w:val="006F675E"/>
    <w:rsid w:val="006F730D"/>
    <w:rsid w:val="006F7687"/>
    <w:rsid w:val="006F7D4D"/>
    <w:rsid w:val="00700012"/>
    <w:rsid w:val="007004C3"/>
    <w:rsid w:val="007014DD"/>
    <w:rsid w:val="00701D9C"/>
    <w:rsid w:val="00702992"/>
    <w:rsid w:val="00703C94"/>
    <w:rsid w:val="0070537A"/>
    <w:rsid w:val="007054CF"/>
    <w:rsid w:val="00705A2C"/>
    <w:rsid w:val="00705AA6"/>
    <w:rsid w:val="00705B4C"/>
    <w:rsid w:val="00705B6F"/>
    <w:rsid w:val="007066EE"/>
    <w:rsid w:val="007069AE"/>
    <w:rsid w:val="007072AD"/>
    <w:rsid w:val="00707DAF"/>
    <w:rsid w:val="00710169"/>
    <w:rsid w:val="007110B9"/>
    <w:rsid w:val="00712060"/>
    <w:rsid w:val="00712724"/>
    <w:rsid w:val="00712FBE"/>
    <w:rsid w:val="007138C3"/>
    <w:rsid w:val="00713959"/>
    <w:rsid w:val="00713F58"/>
    <w:rsid w:val="007147CE"/>
    <w:rsid w:val="007147E1"/>
    <w:rsid w:val="00715BCC"/>
    <w:rsid w:val="0071658D"/>
    <w:rsid w:val="007174A0"/>
    <w:rsid w:val="00717FA9"/>
    <w:rsid w:val="0072158C"/>
    <w:rsid w:val="00722667"/>
    <w:rsid w:val="0072280C"/>
    <w:rsid w:val="007250CC"/>
    <w:rsid w:val="00725278"/>
    <w:rsid w:val="007265F8"/>
    <w:rsid w:val="00730178"/>
    <w:rsid w:val="007330AA"/>
    <w:rsid w:val="00733A60"/>
    <w:rsid w:val="00733C02"/>
    <w:rsid w:val="00734222"/>
    <w:rsid w:val="007346CF"/>
    <w:rsid w:val="00734D37"/>
    <w:rsid w:val="00735038"/>
    <w:rsid w:val="007360F3"/>
    <w:rsid w:val="007404F5"/>
    <w:rsid w:val="0074146A"/>
    <w:rsid w:val="00741A64"/>
    <w:rsid w:val="0074226D"/>
    <w:rsid w:val="007422D4"/>
    <w:rsid w:val="00742B4F"/>
    <w:rsid w:val="00744F1F"/>
    <w:rsid w:val="0074518A"/>
    <w:rsid w:val="00745E15"/>
    <w:rsid w:val="007462CA"/>
    <w:rsid w:val="00750428"/>
    <w:rsid w:val="007509D5"/>
    <w:rsid w:val="0075269C"/>
    <w:rsid w:val="007529F6"/>
    <w:rsid w:val="0075304F"/>
    <w:rsid w:val="00753CDC"/>
    <w:rsid w:val="00754016"/>
    <w:rsid w:val="007543EE"/>
    <w:rsid w:val="007568C1"/>
    <w:rsid w:val="007572F7"/>
    <w:rsid w:val="00760FA2"/>
    <w:rsid w:val="0076112D"/>
    <w:rsid w:val="0076175D"/>
    <w:rsid w:val="00761F14"/>
    <w:rsid w:val="0076212A"/>
    <w:rsid w:val="00763030"/>
    <w:rsid w:val="00763BDA"/>
    <w:rsid w:val="007641A8"/>
    <w:rsid w:val="00765728"/>
    <w:rsid w:val="00765964"/>
    <w:rsid w:val="00766027"/>
    <w:rsid w:val="0076648C"/>
    <w:rsid w:val="007665CF"/>
    <w:rsid w:val="00766A56"/>
    <w:rsid w:val="007704F5"/>
    <w:rsid w:val="00770D3F"/>
    <w:rsid w:val="007729DF"/>
    <w:rsid w:val="00772D4A"/>
    <w:rsid w:val="0077399A"/>
    <w:rsid w:val="0077520B"/>
    <w:rsid w:val="007754E1"/>
    <w:rsid w:val="00775899"/>
    <w:rsid w:val="0077619A"/>
    <w:rsid w:val="00776ADF"/>
    <w:rsid w:val="00776D5A"/>
    <w:rsid w:val="0077729E"/>
    <w:rsid w:val="007773F1"/>
    <w:rsid w:val="00777497"/>
    <w:rsid w:val="007775E1"/>
    <w:rsid w:val="00777683"/>
    <w:rsid w:val="00777B92"/>
    <w:rsid w:val="00777FC8"/>
    <w:rsid w:val="00780ABE"/>
    <w:rsid w:val="00781457"/>
    <w:rsid w:val="00781DE0"/>
    <w:rsid w:val="00782D50"/>
    <w:rsid w:val="00782E9A"/>
    <w:rsid w:val="00784982"/>
    <w:rsid w:val="00784E2C"/>
    <w:rsid w:val="00785521"/>
    <w:rsid w:val="0078572B"/>
    <w:rsid w:val="00785A66"/>
    <w:rsid w:val="00785AC7"/>
    <w:rsid w:val="007900F3"/>
    <w:rsid w:val="00791B56"/>
    <w:rsid w:val="00791E5B"/>
    <w:rsid w:val="00791FA4"/>
    <w:rsid w:val="00791FCD"/>
    <w:rsid w:val="00792B66"/>
    <w:rsid w:val="00792E18"/>
    <w:rsid w:val="0079397A"/>
    <w:rsid w:val="00794280"/>
    <w:rsid w:val="0079572A"/>
    <w:rsid w:val="00795DC8"/>
    <w:rsid w:val="00796123"/>
    <w:rsid w:val="00796365"/>
    <w:rsid w:val="007A1183"/>
    <w:rsid w:val="007A1A24"/>
    <w:rsid w:val="007A3FA3"/>
    <w:rsid w:val="007A451B"/>
    <w:rsid w:val="007A5463"/>
    <w:rsid w:val="007A5F6F"/>
    <w:rsid w:val="007A6588"/>
    <w:rsid w:val="007A6CC8"/>
    <w:rsid w:val="007A77B2"/>
    <w:rsid w:val="007A7C97"/>
    <w:rsid w:val="007A7FA1"/>
    <w:rsid w:val="007B0D00"/>
    <w:rsid w:val="007B15F1"/>
    <w:rsid w:val="007B33C2"/>
    <w:rsid w:val="007B3E5C"/>
    <w:rsid w:val="007B4342"/>
    <w:rsid w:val="007B464A"/>
    <w:rsid w:val="007B4E2C"/>
    <w:rsid w:val="007B53B6"/>
    <w:rsid w:val="007B5518"/>
    <w:rsid w:val="007B5B56"/>
    <w:rsid w:val="007B6255"/>
    <w:rsid w:val="007B69FA"/>
    <w:rsid w:val="007B7C71"/>
    <w:rsid w:val="007C065E"/>
    <w:rsid w:val="007C0BA0"/>
    <w:rsid w:val="007C0E97"/>
    <w:rsid w:val="007C2601"/>
    <w:rsid w:val="007C2675"/>
    <w:rsid w:val="007C2F91"/>
    <w:rsid w:val="007C32BD"/>
    <w:rsid w:val="007C4ABB"/>
    <w:rsid w:val="007C5239"/>
    <w:rsid w:val="007C5F23"/>
    <w:rsid w:val="007C68D7"/>
    <w:rsid w:val="007C6E2B"/>
    <w:rsid w:val="007C7E4B"/>
    <w:rsid w:val="007D0920"/>
    <w:rsid w:val="007D0F11"/>
    <w:rsid w:val="007D1542"/>
    <w:rsid w:val="007D1DA6"/>
    <w:rsid w:val="007D2E7D"/>
    <w:rsid w:val="007D4A4A"/>
    <w:rsid w:val="007D5983"/>
    <w:rsid w:val="007D5A38"/>
    <w:rsid w:val="007D5F2A"/>
    <w:rsid w:val="007D699E"/>
    <w:rsid w:val="007D7389"/>
    <w:rsid w:val="007D7540"/>
    <w:rsid w:val="007E0184"/>
    <w:rsid w:val="007E10B8"/>
    <w:rsid w:val="007E413F"/>
    <w:rsid w:val="007E4F12"/>
    <w:rsid w:val="007E5A01"/>
    <w:rsid w:val="007E5DC3"/>
    <w:rsid w:val="007E62B3"/>
    <w:rsid w:val="007E7343"/>
    <w:rsid w:val="007E7508"/>
    <w:rsid w:val="007E785A"/>
    <w:rsid w:val="007E7B22"/>
    <w:rsid w:val="007F1E50"/>
    <w:rsid w:val="007F2ED1"/>
    <w:rsid w:val="007F362F"/>
    <w:rsid w:val="007F6302"/>
    <w:rsid w:val="007F734D"/>
    <w:rsid w:val="00800D83"/>
    <w:rsid w:val="00801A0A"/>
    <w:rsid w:val="00802E26"/>
    <w:rsid w:val="008031C4"/>
    <w:rsid w:val="008037A0"/>
    <w:rsid w:val="00803A79"/>
    <w:rsid w:val="0080438D"/>
    <w:rsid w:val="00804EC0"/>
    <w:rsid w:val="00805E25"/>
    <w:rsid w:val="0081024D"/>
    <w:rsid w:val="008103AA"/>
    <w:rsid w:val="00810814"/>
    <w:rsid w:val="00810FEA"/>
    <w:rsid w:val="00812B07"/>
    <w:rsid w:val="00812FF4"/>
    <w:rsid w:val="0081449E"/>
    <w:rsid w:val="00814CED"/>
    <w:rsid w:val="008159D9"/>
    <w:rsid w:val="008160F7"/>
    <w:rsid w:val="008177D8"/>
    <w:rsid w:val="00817E02"/>
    <w:rsid w:val="00820A6A"/>
    <w:rsid w:val="00820CE7"/>
    <w:rsid w:val="008215EF"/>
    <w:rsid w:val="00821747"/>
    <w:rsid w:val="00821A46"/>
    <w:rsid w:val="00821CAE"/>
    <w:rsid w:val="00822D75"/>
    <w:rsid w:val="0082380E"/>
    <w:rsid w:val="00826040"/>
    <w:rsid w:val="00826DFF"/>
    <w:rsid w:val="0082720F"/>
    <w:rsid w:val="0082736E"/>
    <w:rsid w:val="008279B7"/>
    <w:rsid w:val="00830378"/>
    <w:rsid w:val="0083047C"/>
    <w:rsid w:val="008304AF"/>
    <w:rsid w:val="008304F7"/>
    <w:rsid w:val="00830C48"/>
    <w:rsid w:val="00830DA1"/>
    <w:rsid w:val="00831F17"/>
    <w:rsid w:val="00832781"/>
    <w:rsid w:val="00834190"/>
    <w:rsid w:val="00835B94"/>
    <w:rsid w:val="0083718A"/>
    <w:rsid w:val="008374BB"/>
    <w:rsid w:val="008378C9"/>
    <w:rsid w:val="00840879"/>
    <w:rsid w:val="00840945"/>
    <w:rsid w:val="00840A95"/>
    <w:rsid w:val="00842441"/>
    <w:rsid w:val="008438D4"/>
    <w:rsid w:val="008439C7"/>
    <w:rsid w:val="00844656"/>
    <w:rsid w:val="0084480F"/>
    <w:rsid w:val="00845FD2"/>
    <w:rsid w:val="00846425"/>
    <w:rsid w:val="008509AB"/>
    <w:rsid w:val="00851DD6"/>
    <w:rsid w:val="00852B1B"/>
    <w:rsid w:val="00853646"/>
    <w:rsid w:val="00853A57"/>
    <w:rsid w:val="00853DF6"/>
    <w:rsid w:val="00855F7A"/>
    <w:rsid w:val="0086035B"/>
    <w:rsid w:val="008606E7"/>
    <w:rsid w:val="00861311"/>
    <w:rsid w:val="0086174E"/>
    <w:rsid w:val="0086329A"/>
    <w:rsid w:val="00864155"/>
    <w:rsid w:val="00864E6B"/>
    <w:rsid w:val="00865301"/>
    <w:rsid w:val="00865370"/>
    <w:rsid w:val="008676C9"/>
    <w:rsid w:val="0086776F"/>
    <w:rsid w:val="00867A14"/>
    <w:rsid w:val="00870383"/>
    <w:rsid w:val="008705FF"/>
    <w:rsid w:val="008707B3"/>
    <w:rsid w:val="00872CD9"/>
    <w:rsid w:val="00873297"/>
    <w:rsid w:val="00873850"/>
    <w:rsid w:val="00874AD1"/>
    <w:rsid w:val="00874BE1"/>
    <w:rsid w:val="00876081"/>
    <w:rsid w:val="00880308"/>
    <w:rsid w:val="008805B5"/>
    <w:rsid w:val="008806BC"/>
    <w:rsid w:val="0088139F"/>
    <w:rsid w:val="008832DF"/>
    <w:rsid w:val="008840C2"/>
    <w:rsid w:val="00885698"/>
    <w:rsid w:val="008858DE"/>
    <w:rsid w:val="00885D95"/>
    <w:rsid w:val="00886254"/>
    <w:rsid w:val="00886354"/>
    <w:rsid w:val="008865AF"/>
    <w:rsid w:val="00890240"/>
    <w:rsid w:val="00890696"/>
    <w:rsid w:val="00890DD8"/>
    <w:rsid w:val="008918F8"/>
    <w:rsid w:val="008921D2"/>
    <w:rsid w:val="00892A94"/>
    <w:rsid w:val="00892CBF"/>
    <w:rsid w:val="00894CC4"/>
    <w:rsid w:val="00894E8F"/>
    <w:rsid w:val="00895843"/>
    <w:rsid w:val="008963C4"/>
    <w:rsid w:val="00896B11"/>
    <w:rsid w:val="00896CC9"/>
    <w:rsid w:val="00897025"/>
    <w:rsid w:val="0089761B"/>
    <w:rsid w:val="008976F2"/>
    <w:rsid w:val="00897B65"/>
    <w:rsid w:val="008A0962"/>
    <w:rsid w:val="008A176B"/>
    <w:rsid w:val="008A1ABF"/>
    <w:rsid w:val="008A2166"/>
    <w:rsid w:val="008A322E"/>
    <w:rsid w:val="008A45A2"/>
    <w:rsid w:val="008A4E10"/>
    <w:rsid w:val="008A4FAD"/>
    <w:rsid w:val="008A551E"/>
    <w:rsid w:val="008A5776"/>
    <w:rsid w:val="008A743B"/>
    <w:rsid w:val="008A7C36"/>
    <w:rsid w:val="008A7D0F"/>
    <w:rsid w:val="008B143B"/>
    <w:rsid w:val="008B2325"/>
    <w:rsid w:val="008B29AD"/>
    <w:rsid w:val="008B2C34"/>
    <w:rsid w:val="008B2D25"/>
    <w:rsid w:val="008B3163"/>
    <w:rsid w:val="008B3516"/>
    <w:rsid w:val="008B37FC"/>
    <w:rsid w:val="008B54F3"/>
    <w:rsid w:val="008B554F"/>
    <w:rsid w:val="008B72D5"/>
    <w:rsid w:val="008B75CB"/>
    <w:rsid w:val="008C11CE"/>
    <w:rsid w:val="008C2CBE"/>
    <w:rsid w:val="008C31C2"/>
    <w:rsid w:val="008C367E"/>
    <w:rsid w:val="008C3B1E"/>
    <w:rsid w:val="008C5206"/>
    <w:rsid w:val="008C577B"/>
    <w:rsid w:val="008C78FD"/>
    <w:rsid w:val="008C79F0"/>
    <w:rsid w:val="008D0097"/>
    <w:rsid w:val="008D0B14"/>
    <w:rsid w:val="008D156E"/>
    <w:rsid w:val="008D256A"/>
    <w:rsid w:val="008D319F"/>
    <w:rsid w:val="008D39D8"/>
    <w:rsid w:val="008D441C"/>
    <w:rsid w:val="008D4D0A"/>
    <w:rsid w:val="008D556E"/>
    <w:rsid w:val="008D56EF"/>
    <w:rsid w:val="008E022F"/>
    <w:rsid w:val="008E0469"/>
    <w:rsid w:val="008E072F"/>
    <w:rsid w:val="008E08DC"/>
    <w:rsid w:val="008E0C8C"/>
    <w:rsid w:val="008E1A55"/>
    <w:rsid w:val="008E1DD0"/>
    <w:rsid w:val="008E24D1"/>
    <w:rsid w:val="008E275B"/>
    <w:rsid w:val="008E2A69"/>
    <w:rsid w:val="008E3923"/>
    <w:rsid w:val="008E4842"/>
    <w:rsid w:val="008E4A2E"/>
    <w:rsid w:val="008E58EB"/>
    <w:rsid w:val="008E79C8"/>
    <w:rsid w:val="008E7FDF"/>
    <w:rsid w:val="008F0DDC"/>
    <w:rsid w:val="008F0E8B"/>
    <w:rsid w:val="008F0F75"/>
    <w:rsid w:val="008F1AB6"/>
    <w:rsid w:val="008F220F"/>
    <w:rsid w:val="008F3264"/>
    <w:rsid w:val="008F3904"/>
    <w:rsid w:val="008F3D10"/>
    <w:rsid w:val="008F3FF8"/>
    <w:rsid w:val="008F49C3"/>
    <w:rsid w:val="008F6AE6"/>
    <w:rsid w:val="008F7569"/>
    <w:rsid w:val="009002D3"/>
    <w:rsid w:val="0090120E"/>
    <w:rsid w:val="00902142"/>
    <w:rsid w:val="009023E7"/>
    <w:rsid w:val="00903165"/>
    <w:rsid w:val="009039D7"/>
    <w:rsid w:val="00905105"/>
    <w:rsid w:val="0090634E"/>
    <w:rsid w:val="00906D32"/>
    <w:rsid w:val="0090728B"/>
    <w:rsid w:val="009073F0"/>
    <w:rsid w:val="00907724"/>
    <w:rsid w:val="0091176F"/>
    <w:rsid w:val="009119D4"/>
    <w:rsid w:val="009126FF"/>
    <w:rsid w:val="00912A36"/>
    <w:rsid w:val="00912D1B"/>
    <w:rsid w:val="0091307E"/>
    <w:rsid w:val="0091335B"/>
    <w:rsid w:val="0091347F"/>
    <w:rsid w:val="009136AA"/>
    <w:rsid w:val="009136CC"/>
    <w:rsid w:val="009137D9"/>
    <w:rsid w:val="009138B2"/>
    <w:rsid w:val="00916E85"/>
    <w:rsid w:val="00916FFF"/>
    <w:rsid w:val="009171E4"/>
    <w:rsid w:val="00917DEB"/>
    <w:rsid w:val="0092076E"/>
    <w:rsid w:val="0092081E"/>
    <w:rsid w:val="00920994"/>
    <w:rsid w:val="00920B23"/>
    <w:rsid w:val="00923F68"/>
    <w:rsid w:val="00925AA3"/>
    <w:rsid w:val="00925B74"/>
    <w:rsid w:val="00926955"/>
    <w:rsid w:val="00927281"/>
    <w:rsid w:val="00931F84"/>
    <w:rsid w:val="0093402A"/>
    <w:rsid w:val="0093479C"/>
    <w:rsid w:val="00934DF6"/>
    <w:rsid w:val="00935388"/>
    <w:rsid w:val="00935A1C"/>
    <w:rsid w:val="00936403"/>
    <w:rsid w:val="00937322"/>
    <w:rsid w:val="00937595"/>
    <w:rsid w:val="00940297"/>
    <w:rsid w:val="00940842"/>
    <w:rsid w:val="00940A50"/>
    <w:rsid w:val="0094193F"/>
    <w:rsid w:val="0094367B"/>
    <w:rsid w:val="00944063"/>
    <w:rsid w:val="0094439E"/>
    <w:rsid w:val="0094451F"/>
    <w:rsid w:val="00945F54"/>
    <w:rsid w:val="00950CC3"/>
    <w:rsid w:val="00951237"/>
    <w:rsid w:val="00951974"/>
    <w:rsid w:val="00951CCD"/>
    <w:rsid w:val="00952CE6"/>
    <w:rsid w:val="009538E7"/>
    <w:rsid w:val="00953B2B"/>
    <w:rsid w:val="00953C37"/>
    <w:rsid w:val="00954448"/>
    <w:rsid w:val="009549FB"/>
    <w:rsid w:val="0095792E"/>
    <w:rsid w:val="0096231C"/>
    <w:rsid w:val="0096298B"/>
    <w:rsid w:val="00962E13"/>
    <w:rsid w:val="009632D2"/>
    <w:rsid w:val="009634F1"/>
    <w:rsid w:val="00963562"/>
    <w:rsid w:val="009656A6"/>
    <w:rsid w:val="00965C3E"/>
    <w:rsid w:val="00965EE2"/>
    <w:rsid w:val="00966B8D"/>
    <w:rsid w:val="00970D51"/>
    <w:rsid w:val="00971233"/>
    <w:rsid w:val="0097202D"/>
    <w:rsid w:val="009726B3"/>
    <w:rsid w:val="00972BE0"/>
    <w:rsid w:val="00972E2A"/>
    <w:rsid w:val="00973675"/>
    <w:rsid w:val="0097370C"/>
    <w:rsid w:val="00973A2F"/>
    <w:rsid w:val="00973D03"/>
    <w:rsid w:val="00974006"/>
    <w:rsid w:val="00974BDE"/>
    <w:rsid w:val="00976C59"/>
    <w:rsid w:val="00976F9C"/>
    <w:rsid w:val="00976FC2"/>
    <w:rsid w:val="0097719E"/>
    <w:rsid w:val="009777A4"/>
    <w:rsid w:val="00977843"/>
    <w:rsid w:val="00980459"/>
    <w:rsid w:val="009821FD"/>
    <w:rsid w:val="00983875"/>
    <w:rsid w:val="009841AB"/>
    <w:rsid w:val="009846A6"/>
    <w:rsid w:val="0098505A"/>
    <w:rsid w:val="00986DE0"/>
    <w:rsid w:val="00987076"/>
    <w:rsid w:val="009875AA"/>
    <w:rsid w:val="00990E64"/>
    <w:rsid w:val="00990F6E"/>
    <w:rsid w:val="00991637"/>
    <w:rsid w:val="00991FE9"/>
    <w:rsid w:val="00993BA4"/>
    <w:rsid w:val="00993E11"/>
    <w:rsid w:val="00994285"/>
    <w:rsid w:val="00994348"/>
    <w:rsid w:val="00994429"/>
    <w:rsid w:val="00996284"/>
    <w:rsid w:val="00996367"/>
    <w:rsid w:val="00997578"/>
    <w:rsid w:val="00997DDC"/>
    <w:rsid w:val="009A25D1"/>
    <w:rsid w:val="009A2BC1"/>
    <w:rsid w:val="009A384A"/>
    <w:rsid w:val="009A39E6"/>
    <w:rsid w:val="009A46F8"/>
    <w:rsid w:val="009A4A41"/>
    <w:rsid w:val="009A543B"/>
    <w:rsid w:val="009A7401"/>
    <w:rsid w:val="009A7726"/>
    <w:rsid w:val="009A7BF8"/>
    <w:rsid w:val="009A7C03"/>
    <w:rsid w:val="009B2536"/>
    <w:rsid w:val="009B6026"/>
    <w:rsid w:val="009B6F53"/>
    <w:rsid w:val="009B7321"/>
    <w:rsid w:val="009B7AD2"/>
    <w:rsid w:val="009C1069"/>
    <w:rsid w:val="009C2B18"/>
    <w:rsid w:val="009C338D"/>
    <w:rsid w:val="009C390B"/>
    <w:rsid w:val="009C3F70"/>
    <w:rsid w:val="009C55A2"/>
    <w:rsid w:val="009C7929"/>
    <w:rsid w:val="009D025D"/>
    <w:rsid w:val="009D0B24"/>
    <w:rsid w:val="009D0FFD"/>
    <w:rsid w:val="009D1CE7"/>
    <w:rsid w:val="009D205E"/>
    <w:rsid w:val="009D2ACC"/>
    <w:rsid w:val="009D5314"/>
    <w:rsid w:val="009D5901"/>
    <w:rsid w:val="009D5AB7"/>
    <w:rsid w:val="009D5B79"/>
    <w:rsid w:val="009D60A4"/>
    <w:rsid w:val="009D628C"/>
    <w:rsid w:val="009D6885"/>
    <w:rsid w:val="009D6DBC"/>
    <w:rsid w:val="009E0AEA"/>
    <w:rsid w:val="009E2862"/>
    <w:rsid w:val="009E34F8"/>
    <w:rsid w:val="009E37BD"/>
    <w:rsid w:val="009E39BF"/>
    <w:rsid w:val="009E4BF3"/>
    <w:rsid w:val="009E4DBF"/>
    <w:rsid w:val="009E5ECD"/>
    <w:rsid w:val="009E61A9"/>
    <w:rsid w:val="009E71AC"/>
    <w:rsid w:val="009F108A"/>
    <w:rsid w:val="009F1860"/>
    <w:rsid w:val="009F2A91"/>
    <w:rsid w:val="009F3683"/>
    <w:rsid w:val="009F409A"/>
    <w:rsid w:val="009F4656"/>
    <w:rsid w:val="009F5F66"/>
    <w:rsid w:val="009F6AB1"/>
    <w:rsid w:val="009F6ACA"/>
    <w:rsid w:val="009F6EDA"/>
    <w:rsid w:val="009F7944"/>
    <w:rsid w:val="00A0065D"/>
    <w:rsid w:val="00A007B2"/>
    <w:rsid w:val="00A00BA9"/>
    <w:rsid w:val="00A01146"/>
    <w:rsid w:val="00A015A6"/>
    <w:rsid w:val="00A027DE"/>
    <w:rsid w:val="00A044D2"/>
    <w:rsid w:val="00A04B6D"/>
    <w:rsid w:val="00A05A14"/>
    <w:rsid w:val="00A07021"/>
    <w:rsid w:val="00A07C66"/>
    <w:rsid w:val="00A10F32"/>
    <w:rsid w:val="00A112A3"/>
    <w:rsid w:val="00A11410"/>
    <w:rsid w:val="00A1143B"/>
    <w:rsid w:val="00A12B56"/>
    <w:rsid w:val="00A131E5"/>
    <w:rsid w:val="00A13294"/>
    <w:rsid w:val="00A1372E"/>
    <w:rsid w:val="00A13C7E"/>
    <w:rsid w:val="00A13DC6"/>
    <w:rsid w:val="00A14D5D"/>
    <w:rsid w:val="00A14F08"/>
    <w:rsid w:val="00A156BE"/>
    <w:rsid w:val="00A163DA"/>
    <w:rsid w:val="00A1670E"/>
    <w:rsid w:val="00A17175"/>
    <w:rsid w:val="00A177D4"/>
    <w:rsid w:val="00A178BF"/>
    <w:rsid w:val="00A20C76"/>
    <w:rsid w:val="00A213D9"/>
    <w:rsid w:val="00A21A5F"/>
    <w:rsid w:val="00A2393B"/>
    <w:rsid w:val="00A24589"/>
    <w:rsid w:val="00A2480F"/>
    <w:rsid w:val="00A260BD"/>
    <w:rsid w:val="00A26746"/>
    <w:rsid w:val="00A270E1"/>
    <w:rsid w:val="00A27111"/>
    <w:rsid w:val="00A30FA2"/>
    <w:rsid w:val="00A3130A"/>
    <w:rsid w:val="00A32367"/>
    <w:rsid w:val="00A32931"/>
    <w:rsid w:val="00A336D6"/>
    <w:rsid w:val="00A346DC"/>
    <w:rsid w:val="00A36A16"/>
    <w:rsid w:val="00A374ED"/>
    <w:rsid w:val="00A37D28"/>
    <w:rsid w:val="00A409FB"/>
    <w:rsid w:val="00A41B60"/>
    <w:rsid w:val="00A43119"/>
    <w:rsid w:val="00A43C47"/>
    <w:rsid w:val="00A444A0"/>
    <w:rsid w:val="00A453CD"/>
    <w:rsid w:val="00A45B4D"/>
    <w:rsid w:val="00A4622E"/>
    <w:rsid w:val="00A46B54"/>
    <w:rsid w:val="00A4787D"/>
    <w:rsid w:val="00A5029C"/>
    <w:rsid w:val="00A50F20"/>
    <w:rsid w:val="00A50F96"/>
    <w:rsid w:val="00A513CF"/>
    <w:rsid w:val="00A51C0C"/>
    <w:rsid w:val="00A52386"/>
    <w:rsid w:val="00A52626"/>
    <w:rsid w:val="00A5324D"/>
    <w:rsid w:val="00A54964"/>
    <w:rsid w:val="00A54E51"/>
    <w:rsid w:val="00A56414"/>
    <w:rsid w:val="00A566F3"/>
    <w:rsid w:val="00A56B8B"/>
    <w:rsid w:val="00A56E62"/>
    <w:rsid w:val="00A56FBE"/>
    <w:rsid w:val="00A57488"/>
    <w:rsid w:val="00A57B61"/>
    <w:rsid w:val="00A602AB"/>
    <w:rsid w:val="00A60C16"/>
    <w:rsid w:val="00A60CD9"/>
    <w:rsid w:val="00A63CC4"/>
    <w:rsid w:val="00A63F05"/>
    <w:rsid w:val="00A64096"/>
    <w:rsid w:val="00A64B7C"/>
    <w:rsid w:val="00A66710"/>
    <w:rsid w:val="00A66AC8"/>
    <w:rsid w:val="00A6724F"/>
    <w:rsid w:val="00A67294"/>
    <w:rsid w:val="00A7024D"/>
    <w:rsid w:val="00A709E5"/>
    <w:rsid w:val="00A71C9B"/>
    <w:rsid w:val="00A731BD"/>
    <w:rsid w:val="00A731F8"/>
    <w:rsid w:val="00A751DE"/>
    <w:rsid w:val="00A7527D"/>
    <w:rsid w:val="00A75669"/>
    <w:rsid w:val="00A75A7D"/>
    <w:rsid w:val="00A75DD4"/>
    <w:rsid w:val="00A76001"/>
    <w:rsid w:val="00A7609C"/>
    <w:rsid w:val="00A778AA"/>
    <w:rsid w:val="00A800FC"/>
    <w:rsid w:val="00A8153F"/>
    <w:rsid w:val="00A81B59"/>
    <w:rsid w:val="00A828F5"/>
    <w:rsid w:val="00A8305F"/>
    <w:rsid w:val="00A853E6"/>
    <w:rsid w:val="00A856A9"/>
    <w:rsid w:val="00A858A6"/>
    <w:rsid w:val="00A85E65"/>
    <w:rsid w:val="00A867E9"/>
    <w:rsid w:val="00A86BEA"/>
    <w:rsid w:val="00A87023"/>
    <w:rsid w:val="00A90CD6"/>
    <w:rsid w:val="00A90FD5"/>
    <w:rsid w:val="00A91F6A"/>
    <w:rsid w:val="00A92411"/>
    <w:rsid w:val="00A935B8"/>
    <w:rsid w:val="00A94650"/>
    <w:rsid w:val="00A94774"/>
    <w:rsid w:val="00A95613"/>
    <w:rsid w:val="00A95698"/>
    <w:rsid w:val="00A95DC7"/>
    <w:rsid w:val="00A95E69"/>
    <w:rsid w:val="00A95FAE"/>
    <w:rsid w:val="00AA0262"/>
    <w:rsid w:val="00AA0688"/>
    <w:rsid w:val="00AA0D57"/>
    <w:rsid w:val="00AA1F38"/>
    <w:rsid w:val="00AA20F4"/>
    <w:rsid w:val="00AA2FA5"/>
    <w:rsid w:val="00AA5242"/>
    <w:rsid w:val="00AA55A4"/>
    <w:rsid w:val="00AA5E6A"/>
    <w:rsid w:val="00AA7727"/>
    <w:rsid w:val="00AB24A6"/>
    <w:rsid w:val="00AB4AB8"/>
    <w:rsid w:val="00AB4E7C"/>
    <w:rsid w:val="00AB50D7"/>
    <w:rsid w:val="00AB52AB"/>
    <w:rsid w:val="00AB6659"/>
    <w:rsid w:val="00AB6F92"/>
    <w:rsid w:val="00AB7025"/>
    <w:rsid w:val="00AB7070"/>
    <w:rsid w:val="00AB710E"/>
    <w:rsid w:val="00AB7EB8"/>
    <w:rsid w:val="00AC024F"/>
    <w:rsid w:val="00AC0E39"/>
    <w:rsid w:val="00AC2E0E"/>
    <w:rsid w:val="00AC2F72"/>
    <w:rsid w:val="00AC3028"/>
    <w:rsid w:val="00AC31C4"/>
    <w:rsid w:val="00AC3599"/>
    <w:rsid w:val="00AC4ED0"/>
    <w:rsid w:val="00AC50AB"/>
    <w:rsid w:val="00AC58C2"/>
    <w:rsid w:val="00AC723B"/>
    <w:rsid w:val="00AC7F15"/>
    <w:rsid w:val="00AD0071"/>
    <w:rsid w:val="00AD00B3"/>
    <w:rsid w:val="00AD0287"/>
    <w:rsid w:val="00AD033F"/>
    <w:rsid w:val="00AD0CB6"/>
    <w:rsid w:val="00AD552E"/>
    <w:rsid w:val="00AD5B09"/>
    <w:rsid w:val="00AD70F0"/>
    <w:rsid w:val="00AD7590"/>
    <w:rsid w:val="00AD7C78"/>
    <w:rsid w:val="00AE0997"/>
    <w:rsid w:val="00AE2157"/>
    <w:rsid w:val="00AE22B6"/>
    <w:rsid w:val="00AE2A19"/>
    <w:rsid w:val="00AE346A"/>
    <w:rsid w:val="00AE3E23"/>
    <w:rsid w:val="00AE472C"/>
    <w:rsid w:val="00AE4A67"/>
    <w:rsid w:val="00AE53FC"/>
    <w:rsid w:val="00AE5718"/>
    <w:rsid w:val="00AE5F68"/>
    <w:rsid w:val="00AE5F72"/>
    <w:rsid w:val="00AE7412"/>
    <w:rsid w:val="00AE774C"/>
    <w:rsid w:val="00AF052D"/>
    <w:rsid w:val="00AF29C0"/>
    <w:rsid w:val="00AF2CA5"/>
    <w:rsid w:val="00AF35B5"/>
    <w:rsid w:val="00AF5866"/>
    <w:rsid w:val="00AF7ACD"/>
    <w:rsid w:val="00AF7D23"/>
    <w:rsid w:val="00B00645"/>
    <w:rsid w:val="00B00733"/>
    <w:rsid w:val="00B009F6"/>
    <w:rsid w:val="00B00F59"/>
    <w:rsid w:val="00B027D6"/>
    <w:rsid w:val="00B028E8"/>
    <w:rsid w:val="00B04CBD"/>
    <w:rsid w:val="00B0506D"/>
    <w:rsid w:val="00B07238"/>
    <w:rsid w:val="00B07A5F"/>
    <w:rsid w:val="00B11624"/>
    <w:rsid w:val="00B1164D"/>
    <w:rsid w:val="00B130DC"/>
    <w:rsid w:val="00B13910"/>
    <w:rsid w:val="00B142B0"/>
    <w:rsid w:val="00B1551B"/>
    <w:rsid w:val="00B15675"/>
    <w:rsid w:val="00B15C35"/>
    <w:rsid w:val="00B1638D"/>
    <w:rsid w:val="00B163E5"/>
    <w:rsid w:val="00B16C25"/>
    <w:rsid w:val="00B170A0"/>
    <w:rsid w:val="00B170DF"/>
    <w:rsid w:val="00B17B8B"/>
    <w:rsid w:val="00B20939"/>
    <w:rsid w:val="00B20B48"/>
    <w:rsid w:val="00B20C22"/>
    <w:rsid w:val="00B2128E"/>
    <w:rsid w:val="00B219B9"/>
    <w:rsid w:val="00B21DC2"/>
    <w:rsid w:val="00B24314"/>
    <w:rsid w:val="00B245A5"/>
    <w:rsid w:val="00B263FC"/>
    <w:rsid w:val="00B26AAA"/>
    <w:rsid w:val="00B26B9B"/>
    <w:rsid w:val="00B26D37"/>
    <w:rsid w:val="00B275EF"/>
    <w:rsid w:val="00B27FF6"/>
    <w:rsid w:val="00B30F7E"/>
    <w:rsid w:val="00B328B6"/>
    <w:rsid w:val="00B32A35"/>
    <w:rsid w:val="00B32BF2"/>
    <w:rsid w:val="00B33906"/>
    <w:rsid w:val="00B3430B"/>
    <w:rsid w:val="00B35146"/>
    <w:rsid w:val="00B35DF5"/>
    <w:rsid w:val="00B36500"/>
    <w:rsid w:val="00B37266"/>
    <w:rsid w:val="00B40116"/>
    <w:rsid w:val="00B41E39"/>
    <w:rsid w:val="00B41EE8"/>
    <w:rsid w:val="00B43253"/>
    <w:rsid w:val="00B43999"/>
    <w:rsid w:val="00B43AE7"/>
    <w:rsid w:val="00B44989"/>
    <w:rsid w:val="00B45A9A"/>
    <w:rsid w:val="00B46202"/>
    <w:rsid w:val="00B4631E"/>
    <w:rsid w:val="00B464C1"/>
    <w:rsid w:val="00B50939"/>
    <w:rsid w:val="00B525BA"/>
    <w:rsid w:val="00B5302C"/>
    <w:rsid w:val="00B53E65"/>
    <w:rsid w:val="00B53F79"/>
    <w:rsid w:val="00B544E6"/>
    <w:rsid w:val="00B56130"/>
    <w:rsid w:val="00B56648"/>
    <w:rsid w:val="00B5688F"/>
    <w:rsid w:val="00B56FB6"/>
    <w:rsid w:val="00B57256"/>
    <w:rsid w:val="00B57345"/>
    <w:rsid w:val="00B60E65"/>
    <w:rsid w:val="00B6218A"/>
    <w:rsid w:val="00B6232F"/>
    <w:rsid w:val="00B62C42"/>
    <w:rsid w:val="00B63BA4"/>
    <w:rsid w:val="00B64136"/>
    <w:rsid w:val="00B64529"/>
    <w:rsid w:val="00B647C6"/>
    <w:rsid w:val="00B662A4"/>
    <w:rsid w:val="00B662DB"/>
    <w:rsid w:val="00B66908"/>
    <w:rsid w:val="00B6720D"/>
    <w:rsid w:val="00B67BB8"/>
    <w:rsid w:val="00B67C8F"/>
    <w:rsid w:val="00B70094"/>
    <w:rsid w:val="00B71230"/>
    <w:rsid w:val="00B71BDC"/>
    <w:rsid w:val="00B72A60"/>
    <w:rsid w:val="00B736A7"/>
    <w:rsid w:val="00B74587"/>
    <w:rsid w:val="00B74D6F"/>
    <w:rsid w:val="00B76211"/>
    <w:rsid w:val="00B769D3"/>
    <w:rsid w:val="00B76FF1"/>
    <w:rsid w:val="00B77A82"/>
    <w:rsid w:val="00B81F3A"/>
    <w:rsid w:val="00B822A6"/>
    <w:rsid w:val="00B82CD9"/>
    <w:rsid w:val="00B8402A"/>
    <w:rsid w:val="00B8449E"/>
    <w:rsid w:val="00B84FCD"/>
    <w:rsid w:val="00B85B5C"/>
    <w:rsid w:val="00B87808"/>
    <w:rsid w:val="00B9017C"/>
    <w:rsid w:val="00B9029C"/>
    <w:rsid w:val="00B90850"/>
    <w:rsid w:val="00B91039"/>
    <w:rsid w:val="00B92887"/>
    <w:rsid w:val="00B92DFB"/>
    <w:rsid w:val="00B943B4"/>
    <w:rsid w:val="00B945B5"/>
    <w:rsid w:val="00B94693"/>
    <w:rsid w:val="00B94B2C"/>
    <w:rsid w:val="00B96251"/>
    <w:rsid w:val="00B96E2F"/>
    <w:rsid w:val="00B9742C"/>
    <w:rsid w:val="00B97BDE"/>
    <w:rsid w:val="00BA012C"/>
    <w:rsid w:val="00BA01E5"/>
    <w:rsid w:val="00BA0646"/>
    <w:rsid w:val="00BA06C7"/>
    <w:rsid w:val="00BA21CD"/>
    <w:rsid w:val="00BA239A"/>
    <w:rsid w:val="00BA3395"/>
    <w:rsid w:val="00BA364F"/>
    <w:rsid w:val="00BA38EA"/>
    <w:rsid w:val="00BA6AC8"/>
    <w:rsid w:val="00BA6B1C"/>
    <w:rsid w:val="00BB0066"/>
    <w:rsid w:val="00BB056C"/>
    <w:rsid w:val="00BB34B2"/>
    <w:rsid w:val="00BB3935"/>
    <w:rsid w:val="00BB3BFF"/>
    <w:rsid w:val="00BB3F0E"/>
    <w:rsid w:val="00BB4401"/>
    <w:rsid w:val="00BB4469"/>
    <w:rsid w:val="00BB45BE"/>
    <w:rsid w:val="00BB4C38"/>
    <w:rsid w:val="00BB64A6"/>
    <w:rsid w:val="00BB6F88"/>
    <w:rsid w:val="00BB7C2C"/>
    <w:rsid w:val="00BC11B3"/>
    <w:rsid w:val="00BC1565"/>
    <w:rsid w:val="00BC2DF1"/>
    <w:rsid w:val="00BC3E0F"/>
    <w:rsid w:val="00BC403F"/>
    <w:rsid w:val="00BC4E11"/>
    <w:rsid w:val="00BD0079"/>
    <w:rsid w:val="00BD0205"/>
    <w:rsid w:val="00BD14D6"/>
    <w:rsid w:val="00BD1870"/>
    <w:rsid w:val="00BD314D"/>
    <w:rsid w:val="00BD4089"/>
    <w:rsid w:val="00BD4118"/>
    <w:rsid w:val="00BD5C15"/>
    <w:rsid w:val="00BD6C43"/>
    <w:rsid w:val="00BD6DED"/>
    <w:rsid w:val="00BD72B9"/>
    <w:rsid w:val="00BD7847"/>
    <w:rsid w:val="00BE1364"/>
    <w:rsid w:val="00BE2312"/>
    <w:rsid w:val="00BE2CF5"/>
    <w:rsid w:val="00BE63DB"/>
    <w:rsid w:val="00BE64A4"/>
    <w:rsid w:val="00BE651A"/>
    <w:rsid w:val="00BE6B3C"/>
    <w:rsid w:val="00BE7760"/>
    <w:rsid w:val="00BF1072"/>
    <w:rsid w:val="00BF2A14"/>
    <w:rsid w:val="00BF4118"/>
    <w:rsid w:val="00BF46B3"/>
    <w:rsid w:val="00BF46EB"/>
    <w:rsid w:val="00BF5118"/>
    <w:rsid w:val="00BF54EC"/>
    <w:rsid w:val="00BF55C4"/>
    <w:rsid w:val="00BF5CF9"/>
    <w:rsid w:val="00BF7420"/>
    <w:rsid w:val="00BF76C2"/>
    <w:rsid w:val="00C0029E"/>
    <w:rsid w:val="00C0036C"/>
    <w:rsid w:val="00C00C0D"/>
    <w:rsid w:val="00C023A4"/>
    <w:rsid w:val="00C0275D"/>
    <w:rsid w:val="00C02D7C"/>
    <w:rsid w:val="00C0322B"/>
    <w:rsid w:val="00C04734"/>
    <w:rsid w:val="00C05258"/>
    <w:rsid w:val="00C05750"/>
    <w:rsid w:val="00C05B9C"/>
    <w:rsid w:val="00C07DC4"/>
    <w:rsid w:val="00C1040C"/>
    <w:rsid w:val="00C1057F"/>
    <w:rsid w:val="00C1091F"/>
    <w:rsid w:val="00C11292"/>
    <w:rsid w:val="00C1281B"/>
    <w:rsid w:val="00C12D32"/>
    <w:rsid w:val="00C13F0A"/>
    <w:rsid w:val="00C13FF7"/>
    <w:rsid w:val="00C1478D"/>
    <w:rsid w:val="00C16568"/>
    <w:rsid w:val="00C2093C"/>
    <w:rsid w:val="00C20A2A"/>
    <w:rsid w:val="00C21256"/>
    <w:rsid w:val="00C216FA"/>
    <w:rsid w:val="00C22289"/>
    <w:rsid w:val="00C22F0B"/>
    <w:rsid w:val="00C237B9"/>
    <w:rsid w:val="00C23989"/>
    <w:rsid w:val="00C24860"/>
    <w:rsid w:val="00C24B7A"/>
    <w:rsid w:val="00C25B63"/>
    <w:rsid w:val="00C2794D"/>
    <w:rsid w:val="00C27DAF"/>
    <w:rsid w:val="00C305FB"/>
    <w:rsid w:val="00C311CF"/>
    <w:rsid w:val="00C31382"/>
    <w:rsid w:val="00C313EE"/>
    <w:rsid w:val="00C314C7"/>
    <w:rsid w:val="00C321E1"/>
    <w:rsid w:val="00C32F34"/>
    <w:rsid w:val="00C33636"/>
    <w:rsid w:val="00C33725"/>
    <w:rsid w:val="00C33EF5"/>
    <w:rsid w:val="00C34FCD"/>
    <w:rsid w:val="00C351B6"/>
    <w:rsid w:val="00C3520A"/>
    <w:rsid w:val="00C3706F"/>
    <w:rsid w:val="00C376E5"/>
    <w:rsid w:val="00C41408"/>
    <w:rsid w:val="00C41E2E"/>
    <w:rsid w:val="00C42C20"/>
    <w:rsid w:val="00C435A1"/>
    <w:rsid w:val="00C450DF"/>
    <w:rsid w:val="00C4573A"/>
    <w:rsid w:val="00C45CBB"/>
    <w:rsid w:val="00C45E2A"/>
    <w:rsid w:val="00C460AC"/>
    <w:rsid w:val="00C460C1"/>
    <w:rsid w:val="00C46588"/>
    <w:rsid w:val="00C47E74"/>
    <w:rsid w:val="00C50822"/>
    <w:rsid w:val="00C50D49"/>
    <w:rsid w:val="00C51A75"/>
    <w:rsid w:val="00C51B4C"/>
    <w:rsid w:val="00C524FD"/>
    <w:rsid w:val="00C53E7B"/>
    <w:rsid w:val="00C547B6"/>
    <w:rsid w:val="00C54C53"/>
    <w:rsid w:val="00C54D8C"/>
    <w:rsid w:val="00C550C5"/>
    <w:rsid w:val="00C554B1"/>
    <w:rsid w:val="00C554C4"/>
    <w:rsid w:val="00C5571B"/>
    <w:rsid w:val="00C56C31"/>
    <w:rsid w:val="00C579D6"/>
    <w:rsid w:val="00C60D64"/>
    <w:rsid w:val="00C632F7"/>
    <w:rsid w:val="00C6372F"/>
    <w:rsid w:val="00C63B13"/>
    <w:rsid w:val="00C6489E"/>
    <w:rsid w:val="00C64BD5"/>
    <w:rsid w:val="00C6574B"/>
    <w:rsid w:val="00C657EE"/>
    <w:rsid w:val="00C667E0"/>
    <w:rsid w:val="00C6740C"/>
    <w:rsid w:val="00C6777B"/>
    <w:rsid w:val="00C67EDF"/>
    <w:rsid w:val="00C71DC2"/>
    <w:rsid w:val="00C71EBA"/>
    <w:rsid w:val="00C72CA3"/>
    <w:rsid w:val="00C7346F"/>
    <w:rsid w:val="00C749A7"/>
    <w:rsid w:val="00C759E4"/>
    <w:rsid w:val="00C7620C"/>
    <w:rsid w:val="00C77450"/>
    <w:rsid w:val="00C811B1"/>
    <w:rsid w:val="00C817AB"/>
    <w:rsid w:val="00C82374"/>
    <w:rsid w:val="00C830A2"/>
    <w:rsid w:val="00C83EF9"/>
    <w:rsid w:val="00C84DC6"/>
    <w:rsid w:val="00C874F7"/>
    <w:rsid w:val="00C87516"/>
    <w:rsid w:val="00C90239"/>
    <w:rsid w:val="00C90496"/>
    <w:rsid w:val="00C91D7E"/>
    <w:rsid w:val="00C92170"/>
    <w:rsid w:val="00C92555"/>
    <w:rsid w:val="00C938AB"/>
    <w:rsid w:val="00C93914"/>
    <w:rsid w:val="00C94392"/>
    <w:rsid w:val="00C95A50"/>
    <w:rsid w:val="00C96289"/>
    <w:rsid w:val="00C96E66"/>
    <w:rsid w:val="00C97825"/>
    <w:rsid w:val="00CA02AE"/>
    <w:rsid w:val="00CA0CC0"/>
    <w:rsid w:val="00CA1914"/>
    <w:rsid w:val="00CA1AA1"/>
    <w:rsid w:val="00CA2C92"/>
    <w:rsid w:val="00CA363E"/>
    <w:rsid w:val="00CA51BB"/>
    <w:rsid w:val="00CA5947"/>
    <w:rsid w:val="00CB0490"/>
    <w:rsid w:val="00CB0C5C"/>
    <w:rsid w:val="00CB24AB"/>
    <w:rsid w:val="00CB274C"/>
    <w:rsid w:val="00CB2E15"/>
    <w:rsid w:val="00CB4205"/>
    <w:rsid w:val="00CB430F"/>
    <w:rsid w:val="00CB7A9A"/>
    <w:rsid w:val="00CB7BBF"/>
    <w:rsid w:val="00CB7EF5"/>
    <w:rsid w:val="00CC0C59"/>
    <w:rsid w:val="00CC0D51"/>
    <w:rsid w:val="00CC104F"/>
    <w:rsid w:val="00CC1B05"/>
    <w:rsid w:val="00CC21B3"/>
    <w:rsid w:val="00CC2370"/>
    <w:rsid w:val="00CC2429"/>
    <w:rsid w:val="00CC252A"/>
    <w:rsid w:val="00CC26F0"/>
    <w:rsid w:val="00CC3902"/>
    <w:rsid w:val="00CC3DE6"/>
    <w:rsid w:val="00CC492E"/>
    <w:rsid w:val="00CC6BDC"/>
    <w:rsid w:val="00CC77B8"/>
    <w:rsid w:val="00CD0FCB"/>
    <w:rsid w:val="00CD134B"/>
    <w:rsid w:val="00CD13C2"/>
    <w:rsid w:val="00CD20FB"/>
    <w:rsid w:val="00CD3579"/>
    <w:rsid w:val="00CD4348"/>
    <w:rsid w:val="00CD4D2E"/>
    <w:rsid w:val="00CE007B"/>
    <w:rsid w:val="00CE04B6"/>
    <w:rsid w:val="00CE1704"/>
    <w:rsid w:val="00CE5DE6"/>
    <w:rsid w:val="00CF0E74"/>
    <w:rsid w:val="00CF16C6"/>
    <w:rsid w:val="00CF17DA"/>
    <w:rsid w:val="00CF1A1C"/>
    <w:rsid w:val="00CF310A"/>
    <w:rsid w:val="00CF3ED1"/>
    <w:rsid w:val="00CF480E"/>
    <w:rsid w:val="00CF4AC4"/>
    <w:rsid w:val="00CF4C39"/>
    <w:rsid w:val="00CF4D88"/>
    <w:rsid w:val="00CF55A2"/>
    <w:rsid w:val="00CF58D1"/>
    <w:rsid w:val="00CF58ED"/>
    <w:rsid w:val="00CF6896"/>
    <w:rsid w:val="00CF6AC9"/>
    <w:rsid w:val="00CF6B39"/>
    <w:rsid w:val="00CF749E"/>
    <w:rsid w:val="00CF7C67"/>
    <w:rsid w:val="00D001A5"/>
    <w:rsid w:val="00D001DE"/>
    <w:rsid w:val="00D02294"/>
    <w:rsid w:val="00D0343B"/>
    <w:rsid w:val="00D04296"/>
    <w:rsid w:val="00D054BA"/>
    <w:rsid w:val="00D05818"/>
    <w:rsid w:val="00D1017A"/>
    <w:rsid w:val="00D10DD2"/>
    <w:rsid w:val="00D10E63"/>
    <w:rsid w:val="00D110A9"/>
    <w:rsid w:val="00D111C3"/>
    <w:rsid w:val="00D12DB4"/>
    <w:rsid w:val="00D1372B"/>
    <w:rsid w:val="00D13BD5"/>
    <w:rsid w:val="00D14240"/>
    <w:rsid w:val="00D143C9"/>
    <w:rsid w:val="00D14718"/>
    <w:rsid w:val="00D149CD"/>
    <w:rsid w:val="00D14DB7"/>
    <w:rsid w:val="00D14EEC"/>
    <w:rsid w:val="00D15C55"/>
    <w:rsid w:val="00D167FE"/>
    <w:rsid w:val="00D16FFC"/>
    <w:rsid w:val="00D17476"/>
    <w:rsid w:val="00D20CAC"/>
    <w:rsid w:val="00D20EF6"/>
    <w:rsid w:val="00D2112F"/>
    <w:rsid w:val="00D2164F"/>
    <w:rsid w:val="00D22ADC"/>
    <w:rsid w:val="00D230ED"/>
    <w:rsid w:val="00D23CFD"/>
    <w:rsid w:val="00D24994"/>
    <w:rsid w:val="00D253E9"/>
    <w:rsid w:val="00D26045"/>
    <w:rsid w:val="00D26217"/>
    <w:rsid w:val="00D26AB7"/>
    <w:rsid w:val="00D27813"/>
    <w:rsid w:val="00D27D31"/>
    <w:rsid w:val="00D30891"/>
    <w:rsid w:val="00D30B57"/>
    <w:rsid w:val="00D316C3"/>
    <w:rsid w:val="00D32A6A"/>
    <w:rsid w:val="00D32B46"/>
    <w:rsid w:val="00D32F78"/>
    <w:rsid w:val="00D34C43"/>
    <w:rsid w:val="00D35AE2"/>
    <w:rsid w:val="00D36FCA"/>
    <w:rsid w:val="00D37826"/>
    <w:rsid w:val="00D37E19"/>
    <w:rsid w:val="00D42915"/>
    <w:rsid w:val="00D4407C"/>
    <w:rsid w:val="00D44FB5"/>
    <w:rsid w:val="00D4578E"/>
    <w:rsid w:val="00D4756D"/>
    <w:rsid w:val="00D47849"/>
    <w:rsid w:val="00D5008A"/>
    <w:rsid w:val="00D52335"/>
    <w:rsid w:val="00D52357"/>
    <w:rsid w:val="00D52EE6"/>
    <w:rsid w:val="00D53742"/>
    <w:rsid w:val="00D5436C"/>
    <w:rsid w:val="00D54F19"/>
    <w:rsid w:val="00D54F48"/>
    <w:rsid w:val="00D5523D"/>
    <w:rsid w:val="00D55626"/>
    <w:rsid w:val="00D5593A"/>
    <w:rsid w:val="00D569EB"/>
    <w:rsid w:val="00D5765C"/>
    <w:rsid w:val="00D57717"/>
    <w:rsid w:val="00D577D3"/>
    <w:rsid w:val="00D608A9"/>
    <w:rsid w:val="00D627B0"/>
    <w:rsid w:val="00D635EA"/>
    <w:rsid w:val="00D65802"/>
    <w:rsid w:val="00D65F27"/>
    <w:rsid w:val="00D705F6"/>
    <w:rsid w:val="00D733F6"/>
    <w:rsid w:val="00D74BD4"/>
    <w:rsid w:val="00D76342"/>
    <w:rsid w:val="00D766DE"/>
    <w:rsid w:val="00D77200"/>
    <w:rsid w:val="00D777F9"/>
    <w:rsid w:val="00D82AF6"/>
    <w:rsid w:val="00D8328B"/>
    <w:rsid w:val="00D8405D"/>
    <w:rsid w:val="00D843D9"/>
    <w:rsid w:val="00D846CC"/>
    <w:rsid w:val="00D84C15"/>
    <w:rsid w:val="00D85974"/>
    <w:rsid w:val="00D85AEF"/>
    <w:rsid w:val="00D86018"/>
    <w:rsid w:val="00D865E9"/>
    <w:rsid w:val="00D91904"/>
    <w:rsid w:val="00D92098"/>
    <w:rsid w:val="00D93561"/>
    <w:rsid w:val="00D95BC1"/>
    <w:rsid w:val="00D96BB5"/>
    <w:rsid w:val="00D97A04"/>
    <w:rsid w:val="00DA02D6"/>
    <w:rsid w:val="00DA128E"/>
    <w:rsid w:val="00DA34B5"/>
    <w:rsid w:val="00DA380F"/>
    <w:rsid w:val="00DA4165"/>
    <w:rsid w:val="00DA5E24"/>
    <w:rsid w:val="00DA644F"/>
    <w:rsid w:val="00DA7749"/>
    <w:rsid w:val="00DA7FAA"/>
    <w:rsid w:val="00DB04B3"/>
    <w:rsid w:val="00DB12AA"/>
    <w:rsid w:val="00DB5926"/>
    <w:rsid w:val="00DB5CF0"/>
    <w:rsid w:val="00DB6F05"/>
    <w:rsid w:val="00DB7270"/>
    <w:rsid w:val="00DB7476"/>
    <w:rsid w:val="00DC0039"/>
    <w:rsid w:val="00DC064E"/>
    <w:rsid w:val="00DC0FAA"/>
    <w:rsid w:val="00DC169B"/>
    <w:rsid w:val="00DC21E0"/>
    <w:rsid w:val="00DC27FF"/>
    <w:rsid w:val="00DC31F7"/>
    <w:rsid w:val="00DC3A7E"/>
    <w:rsid w:val="00DC4549"/>
    <w:rsid w:val="00DC6D75"/>
    <w:rsid w:val="00DD10BC"/>
    <w:rsid w:val="00DD20AC"/>
    <w:rsid w:val="00DD3763"/>
    <w:rsid w:val="00DD470A"/>
    <w:rsid w:val="00DD48E2"/>
    <w:rsid w:val="00DD5404"/>
    <w:rsid w:val="00DD5DD8"/>
    <w:rsid w:val="00DD5E44"/>
    <w:rsid w:val="00DD6305"/>
    <w:rsid w:val="00DD7D74"/>
    <w:rsid w:val="00DD7FFD"/>
    <w:rsid w:val="00DE02C9"/>
    <w:rsid w:val="00DE1203"/>
    <w:rsid w:val="00DE2119"/>
    <w:rsid w:val="00DE298F"/>
    <w:rsid w:val="00DE2FA8"/>
    <w:rsid w:val="00DE3916"/>
    <w:rsid w:val="00DE45DF"/>
    <w:rsid w:val="00DE6553"/>
    <w:rsid w:val="00DF0283"/>
    <w:rsid w:val="00DF0BC3"/>
    <w:rsid w:val="00DF1168"/>
    <w:rsid w:val="00DF1427"/>
    <w:rsid w:val="00DF1BCC"/>
    <w:rsid w:val="00DF1D38"/>
    <w:rsid w:val="00DF3530"/>
    <w:rsid w:val="00DF374A"/>
    <w:rsid w:val="00DF51B7"/>
    <w:rsid w:val="00DF599C"/>
    <w:rsid w:val="00DF65D8"/>
    <w:rsid w:val="00DF67DB"/>
    <w:rsid w:val="00DF6909"/>
    <w:rsid w:val="00E01509"/>
    <w:rsid w:val="00E018FB"/>
    <w:rsid w:val="00E02C19"/>
    <w:rsid w:val="00E03BD6"/>
    <w:rsid w:val="00E0454F"/>
    <w:rsid w:val="00E04CDC"/>
    <w:rsid w:val="00E07C6A"/>
    <w:rsid w:val="00E07E35"/>
    <w:rsid w:val="00E07E79"/>
    <w:rsid w:val="00E10003"/>
    <w:rsid w:val="00E101AD"/>
    <w:rsid w:val="00E11A4F"/>
    <w:rsid w:val="00E121CB"/>
    <w:rsid w:val="00E134E8"/>
    <w:rsid w:val="00E14756"/>
    <w:rsid w:val="00E20127"/>
    <w:rsid w:val="00E2016A"/>
    <w:rsid w:val="00E20A6A"/>
    <w:rsid w:val="00E20BCD"/>
    <w:rsid w:val="00E21094"/>
    <w:rsid w:val="00E21F52"/>
    <w:rsid w:val="00E22E08"/>
    <w:rsid w:val="00E237B6"/>
    <w:rsid w:val="00E23B60"/>
    <w:rsid w:val="00E24E87"/>
    <w:rsid w:val="00E2510B"/>
    <w:rsid w:val="00E26CBA"/>
    <w:rsid w:val="00E32EEE"/>
    <w:rsid w:val="00E33EA0"/>
    <w:rsid w:val="00E367BC"/>
    <w:rsid w:val="00E373F5"/>
    <w:rsid w:val="00E3776F"/>
    <w:rsid w:val="00E37C4E"/>
    <w:rsid w:val="00E40DF4"/>
    <w:rsid w:val="00E42132"/>
    <w:rsid w:val="00E421AE"/>
    <w:rsid w:val="00E44A0C"/>
    <w:rsid w:val="00E44D0F"/>
    <w:rsid w:val="00E45391"/>
    <w:rsid w:val="00E45AAE"/>
    <w:rsid w:val="00E467B2"/>
    <w:rsid w:val="00E46913"/>
    <w:rsid w:val="00E47810"/>
    <w:rsid w:val="00E5036C"/>
    <w:rsid w:val="00E50A48"/>
    <w:rsid w:val="00E51A98"/>
    <w:rsid w:val="00E52D12"/>
    <w:rsid w:val="00E535B1"/>
    <w:rsid w:val="00E53F6C"/>
    <w:rsid w:val="00E54966"/>
    <w:rsid w:val="00E54DA8"/>
    <w:rsid w:val="00E54F34"/>
    <w:rsid w:val="00E54F6E"/>
    <w:rsid w:val="00E5757C"/>
    <w:rsid w:val="00E6089F"/>
    <w:rsid w:val="00E610C8"/>
    <w:rsid w:val="00E61A5A"/>
    <w:rsid w:val="00E62A94"/>
    <w:rsid w:val="00E62CF1"/>
    <w:rsid w:val="00E63542"/>
    <w:rsid w:val="00E640B7"/>
    <w:rsid w:val="00E6415C"/>
    <w:rsid w:val="00E65DE7"/>
    <w:rsid w:val="00E70AF4"/>
    <w:rsid w:val="00E71D9F"/>
    <w:rsid w:val="00E7240D"/>
    <w:rsid w:val="00E72926"/>
    <w:rsid w:val="00E731E2"/>
    <w:rsid w:val="00E74436"/>
    <w:rsid w:val="00E74C20"/>
    <w:rsid w:val="00E75D2C"/>
    <w:rsid w:val="00E76DC3"/>
    <w:rsid w:val="00E7762F"/>
    <w:rsid w:val="00E77AFB"/>
    <w:rsid w:val="00E77E1C"/>
    <w:rsid w:val="00E80306"/>
    <w:rsid w:val="00E80E71"/>
    <w:rsid w:val="00E812D0"/>
    <w:rsid w:val="00E821CD"/>
    <w:rsid w:val="00E82AE5"/>
    <w:rsid w:val="00E82C51"/>
    <w:rsid w:val="00E833D9"/>
    <w:rsid w:val="00E8478D"/>
    <w:rsid w:val="00E847E0"/>
    <w:rsid w:val="00E857E1"/>
    <w:rsid w:val="00E868E3"/>
    <w:rsid w:val="00E875C3"/>
    <w:rsid w:val="00E878DB"/>
    <w:rsid w:val="00E87E2C"/>
    <w:rsid w:val="00E924A5"/>
    <w:rsid w:val="00E92970"/>
    <w:rsid w:val="00E93314"/>
    <w:rsid w:val="00E9389F"/>
    <w:rsid w:val="00E941AC"/>
    <w:rsid w:val="00E94A09"/>
    <w:rsid w:val="00E94CCF"/>
    <w:rsid w:val="00E95054"/>
    <w:rsid w:val="00E9622D"/>
    <w:rsid w:val="00E9712D"/>
    <w:rsid w:val="00E97C4B"/>
    <w:rsid w:val="00EA17CD"/>
    <w:rsid w:val="00EA32D4"/>
    <w:rsid w:val="00EA4279"/>
    <w:rsid w:val="00EA462E"/>
    <w:rsid w:val="00EA4B3E"/>
    <w:rsid w:val="00EA4EA6"/>
    <w:rsid w:val="00EA4FC2"/>
    <w:rsid w:val="00EA5C0E"/>
    <w:rsid w:val="00EA64FB"/>
    <w:rsid w:val="00EA7AD1"/>
    <w:rsid w:val="00EB0DAB"/>
    <w:rsid w:val="00EB14FF"/>
    <w:rsid w:val="00EB2D67"/>
    <w:rsid w:val="00EB33B2"/>
    <w:rsid w:val="00EB3E79"/>
    <w:rsid w:val="00EB5F8D"/>
    <w:rsid w:val="00EB6892"/>
    <w:rsid w:val="00EB6A98"/>
    <w:rsid w:val="00EB7622"/>
    <w:rsid w:val="00EB7F4F"/>
    <w:rsid w:val="00EC1308"/>
    <w:rsid w:val="00EC2DB4"/>
    <w:rsid w:val="00EC3BD2"/>
    <w:rsid w:val="00EC3F11"/>
    <w:rsid w:val="00EC411A"/>
    <w:rsid w:val="00EC4713"/>
    <w:rsid w:val="00EC4F77"/>
    <w:rsid w:val="00EC513C"/>
    <w:rsid w:val="00EC5917"/>
    <w:rsid w:val="00EC5D42"/>
    <w:rsid w:val="00EC64CB"/>
    <w:rsid w:val="00EC6C2C"/>
    <w:rsid w:val="00ED1551"/>
    <w:rsid w:val="00ED3814"/>
    <w:rsid w:val="00ED4E10"/>
    <w:rsid w:val="00ED50F0"/>
    <w:rsid w:val="00ED52AD"/>
    <w:rsid w:val="00ED5753"/>
    <w:rsid w:val="00ED57A0"/>
    <w:rsid w:val="00ED5BFC"/>
    <w:rsid w:val="00ED6F85"/>
    <w:rsid w:val="00EE0157"/>
    <w:rsid w:val="00EE20BC"/>
    <w:rsid w:val="00EE31EB"/>
    <w:rsid w:val="00EE32D0"/>
    <w:rsid w:val="00EE3CE9"/>
    <w:rsid w:val="00EE3D11"/>
    <w:rsid w:val="00EE6C29"/>
    <w:rsid w:val="00EE7221"/>
    <w:rsid w:val="00EE78CA"/>
    <w:rsid w:val="00EF0D4D"/>
    <w:rsid w:val="00EF1CD3"/>
    <w:rsid w:val="00EF2273"/>
    <w:rsid w:val="00EF47BA"/>
    <w:rsid w:val="00EF744A"/>
    <w:rsid w:val="00EF773D"/>
    <w:rsid w:val="00EF7A4C"/>
    <w:rsid w:val="00F00251"/>
    <w:rsid w:val="00F007C7"/>
    <w:rsid w:val="00F00A5D"/>
    <w:rsid w:val="00F01D9B"/>
    <w:rsid w:val="00F02462"/>
    <w:rsid w:val="00F04C21"/>
    <w:rsid w:val="00F059DB"/>
    <w:rsid w:val="00F06207"/>
    <w:rsid w:val="00F073AC"/>
    <w:rsid w:val="00F07850"/>
    <w:rsid w:val="00F07B8D"/>
    <w:rsid w:val="00F07C0C"/>
    <w:rsid w:val="00F07C5B"/>
    <w:rsid w:val="00F10D2C"/>
    <w:rsid w:val="00F11202"/>
    <w:rsid w:val="00F11D81"/>
    <w:rsid w:val="00F11EC5"/>
    <w:rsid w:val="00F11F4A"/>
    <w:rsid w:val="00F12027"/>
    <w:rsid w:val="00F13C01"/>
    <w:rsid w:val="00F13E6B"/>
    <w:rsid w:val="00F17429"/>
    <w:rsid w:val="00F177CC"/>
    <w:rsid w:val="00F20E89"/>
    <w:rsid w:val="00F21D88"/>
    <w:rsid w:val="00F27FDD"/>
    <w:rsid w:val="00F306BC"/>
    <w:rsid w:val="00F3168B"/>
    <w:rsid w:val="00F3197E"/>
    <w:rsid w:val="00F31BF9"/>
    <w:rsid w:val="00F31DE7"/>
    <w:rsid w:val="00F320B6"/>
    <w:rsid w:val="00F32F7F"/>
    <w:rsid w:val="00F33828"/>
    <w:rsid w:val="00F342DC"/>
    <w:rsid w:val="00F3495B"/>
    <w:rsid w:val="00F34AE2"/>
    <w:rsid w:val="00F356DE"/>
    <w:rsid w:val="00F356F6"/>
    <w:rsid w:val="00F362BD"/>
    <w:rsid w:val="00F3669A"/>
    <w:rsid w:val="00F37FEA"/>
    <w:rsid w:val="00F401A7"/>
    <w:rsid w:val="00F405AC"/>
    <w:rsid w:val="00F42BA0"/>
    <w:rsid w:val="00F45B30"/>
    <w:rsid w:val="00F45FE8"/>
    <w:rsid w:val="00F461FD"/>
    <w:rsid w:val="00F46F56"/>
    <w:rsid w:val="00F4759B"/>
    <w:rsid w:val="00F476B1"/>
    <w:rsid w:val="00F503B1"/>
    <w:rsid w:val="00F50E0C"/>
    <w:rsid w:val="00F5328F"/>
    <w:rsid w:val="00F546F4"/>
    <w:rsid w:val="00F54970"/>
    <w:rsid w:val="00F54FE0"/>
    <w:rsid w:val="00F55506"/>
    <w:rsid w:val="00F55711"/>
    <w:rsid w:val="00F56046"/>
    <w:rsid w:val="00F618B6"/>
    <w:rsid w:val="00F62066"/>
    <w:rsid w:val="00F62698"/>
    <w:rsid w:val="00F63A56"/>
    <w:rsid w:val="00F64C07"/>
    <w:rsid w:val="00F70BDC"/>
    <w:rsid w:val="00F70E26"/>
    <w:rsid w:val="00F71A31"/>
    <w:rsid w:val="00F733DA"/>
    <w:rsid w:val="00F73849"/>
    <w:rsid w:val="00F738EE"/>
    <w:rsid w:val="00F74705"/>
    <w:rsid w:val="00F74A7F"/>
    <w:rsid w:val="00F757B7"/>
    <w:rsid w:val="00F75B51"/>
    <w:rsid w:val="00F76513"/>
    <w:rsid w:val="00F772D1"/>
    <w:rsid w:val="00F810B4"/>
    <w:rsid w:val="00F813A6"/>
    <w:rsid w:val="00F81682"/>
    <w:rsid w:val="00F82FE2"/>
    <w:rsid w:val="00F8305A"/>
    <w:rsid w:val="00F83930"/>
    <w:rsid w:val="00F840D5"/>
    <w:rsid w:val="00F84287"/>
    <w:rsid w:val="00F845D4"/>
    <w:rsid w:val="00F84995"/>
    <w:rsid w:val="00F84C8B"/>
    <w:rsid w:val="00F8660D"/>
    <w:rsid w:val="00F867F5"/>
    <w:rsid w:val="00F868E0"/>
    <w:rsid w:val="00F86C25"/>
    <w:rsid w:val="00F86EC8"/>
    <w:rsid w:val="00F90BB3"/>
    <w:rsid w:val="00F90D5F"/>
    <w:rsid w:val="00F90F41"/>
    <w:rsid w:val="00F9151B"/>
    <w:rsid w:val="00F9224E"/>
    <w:rsid w:val="00F9283E"/>
    <w:rsid w:val="00F9340B"/>
    <w:rsid w:val="00F94E5A"/>
    <w:rsid w:val="00F958CC"/>
    <w:rsid w:val="00F95A1F"/>
    <w:rsid w:val="00F95E27"/>
    <w:rsid w:val="00F970B2"/>
    <w:rsid w:val="00F971B5"/>
    <w:rsid w:val="00F97B81"/>
    <w:rsid w:val="00FA0E1F"/>
    <w:rsid w:val="00FA113B"/>
    <w:rsid w:val="00FA17E5"/>
    <w:rsid w:val="00FA2F30"/>
    <w:rsid w:val="00FA35AF"/>
    <w:rsid w:val="00FA456E"/>
    <w:rsid w:val="00FA4690"/>
    <w:rsid w:val="00FA4BF7"/>
    <w:rsid w:val="00FA5468"/>
    <w:rsid w:val="00FA5BC1"/>
    <w:rsid w:val="00FA728C"/>
    <w:rsid w:val="00FA73EA"/>
    <w:rsid w:val="00FB00F6"/>
    <w:rsid w:val="00FB1541"/>
    <w:rsid w:val="00FB175C"/>
    <w:rsid w:val="00FB234F"/>
    <w:rsid w:val="00FB3F7D"/>
    <w:rsid w:val="00FB4263"/>
    <w:rsid w:val="00FB46E0"/>
    <w:rsid w:val="00FB4896"/>
    <w:rsid w:val="00FB4F14"/>
    <w:rsid w:val="00FB5785"/>
    <w:rsid w:val="00FB5863"/>
    <w:rsid w:val="00FB5A50"/>
    <w:rsid w:val="00FB6540"/>
    <w:rsid w:val="00FB7514"/>
    <w:rsid w:val="00FC0030"/>
    <w:rsid w:val="00FC0FA9"/>
    <w:rsid w:val="00FC20A9"/>
    <w:rsid w:val="00FC26FF"/>
    <w:rsid w:val="00FC2AEA"/>
    <w:rsid w:val="00FC341E"/>
    <w:rsid w:val="00FC392A"/>
    <w:rsid w:val="00FC3ED6"/>
    <w:rsid w:val="00FC4361"/>
    <w:rsid w:val="00FC4A88"/>
    <w:rsid w:val="00FC621F"/>
    <w:rsid w:val="00FC64CB"/>
    <w:rsid w:val="00FC688E"/>
    <w:rsid w:val="00FC74C5"/>
    <w:rsid w:val="00FD112A"/>
    <w:rsid w:val="00FD1292"/>
    <w:rsid w:val="00FD20CD"/>
    <w:rsid w:val="00FD380E"/>
    <w:rsid w:val="00FD4079"/>
    <w:rsid w:val="00FD49E1"/>
    <w:rsid w:val="00FD5A1D"/>
    <w:rsid w:val="00FD69DF"/>
    <w:rsid w:val="00FD7176"/>
    <w:rsid w:val="00FE27D7"/>
    <w:rsid w:val="00FE2B92"/>
    <w:rsid w:val="00FE2BC8"/>
    <w:rsid w:val="00FE2C95"/>
    <w:rsid w:val="00FE2D90"/>
    <w:rsid w:val="00FE2DD1"/>
    <w:rsid w:val="00FE3C8A"/>
    <w:rsid w:val="00FE3F88"/>
    <w:rsid w:val="00FE4C9C"/>
    <w:rsid w:val="00FE51FF"/>
    <w:rsid w:val="00FE57B6"/>
    <w:rsid w:val="00FE5EE0"/>
    <w:rsid w:val="00FE6053"/>
    <w:rsid w:val="00FE6BA9"/>
    <w:rsid w:val="00FE75B1"/>
    <w:rsid w:val="00FF0239"/>
    <w:rsid w:val="00FF0AEF"/>
    <w:rsid w:val="00FF2E20"/>
    <w:rsid w:val="00FF4B08"/>
    <w:rsid w:val="00FF5452"/>
    <w:rsid w:val="00FF5C3A"/>
    <w:rsid w:val="00FF6473"/>
    <w:rsid w:val="00FF6ACA"/>
    <w:rsid w:val="01800770"/>
    <w:rsid w:val="0F256917"/>
    <w:rsid w:val="1A46664A"/>
    <w:rsid w:val="1E0463CE"/>
    <w:rsid w:val="258044A2"/>
    <w:rsid w:val="35455ECD"/>
    <w:rsid w:val="36121179"/>
    <w:rsid w:val="3FA623D3"/>
    <w:rsid w:val="45554C8E"/>
    <w:rsid w:val="46C56E9E"/>
    <w:rsid w:val="479138A8"/>
    <w:rsid w:val="4D94759E"/>
    <w:rsid w:val="4E0013D7"/>
    <w:rsid w:val="62BA1DF7"/>
    <w:rsid w:val="72966BB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0"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qFormat="1" w:unhideWhenUsed="0" w:uiPriority="0"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6"/>
    <w:qFormat/>
    <w:uiPriority w:val="9"/>
    <w:pPr>
      <w:keepNext/>
      <w:keepLines/>
      <w:spacing w:before="340" w:after="330" w:line="480" w:lineRule="auto"/>
      <w:outlineLvl w:val="0"/>
    </w:pPr>
    <w:rPr>
      <w:b/>
      <w:bCs/>
      <w:kern w:val="44"/>
      <w:sz w:val="44"/>
      <w:szCs w:val="44"/>
    </w:rPr>
  </w:style>
  <w:style w:type="paragraph" w:styleId="4">
    <w:name w:val="heading 2"/>
    <w:basedOn w:val="1"/>
    <w:next w:val="1"/>
    <w:link w:val="37"/>
    <w:unhideWhenUsed/>
    <w:qFormat/>
    <w:uiPriority w:val="9"/>
    <w:pPr>
      <w:keepNext/>
      <w:keepLines/>
      <w:spacing w:before="260" w:after="260" w:line="360" w:lineRule="auto"/>
      <w:outlineLvl w:val="1"/>
    </w:pPr>
    <w:rPr>
      <w:rFonts w:asciiTheme="majorHAnsi" w:hAnsiTheme="majorHAnsi" w:eastAsiaTheme="majorEastAsia" w:cstheme="majorBidi"/>
      <w:b/>
      <w:bCs/>
      <w:sz w:val="32"/>
      <w:szCs w:val="32"/>
    </w:rPr>
  </w:style>
  <w:style w:type="paragraph" w:styleId="5">
    <w:name w:val="heading 3"/>
    <w:basedOn w:val="1"/>
    <w:next w:val="1"/>
    <w:link w:val="39"/>
    <w:qFormat/>
    <w:uiPriority w:val="0"/>
    <w:pPr>
      <w:keepNext/>
      <w:keepLines/>
      <w:spacing w:before="260" w:after="260" w:line="416" w:lineRule="auto"/>
      <w:outlineLvl w:val="2"/>
    </w:pPr>
    <w:rPr>
      <w:b/>
      <w:bCs/>
      <w:sz w:val="32"/>
      <w:szCs w:val="32"/>
    </w:rPr>
  </w:style>
  <w:style w:type="paragraph" w:styleId="6">
    <w:name w:val="heading 4"/>
    <w:basedOn w:val="1"/>
    <w:next w:val="1"/>
    <w:link w:val="76"/>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31">
    <w:name w:val="Default Paragraph Font"/>
    <w:semiHidden/>
    <w:unhideWhenUsed/>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2">
    <w:name w:val="macro"/>
    <w:link w:val="44"/>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7">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8">
    <w:name w:val="Normal Indent"/>
    <w:basedOn w:val="1"/>
    <w:qFormat/>
    <w:uiPriority w:val="0"/>
    <w:pPr>
      <w:widowControl/>
      <w:ind w:firstLine="500" w:firstLineChars="208"/>
      <w:jc w:val="left"/>
    </w:pPr>
    <w:rPr>
      <w:kern w:val="0"/>
      <w:sz w:val="24"/>
      <w:szCs w:val="20"/>
    </w:rPr>
  </w:style>
  <w:style w:type="paragraph" w:styleId="9">
    <w:name w:val="caption"/>
    <w:basedOn w:val="1"/>
    <w:next w:val="1"/>
    <w:qFormat/>
    <w:uiPriority w:val="0"/>
    <w:pPr>
      <w:jc w:val="center"/>
    </w:pPr>
    <w:rPr>
      <w:rFonts w:eastAsia="黑体" w:cs="Arial"/>
      <w:szCs w:val="20"/>
    </w:rPr>
  </w:style>
  <w:style w:type="paragraph" w:styleId="10">
    <w:name w:val="Document Map"/>
    <w:basedOn w:val="1"/>
    <w:link w:val="53"/>
    <w:unhideWhenUsed/>
    <w:qFormat/>
    <w:uiPriority w:val="99"/>
    <w:rPr>
      <w:rFonts w:ascii="宋体"/>
      <w:sz w:val="18"/>
      <w:szCs w:val="18"/>
    </w:rPr>
  </w:style>
  <w:style w:type="paragraph" w:styleId="11">
    <w:name w:val="annotation text"/>
    <w:basedOn w:val="1"/>
    <w:link w:val="49"/>
    <w:qFormat/>
    <w:uiPriority w:val="0"/>
    <w:pPr>
      <w:jc w:val="left"/>
    </w:pPr>
    <w:rPr>
      <w:rFonts w:asciiTheme="minorHAnsi" w:hAnsiTheme="minorHAnsi" w:cstheme="minorBidi"/>
    </w:rPr>
  </w:style>
  <w:style w:type="paragraph" w:styleId="12">
    <w:name w:val="Body Text"/>
    <w:basedOn w:val="1"/>
    <w:link w:val="56"/>
    <w:qFormat/>
    <w:uiPriority w:val="0"/>
    <w:pPr>
      <w:widowControl/>
      <w:spacing w:after="120"/>
      <w:jc w:val="center"/>
    </w:pPr>
    <w:rPr>
      <w:rFonts w:ascii="宋体-18030" w:hAnsi="宋体-18030" w:eastAsia="宋体-18030"/>
      <w:kern w:val="0"/>
      <w:sz w:val="24"/>
    </w:rPr>
  </w:style>
  <w:style w:type="paragraph" w:styleId="13">
    <w:name w:val="Body Text Indent"/>
    <w:basedOn w:val="1"/>
    <w:link w:val="64"/>
    <w:unhideWhenUsed/>
    <w:qFormat/>
    <w:uiPriority w:val="99"/>
    <w:pPr>
      <w:spacing w:after="120"/>
      <w:ind w:left="420" w:leftChars="200"/>
    </w:pPr>
  </w:style>
  <w:style w:type="paragraph" w:styleId="14">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15">
    <w:name w:val="toc 3"/>
    <w:basedOn w:val="1"/>
    <w:next w:val="1"/>
    <w:unhideWhenUsed/>
    <w:qFormat/>
    <w:uiPriority w:val="39"/>
    <w:pPr>
      <w:ind w:left="840" w:leftChars="400"/>
    </w:pPr>
  </w:style>
  <w:style w:type="paragraph" w:styleId="16">
    <w:name w:val="Plain Text"/>
    <w:basedOn w:val="1"/>
    <w:link w:val="34"/>
    <w:qFormat/>
    <w:uiPriority w:val="0"/>
    <w:rPr>
      <w:rFonts w:ascii="宋体" w:hAnsi="Courier New" w:cstheme="minorBidi"/>
      <w:szCs w:val="22"/>
    </w:rPr>
  </w:style>
  <w:style w:type="paragraph" w:styleId="17">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18">
    <w:name w:val="Date"/>
    <w:basedOn w:val="1"/>
    <w:next w:val="1"/>
    <w:link w:val="66"/>
    <w:unhideWhenUsed/>
    <w:qFormat/>
    <w:uiPriority w:val="99"/>
    <w:pPr>
      <w:ind w:left="100" w:leftChars="2500"/>
    </w:pPr>
  </w:style>
  <w:style w:type="paragraph" w:styleId="19">
    <w:name w:val="Balloon Text"/>
    <w:basedOn w:val="1"/>
    <w:link w:val="42"/>
    <w:unhideWhenUsed/>
    <w:qFormat/>
    <w:uiPriority w:val="99"/>
    <w:rPr>
      <w:sz w:val="18"/>
      <w:szCs w:val="18"/>
    </w:rPr>
  </w:style>
  <w:style w:type="paragraph" w:styleId="20">
    <w:name w:val="footer"/>
    <w:basedOn w:val="1"/>
    <w:link w:val="51"/>
    <w:unhideWhenUsed/>
    <w:qFormat/>
    <w:uiPriority w:val="99"/>
    <w:pPr>
      <w:tabs>
        <w:tab w:val="center" w:pos="4153"/>
        <w:tab w:val="right" w:pos="8306"/>
      </w:tabs>
      <w:snapToGrid w:val="0"/>
      <w:jc w:val="left"/>
    </w:pPr>
    <w:rPr>
      <w:sz w:val="18"/>
      <w:szCs w:val="18"/>
    </w:rPr>
  </w:style>
  <w:style w:type="paragraph" w:styleId="21">
    <w:name w:val="header"/>
    <w:basedOn w:val="1"/>
    <w:link w:val="38"/>
    <w:unhideWhenUsed/>
    <w:qFormat/>
    <w:uiPriority w:val="99"/>
    <w:pPr>
      <w:tabs>
        <w:tab w:val="center" w:pos="4153"/>
        <w:tab w:val="right" w:pos="8306"/>
      </w:tabs>
      <w:snapToGrid w:val="0"/>
      <w:spacing w:line="360" w:lineRule="auto"/>
      <w:ind w:firstLine="200" w:firstLineChars="200"/>
      <w:jc w:val="center"/>
    </w:pPr>
    <w:rPr>
      <w:sz w:val="18"/>
      <w:szCs w:val="18"/>
    </w:rPr>
  </w:style>
  <w:style w:type="paragraph" w:styleId="22">
    <w:name w:val="toc 1"/>
    <w:basedOn w:val="1"/>
    <w:next w:val="1"/>
    <w:unhideWhenUsed/>
    <w:qFormat/>
    <w:uiPriority w:val="39"/>
  </w:style>
  <w:style w:type="paragraph" w:styleId="23">
    <w:name w:val="toc 4"/>
    <w:basedOn w:val="1"/>
    <w:next w:val="1"/>
    <w:unhideWhenUsed/>
    <w:qFormat/>
    <w:uiPriority w:val="39"/>
    <w:pPr>
      <w:ind w:left="1260" w:leftChars="600"/>
    </w:pPr>
    <w:rPr>
      <w:rFonts w:asciiTheme="minorHAnsi" w:hAnsiTheme="minorHAnsi" w:eastAsiaTheme="minorEastAsia" w:cstheme="minorBidi"/>
      <w:szCs w:val="22"/>
    </w:rPr>
  </w:style>
  <w:style w:type="paragraph" w:styleId="24">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25">
    <w:name w:val="toc 2"/>
    <w:basedOn w:val="1"/>
    <w:next w:val="1"/>
    <w:unhideWhenUsed/>
    <w:qFormat/>
    <w:uiPriority w:val="39"/>
    <w:pPr>
      <w:ind w:left="420" w:leftChars="200"/>
    </w:pPr>
  </w:style>
  <w:style w:type="paragraph" w:styleId="26">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27">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28">
    <w:name w:val="annotation subject"/>
    <w:basedOn w:val="11"/>
    <w:next w:val="11"/>
    <w:link w:val="58"/>
    <w:unhideWhenUsed/>
    <w:qFormat/>
    <w:uiPriority w:val="99"/>
    <w:rPr>
      <w:rFonts w:ascii="Times New Roman" w:hAnsi="Times New Roman" w:cs="Times New Roman"/>
      <w:b/>
      <w:bCs/>
    </w:rPr>
  </w:style>
  <w:style w:type="table" w:styleId="30">
    <w:name w:val="Table Grid"/>
    <w:basedOn w:val="2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Hyperlink"/>
    <w:basedOn w:val="31"/>
    <w:unhideWhenUsed/>
    <w:qFormat/>
    <w:uiPriority w:val="99"/>
    <w:rPr>
      <w:color w:val="0000FF"/>
      <w:u w:val="single"/>
    </w:rPr>
  </w:style>
  <w:style w:type="character" w:styleId="33">
    <w:name w:val="annotation reference"/>
    <w:basedOn w:val="31"/>
    <w:unhideWhenUsed/>
    <w:qFormat/>
    <w:uiPriority w:val="99"/>
    <w:rPr>
      <w:sz w:val="21"/>
      <w:szCs w:val="21"/>
    </w:rPr>
  </w:style>
  <w:style w:type="character" w:customStyle="1" w:styleId="34">
    <w:name w:val="纯文本 Char"/>
    <w:basedOn w:val="31"/>
    <w:link w:val="16"/>
    <w:qFormat/>
    <w:uiPriority w:val="0"/>
    <w:rPr>
      <w:rFonts w:ascii="宋体" w:hAnsi="Courier New" w:eastAsia="宋体"/>
    </w:rPr>
  </w:style>
  <w:style w:type="character" w:customStyle="1" w:styleId="35">
    <w:name w:val="纯文本 Char1"/>
    <w:basedOn w:val="31"/>
    <w:semiHidden/>
    <w:qFormat/>
    <w:uiPriority w:val="99"/>
    <w:rPr>
      <w:rFonts w:ascii="宋体" w:hAnsi="Courier New" w:eastAsia="宋体" w:cs="Courier New"/>
      <w:szCs w:val="21"/>
    </w:rPr>
  </w:style>
  <w:style w:type="character" w:customStyle="1" w:styleId="36">
    <w:name w:val="标题 1 Char"/>
    <w:basedOn w:val="31"/>
    <w:link w:val="3"/>
    <w:qFormat/>
    <w:uiPriority w:val="9"/>
    <w:rPr>
      <w:rFonts w:ascii="Times New Roman" w:hAnsi="Times New Roman" w:eastAsia="宋体" w:cs="Times New Roman"/>
      <w:b/>
      <w:bCs/>
      <w:kern w:val="44"/>
      <w:sz w:val="44"/>
      <w:szCs w:val="44"/>
    </w:rPr>
  </w:style>
  <w:style w:type="character" w:customStyle="1" w:styleId="37">
    <w:name w:val="标题 2 Char"/>
    <w:basedOn w:val="31"/>
    <w:link w:val="4"/>
    <w:qFormat/>
    <w:uiPriority w:val="9"/>
    <w:rPr>
      <w:rFonts w:asciiTheme="majorHAnsi" w:hAnsiTheme="majorHAnsi" w:eastAsiaTheme="majorEastAsia" w:cstheme="majorBidi"/>
      <w:b/>
      <w:bCs/>
      <w:sz w:val="32"/>
      <w:szCs w:val="32"/>
    </w:rPr>
  </w:style>
  <w:style w:type="character" w:customStyle="1" w:styleId="38">
    <w:name w:val="页眉 Char"/>
    <w:basedOn w:val="31"/>
    <w:link w:val="21"/>
    <w:qFormat/>
    <w:uiPriority w:val="99"/>
    <w:rPr>
      <w:rFonts w:ascii="Times New Roman" w:hAnsi="Times New Roman" w:eastAsia="宋体" w:cs="Times New Roman"/>
      <w:kern w:val="2"/>
      <w:sz w:val="18"/>
      <w:szCs w:val="18"/>
    </w:rPr>
  </w:style>
  <w:style w:type="character" w:customStyle="1" w:styleId="39">
    <w:name w:val="标题 3 Char"/>
    <w:basedOn w:val="31"/>
    <w:link w:val="5"/>
    <w:qFormat/>
    <w:uiPriority w:val="0"/>
    <w:rPr>
      <w:rFonts w:ascii="Times New Roman" w:hAnsi="Times New Roman" w:eastAsia="宋体" w:cs="Times New Roman"/>
      <w:b/>
      <w:bCs/>
      <w:sz w:val="32"/>
      <w:szCs w:val="32"/>
    </w:rPr>
  </w:style>
  <w:style w:type="character" w:customStyle="1" w:styleId="40">
    <w:name w:val="段 Char Char"/>
    <w:link w:val="41"/>
    <w:qFormat/>
    <w:locked/>
    <w:uiPriority w:val="0"/>
    <w:rPr>
      <w:rFonts w:ascii="宋体"/>
    </w:rPr>
  </w:style>
  <w:style w:type="paragraph" w:customStyle="1" w:styleId="41">
    <w:name w:val="段"/>
    <w:link w:val="40"/>
    <w:qFormat/>
    <w:uiPriority w:val="0"/>
    <w:pPr>
      <w:autoSpaceDE w:val="0"/>
      <w:autoSpaceDN w:val="0"/>
      <w:ind w:firstLine="200" w:firstLineChars="200"/>
      <w:jc w:val="both"/>
    </w:pPr>
    <w:rPr>
      <w:rFonts w:ascii="宋体" w:hAnsiTheme="minorHAnsi" w:eastAsiaTheme="minorEastAsia" w:cstheme="minorBidi"/>
      <w:kern w:val="2"/>
      <w:sz w:val="21"/>
      <w:szCs w:val="22"/>
      <w:lang w:val="en-US" w:eastAsia="zh-CN" w:bidi="ar-SA"/>
    </w:rPr>
  </w:style>
  <w:style w:type="character" w:customStyle="1" w:styleId="42">
    <w:name w:val="批注框文本 Char"/>
    <w:basedOn w:val="31"/>
    <w:link w:val="19"/>
    <w:semiHidden/>
    <w:qFormat/>
    <w:uiPriority w:val="99"/>
    <w:rPr>
      <w:rFonts w:ascii="Times New Roman" w:hAnsi="Times New Roman" w:eastAsia="宋体" w:cs="Times New Roman"/>
      <w:sz w:val="18"/>
      <w:szCs w:val="18"/>
    </w:rPr>
  </w:style>
  <w:style w:type="paragraph" w:customStyle="1" w:styleId="43">
    <w:name w:val="列出段落1"/>
    <w:basedOn w:val="1"/>
    <w:qFormat/>
    <w:uiPriority w:val="99"/>
    <w:pPr>
      <w:ind w:firstLine="420" w:firstLineChars="200"/>
    </w:pPr>
  </w:style>
  <w:style w:type="character" w:customStyle="1" w:styleId="44">
    <w:name w:val="宏文本 Char"/>
    <w:basedOn w:val="31"/>
    <w:link w:val="2"/>
    <w:semiHidden/>
    <w:qFormat/>
    <w:uiPriority w:val="0"/>
    <w:rPr>
      <w:rFonts w:ascii="Courier New" w:hAnsi="Courier New" w:eastAsia="宋体" w:cs="Courier New"/>
      <w:sz w:val="24"/>
      <w:szCs w:val="24"/>
    </w:rPr>
  </w:style>
  <w:style w:type="character" w:customStyle="1" w:styleId="45">
    <w:name w:val="font41"/>
    <w:basedOn w:val="31"/>
    <w:qFormat/>
    <w:uiPriority w:val="0"/>
    <w:rPr>
      <w:rFonts w:hint="default" w:ascii="Times New Roman" w:hAnsi="Times New Roman" w:cs="Times New Roman"/>
      <w:color w:val="000000"/>
      <w:sz w:val="20"/>
      <w:szCs w:val="20"/>
      <w:u w:val="none"/>
    </w:rPr>
  </w:style>
  <w:style w:type="character" w:customStyle="1" w:styleId="46">
    <w:name w:val="font31"/>
    <w:basedOn w:val="31"/>
    <w:qFormat/>
    <w:uiPriority w:val="0"/>
    <w:rPr>
      <w:rFonts w:hint="eastAsia" w:ascii="仿宋" w:hAnsi="仿宋" w:eastAsia="仿宋" w:cs="仿宋"/>
      <w:color w:val="000000"/>
      <w:sz w:val="20"/>
      <w:szCs w:val="20"/>
      <w:u w:val="none"/>
    </w:rPr>
  </w:style>
  <w:style w:type="paragraph" w:customStyle="1" w:styleId="47">
    <w:name w:val="列出段落2"/>
    <w:basedOn w:val="1"/>
    <w:unhideWhenUsed/>
    <w:qFormat/>
    <w:uiPriority w:val="34"/>
    <w:pPr>
      <w:spacing w:line="360" w:lineRule="auto"/>
      <w:ind w:firstLine="420" w:firstLineChars="200"/>
    </w:pPr>
    <w:rPr>
      <w:sz w:val="24"/>
    </w:rPr>
  </w:style>
  <w:style w:type="paragraph" w:customStyle="1" w:styleId="48">
    <w:name w:val="样式 题注 + Times New Roman 五号"/>
    <w:basedOn w:val="9"/>
    <w:qFormat/>
    <w:uiPriority w:val="99"/>
  </w:style>
  <w:style w:type="character" w:customStyle="1" w:styleId="49">
    <w:name w:val="批注文字 Char"/>
    <w:link w:val="11"/>
    <w:qFormat/>
    <w:uiPriority w:val="0"/>
    <w:rPr>
      <w:rFonts w:eastAsia="宋体"/>
      <w:szCs w:val="24"/>
    </w:rPr>
  </w:style>
  <w:style w:type="character" w:customStyle="1" w:styleId="50">
    <w:name w:val="批注文字 Char1"/>
    <w:basedOn w:val="31"/>
    <w:semiHidden/>
    <w:qFormat/>
    <w:uiPriority w:val="99"/>
    <w:rPr>
      <w:rFonts w:ascii="Times New Roman" w:hAnsi="Times New Roman" w:eastAsia="宋体" w:cs="Times New Roman"/>
      <w:szCs w:val="24"/>
    </w:rPr>
  </w:style>
  <w:style w:type="character" w:customStyle="1" w:styleId="51">
    <w:name w:val="页脚 Char"/>
    <w:basedOn w:val="31"/>
    <w:link w:val="20"/>
    <w:qFormat/>
    <w:uiPriority w:val="99"/>
    <w:rPr>
      <w:rFonts w:ascii="Times New Roman" w:hAnsi="Times New Roman" w:eastAsia="宋体" w:cs="Times New Roman"/>
      <w:sz w:val="18"/>
      <w:szCs w:val="18"/>
    </w:rPr>
  </w:style>
  <w:style w:type="paragraph" w:customStyle="1" w:styleId="52">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66091" w:themeColor="accent1" w:themeShade="BF"/>
      <w:kern w:val="0"/>
      <w:sz w:val="28"/>
      <w:szCs w:val="28"/>
    </w:rPr>
  </w:style>
  <w:style w:type="character" w:customStyle="1" w:styleId="53">
    <w:name w:val="文档结构图 Char"/>
    <w:basedOn w:val="31"/>
    <w:link w:val="10"/>
    <w:semiHidden/>
    <w:qFormat/>
    <w:uiPriority w:val="99"/>
    <w:rPr>
      <w:rFonts w:ascii="宋体" w:hAnsi="Times New Roman" w:eastAsia="宋体" w:cs="Times New Roman"/>
      <w:sz w:val="18"/>
      <w:szCs w:val="18"/>
    </w:rPr>
  </w:style>
  <w:style w:type="paragraph" w:customStyle="1" w:styleId="54">
    <w:name w:val="Char1 Char Char Char"/>
    <w:basedOn w:val="1"/>
    <w:qFormat/>
    <w:uiPriority w:val="0"/>
  </w:style>
  <w:style w:type="paragraph" w:customStyle="1" w:styleId="55">
    <w:name w:val="Char1 Char Char Char1"/>
    <w:basedOn w:val="1"/>
    <w:qFormat/>
    <w:uiPriority w:val="0"/>
  </w:style>
  <w:style w:type="character" w:customStyle="1" w:styleId="56">
    <w:name w:val="正文文本 Char"/>
    <w:basedOn w:val="31"/>
    <w:link w:val="12"/>
    <w:qFormat/>
    <w:uiPriority w:val="0"/>
    <w:rPr>
      <w:rFonts w:ascii="宋体-18030" w:hAnsi="宋体-18030" w:eastAsia="宋体-18030" w:cs="Times New Roman"/>
      <w:kern w:val="0"/>
      <w:sz w:val="24"/>
      <w:szCs w:val="24"/>
    </w:rPr>
  </w:style>
  <w:style w:type="paragraph" w:customStyle="1" w:styleId="57">
    <w:name w:val="Char1 Char Char Char2"/>
    <w:basedOn w:val="1"/>
    <w:qFormat/>
    <w:uiPriority w:val="0"/>
  </w:style>
  <w:style w:type="character" w:customStyle="1" w:styleId="58">
    <w:name w:val="批注主题 Char"/>
    <w:basedOn w:val="49"/>
    <w:link w:val="28"/>
    <w:semiHidden/>
    <w:qFormat/>
    <w:uiPriority w:val="99"/>
    <w:rPr>
      <w:rFonts w:ascii="Times New Roman" w:hAnsi="Times New Roman" w:eastAsia="宋体" w:cs="Times New Roman"/>
      <w:b/>
      <w:bCs/>
      <w:szCs w:val="24"/>
    </w:rPr>
  </w:style>
  <w:style w:type="paragraph" w:customStyle="1" w:styleId="59">
    <w:name w:val="Char1 Char Char Char3"/>
    <w:basedOn w:val="1"/>
    <w:qFormat/>
    <w:uiPriority w:val="0"/>
  </w:style>
  <w:style w:type="paragraph" w:customStyle="1" w:styleId="60">
    <w:name w:val="图表标题"/>
    <w:basedOn w:val="1"/>
    <w:next w:val="1"/>
    <w:qFormat/>
    <w:uiPriority w:val="0"/>
    <w:pPr>
      <w:spacing w:line="520" w:lineRule="exact"/>
      <w:ind w:firstLine="50" w:firstLineChars="50"/>
      <w:jc w:val="center"/>
    </w:pPr>
    <w:rPr>
      <w:rFonts w:ascii="仿宋_GB2312" w:hAnsi="宋体" w:eastAsia="仿宋_GB2312"/>
      <w:b/>
      <w:color w:val="000000"/>
      <w:sz w:val="24"/>
      <w:szCs w:val="28"/>
    </w:rPr>
  </w:style>
  <w:style w:type="character" w:customStyle="1" w:styleId="61">
    <w:name w:val="fontstyle01"/>
    <w:basedOn w:val="31"/>
    <w:qFormat/>
    <w:uiPriority w:val="99"/>
    <w:rPr>
      <w:rFonts w:hint="eastAsia" w:ascii="宋体" w:hAnsi="宋体" w:eastAsia="宋体"/>
      <w:color w:val="000000"/>
      <w:sz w:val="24"/>
      <w:szCs w:val="24"/>
    </w:rPr>
  </w:style>
  <w:style w:type="character" w:customStyle="1" w:styleId="62">
    <w:name w:val="fontstyle21"/>
    <w:basedOn w:val="31"/>
    <w:qFormat/>
    <w:uiPriority w:val="0"/>
    <w:rPr>
      <w:rFonts w:hint="default" w:ascii="Calibri" w:hAnsi="Calibri" w:cs="Calibri"/>
      <w:color w:val="000000"/>
      <w:sz w:val="24"/>
      <w:szCs w:val="24"/>
    </w:rPr>
  </w:style>
  <w:style w:type="character" w:customStyle="1" w:styleId="63">
    <w:name w:val="apple-converted-space"/>
    <w:basedOn w:val="31"/>
    <w:qFormat/>
    <w:uiPriority w:val="0"/>
  </w:style>
  <w:style w:type="character" w:customStyle="1" w:styleId="64">
    <w:name w:val="正文文本缩进 Char"/>
    <w:basedOn w:val="31"/>
    <w:link w:val="13"/>
    <w:semiHidden/>
    <w:qFormat/>
    <w:uiPriority w:val="99"/>
    <w:rPr>
      <w:rFonts w:ascii="Times New Roman" w:hAnsi="Times New Roman" w:eastAsia="宋体" w:cs="Times New Roman"/>
      <w:szCs w:val="24"/>
    </w:rPr>
  </w:style>
  <w:style w:type="paragraph" w:styleId="65">
    <w:name w:val="List Paragraph"/>
    <w:basedOn w:val="1"/>
    <w:unhideWhenUsed/>
    <w:uiPriority w:val="99"/>
    <w:pPr>
      <w:ind w:firstLine="420" w:firstLineChars="200"/>
    </w:pPr>
  </w:style>
  <w:style w:type="character" w:customStyle="1" w:styleId="66">
    <w:name w:val="日期 Char"/>
    <w:basedOn w:val="31"/>
    <w:link w:val="18"/>
    <w:uiPriority w:val="99"/>
    <w:rPr>
      <w:rFonts w:ascii="Times New Roman" w:hAnsi="Times New Roman" w:eastAsia="宋体" w:cs="Times New Roman"/>
      <w:kern w:val="2"/>
      <w:sz w:val="21"/>
      <w:szCs w:val="24"/>
    </w:rPr>
  </w:style>
  <w:style w:type="character" w:customStyle="1" w:styleId="67">
    <w:name w:val="正文文本 (2)_"/>
    <w:link w:val="68"/>
    <w:qFormat/>
    <w:uiPriority w:val="0"/>
    <w:rPr>
      <w:rFonts w:ascii="宋体" w:hAnsi="宋体" w:eastAsia="宋体" w:cs="宋体"/>
      <w:kern w:val="2"/>
      <w:sz w:val="26"/>
      <w:szCs w:val="26"/>
      <w:shd w:val="clear" w:color="auto" w:fill="FFFFFF"/>
    </w:rPr>
  </w:style>
  <w:style w:type="paragraph" w:customStyle="1" w:styleId="68">
    <w:name w:val="正文文本 (2)3"/>
    <w:basedOn w:val="1"/>
    <w:link w:val="67"/>
    <w:qFormat/>
    <w:uiPriority w:val="0"/>
    <w:pPr>
      <w:shd w:val="clear" w:color="auto" w:fill="FFFFFF"/>
      <w:spacing w:before="60" w:line="542" w:lineRule="exact"/>
    </w:pPr>
    <w:rPr>
      <w:rFonts w:ascii="宋体" w:hAnsi="宋体" w:cs="宋体"/>
      <w:sz w:val="26"/>
      <w:szCs w:val="26"/>
    </w:rPr>
  </w:style>
  <w:style w:type="character" w:customStyle="1" w:styleId="69">
    <w:name w:val="xyb自建正文 Char"/>
    <w:link w:val="70"/>
    <w:qFormat/>
    <w:uiPriority w:val="0"/>
    <w:rPr>
      <w:rFonts w:ascii="宋体" w:hAnsi="宋体" w:cs="宋体"/>
      <w:spacing w:val="-2"/>
      <w:sz w:val="24"/>
      <w:szCs w:val="24"/>
    </w:rPr>
  </w:style>
  <w:style w:type="paragraph" w:customStyle="1" w:styleId="70">
    <w:name w:val="xyb自建正文"/>
    <w:basedOn w:val="1"/>
    <w:link w:val="69"/>
    <w:qFormat/>
    <w:uiPriority w:val="0"/>
    <w:pPr>
      <w:tabs>
        <w:tab w:val="left" w:pos="1440"/>
        <w:tab w:val="left" w:pos="8280"/>
      </w:tabs>
      <w:spacing w:line="360" w:lineRule="auto"/>
      <w:ind w:firstLine="472" w:firstLineChars="200"/>
    </w:pPr>
    <w:rPr>
      <w:rFonts w:ascii="宋体" w:hAnsi="宋体" w:cs="宋体" w:eastAsiaTheme="minorEastAsia"/>
      <w:spacing w:val="-2"/>
      <w:kern w:val="0"/>
      <w:sz w:val="24"/>
    </w:rPr>
  </w:style>
  <w:style w:type="paragraph" w:customStyle="1" w:styleId="71">
    <w:name w:val="bgbt题名"/>
    <w:basedOn w:val="1"/>
    <w:next w:val="1"/>
    <w:qFormat/>
    <w:uiPriority w:val="0"/>
    <w:pPr>
      <w:widowControl/>
      <w:jc w:val="center"/>
    </w:pPr>
    <w:rPr>
      <w:rFonts w:eastAsia="楷体_GB2312"/>
      <w:kern w:val="0"/>
      <w:sz w:val="48"/>
      <w:szCs w:val="20"/>
      <w:lang w:eastAsia="en-US" w:bidi="en-US"/>
    </w:rPr>
  </w:style>
  <w:style w:type="paragraph" w:customStyle="1" w:styleId="72">
    <w:name w:val="Table Paragraph"/>
    <w:basedOn w:val="1"/>
    <w:qFormat/>
    <w:uiPriority w:val="0"/>
    <w:pPr>
      <w:autoSpaceDE w:val="0"/>
      <w:autoSpaceDN w:val="0"/>
      <w:adjustRightInd w:val="0"/>
      <w:jc w:val="left"/>
    </w:pPr>
    <w:rPr>
      <w:kern w:val="0"/>
      <w:sz w:val="24"/>
    </w:rPr>
  </w:style>
  <w:style w:type="paragraph" w:customStyle="1" w:styleId="73">
    <w:name w:val="x正文"/>
    <w:basedOn w:val="27"/>
    <w:qFormat/>
    <w:uiPriority w:val="0"/>
    <w:pPr>
      <w:widowControl w:val="0"/>
      <w:autoSpaceDE w:val="0"/>
      <w:autoSpaceDN w:val="0"/>
      <w:snapToGrid w:val="0"/>
      <w:spacing w:before="0" w:beforeAutospacing="0" w:after="0" w:afterAutospacing="0" w:line="360" w:lineRule="auto"/>
      <w:ind w:firstLine="200" w:firstLineChars="200"/>
      <w:jc w:val="both"/>
      <w:textAlignment w:val="center"/>
    </w:pPr>
    <w:rPr>
      <w:rFonts w:ascii="Times New Roman" w:hAnsi="Times New Roman" w:eastAsia="仿宋_GB2312"/>
    </w:rPr>
  </w:style>
  <w:style w:type="paragraph" w:customStyle="1" w:styleId="74">
    <w:name w:val="标准样式"/>
    <w:link w:val="75"/>
    <w:qFormat/>
    <w:uiPriority w:val="0"/>
    <w:pPr>
      <w:widowControl w:val="0"/>
      <w:spacing w:line="600" w:lineRule="exact"/>
      <w:ind w:firstLine="200" w:firstLineChars="200"/>
      <w:jc w:val="both"/>
    </w:pPr>
    <w:rPr>
      <w:rFonts w:ascii="Times New Roman" w:hAnsi="Times New Roman" w:eastAsia="宋体" w:cs="Times New Roman"/>
      <w:sz w:val="28"/>
      <w:lang w:val="en-US" w:eastAsia="zh-CN" w:bidi="ar-SA"/>
    </w:rPr>
  </w:style>
  <w:style w:type="character" w:customStyle="1" w:styleId="75">
    <w:name w:val="标准样式 Char"/>
    <w:link w:val="74"/>
    <w:qFormat/>
    <w:uiPriority w:val="0"/>
    <w:rPr>
      <w:rFonts w:ascii="Times New Roman" w:hAnsi="Times New Roman" w:eastAsia="宋体" w:cs="Times New Roman"/>
      <w:sz w:val="28"/>
    </w:rPr>
  </w:style>
  <w:style w:type="character" w:customStyle="1" w:styleId="76">
    <w:name w:val="标题 4 Char"/>
    <w:basedOn w:val="31"/>
    <w:link w:val="6"/>
    <w:qFormat/>
    <w:uiPriority w:val="9"/>
    <w:rPr>
      <w:rFonts w:asciiTheme="majorHAnsi" w:hAnsiTheme="majorHAnsi" w:eastAsiaTheme="majorEastAsia" w:cstheme="majorBidi"/>
      <w:b/>
      <w:bCs/>
      <w:kern w:val="2"/>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numbering" Target="numbering.xml"/><Relationship Id="rId40" Type="http://schemas.openxmlformats.org/officeDocument/2006/relationships/image" Target="media/image32.jpeg"/><Relationship Id="rId4" Type="http://schemas.openxmlformats.org/officeDocument/2006/relationships/header" Target="header2.xml"/><Relationship Id="rId39" Type="http://schemas.openxmlformats.org/officeDocument/2006/relationships/image" Target="media/image31.jpeg"/><Relationship Id="rId38" Type="http://schemas.openxmlformats.org/officeDocument/2006/relationships/image" Target="media/image30.pn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F0000">
            <a:alpha val="0"/>
          </a:srgbClr>
        </a:solidFill>
        <a:ln w="9525">
          <a:solidFill>
            <a:srgbClr val="FFFF00"/>
          </a:solidFill>
          <a:miter lim="800000"/>
        </a:ln>
      </a:spPr>
      <a:bodyPr rot="0" vert="horz" wrap="square" lIns="91440" tIns="45720" rIns="91440" bIns="45720" anchor="t" anchorCtr="0" upright="1">
        <a:noAutofit/>
      </a:bodyPr>
      <a:lst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7CB5BD6-D299-4A84-9F17-8051D65820A0}">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125</Pages>
  <Words>3800</Words>
  <Characters>4283</Characters>
  <Lines>553</Lines>
  <Paragraphs>155</Paragraphs>
  <TotalTime>0</TotalTime>
  <ScaleCrop>false</ScaleCrop>
  <LinksUpToDate>false</LinksUpToDate>
  <CharactersWithSpaces>4716</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2020-08-04T01:34:00Z</dcterms:created>
  <dc:creator>xb21cn</dc:creator>
  <cp:lastModifiedBy>Administrator</cp:lastModifiedBy>
  <cp:lastPrinted>2019-01-14T06:46:00Z</cp:lastPrinted>
  <dcterms:modified xsi:type="dcterms:W3CDTF">2025-06-24T08:38:42Z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TemplateDocerSaveRecord">
    <vt:lpwstr>eyJoZGlkIjoiYWI5YTAyMTY3ZTdjYWNiYWYzZjJiZjg1MDY5OTgxYTgifQ==</vt:lpwstr>
  </property>
  <property fmtid="{D5CDD505-2E9C-101B-9397-08002B2CF9AE}" pid="4" name="ICV">
    <vt:lpwstr>7184D2AC43DF49C5AF716C56BA66B683_12</vt:lpwstr>
  </property>
</Properties>
</file>