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Lines="0" w:line="576" w:lineRule="exact"/>
        <w:jc w:val="center"/>
        <w:textAlignment w:val="auto"/>
        <w:outlineLvl w:val="0"/>
        <w:rPr>
          <w:rFonts w:hint="eastAsia" w:ascii="方正小标宋简体" w:hAnsi="宋体" w:eastAsia="方正小标宋简体" w:cs="Times New Roman"/>
          <w:color w:val="auto"/>
          <w:kern w:val="2"/>
          <w:sz w:val="44"/>
          <w:szCs w:val="44"/>
          <w:highlight w:val="none"/>
          <w:lang w:val="en-US" w:eastAsia="zh-CN" w:bidi="ar-SA"/>
        </w:rPr>
      </w:pPr>
      <w:bookmarkStart w:id="0" w:name="_Toc169"/>
    </w:p>
    <w:p>
      <w:pPr>
        <w:pStyle w:val="2"/>
        <w:keepNext w:val="0"/>
        <w:keepLines w:val="0"/>
        <w:pageBreakBefore w:val="0"/>
        <w:widowControl w:val="0"/>
        <w:kinsoku/>
        <w:wordWrap/>
        <w:overflowPunct/>
        <w:topLinePunct w:val="0"/>
        <w:autoSpaceDE/>
        <w:autoSpaceDN/>
        <w:bidi w:val="0"/>
        <w:adjustRightInd/>
        <w:snapToGrid/>
        <w:spacing w:beforeLines="0" w:line="576" w:lineRule="exact"/>
        <w:jc w:val="both"/>
        <w:textAlignment w:val="auto"/>
        <w:outlineLvl w:val="0"/>
        <w:rPr>
          <w:rFonts w:hint="eastAsia" w:ascii="方正小标宋简体" w:hAnsi="宋体" w:eastAsia="方正小标宋简体" w:cs="Times New Roman"/>
          <w:color w:val="auto"/>
          <w:kern w:val="2"/>
          <w:sz w:val="44"/>
          <w:szCs w:val="44"/>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jc w:val="center"/>
        <w:textAlignment w:val="auto"/>
        <w:outlineLvl w:val="0"/>
        <w:rPr>
          <w:rFonts w:hint="eastAsia" w:ascii="方正小标宋简体" w:hAnsi="宋体" w:eastAsia="方正小标宋简体" w:cs="Times New Roman"/>
          <w:color w:val="auto"/>
          <w:kern w:val="2"/>
          <w:sz w:val="44"/>
          <w:szCs w:val="44"/>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jc w:val="center"/>
        <w:textAlignment w:val="auto"/>
        <w:outlineLvl w:val="0"/>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广元市自然资源储备交易中心</w:t>
      </w:r>
      <w:bookmarkEnd w:id="0"/>
    </w:p>
    <w:p>
      <w:pPr>
        <w:pStyle w:val="2"/>
        <w:keepNext w:val="0"/>
        <w:keepLines w:val="0"/>
        <w:pageBreakBefore w:val="0"/>
        <w:widowControl w:val="0"/>
        <w:kinsoku/>
        <w:wordWrap/>
        <w:overflowPunct/>
        <w:topLinePunct w:val="0"/>
        <w:autoSpaceDE/>
        <w:autoSpaceDN/>
        <w:bidi w:val="0"/>
        <w:adjustRightInd/>
        <w:snapToGrid/>
        <w:spacing w:beforeLines="0" w:line="576" w:lineRule="exact"/>
        <w:jc w:val="center"/>
        <w:textAlignment w:val="auto"/>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2023年单位决算公开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olor w:val="auto"/>
          <w:sz w:val="48"/>
          <w:szCs w:val="48"/>
          <w:highlight w:val="none"/>
        </w:rPr>
      </w:pPr>
      <w:r>
        <w:rPr>
          <w:rFonts w:hint="eastAsia" w:ascii="黑体" w:hAnsi="黑体" w:eastAsia="黑体"/>
          <w:color w:val="auto"/>
          <w:sz w:val="48"/>
          <w:szCs w:val="48"/>
          <w:highlight w:val="none"/>
        </w:rPr>
        <w:br w:type="page"/>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黑体" w:hAnsi="黑体" w:eastAsia="黑体" w:cs="Times New Roman"/>
          <w:color w:val="auto"/>
          <w:sz w:val="28"/>
          <w:szCs w:val="28"/>
          <w:highlight w:val="none"/>
        </w:rPr>
      </w:pPr>
      <w:r>
        <w:rPr>
          <w:rFonts w:hint="eastAsia" w:ascii="方正小标宋_GBK" w:hAnsi="方正小标宋_GBK" w:eastAsia="方正小标宋_GBK" w:cs="方正小标宋_GBK"/>
          <w:color w:val="auto"/>
          <w:sz w:val="44"/>
          <w:szCs w:val="44"/>
          <w:highlight w:val="none"/>
        </w:rPr>
        <w:t>目</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录</w:t>
      </w:r>
    </w:p>
    <w:p>
      <w:pPr>
        <w:pStyle w:val="11"/>
        <w:keepNext w:val="0"/>
        <w:keepLines w:val="0"/>
        <w:pageBreakBefore w:val="0"/>
        <w:kinsoku/>
        <w:wordWrap/>
        <w:overflowPunct/>
        <w:topLinePunct w:val="0"/>
        <w:autoSpaceDE/>
        <w:autoSpaceDN/>
        <w:bidi w:val="0"/>
        <w:adjustRightInd/>
        <w:snapToGrid/>
        <w:spacing w:line="576" w:lineRule="exact"/>
        <w:textAlignment w:val="auto"/>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14</w:t>
      </w:r>
      <w:r>
        <w:rPr>
          <w:rFonts w:hint="eastAsia"/>
          <w:color w:val="auto"/>
          <w:highlight w:val="none"/>
        </w:rPr>
        <w:t>日</w:t>
      </w:r>
    </w:p>
    <w:sdt>
      <w:sdtPr>
        <w:rPr>
          <w:rFonts w:ascii="宋体" w:hAnsi="宋体" w:eastAsia="宋体" w:cs="Times New Roman"/>
          <w:kern w:val="2"/>
          <w:sz w:val="21"/>
          <w:szCs w:val="24"/>
          <w:lang w:val="en-US" w:eastAsia="zh-CN" w:bidi="ar-SA"/>
        </w:rPr>
        <w:id w:val="147461445"/>
        <w15:color w:val="DBDBDB"/>
        <w:docPartObj>
          <w:docPartGallery w:val="Table of Contents"/>
          <w:docPartUnique/>
        </w:docPartObj>
      </w:sdtPr>
      <w:sdtEndPr>
        <w:rPr>
          <w:rFonts w:hint="eastAsia" w:ascii="仿宋_GB2312" w:hAnsi="仿宋_GB2312" w:eastAsia="仿宋_GB2312" w:cs="仿宋_GB2312"/>
          <w:kern w:val="2"/>
          <w:sz w:val="32"/>
          <w:szCs w:val="3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pP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ind w:left="0" w:leftChars="0" w:firstLine="0" w:firstLineChars="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HYPERLINK \l _Toc26555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lang w:val="en-US" w:eastAsia="zh-CN"/>
            </w:rPr>
            <w:t>第一部分 单位概况</w:t>
          </w:r>
          <w:r>
            <w:rPr>
              <w:rFonts w:hint="eastAsia" w:ascii="仿宋_GB2312" w:hAnsi="仿宋_GB2312" w:eastAsia="仿宋_GB2312" w:cs="仿宋_GB2312"/>
              <w:b/>
              <w:color w:val="auto"/>
              <w:sz w:val="32"/>
              <w:szCs w:val="32"/>
              <w:highlight w:val="none"/>
            </w:rPr>
            <w:tab/>
          </w: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PAGEREF _Toc26555 \h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rPr>
            <w:t>1</w:t>
          </w:r>
          <w:r>
            <w:rPr>
              <w:rFonts w:hint="eastAsia" w:ascii="仿宋_GB2312" w:hAnsi="仿宋_GB2312" w:eastAsia="仿宋_GB2312" w:cs="仿宋_GB2312"/>
              <w:b/>
              <w:color w:val="auto"/>
              <w:sz w:val="32"/>
              <w:szCs w:val="32"/>
              <w:highlight w:val="none"/>
            </w:rPr>
            <w:fldChar w:fldCharType="end"/>
          </w:r>
          <w:r>
            <w:rPr>
              <w:rFonts w:hint="eastAsia" w:ascii="仿宋_GB2312" w:hAnsi="仿宋_GB2312" w:eastAsia="仿宋_GB2312" w:cs="仿宋_GB2312"/>
              <w:b/>
              <w:color w:val="auto"/>
              <w:sz w:val="32"/>
              <w:szCs w:val="32"/>
              <w:highlight w:val="none"/>
            </w:rPr>
            <w:fldChar w:fldCharType="end"/>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_Toc28007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一、 主要职责</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_Toc28007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_Toc19247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二、 机构设置</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_Toc19247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HYPERLINK \l _Toc18208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lang w:val="en-US" w:eastAsia="zh-CN"/>
            </w:rPr>
            <w:t>第二部分 2023年度单位决算情况说明</w:t>
          </w:r>
          <w:r>
            <w:rPr>
              <w:rFonts w:hint="eastAsia" w:ascii="仿宋_GB2312" w:hAnsi="仿宋_GB2312" w:eastAsia="仿宋_GB2312" w:cs="仿宋_GB2312"/>
              <w:b/>
              <w:color w:val="auto"/>
              <w:sz w:val="32"/>
              <w:szCs w:val="32"/>
              <w:highlight w:val="none"/>
            </w:rPr>
            <w:tab/>
          </w: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PAGEREF _Toc18208 \h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rPr>
            <w:t>2</w:t>
          </w:r>
          <w:r>
            <w:rPr>
              <w:rFonts w:hint="eastAsia" w:ascii="仿宋_GB2312" w:hAnsi="仿宋_GB2312" w:eastAsia="仿宋_GB2312" w:cs="仿宋_GB2312"/>
              <w:b/>
              <w:color w:val="auto"/>
              <w:sz w:val="32"/>
              <w:szCs w:val="32"/>
              <w:highlight w:val="none"/>
            </w:rPr>
            <w:fldChar w:fldCharType="end"/>
          </w:r>
          <w:r>
            <w:rPr>
              <w:rFonts w:hint="eastAsia" w:ascii="仿宋_GB2312" w:hAnsi="仿宋_GB2312" w:eastAsia="仿宋_GB2312" w:cs="仿宋_GB2312"/>
              <w:b/>
              <w:color w:val="auto"/>
              <w:sz w:val="32"/>
              <w:szCs w:val="32"/>
              <w:highlight w:val="none"/>
            </w:rPr>
            <w:fldChar w:fldCharType="end"/>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_Toc11872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收入支出决算总体情况说明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_Toc11872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_Toc22169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收入决算情况说明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_Toc22169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_Toc13935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支出决算情况说明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_Toc13935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_Toc8087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四、财政拨款收入支出决算总体情况说明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_Toc8087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_Toc6116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五、一般公共预算财政拨款支出决算情况说明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_Toc6116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_Toc30304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六、一般公共预算财政拨款基本支出决算情况说明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_Toc30304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七、财政拨款“三公”经费支出决算情况说明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_Toc86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_Toc3207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八、政府性基金预算支出决算情况说明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_Toc3207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_Toc28782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国有资本经营预算支出决算情况说明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_Toc28782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_Toc22329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其他重要事项的情况说明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_Toc22329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HYPERLINK \l _Toc10115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lang w:val="en-US" w:eastAsia="zh-CN"/>
            </w:rPr>
            <w:t>第三部分  名词解释</w:t>
          </w:r>
          <w:r>
            <w:rPr>
              <w:rFonts w:hint="eastAsia" w:ascii="仿宋_GB2312" w:hAnsi="仿宋_GB2312" w:eastAsia="仿宋_GB2312" w:cs="仿宋_GB2312"/>
              <w:b/>
              <w:color w:val="auto"/>
              <w:sz w:val="32"/>
              <w:szCs w:val="32"/>
              <w:highlight w:val="none"/>
            </w:rPr>
            <w:tab/>
          </w: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PAGEREF _Toc10115 \h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rPr>
            <w:t>11</w:t>
          </w:r>
          <w:r>
            <w:rPr>
              <w:rFonts w:hint="eastAsia" w:ascii="仿宋_GB2312" w:hAnsi="仿宋_GB2312" w:eastAsia="仿宋_GB2312" w:cs="仿宋_GB2312"/>
              <w:b/>
              <w:color w:val="auto"/>
              <w:sz w:val="32"/>
              <w:szCs w:val="32"/>
              <w:highlight w:val="none"/>
            </w:rPr>
            <w:fldChar w:fldCharType="end"/>
          </w:r>
          <w:r>
            <w:rPr>
              <w:rFonts w:hint="eastAsia" w:ascii="仿宋_GB2312" w:hAnsi="仿宋_GB2312" w:eastAsia="仿宋_GB2312" w:cs="仿宋_GB2312"/>
              <w:b/>
              <w:color w:val="auto"/>
              <w:sz w:val="32"/>
              <w:szCs w:val="32"/>
              <w:highlight w:val="none"/>
            </w:rPr>
            <w:fldChar w:fldCharType="end"/>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HYPERLINK \l _Toc13263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lang w:val="en-US" w:eastAsia="zh-CN"/>
            </w:rPr>
            <w:t>第四部分  附件</w:t>
          </w:r>
          <w:r>
            <w:rPr>
              <w:rFonts w:hint="eastAsia" w:ascii="仿宋_GB2312" w:hAnsi="仿宋_GB2312" w:eastAsia="仿宋_GB2312" w:cs="仿宋_GB2312"/>
              <w:b/>
              <w:color w:val="auto"/>
              <w:sz w:val="32"/>
              <w:szCs w:val="32"/>
              <w:highlight w:val="none"/>
            </w:rPr>
            <w:tab/>
          </w: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PAGEREF _Toc13263 \h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rPr>
            <w:t>14</w:t>
          </w:r>
          <w:r>
            <w:rPr>
              <w:rFonts w:hint="eastAsia" w:ascii="仿宋_GB2312" w:hAnsi="仿宋_GB2312" w:eastAsia="仿宋_GB2312" w:cs="仿宋_GB2312"/>
              <w:b/>
              <w:color w:val="auto"/>
              <w:sz w:val="32"/>
              <w:szCs w:val="32"/>
              <w:highlight w:val="none"/>
            </w:rPr>
            <w:fldChar w:fldCharType="end"/>
          </w:r>
          <w:r>
            <w:rPr>
              <w:rFonts w:hint="eastAsia" w:ascii="仿宋_GB2312" w:hAnsi="仿宋_GB2312" w:eastAsia="仿宋_GB2312" w:cs="仿宋_GB2312"/>
              <w:b/>
              <w:color w:val="auto"/>
              <w:sz w:val="32"/>
              <w:szCs w:val="32"/>
              <w:highlight w:val="none"/>
            </w:rPr>
            <w:fldChar w:fldCharType="end"/>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HYPERLINK \l _Toc27678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lang w:val="en-US" w:eastAsia="zh-CN"/>
            </w:rPr>
            <w:t>第五部分  附表</w:t>
          </w:r>
          <w:r>
            <w:rPr>
              <w:rFonts w:hint="eastAsia" w:ascii="仿宋_GB2312" w:hAnsi="仿宋_GB2312" w:eastAsia="仿宋_GB2312" w:cs="仿宋_GB2312"/>
              <w:b/>
              <w:color w:val="auto"/>
              <w:sz w:val="32"/>
              <w:szCs w:val="32"/>
              <w:highlight w:val="none"/>
            </w:rPr>
            <w:tab/>
          </w: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PAGEREF _Toc27678 \h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rPr>
            <w:t>15</w:t>
          </w:r>
          <w:r>
            <w:rPr>
              <w:rFonts w:hint="eastAsia" w:ascii="仿宋_GB2312" w:hAnsi="仿宋_GB2312" w:eastAsia="仿宋_GB2312" w:cs="仿宋_GB2312"/>
              <w:b/>
              <w:color w:val="auto"/>
              <w:sz w:val="32"/>
              <w:szCs w:val="32"/>
              <w:highlight w:val="none"/>
            </w:rPr>
            <w:fldChar w:fldCharType="end"/>
          </w:r>
          <w:r>
            <w:rPr>
              <w:rFonts w:hint="eastAsia" w:ascii="仿宋_GB2312" w:hAnsi="仿宋_GB2312" w:eastAsia="仿宋_GB2312" w:cs="仿宋_GB2312"/>
              <w:b/>
              <w:color w:val="auto"/>
              <w:sz w:val="32"/>
              <w:szCs w:val="32"/>
              <w:highlight w:val="none"/>
            </w:rPr>
            <w:fldChar w:fldCharType="end"/>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_Toc21085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一、收入支出决算总表</w:t>
          </w:r>
          <w:r>
            <w:rPr>
              <w:rFonts w:hint="eastAsia" w:ascii="仿宋_GB2312" w:hAnsi="仿宋_GB2312" w:eastAsia="仿宋_GB2312" w:cs="仿宋_GB2312"/>
              <w:color w:val="auto"/>
              <w:sz w:val="32"/>
              <w:szCs w:val="32"/>
              <w:highlight w:val="none"/>
            </w:rPr>
            <w:fldChar w:fldCharType="end"/>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_Toc2523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二、收入决算表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15</w:t>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_Toc13984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三、支出决算表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15</w:t>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_Toc16586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四、财政拨款收入支出决算总表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15</w:t>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_Toc4687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五、财政拨款支出决算明细表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15</w:t>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_Toc10597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六、一般公共预算财政拨款支出决算表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15</w:t>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_Toc28191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七、一般公共预算财政拨款支出决算明细表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15</w:t>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_Toc15149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八、一般公共预算财政拨款基本支出决算表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15</w:t>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_Toc5828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九、一般公共预算财政拨款项目支出决算表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15</w:t>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_Toc15980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十、政府性基金预算财政拨款收入支出决算表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15</w:t>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_Toc20507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十一、国有资本经营预算</w:t>
          </w:r>
          <w:r>
            <w:rPr>
              <w:rFonts w:hint="eastAsia" w:ascii="仿宋_GB2312" w:hAnsi="仿宋_GB2312" w:eastAsia="仿宋_GB2312" w:cs="仿宋_GB2312"/>
              <w:color w:val="auto"/>
              <w:sz w:val="32"/>
              <w:szCs w:val="32"/>
              <w:highlight w:val="none"/>
              <w:lang w:eastAsia="zh-CN"/>
            </w:rPr>
            <w:t>财政拨款收入</w:t>
          </w:r>
          <w:r>
            <w:rPr>
              <w:rFonts w:hint="eastAsia" w:ascii="仿宋_GB2312" w:hAnsi="仿宋_GB2312" w:eastAsia="仿宋_GB2312" w:cs="仿宋_GB2312"/>
              <w:color w:val="auto"/>
              <w:sz w:val="32"/>
              <w:szCs w:val="32"/>
              <w:highlight w:val="none"/>
            </w:rPr>
            <w:t>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15</w:t>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_Toc6470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十二、</w:t>
          </w:r>
          <w:r>
            <w:rPr>
              <w:rFonts w:hint="eastAsia" w:ascii="仿宋_GB2312" w:hAnsi="仿宋_GB2312" w:eastAsia="仿宋_GB2312" w:cs="仿宋_GB2312"/>
              <w:color w:val="auto"/>
              <w:sz w:val="32"/>
              <w:szCs w:val="32"/>
              <w:highlight w:val="none"/>
              <w:lang w:eastAsia="zh-CN"/>
            </w:rPr>
            <w:t>国有资本经营预算财政拨款支出决算表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15</w:t>
          </w:r>
        </w:p>
        <w:p>
          <w:pPr>
            <w:pStyle w:val="35"/>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_Toc14991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十三、</w:t>
          </w:r>
          <w:r>
            <w:rPr>
              <w:rFonts w:hint="eastAsia" w:ascii="仿宋_GB2312" w:hAnsi="仿宋_GB2312" w:eastAsia="仿宋_GB2312" w:cs="仿宋_GB2312"/>
              <w:color w:val="auto"/>
              <w:sz w:val="32"/>
              <w:szCs w:val="32"/>
              <w:highlight w:val="none"/>
              <w:lang w:eastAsia="zh-CN"/>
            </w:rPr>
            <w:t>财政拨款“三公”经费支出决算表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15</w:t>
          </w:r>
        </w:p>
        <w:p>
          <w:pPr>
            <w:pStyle w:val="35"/>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p>
      </w:sdtContent>
    </w:sdt>
    <w:p>
      <w:pPr>
        <w:pStyle w:val="3"/>
        <w:jc w:val="center"/>
        <w:rPr>
          <w:rFonts w:hint="eastAsia" w:ascii="方正小标宋_GBK" w:hAnsi="方正小标宋_GBK" w:eastAsia="方正小标宋_GBK" w:cs="方正小标宋_GBK"/>
          <w:b w:val="0"/>
          <w:bCs w:val="0"/>
          <w:color w:val="auto"/>
          <w:kern w:val="2"/>
          <w:sz w:val="44"/>
          <w:szCs w:val="44"/>
          <w:highlight w:val="none"/>
          <w:lang w:val="en-US" w:eastAsia="zh-CN" w:bidi="ar-SA"/>
        </w:rPr>
        <w:sectPr>
          <w:headerReference r:id="rId3" w:type="default"/>
          <w:footerReference r:id="rId4" w:type="default"/>
          <w:pgSz w:w="11906" w:h="16838"/>
          <w:pgMar w:top="2098" w:right="1474" w:bottom="1984" w:left="1587" w:header="851" w:footer="1559" w:gutter="0"/>
          <w:pgNumType w:fmt="decimal" w:start="1"/>
          <w:cols w:space="0" w:num="1"/>
          <w:rtlGutter w:val="0"/>
          <w:docGrid w:type="lines" w:linePitch="312" w:charSpace="0"/>
        </w:sectPr>
      </w:pPr>
      <w:bookmarkStart w:id="1" w:name="_Toc26555"/>
    </w:p>
    <w:p>
      <w:pPr>
        <w:pStyle w:val="3"/>
        <w:jc w:val="center"/>
        <w:rPr>
          <w:rFonts w:hint="eastAsia" w:ascii="方正小标宋_GBK" w:hAnsi="方正小标宋_GBK" w:eastAsia="方正小标宋_GBK" w:cs="方正小标宋_GBK"/>
          <w:b w:val="0"/>
          <w:bCs w:val="0"/>
          <w:color w:val="auto"/>
          <w:kern w:val="2"/>
          <w:sz w:val="44"/>
          <w:szCs w:val="44"/>
          <w:highlight w:val="none"/>
          <w:lang w:val="en-US" w:eastAsia="zh-CN" w:bidi="ar-SA"/>
        </w:rPr>
      </w:pPr>
      <w:r>
        <w:rPr>
          <w:rFonts w:hint="eastAsia" w:ascii="方正小标宋_GBK" w:hAnsi="方正小标宋_GBK" w:eastAsia="方正小标宋_GBK" w:cs="方正小标宋_GBK"/>
          <w:b w:val="0"/>
          <w:bCs w:val="0"/>
          <w:color w:val="auto"/>
          <w:kern w:val="2"/>
          <w:sz w:val="44"/>
          <w:szCs w:val="44"/>
          <w:highlight w:val="none"/>
          <w:lang w:val="en-US" w:eastAsia="zh-CN" w:bidi="ar-SA"/>
        </w:rPr>
        <w:t>第一部分 单位概况</w:t>
      </w:r>
      <w:bookmarkEnd w:id="1"/>
    </w:p>
    <w:p>
      <w:pPr>
        <w:widowControl/>
        <w:jc w:val="left"/>
        <w:rPr>
          <w:rFonts w:ascii="黑体" w:eastAsia="黑体"/>
          <w:color w:val="auto"/>
          <w:sz w:val="32"/>
          <w:szCs w:val="32"/>
          <w:highlight w:val="none"/>
        </w:rPr>
      </w:pPr>
    </w:p>
    <w:p>
      <w:pPr>
        <w:pStyle w:val="4"/>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jc w:val="both"/>
        <w:textAlignment w:val="auto"/>
        <w:rPr>
          <w:rStyle w:val="20"/>
          <w:rFonts w:hint="eastAsia" w:ascii="黑体" w:hAnsi="黑体" w:eastAsia="黑体"/>
          <w:b w:val="0"/>
          <w:bCs w:val="0"/>
          <w:color w:val="auto"/>
          <w:highlight w:val="none"/>
          <w:lang w:eastAsia="zh-CN"/>
        </w:rPr>
      </w:pPr>
      <w:bookmarkStart w:id="2" w:name="_Toc28007"/>
      <w:r>
        <w:rPr>
          <w:rFonts w:hint="eastAsia" w:ascii="黑体" w:hAnsi="黑体" w:eastAsia="黑体" w:cstheme="majorBidi"/>
          <w:b w:val="0"/>
          <w:bCs w:val="0"/>
          <w:color w:val="auto"/>
          <w:kern w:val="2"/>
          <w:sz w:val="32"/>
          <w:szCs w:val="32"/>
          <w:lang w:val="en-US" w:eastAsia="zh-CN" w:bidi="ar-SA"/>
        </w:rPr>
        <w:t>一、</w:t>
      </w:r>
      <w:r>
        <w:rPr>
          <w:rStyle w:val="20"/>
          <w:rFonts w:hint="eastAsia" w:ascii="黑体" w:hAnsi="黑体" w:eastAsia="黑体"/>
          <w:b w:val="0"/>
          <w:bCs w:val="0"/>
          <w:color w:val="auto"/>
          <w:highlight w:val="none"/>
          <w:lang w:eastAsia="zh-CN"/>
        </w:rPr>
        <w:t>主要职责</w:t>
      </w:r>
      <w:bookmarkEnd w:id="2"/>
    </w:p>
    <w:p>
      <w:pPr>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lang w:eastAsia="zh-CN"/>
        </w:rPr>
      </w:pPr>
      <w:r>
        <w:rPr>
          <w:rFonts w:hint="eastAsia" w:ascii="仿宋_GB2312" w:hAnsi="仿宋_GB2312" w:eastAsia="仿宋_GB2312" w:cs="仿宋_GB2312"/>
          <w:color w:val="auto"/>
          <w:sz w:val="32"/>
          <w:szCs w:val="32"/>
        </w:rPr>
        <w:t>负责编制市本级土地储备计划并实施；负责储备土地实施前期开发和管护；配合土地储备专项债券发行工作；承担国有建设用地</w:t>
      </w:r>
      <w:r>
        <w:rPr>
          <w:rFonts w:hint="eastAsia" w:ascii="仿宋_GB2312" w:hAnsi="仿宋_GB2312" w:eastAsia="仿宋_GB2312" w:cs="仿宋_GB2312"/>
          <w:color w:val="auto"/>
          <w:sz w:val="32"/>
          <w:szCs w:val="32"/>
          <w:highlight w:val="none"/>
        </w:rPr>
        <w:t>供应事务性工作；负责国有建设用地二级市场相关工作。</w:t>
      </w:r>
    </w:p>
    <w:p>
      <w:pPr>
        <w:pStyle w:val="4"/>
        <w:pageBreakBefore w:val="0"/>
        <w:widowControl w:val="0"/>
        <w:numPr>
          <w:ilvl w:val="0"/>
          <w:numId w:val="0"/>
        </w:numPr>
        <w:kinsoku/>
        <w:wordWrap/>
        <w:overflowPunct/>
        <w:topLinePunct w:val="0"/>
        <w:autoSpaceDE/>
        <w:autoSpaceDN/>
        <w:bidi w:val="0"/>
        <w:adjustRightInd/>
        <w:snapToGrid/>
        <w:spacing w:before="0" w:after="0" w:line="576" w:lineRule="exact"/>
        <w:ind w:left="0" w:leftChars="0" w:firstLine="640" w:firstLineChars="200"/>
        <w:jc w:val="both"/>
        <w:textAlignment w:val="auto"/>
        <w:rPr>
          <w:rFonts w:hint="eastAsia" w:ascii="黑体" w:hAnsi="黑体" w:eastAsia="黑体"/>
          <w:b w:val="0"/>
          <w:color w:val="auto"/>
          <w:highlight w:val="none"/>
          <w:lang w:val="en-US" w:eastAsia="zh-CN"/>
        </w:rPr>
      </w:pPr>
      <w:bookmarkStart w:id="3" w:name="_Toc19247"/>
      <w:r>
        <w:rPr>
          <w:rFonts w:hint="eastAsia" w:ascii="黑体" w:hAnsi="黑体" w:eastAsia="黑体" w:cstheme="majorBidi"/>
          <w:b w:val="0"/>
          <w:color w:val="auto"/>
          <w:kern w:val="2"/>
          <w:sz w:val="32"/>
          <w:szCs w:val="32"/>
          <w:lang w:val="en-US" w:eastAsia="zh-CN" w:bidi="ar-SA"/>
        </w:rPr>
        <w:t>二、</w:t>
      </w:r>
      <w:r>
        <w:rPr>
          <w:rFonts w:hint="eastAsia" w:ascii="黑体" w:hAnsi="黑体" w:eastAsia="黑体"/>
          <w:b w:val="0"/>
          <w:color w:val="auto"/>
          <w:highlight w:val="none"/>
          <w:lang w:val="en-US" w:eastAsia="zh-CN"/>
        </w:rPr>
        <w:t>机构设置</w:t>
      </w:r>
      <w:bookmarkEnd w:id="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我单位为</w:t>
      </w:r>
      <w:r>
        <w:rPr>
          <w:rFonts w:hint="eastAsia" w:ascii="仿宋_GB2312" w:hAnsi="仿宋_GB2312" w:eastAsia="仿宋_GB2312" w:cs="仿宋_GB2312"/>
          <w:b w:val="0"/>
          <w:color w:val="auto"/>
          <w:sz w:val="32"/>
          <w:szCs w:val="32"/>
          <w:lang w:val="en-US" w:eastAsia="zh-CN"/>
        </w:rPr>
        <w:t>广元市自然资源局</w:t>
      </w:r>
      <w:r>
        <w:rPr>
          <w:rFonts w:hint="eastAsia" w:ascii="仿宋_GB2312" w:hAnsi="仿宋_GB2312" w:eastAsia="仿宋_GB2312" w:cs="仿宋_GB2312"/>
          <w:sz w:val="32"/>
          <w:szCs w:val="32"/>
          <w:lang w:val="en-US" w:eastAsia="zh-CN"/>
        </w:rPr>
        <w:t>下属二级预算单位，本单位无下属机构，设有内设机构1个。</w:t>
      </w:r>
    </w:p>
    <w:p>
      <w:pPr>
        <w:pageBreakBefore w:val="0"/>
        <w:widowControl w:val="0"/>
        <w:numPr>
          <w:ilvl w:val="0"/>
          <w:numId w:val="0"/>
        </w:numPr>
        <w:kinsoku/>
        <w:wordWrap/>
        <w:overflowPunct/>
        <w:topLinePunct w:val="0"/>
        <w:autoSpaceDE/>
        <w:autoSpaceDN/>
        <w:bidi w:val="0"/>
        <w:adjustRightInd/>
        <w:snapToGrid/>
        <w:spacing w:line="576" w:lineRule="exact"/>
        <w:ind w:leftChars="0" w:firstLine="420" w:firstLineChars="200"/>
        <w:jc w:val="both"/>
        <w:textAlignment w:val="auto"/>
        <w:rPr>
          <w:rFonts w:hint="eastAsia"/>
          <w:lang w:val="en-US" w:eastAsia="zh-CN"/>
        </w:rPr>
      </w:pPr>
    </w:p>
    <w:p>
      <w:pPr>
        <w:rPr>
          <w:rFonts w:hint="eastAsia" w:ascii="方正小标宋_GBK" w:hAnsi="方正小标宋_GBK" w:eastAsia="方正小标宋_GBK" w:cs="方正小标宋_GBK"/>
          <w:b w:val="0"/>
          <w:bCs w:val="0"/>
          <w:color w:val="auto"/>
          <w:kern w:val="2"/>
          <w:sz w:val="44"/>
          <w:szCs w:val="44"/>
          <w:highlight w:val="none"/>
          <w:lang w:val="en-US" w:eastAsia="zh-CN" w:bidi="ar-SA"/>
        </w:rPr>
      </w:pPr>
      <w:bookmarkStart w:id="4" w:name="_Toc18208"/>
      <w:r>
        <w:rPr>
          <w:rFonts w:hint="eastAsia" w:ascii="方正小标宋_GBK" w:hAnsi="方正小标宋_GBK" w:eastAsia="方正小标宋_GBK" w:cs="方正小标宋_GBK"/>
          <w:b w:val="0"/>
          <w:bCs w:val="0"/>
          <w:color w:val="auto"/>
          <w:kern w:val="2"/>
          <w:sz w:val="44"/>
          <w:szCs w:val="44"/>
          <w:highlight w:val="none"/>
          <w:lang w:val="en-US" w:eastAsia="zh-CN" w:bidi="ar-SA"/>
        </w:rPr>
        <w:br w:type="page"/>
      </w:r>
    </w:p>
    <w:p>
      <w:pPr>
        <w:pStyle w:val="3"/>
        <w:jc w:val="center"/>
        <w:rPr>
          <w:rFonts w:hint="eastAsia" w:ascii="方正小标宋_GBK" w:hAnsi="方正小标宋_GBK" w:eastAsia="方正小标宋_GBK" w:cs="方正小标宋_GBK"/>
          <w:b w:val="0"/>
          <w:bCs w:val="0"/>
          <w:color w:val="auto"/>
          <w:kern w:val="2"/>
          <w:sz w:val="44"/>
          <w:szCs w:val="44"/>
          <w:highlight w:val="none"/>
          <w:lang w:val="en-US" w:eastAsia="zh-CN" w:bidi="ar-SA"/>
        </w:rPr>
      </w:pPr>
      <w:r>
        <w:rPr>
          <w:rFonts w:hint="eastAsia" w:ascii="方正小标宋_GBK" w:hAnsi="方正小标宋_GBK" w:eastAsia="方正小标宋_GBK" w:cs="方正小标宋_GBK"/>
          <w:b w:val="0"/>
          <w:bCs w:val="0"/>
          <w:color w:val="auto"/>
          <w:kern w:val="2"/>
          <w:sz w:val="44"/>
          <w:szCs w:val="44"/>
          <w:highlight w:val="none"/>
          <w:lang w:val="en-US" w:eastAsia="zh-CN" w:bidi="ar-SA"/>
        </w:rPr>
        <w:t>第二部分 2023年度单位决算情况说明</w:t>
      </w:r>
      <w:bookmarkEnd w:id="4"/>
    </w:p>
    <w:p>
      <w:pPr>
        <w:rPr>
          <w:color w:val="auto"/>
          <w:highlight w:val="none"/>
        </w:rPr>
      </w:pPr>
    </w:p>
    <w:p>
      <w:pPr>
        <w:pStyle w:val="29"/>
        <w:numPr>
          <w:ilvl w:val="0"/>
          <w:numId w:val="0"/>
        </w:numPr>
        <w:spacing w:line="600" w:lineRule="exact"/>
        <w:ind w:left="640" w:leftChars="0"/>
        <w:outlineLvl w:val="1"/>
        <w:rPr>
          <w:rStyle w:val="20"/>
          <w:rFonts w:ascii="黑体" w:hAnsi="黑体" w:eastAsia="黑体"/>
          <w:b w:val="0"/>
          <w:color w:val="auto"/>
          <w:highlight w:val="none"/>
        </w:rPr>
      </w:pPr>
      <w:bookmarkStart w:id="5" w:name="_Toc11872"/>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20"/>
          <w:rFonts w:hint="eastAsia" w:ascii="黑体" w:hAnsi="黑体" w:eastAsia="黑体"/>
          <w:b w:val="0"/>
          <w:color w:val="auto"/>
          <w:highlight w:val="none"/>
        </w:rPr>
        <w:t>入支出决算总体情况说明</w:t>
      </w:r>
      <w:bookmarkEnd w:id="5"/>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color w:val="auto"/>
          <w:sz w:val="32"/>
          <w:szCs w:val="32"/>
          <w:highlight w:val="none"/>
          <w:lang w:eastAsia="zh-CN"/>
        </w:rPr>
        <w:t>均为</w:t>
      </w:r>
      <w:r>
        <w:rPr>
          <w:rFonts w:hint="eastAsia" w:ascii="仿宋_GB2312" w:hAnsi="仿宋_GB2312" w:eastAsia="仿宋_GB2312" w:cs="仿宋_GB2312"/>
          <w:color w:val="auto"/>
          <w:sz w:val="32"/>
          <w:szCs w:val="32"/>
          <w:highlight w:val="none"/>
          <w:lang w:val="en-US" w:eastAsia="zh-CN"/>
        </w:rPr>
        <w:t>8821.63</w:t>
      </w:r>
      <w:r>
        <w:rPr>
          <w:rFonts w:hint="eastAsia" w:ascii="仿宋_GB2312" w:hAnsi="仿宋_GB2312" w:eastAsia="仿宋_GB2312" w:cs="仿宋_GB2312"/>
          <w:color w:val="auto"/>
          <w:sz w:val="32"/>
          <w:szCs w:val="32"/>
          <w:highlight w:val="none"/>
        </w:rPr>
        <w:t>万元。与</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相比，收、支总计各减少</w:t>
      </w:r>
      <w:r>
        <w:rPr>
          <w:rFonts w:hint="eastAsia" w:ascii="仿宋_GB2312" w:hAnsi="仿宋_GB2312" w:eastAsia="仿宋_GB2312" w:cs="仿宋_GB2312"/>
          <w:color w:val="auto"/>
          <w:sz w:val="32"/>
          <w:szCs w:val="32"/>
          <w:highlight w:val="none"/>
          <w:lang w:val="en-US" w:eastAsia="zh-CN"/>
        </w:rPr>
        <w:t>11051.8</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55.61</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rPr>
        <w:t>征地和拆迁补偿支出</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highlight w:val="none"/>
          <w:lang w:eastAsia="zh-CN"/>
        </w:rPr>
        <w:t>。</w:t>
      </w:r>
    </w:p>
    <w:p>
      <w:pPr>
        <w:pStyle w:val="28"/>
        <w:keepNext w:val="0"/>
        <w:keepLines w:val="0"/>
        <w:pageBreakBefore w:val="0"/>
        <w:widowControl w:val="0"/>
        <w:shd w:val="clea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5139055" cy="3627755"/>
            <wp:effectExtent l="4445" t="4445" r="7620" b="101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shd w:val="clear"/>
        <w:kinsoku/>
        <w:wordWrap/>
        <w:overflowPunct/>
        <w:topLinePunct w:val="0"/>
        <w:bidi w:val="0"/>
        <w:snapToGrid/>
        <w:spacing w:line="576"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（图1：收、支决算总计变动情况图）</w:t>
      </w:r>
    </w:p>
    <w:p>
      <w:pPr>
        <w:pStyle w:val="4"/>
        <w:pageBreakBefore w:val="0"/>
        <w:widowControl w:val="0"/>
        <w:shd w:val="clear"/>
        <w:kinsoku/>
        <w:wordWrap/>
        <w:overflowPunct/>
        <w:topLinePunct w:val="0"/>
        <w:autoSpaceDE/>
        <w:autoSpaceDN/>
        <w:bidi w:val="0"/>
        <w:adjustRightInd/>
        <w:spacing w:before="0" w:after="0" w:line="576" w:lineRule="exact"/>
        <w:ind w:firstLine="640" w:firstLineChars="200"/>
        <w:textAlignment w:val="auto"/>
        <w:outlineLvl w:val="9"/>
        <w:rPr>
          <w:rFonts w:hint="eastAsia" w:ascii="黑体" w:hAnsi="黑体" w:eastAsia="黑体" w:cs="黑体"/>
          <w:b w:val="0"/>
          <w:bCs w:val="0"/>
          <w:color w:val="auto"/>
          <w:sz w:val="32"/>
          <w:szCs w:val="32"/>
          <w:lang w:eastAsia="zh-CN"/>
        </w:rPr>
      </w:pPr>
      <w:bookmarkStart w:id="6" w:name="_Toc2056"/>
      <w:bookmarkStart w:id="7" w:name="_Toc15396604"/>
      <w:bookmarkStart w:id="8" w:name="_Toc15377206"/>
    </w:p>
    <w:p>
      <w:pPr>
        <w:pStyle w:val="4"/>
        <w:pageBreakBefore w:val="0"/>
        <w:widowControl w:val="0"/>
        <w:shd w:val="clear"/>
        <w:kinsoku/>
        <w:wordWrap/>
        <w:overflowPunct/>
        <w:topLinePunct w:val="0"/>
        <w:autoSpaceDE/>
        <w:autoSpaceDN/>
        <w:bidi w:val="0"/>
        <w:adjustRightInd/>
        <w:spacing w:before="0" w:after="0" w:line="576" w:lineRule="exact"/>
        <w:ind w:firstLine="640" w:firstLineChars="200"/>
        <w:textAlignment w:val="auto"/>
        <w:rPr>
          <w:rFonts w:hint="eastAsia" w:ascii="黑体" w:hAnsi="黑体" w:eastAsia="黑体" w:cs="黑体"/>
          <w:b w:val="0"/>
          <w:bCs w:val="0"/>
          <w:color w:val="auto"/>
          <w:sz w:val="32"/>
          <w:szCs w:val="32"/>
        </w:rPr>
      </w:pPr>
      <w:bookmarkStart w:id="9" w:name="_Toc22169"/>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收入决算情况说明</w:t>
      </w:r>
      <w:bookmarkEnd w:id="6"/>
      <w:bookmarkEnd w:id="7"/>
      <w:bookmarkEnd w:id="8"/>
      <w:bookmarkEnd w:id="9"/>
    </w:p>
    <w:p>
      <w:pPr>
        <w:pStyle w:val="28"/>
        <w:keepNext w:val="0"/>
        <w:keepLines w:val="0"/>
        <w:pageBreakBefore w:val="0"/>
        <w:widowControl w:val="0"/>
        <w:shd w:val="clear"/>
        <w:kinsoku/>
        <w:wordWrap/>
        <w:overflowPunct/>
        <w:topLinePunct w:val="0"/>
        <w:autoSpaceDE w:val="0"/>
        <w:autoSpaceDN w:val="0"/>
        <w:bidi w:val="0"/>
        <w:adjustRightInd w:val="0"/>
        <w:snapToGrid/>
        <w:spacing w:line="240" w:lineRule="auto"/>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本年收入合计</w:t>
      </w:r>
      <w:r>
        <w:rPr>
          <w:rFonts w:hint="eastAsia" w:ascii="仿宋_GB2312" w:hAnsi="仿宋_GB2312" w:eastAsia="仿宋_GB2312" w:cs="仿宋_GB2312"/>
          <w:color w:val="auto"/>
          <w:sz w:val="32"/>
          <w:szCs w:val="32"/>
          <w:lang w:val="en-US" w:eastAsia="zh-CN"/>
        </w:rPr>
        <w:t>8821.63</w:t>
      </w:r>
      <w:r>
        <w:rPr>
          <w:rFonts w:hint="eastAsia" w:ascii="仿宋_GB2312" w:hAnsi="仿宋_GB2312" w:eastAsia="仿宋_GB2312" w:cs="仿宋_GB2312"/>
          <w:color w:val="auto"/>
          <w:sz w:val="32"/>
          <w:szCs w:val="32"/>
        </w:rPr>
        <w:t>万元，其中：一般公共预算财政拨款收入</w:t>
      </w:r>
      <w:r>
        <w:rPr>
          <w:rFonts w:hint="eastAsia" w:ascii="仿宋_GB2312" w:hAnsi="仿宋_GB2312" w:eastAsia="仿宋_GB2312" w:cs="仿宋_GB2312"/>
          <w:color w:val="auto"/>
          <w:sz w:val="32"/>
          <w:szCs w:val="32"/>
          <w:lang w:val="en-US" w:eastAsia="zh-CN"/>
        </w:rPr>
        <w:t>324.82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3.68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政府性基金预算财政拨款收入</w:t>
      </w:r>
      <w:r>
        <w:rPr>
          <w:rFonts w:hint="eastAsia" w:ascii="仿宋_GB2312" w:hAnsi="仿宋_GB2312" w:eastAsia="仿宋_GB2312" w:cs="仿宋_GB2312"/>
          <w:color w:val="auto"/>
          <w:sz w:val="32"/>
          <w:szCs w:val="32"/>
          <w:lang w:val="en-US" w:eastAsia="zh-CN"/>
        </w:rPr>
        <w:t>3248496.81</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96.32</w:t>
      </w:r>
      <w:r>
        <w:rPr>
          <w:rFonts w:hint="eastAsia" w:ascii="仿宋_GB2312" w:hAnsi="仿宋_GB2312" w:eastAsia="仿宋_GB2312" w:cs="仿宋_GB2312"/>
          <w:color w:val="auto"/>
          <w:sz w:val="32"/>
          <w:szCs w:val="32"/>
        </w:rPr>
        <w:t>%。</w:t>
      </w:r>
    </w:p>
    <w:p>
      <w:pPr>
        <w:pStyle w:val="28"/>
        <w:keepNext w:val="0"/>
        <w:keepLines w:val="0"/>
        <w:pageBreakBefore w:val="0"/>
        <w:widowControl w:val="0"/>
        <w:shd w:val="clea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auto"/>
          <w:sz w:val="32"/>
          <w:szCs w:val="32"/>
        </w:rPr>
      </w:pPr>
    </w:p>
    <w:p>
      <w:pPr>
        <w:pStyle w:val="28"/>
        <w:keepNext w:val="0"/>
        <w:keepLines w:val="0"/>
        <w:pageBreakBefore w:val="0"/>
        <w:widowControl w:val="0"/>
        <w:shd w:val="clea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drawing>
          <wp:inline distT="0" distB="0" distL="114300" distR="114300">
            <wp:extent cx="4300220" cy="2439670"/>
            <wp:effectExtent l="4445" t="5080" r="19685" b="1270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shd w:val="clear"/>
        <w:kinsoku/>
        <w:wordWrap/>
        <w:overflowPunct/>
        <w:topLinePunct w:val="0"/>
        <w:bidi w:val="0"/>
        <w:snapToGrid/>
        <w:spacing w:line="576"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（图2：收入决算结构图）</w:t>
      </w:r>
    </w:p>
    <w:p>
      <w:pPr>
        <w:pStyle w:val="4"/>
        <w:pageBreakBefore w:val="0"/>
        <w:widowControl w:val="0"/>
        <w:shd w:val="clear"/>
        <w:kinsoku/>
        <w:wordWrap/>
        <w:overflowPunct/>
        <w:topLinePunct w:val="0"/>
        <w:autoSpaceDE/>
        <w:autoSpaceDN/>
        <w:bidi w:val="0"/>
        <w:adjustRightInd/>
        <w:spacing w:before="0" w:after="0" w:line="576" w:lineRule="exact"/>
        <w:ind w:firstLine="640" w:firstLineChars="200"/>
        <w:textAlignment w:val="auto"/>
        <w:rPr>
          <w:rFonts w:hint="eastAsia" w:ascii="黑体" w:hAnsi="黑体" w:eastAsia="黑体" w:cs="黑体"/>
          <w:b w:val="0"/>
          <w:bCs w:val="0"/>
          <w:color w:val="auto"/>
          <w:sz w:val="32"/>
          <w:szCs w:val="32"/>
        </w:rPr>
      </w:pPr>
      <w:bookmarkStart w:id="10" w:name="_Toc15396605"/>
      <w:bookmarkStart w:id="11" w:name="_Toc15377207"/>
      <w:bookmarkStart w:id="12" w:name="_Toc13935"/>
      <w:bookmarkStart w:id="13" w:name="_Toc1074"/>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支出决算情况说明</w:t>
      </w:r>
      <w:bookmarkEnd w:id="10"/>
      <w:bookmarkEnd w:id="11"/>
      <w:bookmarkEnd w:id="12"/>
      <w:bookmarkEnd w:id="13"/>
    </w:p>
    <w:p>
      <w:pPr>
        <w:keepNext w:val="0"/>
        <w:keepLines w:val="0"/>
        <w:pageBreakBefore w:val="0"/>
        <w:widowControl w:val="0"/>
        <w:shd w:val="clear"/>
        <w:kinsoku/>
        <w:wordWrap/>
        <w:overflowPunct/>
        <w:topLinePunct w:val="0"/>
        <w:bidi w:val="0"/>
        <w:snapToGrid/>
        <w:spacing w:line="576" w:lineRule="exact"/>
        <w:ind w:left="0" w:firstLine="640" w:firstLineChars="200"/>
        <w:jc w:val="both"/>
        <w:textAlignment w:val="auto"/>
        <w:outlineLvl w:val="1"/>
        <w:rPr>
          <w:rFonts w:hint="eastAsia" w:ascii="仿宋_GB2312" w:hAnsi="仿宋_GB2312" w:eastAsia="仿宋_GB2312" w:cs="仿宋_GB2312"/>
          <w:color w:val="auto"/>
          <w:sz w:val="32"/>
          <w:szCs w:val="32"/>
          <w:lang w:eastAsia="zh-CN"/>
        </w:rPr>
      </w:pPr>
      <w:bookmarkStart w:id="14" w:name="_Toc27896"/>
      <w:bookmarkStart w:id="15" w:name="_Toc30230"/>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本年支出合计</w:t>
      </w:r>
      <w:r>
        <w:rPr>
          <w:rFonts w:hint="eastAsia" w:ascii="仿宋_GB2312" w:hAnsi="仿宋_GB2312" w:eastAsia="仿宋_GB2312" w:cs="仿宋_GB2312"/>
          <w:color w:val="auto"/>
          <w:sz w:val="32"/>
          <w:szCs w:val="32"/>
          <w:lang w:val="en-US" w:eastAsia="zh-CN"/>
        </w:rPr>
        <w:t>8821.63</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263.34</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2.99</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8558.29</w:t>
      </w:r>
      <w:r>
        <w:rPr>
          <w:rFonts w:hint="eastAsia" w:ascii="仿宋_GB2312" w:hAnsi="仿宋_GB2312" w:eastAsia="仿宋_GB2312" w:cs="仿宋_GB2312"/>
          <w:color w:val="auto"/>
          <w:sz w:val="32"/>
          <w:szCs w:val="32"/>
        </w:rPr>
        <w:t>万元，占9</w:t>
      </w:r>
      <w:r>
        <w:rPr>
          <w:rFonts w:hint="eastAsia" w:ascii="仿宋_GB2312" w:hAnsi="仿宋_GB2312" w:eastAsia="仿宋_GB2312" w:cs="仿宋_GB2312"/>
          <w:color w:val="auto"/>
          <w:sz w:val="32"/>
          <w:szCs w:val="32"/>
          <w:lang w:val="en-US" w:eastAsia="zh-CN"/>
        </w:rPr>
        <w:t>7.01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bookmarkEnd w:id="14"/>
      <w:bookmarkEnd w:id="15"/>
    </w:p>
    <w:p>
      <w:pPr>
        <w:pStyle w:val="28"/>
        <w:keepNext w:val="0"/>
        <w:keepLines w:val="0"/>
        <w:pageBreakBefore w:val="0"/>
        <w:widowControl w:val="0"/>
        <w:shd w:val="clea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auto"/>
          <w:sz w:val="32"/>
          <w:szCs w:val="32"/>
          <w:shd w:val="pct10" w:color="auto" w:fill="FFFFFF"/>
        </w:rPr>
      </w:pPr>
      <w:r>
        <w:rPr>
          <w:rFonts w:hint="eastAsia" w:ascii="仿宋_GB2312" w:hAnsi="仿宋_GB2312" w:eastAsia="仿宋_GB2312" w:cs="仿宋_GB2312"/>
          <w:color w:val="auto"/>
          <w:sz w:val="32"/>
          <w:szCs w:val="32"/>
          <w:shd w:val="pct10" w:color="auto" w:fill="FFFFFF"/>
        </w:rPr>
        <w:drawing>
          <wp:inline distT="0" distB="0" distL="114300" distR="114300">
            <wp:extent cx="4577080" cy="2456180"/>
            <wp:effectExtent l="4445" t="5080" r="9525" b="1524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shd w:val="clear"/>
        <w:kinsoku/>
        <w:wordWrap/>
        <w:overflowPunct/>
        <w:topLinePunct w:val="0"/>
        <w:bidi w:val="0"/>
        <w:snapToGrid/>
        <w:spacing w:line="576"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（图3：支出决算结构图）</w:t>
      </w:r>
    </w:p>
    <w:p>
      <w:pPr>
        <w:pStyle w:val="4"/>
        <w:pageBreakBefore w:val="0"/>
        <w:widowControl w:val="0"/>
        <w:shd w:val="clear"/>
        <w:kinsoku/>
        <w:wordWrap/>
        <w:overflowPunct/>
        <w:topLinePunct w:val="0"/>
        <w:autoSpaceDE/>
        <w:autoSpaceDN/>
        <w:bidi w:val="0"/>
        <w:adjustRightInd/>
        <w:spacing w:before="0" w:after="0" w:line="576" w:lineRule="exact"/>
        <w:ind w:firstLine="640" w:firstLineChars="200"/>
        <w:textAlignment w:val="auto"/>
        <w:rPr>
          <w:rFonts w:hint="eastAsia" w:ascii="黑体" w:hAnsi="黑体" w:eastAsia="黑体" w:cs="黑体"/>
          <w:b w:val="0"/>
          <w:bCs w:val="0"/>
          <w:color w:val="auto"/>
          <w:sz w:val="32"/>
          <w:szCs w:val="32"/>
        </w:rPr>
      </w:pPr>
      <w:bookmarkStart w:id="16" w:name="_Toc15396606"/>
      <w:bookmarkStart w:id="17" w:name="_Toc8087"/>
      <w:bookmarkStart w:id="18" w:name="_Toc18315"/>
      <w:bookmarkStart w:id="19" w:name="_Toc15377208"/>
      <w:r>
        <w:rPr>
          <w:rFonts w:hint="eastAsia" w:ascii="黑体" w:hAnsi="黑体" w:eastAsia="黑体" w:cs="黑体"/>
          <w:b w:val="0"/>
          <w:bCs w:val="0"/>
          <w:color w:val="auto"/>
          <w:sz w:val="32"/>
          <w:szCs w:val="32"/>
        </w:rPr>
        <w:t>四、财政拨款收入支出决算总体情况说明</w:t>
      </w:r>
      <w:bookmarkEnd w:id="16"/>
      <w:bookmarkEnd w:id="17"/>
      <w:bookmarkEnd w:id="18"/>
      <w:bookmarkEnd w:id="19"/>
    </w:p>
    <w:p>
      <w:pPr>
        <w:keepNext w:val="0"/>
        <w:keepLines w:val="0"/>
        <w:pageBreakBefore w:val="0"/>
        <w:widowControl w:val="0"/>
        <w:shd w:val="clear"/>
        <w:kinsoku/>
        <w:wordWrap/>
        <w:overflowPunct/>
        <w:topLinePunct w:val="0"/>
        <w:bidi w:val="0"/>
        <w:snapToGrid/>
        <w:spacing w:line="576"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财政拨款收、支总计</w:t>
      </w:r>
      <w:r>
        <w:rPr>
          <w:rFonts w:hint="eastAsia" w:ascii="仿宋_GB2312" w:hAnsi="仿宋_GB2312" w:eastAsia="仿宋_GB2312" w:cs="仿宋_GB2312"/>
          <w:color w:val="auto"/>
          <w:sz w:val="32"/>
          <w:szCs w:val="32"/>
          <w:lang w:eastAsia="zh-CN"/>
        </w:rPr>
        <w:t>均为</w:t>
      </w:r>
      <w:r>
        <w:rPr>
          <w:rFonts w:hint="eastAsia" w:ascii="仿宋_GB2312" w:hAnsi="仿宋_GB2312" w:eastAsia="仿宋_GB2312" w:cs="仿宋_GB2312"/>
          <w:color w:val="auto"/>
          <w:sz w:val="32"/>
          <w:szCs w:val="32"/>
          <w:lang w:val="en-US" w:eastAsia="zh-CN"/>
        </w:rPr>
        <w:t>8821.63</w:t>
      </w:r>
      <w:r>
        <w:rPr>
          <w:rFonts w:hint="eastAsia" w:ascii="仿宋_GB2312" w:hAnsi="仿宋_GB2312" w:eastAsia="仿宋_GB2312" w:cs="仿宋_GB2312"/>
          <w:color w:val="auto"/>
          <w:sz w:val="32"/>
          <w:szCs w:val="32"/>
        </w:rPr>
        <w:t>万元。与202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年相比，财政拨款收、支总计各</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1051.77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下降</w:t>
      </w:r>
      <w:r>
        <w:rPr>
          <w:rFonts w:hint="eastAsia" w:ascii="仿宋_GB2312" w:hAnsi="仿宋_GB2312" w:eastAsia="仿宋_GB2312" w:cs="仿宋_GB2312"/>
          <w:color w:val="auto"/>
          <w:sz w:val="32"/>
          <w:szCs w:val="32"/>
          <w:lang w:val="en-US" w:eastAsia="zh-CN"/>
        </w:rPr>
        <w:t>55.61</w:t>
      </w:r>
      <w:r>
        <w:rPr>
          <w:rFonts w:hint="eastAsia" w:ascii="仿宋_GB2312" w:hAnsi="仿宋_GB2312" w:eastAsia="仿宋_GB2312" w:cs="仿宋_GB2312"/>
          <w:color w:val="auto"/>
          <w:sz w:val="32"/>
          <w:szCs w:val="32"/>
        </w:rPr>
        <w:t>%。主要变动原因是征地和拆迁补偿支出</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rPr>
        <w:t>。</w:t>
      </w:r>
    </w:p>
    <w:p>
      <w:pPr>
        <w:pStyle w:val="28"/>
        <w:shd w:val="clear"/>
        <w:jc w:val="center"/>
        <w:rPr>
          <w:rFonts w:hAnsi="仿宋"/>
          <w:color w:val="auto"/>
          <w:sz w:val="32"/>
          <w:szCs w:val="32"/>
        </w:rPr>
      </w:pPr>
      <w:r>
        <w:rPr>
          <w:rFonts w:hint="eastAsia" w:hAnsi="仿宋"/>
          <w:color w:val="auto"/>
          <w:sz w:val="32"/>
          <w:szCs w:val="32"/>
        </w:rPr>
        <w:drawing>
          <wp:inline distT="0" distB="0" distL="114300" distR="114300">
            <wp:extent cx="5509895" cy="3112135"/>
            <wp:effectExtent l="4445" t="4445" r="17780" b="76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shd w:val="clear"/>
        <w:kinsoku/>
        <w:wordWrap/>
        <w:overflowPunct/>
        <w:topLinePunct w:val="0"/>
        <w:bidi w:val="0"/>
        <w:snapToGrid/>
        <w:spacing w:line="576" w:lineRule="exact"/>
        <w:ind w:firstLine="0" w:firstLineChars="0"/>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（图4：财政拨款收、支决算总计变动情况）</w:t>
      </w:r>
    </w:p>
    <w:p>
      <w:pPr>
        <w:pStyle w:val="4"/>
        <w:pageBreakBefore w:val="0"/>
        <w:widowControl w:val="0"/>
        <w:shd w:val="clear"/>
        <w:kinsoku/>
        <w:wordWrap/>
        <w:overflowPunct/>
        <w:topLinePunct w:val="0"/>
        <w:autoSpaceDE/>
        <w:autoSpaceDN/>
        <w:bidi w:val="0"/>
        <w:adjustRightInd/>
        <w:spacing w:before="0" w:after="0" w:line="576" w:lineRule="exact"/>
        <w:ind w:firstLine="640" w:firstLineChars="200"/>
        <w:textAlignment w:val="auto"/>
        <w:outlineLvl w:val="9"/>
        <w:rPr>
          <w:rFonts w:hint="eastAsia" w:ascii="黑体" w:hAnsi="黑体" w:eastAsia="黑体" w:cs="黑体"/>
          <w:b w:val="0"/>
          <w:bCs w:val="0"/>
          <w:color w:val="auto"/>
          <w:sz w:val="32"/>
          <w:szCs w:val="32"/>
        </w:rPr>
      </w:pPr>
      <w:bookmarkStart w:id="20" w:name="_Toc15396607"/>
      <w:bookmarkStart w:id="21" w:name="_Toc13072"/>
      <w:bookmarkStart w:id="22" w:name="_Toc15377209"/>
    </w:p>
    <w:p>
      <w:pPr>
        <w:pStyle w:val="4"/>
        <w:pageBreakBefore w:val="0"/>
        <w:widowControl w:val="0"/>
        <w:shd w:val="clear"/>
        <w:kinsoku/>
        <w:wordWrap/>
        <w:overflowPunct/>
        <w:topLinePunct w:val="0"/>
        <w:autoSpaceDE/>
        <w:autoSpaceDN/>
        <w:bidi w:val="0"/>
        <w:adjustRightInd/>
        <w:spacing w:before="0" w:after="0" w:line="576" w:lineRule="exact"/>
        <w:ind w:firstLine="640" w:firstLineChars="200"/>
        <w:textAlignment w:val="auto"/>
        <w:rPr>
          <w:rFonts w:hint="eastAsia" w:ascii="黑体" w:hAnsi="黑体" w:eastAsia="黑体" w:cs="黑体"/>
          <w:b w:val="0"/>
          <w:bCs w:val="0"/>
          <w:color w:val="auto"/>
          <w:sz w:val="32"/>
          <w:szCs w:val="32"/>
        </w:rPr>
      </w:pPr>
      <w:bookmarkStart w:id="23" w:name="_Toc6116"/>
      <w:r>
        <w:rPr>
          <w:rFonts w:hint="eastAsia" w:ascii="黑体" w:hAnsi="黑体" w:eastAsia="黑体" w:cs="黑体"/>
          <w:b w:val="0"/>
          <w:bCs w:val="0"/>
          <w:color w:val="auto"/>
          <w:sz w:val="32"/>
          <w:szCs w:val="32"/>
        </w:rPr>
        <w:t>五、一般公共预算财政拨款支出决算情况说明</w:t>
      </w:r>
      <w:bookmarkEnd w:id="20"/>
      <w:bookmarkEnd w:id="21"/>
      <w:bookmarkEnd w:id="22"/>
      <w:bookmarkEnd w:id="23"/>
    </w:p>
    <w:p>
      <w:pPr>
        <w:spacing w:line="600" w:lineRule="exact"/>
        <w:ind w:firstLine="642" w:firstLineChars="200"/>
        <w:outlineLvl w:val="2"/>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（一）一般公共预算财政拨款支出决算总体情况</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一般公共预算财政拨款支出</w:t>
      </w:r>
      <w:r>
        <w:rPr>
          <w:rFonts w:hint="eastAsia" w:ascii="仿宋_GB2312" w:hAnsi="仿宋_GB2312" w:eastAsia="仿宋_GB2312" w:cs="仿宋_GB2312"/>
          <w:color w:val="auto"/>
          <w:sz w:val="32"/>
          <w:szCs w:val="32"/>
          <w:lang w:val="en-US" w:eastAsia="zh-CN"/>
        </w:rPr>
        <w:t>324.82</w:t>
      </w:r>
      <w:r>
        <w:rPr>
          <w:rFonts w:hint="eastAsia" w:ascii="仿宋_GB2312" w:hAnsi="仿宋_GB2312" w:eastAsia="仿宋_GB2312" w:cs="仿宋_GB2312"/>
          <w:color w:val="auto"/>
          <w:sz w:val="32"/>
          <w:szCs w:val="32"/>
        </w:rPr>
        <w:t>万元，占本年支出合计的</w:t>
      </w:r>
      <w:r>
        <w:rPr>
          <w:rFonts w:hint="eastAsia" w:ascii="仿宋_GB2312" w:hAnsi="仿宋_GB2312" w:eastAsia="仿宋_GB2312" w:cs="仿宋_GB2312"/>
          <w:color w:val="auto"/>
          <w:sz w:val="32"/>
          <w:szCs w:val="32"/>
          <w:lang w:val="en-US" w:eastAsia="zh-CN"/>
        </w:rPr>
        <w:t>3.68</w:t>
      </w:r>
      <w:r>
        <w:rPr>
          <w:rFonts w:hint="eastAsia" w:ascii="仿宋_GB2312" w:hAnsi="仿宋_GB2312" w:eastAsia="仿宋_GB2312" w:cs="仿宋_GB2312"/>
          <w:color w:val="auto"/>
          <w:sz w:val="32"/>
          <w:szCs w:val="32"/>
        </w:rPr>
        <w:t>%。与202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年相比，一般公共预算财政拨款支出</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2020.73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下降</w:t>
      </w:r>
      <w:r>
        <w:rPr>
          <w:rFonts w:hint="eastAsia" w:ascii="仿宋_GB2312" w:hAnsi="仿宋_GB2312" w:eastAsia="仿宋_GB2312" w:cs="仿宋_GB2312"/>
          <w:color w:val="auto"/>
          <w:sz w:val="32"/>
          <w:szCs w:val="32"/>
          <w:lang w:val="en-US" w:eastAsia="zh-CN"/>
        </w:rPr>
        <w:t>86.15</w:t>
      </w:r>
      <w:r>
        <w:rPr>
          <w:rFonts w:hint="eastAsia" w:ascii="仿宋_GB2312" w:hAnsi="仿宋_GB2312" w:eastAsia="仿宋_GB2312" w:cs="仿宋_GB2312"/>
          <w:color w:val="auto"/>
          <w:sz w:val="32"/>
          <w:szCs w:val="32"/>
        </w:rPr>
        <w:t>%。主要变动</w:t>
      </w:r>
      <w:r>
        <w:rPr>
          <w:rFonts w:hint="eastAsia" w:ascii="仿宋_GB2312" w:hAnsi="仿宋_GB2312" w:eastAsia="仿宋_GB2312" w:cs="仿宋_GB2312"/>
          <w:color w:val="auto"/>
          <w:sz w:val="32"/>
          <w:szCs w:val="32"/>
          <w:lang w:val="en-US" w:eastAsia="zh-CN"/>
        </w:rPr>
        <w:t>是征地拆迁补偿支出由政府性基金预算项目下达</w:t>
      </w:r>
      <w:r>
        <w:rPr>
          <w:rFonts w:hint="eastAsia" w:ascii="仿宋_GB2312" w:hAnsi="仿宋_GB2312" w:eastAsia="仿宋_GB2312" w:cs="仿宋_GB2312"/>
          <w:color w:val="auto"/>
          <w:sz w:val="32"/>
          <w:szCs w:val="32"/>
        </w:rPr>
        <w:t>。</w:t>
      </w:r>
    </w:p>
    <w:p>
      <w:pPr>
        <w:pStyle w:val="28"/>
        <w:keepNext w:val="0"/>
        <w:keepLines w:val="0"/>
        <w:pageBreakBefore w:val="0"/>
        <w:widowControl w:val="0"/>
        <w:shd w:val="clear"/>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5336540" cy="2620010"/>
            <wp:effectExtent l="4445" t="4445" r="8255" b="1206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shd w:val="clear"/>
        <w:kinsoku/>
        <w:wordWrap/>
        <w:overflowPunct/>
        <w:topLinePunct w:val="0"/>
        <w:bidi w:val="0"/>
        <w:snapToGrid/>
        <w:spacing w:line="576" w:lineRule="exact"/>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（图5：一般公共预算财政拨款支出决算变动情况）</w:t>
      </w:r>
    </w:p>
    <w:p>
      <w:pPr>
        <w:spacing w:line="600" w:lineRule="exact"/>
        <w:ind w:firstLine="642" w:firstLineChars="200"/>
        <w:outlineLvl w:val="2"/>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（二）一般公共预算财政拨款支出决算结构情况</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一般公共预算财政拨款支出</w:t>
      </w:r>
      <w:r>
        <w:rPr>
          <w:rFonts w:hint="eastAsia" w:ascii="仿宋_GB2312" w:hAnsi="仿宋_GB2312" w:eastAsia="仿宋_GB2312" w:cs="仿宋_GB2312"/>
          <w:color w:val="auto"/>
          <w:kern w:val="2"/>
          <w:sz w:val="32"/>
          <w:szCs w:val="24"/>
          <w:lang w:val="en-US" w:eastAsia="zh-CN"/>
        </w:rPr>
        <w:t>324.82</w:t>
      </w:r>
      <w:r>
        <w:rPr>
          <w:rFonts w:hint="eastAsia" w:ascii="仿宋_GB2312" w:hAnsi="仿宋_GB2312" w:eastAsia="仿宋_GB2312" w:cs="仿宋_GB2312"/>
          <w:color w:val="auto"/>
          <w:sz w:val="32"/>
          <w:szCs w:val="32"/>
        </w:rPr>
        <w:t>万元，主要用于以下方面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社</w:t>
      </w:r>
      <w:r>
        <w:rPr>
          <w:rFonts w:hint="eastAsia" w:ascii="仿宋_GB2312" w:hAnsi="仿宋_GB2312" w:eastAsia="仿宋_GB2312" w:cs="仿宋_GB2312"/>
          <w:b/>
          <w:color w:val="auto"/>
          <w:sz w:val="32"/>
          <w:szCs w:val="32"/>
        </w:rPr>
        <w:t>会保障和就业（类）</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kern w:val="2"/>
          <w:sz w:val="32"/>
          <w:szCs w:val="24"/>
          <w:lang w:val="en-US" w:eastAsia="zh-CN"/>
        </w:rPr>
        <w:t>31.34</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9.65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卫生健康支出</w:t>
      </w:r>
      <w:r>
        <w:rPr>
          <w:rFonts w:hint="eastAsia" w:ascii="仿宋_GB2312" w:hAnsi="仿宋_GB2312" w:eastAsia="仿宋_GB2312" w:cs="仿宋_GB2312"/>
          <w:b/>
          <w:bCs/>
          <w:color w:val="auto"/>
          <w:sz w:val="32"/>
          <w:szCs w:val="32"/>
          <w:lang w:val="en-US" w:eastAsia="zh-CN"/>
        </w:rPr>
        <w:t>8.56</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2.64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自然资源海洋气象等</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kern w:val="2"/>
          <w:sz w:val="32"/>
          <w:szCs w:val="24"/>
          <w:lang w:val="en-US" w:eastAsia="zh-CN"/>
        </w:rPr>
        <w:t>261.65</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kern w:val="2"/>
          <w:sz w:val="32"/>
          <w:szCs w:val="24"/>
          <w:lang w:val="en-US" w:eastAsia="zh-CN"/>
        </w:rPr>
        <w:t>80.55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住房保障支出</w:t>
      </w:r>
      <w:r>
        <w:rPr>
          <w:rFonts w:hint="eastAsia" w:ascii="仿宋_GB2312" w:hAnsi="仿宋_GB2312" w:eastAsia="仿宋_GB2312" w:cs="仿宋_GB2312"/>
          <w:color w:val="auto"/>
          <w:kern w:val="2"/>
          <w:sz w:val="32"/>
          <w:szCs w:val="24"/>
          <w:lang w:val="en-US" w:eastAsia="zh-CN"/>
        </w:rPr>
        <w:t>21.24</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6.54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粮油物资储备支出</w:t>
      </w:r>
      <w:r>
        <w:rPr>
          <w:rFonts w:hint="eastAsia" w:ascii="仿宋_GB2312" w:hAnsi="仿宋_GB2312" w:eastAsia="仿宋_GB2312" w:cs="仿宋_GB2312"/>
          <w:color w:val="auto"/>
          <w:sz w:val="32"/>
          <w:szCs w:val="32"/>
          <w:lang w:val="en-US" w:eastAsia="zh-CN"/>
        </w:rPr>
        <w:t>2.03万元，占0.62%</w:t>
      </w:r>
      <w:r>
        <w:rPr>
          <w:rFonts w:hint="eastAsia" w:ascii="仿宋_GB2312" w:hAnsi="仿宋_GB2312" w:eastAsia="仿宋_GB2312" w:cs="仿宋_GB2312"/>
          <w:color w:val="auto"/>
          <w:sz w:val="32"/>
          <w:szCs w:val="32"/>
        </w:rPr>
        <w:t>。</w:t>
      </w:r>
    </w:p>
    <w:p>
      <w:pPr>
        <w:pStyle w:val="28"/>
        <w:shd w:val="clear"/>
        <w:jc w:val="center"/>
        <w:rPr>
          <w:rFonts w:hAnsi="仿宋"/>
          <w:color w:val="auto"/>
          <w:sz w:val="32"/>
          <w:szCs w:val="32"/>
        </w:rPr>
      </w:pPr>
      <w:r>
        <w:rPr>
          <w:rFonts w:hint="eastAsia" w:hAnsi="仿宋"/>
          <w:color w:val="auto"/>
          <w:sz w:val="32"/>
          <w:szCs w:val="32"/>
        </w:rPr>
        <w:drawing>
          <wp:inline distT="0" distB="0" distL="114300" distR="114300">
            <wp:extent cx="3938270" cy="2270125"/>
            <wp:effectExtent l="4445" t="4445" r="19685" b="1143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widowControl w:val="0"/>
        <w:shd w:val="clear"/>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（图6：一般公共预算财政拨款支出决算结构）</w:t>
      </w:r>
    </w:p>
    <w:p>
      <w:pPr>
        <w:spacing w:line="600" w:lineRule="exact"/>
        <w:ind w:firstLine="642" w:firstLineChars="200"/>
        <w:outlineLvl w:val="2"/>
        <w:rPr>
          <w:rFonts w:hint="eastAsia" w:ascii="楷体_GB2312" w:hAnsi="楷体_GB2312" w:eastAsia="楷体_GB2312" w:cs="楷体_GB2312"/>
          <w:b/>
          <w:bCs w:val="0"/>
          <w:color w:val="auto"/>
          <w:sz w:val="32"/>
          <w:szCs w:val="32"/>
          <w:highlight w:val="none"/>
          <w:lang w:val="en-US" w:eastAsia="zh-CN"/>
        </w:rPr>
      </w:pPr>
      <w:bookmarkStart w:id="24" w:name="_Toc15377212"/>
      <w:bookmarkStart w:id="25" w:name="_Toc8088"/>
      <w:r>
        <w:rPr>
          <w:rFonts w:hint="eastAsia" w:ascii="楷体_GB2312" w:hAnsi="楷体_GB2312" w:eastAsia="楷体_GB2312" w:cs="楷体_GB2312"/>
          <w:b/>
          <w:bCs w:val="0"/>
          <w:color w:val="auto"/>
          <w:sz w:val="32"/>
          <w:szCs w:val="32"/>
          <w:highlight w:val="none"/>
          <w:lang w:val="en-US" w:eastAsia="zh-CN"/>
        </w:rPr>
        <w:t>（三）一般公共预算财政拨款支出决算具体情况</w:t>
      </w:r>
      <w:bookmarkEnd w:id="24"/>
      <w:bookmarkEnd w:id="25"/>
    </w:p>
    <w:p>
      <w:pPr>
        <w:pageBreakBefore w:val="0"/>
        <w:widowControl w:val="0"/>
        <w:shd w:val="clear"/>
        <w:kinsoku/>
        <w:wordWrap/>
        <w:overflowPunct/>
        <w:topLinePunct w:val="0"/>
        <w:autoSpaceDE/>
        <w:autoSpaceDN/>
        <w:bidi w:val="0"/>
        <w:adjustRightInd/>
        <w:snapToGrid/>
        <w:spacing w:line="576" w:lineRule="exact"/>
        <w:ind w:firstLine="642" w:firstLineChars="200"/>
        <w:jc w:val="both"/>
        <w:textAlignment w:val="auto"/>
        <w:outlineLvl w:val="1"/>
        <w:rPr>
          <w:rFonts w:hint="eastAsia" w:ascii="仿宋_GB2312" w:hAnsi="仿宋_GB2312" w:eastAsia="仿宋_GB2312" w:cs="仿宋_GB2312"/>
          <w:b/>
          <w:color w:val="auto"/>
          <w:sz w:val="32"/>
          <w:szCs w:val="32"/>
        </w:rPr>
      </w:pPr>
      <w:bookmarkStart w:id="26" w:name="_Toc15377213"/>
      <w:bookmarkStart w:id="27" w:name="_Toc15377444"/>
      <w:bookmarkStart w:id="28" w:name="_Toc1535"/>
      <w:bookmarkStart w:id="29" w:name="_Toc29058"/>
      <w:bookmarkStart w:id="30" w:name="_Toc15378460"/>
      <w:r>
        <w:rPr>
          <w:rFonts w:hint="eastAsia" w:ascii="仿宋_GB2312" w:hAnsi="仿宋_GB2312" w:eastAsia="仿宋_GB2312" w:cs="仿宋_GB2312"/>
          <w:b/>
          <w:color w:val="auto"/>
          <w:sz w:val="32"/>
          <w:szCs w:val="32"/>
        </w:rPr>
        <w:t>202</w:t>
      </w: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年</w:t>
      </w:r>
      <w:r>
        <w:rPr>
          <w:rFonts w:hint="eastAsia" w:ascii="仿宋_GB2312" w:hAnsi="仿宋_GB2312" w:eastAsia="仿宋_GB2312" w:cs="仿宋_GB2312"/>
          <w:b/>
          <w:color w:val="auto"/>
          <w:sz w:val="32"/>
          <w:szCs w:val="32"/>
          <w:lang w:eastAsia="zh-CN"/>
        </w:rPr>
        <w:t>度</w:t>
      </w:r>
      <w:r>
        <w:rPr>
          <w:rFonts w:hint="eastAsia" w:ascii="仿宋_GB2312" w:hAnsi="仿宋_GB2312" w:eastAsia="仿宋_GB2312" w:cs="仿宋_GB2312"/>
          <w:b/>
          <w:color w:val="auto"/>
          <w:sz w:val="32"/>
          <w:szCs w:val="32"/>
        </w:rPr>
        <w:t>一般公共预算支出决算数为</w:t>
      </w:r>
      <w:r>
        <w:rPr>
          <w:rFonts w:hint="eastAsia" w:ascii="仿宋_GB2312" w:hAnsi="仿宋_GB2312" w:eastAsia="仿宋_GB2312" w:cs="仿宋_GB2312"/>
          <w:b/>
          <w:color w:val="auto"/>
          <w:kern w:val="2"/>
          <w:sz w:val="32"/>
          <w:szCs w:val="32"/>
          <w:lang w:val="en-US" w:eastAsia="zh-CN"/>
        </w:rPr>
        <w:t>324.82</w:t>
      </w:r>
      <w:r>
        <w:rPr>
          <w:rFonts w:hint="eastAsia" w:ascii="仿宋_GB2312" w:hAnsi="仿宋_GB2312" w:eastAsia="仿宋_GB2312" w:cs="仿宋_GB2312"/>
          <w:b/>
          <w:color w:val="auto"/>
          <w:sz w:val="32"/>
          <w:szCs w:val="32"/>
        </w:rPr>
        <w:t>万元</w:t>
      </w:r>
      <w:r>
        <w:rPr>
          <w:rFonts w:hint="eastAsia" w:ascii="仿宋_GB2312" w:hAnsi="仿宋_GB2312" w:eastAsia="仿宋_GB2312" w:cs="仿宋_GB2312"/>
          <w:color w:val="auto"/>
          <w:sz w:val="32"/>
          <w:szCs w:val="32"/>
        </w:rPr>
        <w:t>，</w:t>
      </w:r>
      <w:r>
        <w:rPr>
          <w:rStyle w:val="17"/>
          <w:rFonts w:hint="eastAsia" w:ascii="仿宋_GB2312" w:hAnsi="仿宋_GB2312" w:eastAsia="仿宋_GB2312" w:cs="仿宋_GB2312"/>
          <w:bCs/>
          <w:color w:val="auto"/>
          <w:sz w:val="32"/>
          <w:szCs w:val="32"/>
        </w:rPr>
        <w:t>完成预算</w:t>
      </w:r>
      <w:r>
        <w:rPr>
          <w:rStyle w:val="17"/>
          <w:rFonts w:hint="eastAsia" w:ascii="仿宋_GB2312" w:hAnsi="仿宋_GB2312" w:eastAsia="仿宋_GB2312" w:cs="仿宋_GB2312"/>
          <w:bCs/>
          <w:color w:val="auto"/>
          <w:sz w:val="32"/>
          <w:szCs w:val="32"/>
          <w:lang w:val="en-US" w:eastAsia="zh-CN"/>
        </w:rPr>
        <w:t>100</w:t>
      </w:r>
      <w:r>
        <w:rPr>
          <w:rStyle w:val="17"/>
          <w:rFonts w:hint="eastAsia" w:ascii="仿宋_GB2312" w:hAnsi="仿宋_GB2312" w:eastAsia="仿宋_GB2312" w:cs="仿宋_GB2312"/>
          <w:bCs/>
          <w:color w:val="auto"/>
          <w:sz w:val="32"/>
          <w:szCs w:val="32"/>
        </w:rPr>
        <w:t>%。其中：</w:t>
      </w:r>
      <w:bookmarkEnd w:id="26"/>
      <w:bookmarkEnd w:id="27"/>
      <w:bookmarkEnd w:id="28"/>
      <w:bookmarkEnd w:id="29"/>
      <w:bookmarkEnd w:id="30"/>
    </w:p>
    <w:p>
      <w:pPr>
        <w:pageBreakBefore w:val="0"/>
        <w:widowControl w:val="0"/>
        <w:numPr>
          <w:ilvl w:val="0"/>
          <w:numId w:val="0"/>
        </w:numPr>
        <w:shd w:val="clear"/>
        <w:kinsoku/>
        <w:wordWrap/>
        <w:overflowPunct/>
        <w:topLinePunct w:val="0"/>
        <w:autoSpaceDE/>
        <w:autoSpaceDN/>
        <w:bidi w:val="0"/>
        <w:adjustRightInd/>
        <w:snapToGrid/>
        <w:spacing w:line="576" w:lineRule="exact"/>
        <w:ind w:firstLine="642" w:firstLineChars="200"/>
        <w:jc w:val="both"/>
        <w:textAlignment w:val="auto"/>
        <w:rPr>
          <w:rStyle w:val="17"/>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社会保障和就业（类）行政事业单位</w:t>
      </w:r>
      <w:r>
        <w:rPr>
          <w:rFonts w:hint="eastAsia" w:ascii="仿宋_GB2312" w:hAnsi="仿宋_GB2312" w:eastAsia="仿宋_GB2312" w:cs="仿宋_GB2312"/>
          <w:b/>
          <w:bCs/>
          <w:color w:val="auto"/>
          <w:sz w:val="32"/>
          <w:szCs w:val="32"/>
          <w:lang w:eastAsia="zh-CN"/>
        </w:rPr>
        <w:t>养老支出</w:t>
      </w:r>
      <w:r>
        <w:rPr>
          <w:rFonts w:hint="eastAsia" w:ascii="仿宋_GB2312" w:hAnsi="仿宋_GB2312" w:eastAsia="仿宋_GB2312" w:cs="仿宋_GB2312"/>
          <w:b/>
          <w:bCs/>
          <w:color w:val="auto"/>
          <w:sz w:val="32"/>
          <w:szCs w:val="32"/>
        </w:rPr>
        <w:t>（款）</w:t>
      </w:r>
      <w:r>
        <w:rPr>
          <w:rFonts w:hint="eastAsia" w:ascii="仿宋_GB2312" w:hAnsi="仿宋_GB2312" w:eastAsia="仿宋_GB2312" w:cs="仿宋_GB2312"/>
          <w:b/>
          <w:bCs/>
          <w:color w:val="auto"/>
          <w:sz w:val="32"/>
          <w:szCs w:val="32"/>
          <w:lang w:eastAsia="zh-CN"/>
        </w:rPr>
        <w:t>事业单位离退休</w:t>
      </w:r>
      <w:r>
        <w:rPr>
          <w:rFonts w:hint="eastAsia" w:ascii="仿宋_GB2312" w:hAnsi="仿宋_GB2312" w:eastAsia="仿宋_GB2312" w:cs="仿宋_GB2312"/>
          <w:b/>
          <w:bCs/>
          <w:color w:val="auto"/>
          <w:sz w:val="32"/>
          <w:szCs w:val="32"/>
        </w:rPr>
        <w:t>（项）</w:t>
      </w:r>
      <w:r>
        <w:rPr>
          <w:rFonts w:hint="eastAsia" w:ascii="仿宋_GB2312" w:hAnsi="仿宋_GB2312" w:eastAsia="仿宋_GB2312" w:cs="仿宋_GB2312"/>
          <w:b/>
          <w:bCs/>
          <w:color w:val="auto"/>
          <w:sz w:val="32"/>
          <w:szCs w:val="32"/>
          <w:lang w:eastAsia="zh-CN"/>
        </w:rPr>
        <w:t>：</w:t>
      </w:r>
      <w:r>
        <w:rPr>
          <w:rStyle w:val="17"/>
          <w:rFonts w:hint="eastAsia" w:ascii="仿宋_GB2312" w:hAnsi="仿宋_GB2312" w:eastAsia="仿宋_GB2312" w:cs="仿宋_GB2312"/>
          <w:b w:val="0"/>
          <w:bCs w:val="0"/>
          <w:color w:val="auto"/>
          <w:sz w:val="32"/>
          <w:szCs w:val="32"/>
          <w:lang w:eastAsia="zh-CN"/>
        </w:rPr>
        <w:t>支</w:t>
      </w:r>
      <w:r>
        <w:rPr>
          <w:rStyle w:val="17"/>
          <w:rFonts w:hint="eastAsia" w:ascii="仿宋_GB2312" w:hAnsi="仿宋_GB2312" w:eastAsia="仿宋_GB2312" w:cs="仿宋_GB2312"/>
          <w:b w:val="0"/>
          <w:bCs/>
          <w:color w:val="auto"/>
          <w:sz w:val="32"/>
          <w:szCs w:val="32"/>
        </w:rPr>
        <w:t>出决算为</w:t>
      </w:r>
      <w:r>
        <w:rPr>
          <w:rStyle w:val="17"/>
          <w:rFonts w:hint="eastAsia" w:ascii="仿宋_GB2312" w:hAnsi="仿宋_GB2312" w:eastAsia="仿宋_GB2312" w:cs="仿宋_GB2312"/>
          <w:b w:val="0"/>
          <w:bCs/>
          <w:color w:val="auto"/>
          <w:sz w:val="32"/>
          <w:szCs w:val="32"/>
          <w:lang w:val="en-US" w:eastAsia="zh-CN"/>
        </w:rPr>
        <w:t>1.68</w:t>
      </w:r>
      <w:r>
        <w:rPr>
          <w:rStyle w:val="17"/>
          <w:rFonts w:hint="eastAsia" w:ascii="仿宋_GB2312" w:hAnsi="仿宋_GB2312" w:eastAsia="仿宋_GB2312" w:cs="仿宋_GB2312"/>
          <w:b w:val="0"/>
          <w:bCs/>
          <w:color w:val="auto"/>
          <w:sz w:val="32"/>
          <w:szCs w:val="32"/>
        </w:rPr>
        <w:t>万元，完成预算100%，</w:t>
      </w:r>
      <w:r>
        <w:rPr>
          <w:rFonts w:hint="eastAsia" w:ascii="仿宋_GB2312" w:hAnsi="仿宋_GB2312" w:eastAsia="仿宋_GB2312" w:cs="仿宋_GB2312"/>
          <w:color w:val="auto"/>
          <w:sz w:val="32"/>
          <w:szCs w:val="32"/>
        </w:rPr>
        <w:t>决算数与预算数持平</w:t>
      </w:r>
    </w:p>
    <w:p>
      <w:pPr>
        <w:pageBreakBefore w:val="0"/>
        <w:widowControl w:val="0"/>
        <w:numPr>
          <w:ilvl w:val="0"/>
          <w:numId w:val="0"/>
        </w:numPr>
        <w:shd w:val="clear"/>
        <w:kinsoku/>
        <w:wordWrap/>
        <w:overflowPunct/>
        <w:topLinePunct w:val="0"/>
        <w:autoSpaceDE/>
        <w:autoSpaceDN/>
        <w:bidi w:val="0"/>
        <w:adjustRightInd/>
        <w:snapToGrid/>
        <w:spacing w:line="576" w:lineRule="exact"/>
        <w:ind w:firstLine="642" w:firstLineChars="200"/>
        <w:jc w:val="both"/>
        <w:textAlignment w:val="auto"/>
        <w:rPr>
          <w:rStyle w:val="17"/>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社会保障和就业（类）行政事业单位</w:t>
      </w:r>
      <w:r>
        <w:rPr>
          <w:rFonts w:hint="eastAsia" w:ascii="仿宋_GB2312" w:hAnsi="仿宋_GB2312" w:eastAsia="仿宋_GB2312" w:cs="仿宋_GB2312"/>
          <w:b/>
          <w:bCs/>
          <w:color w:val="auto"/>
          <w:sz w:val="32"/>
          <w:szCs w:val="32"/>
          <w:lang w:eastAsia="zh-CN"/>
        </w:rPr>
        <w:t>养老支出</w:t>
      </w:r>
      <w:r>
        <w:rPr>
          <w:rFonts w:hint="eastAsia" w:ascii="仿宋_GB2312" w:hAnsi="仿宋_GB2312" w:eastAsia="仿宋_GB2312" w:cs="仿宋_GB2312"/>
          <w:b/>
          <w:bCs/>
          <w:color w:val="auto"/>
          <w:sz w:val="32"/>
          <w:szCs w:val="32"/>
        </w:rPr>
        <w:t>（款）机关事业单位基本养老保险缴费支出（项）</w:t>
      </w:r>
      <w:r>
        <w:rPr>
          <w:rFonts w:hint="eastAsia" w:ascii="仿宋_GB2312" w:hAnsi="仿宋_GB2312" w:eastAsia="仿宋_GB2312" w:cs="仿宋_GB2312"/>
          <w:b/>
          <w:bCs/>
          <w:color w:val="auto"/>
          <w:sz w:val="32"/>
          <w:szCs w:val="32"/>
          <w:lang w:eastAsia="zh-CN"/>
        </w:rPr>
        <w:t>：</w:t>
      </w:r>
      <w:r>
        <w:rPr>
          <w:rStyle w:val="17"/>
          <w:rFonts w:hint="eastAsia" w:ascii="仿宋_GB2312" w:hAnsi="仿宋_GB2312" w:eastAsia="仿宋_GB2312" w:cs="仿宋_GB2312"/>
          <w:b w:val="0"/>
          <w:bCs w:val="0"/>
          <w:color w:val="auto"/>
          <w:sz w:val="32"/>
          <w:szCs w:val="32"/>
          <w:lang w:eastAsia="zh-CN"/>
        </w:rPr>
        <w:t>支</w:t>
      </w:r>
      <w:r>
        <w:rPr>
          <w:rStyle w:val="17"/>
          <w:rFonts w:hint="eastAsia" w:ascii="仿宋_GB2312" w:hAnsi="仿宋_GB2312" w:eastAsia="仿宋_GB2312" w:cs="仿宋_GB2312"/>
          <w:b w:val="0"/>
          <w:bCs/>
          <w:color w:val="auto"/>
          <w:sz w:val="32"/>
          <w:szCs w:val="32"/>
        </w:rPr>
        <w:t>出决算为</w:t>
      </w:r>
      <w:r>
        <w:rPr>
          <w:rStyle w:val="17"/>
          <w:rFonts w:hint="eastAsia" w:ascii="仿宋_GB2312" w:hAnsi="仿宋_GB2312" w:eastAsia="仿宋_GB2312" w:cs="仿宋_GB2312"/>
          <w:b w:val="0"/>
          <w:bCs/>
          <w:color w:val="auto"/>
          <w:sz w:val="32"/>
          <w:szCs w:val="32"/>
          <w:lang w:val="en-US" w:eastAsia="zh-CN"/>
        </w:rPr>
        <w:t>24.35</w:t>
      </w:r>
      <w:r>
        <w:rPr>
          <w:rStyle w:val="17"/>
          <w:rFonts w:hint="eastAsia" w:ascii="仿宋_GB2312" w:hAnsi="仿宋_GB2312" w:eastAsia="仿宋_GB2312" w:cs="仿宋_GB2312"/>
          <w:b w:val="0"/>
          <w:bCs/>
          <w:color w:val="auto"/>
          <w:sz w:val="32"/>
          <w:szCs w:val="32"/>
        </w:rPr>
        <w:t>万元，完成预算100%，</w:t>
      </w:r>
      <w:r>
        <w:rPr>
          <w:rFonts w:hint="eastAsia" w:ascii="仿宋_GB2312" w:hAnsi="仿宋_GB2312" w:eastAsia="仿宋_GB2312" w:cs="仿宋_GB2312"/>
          <w:color w:val="auto"/>
          <w:sz w:val="32"/>
          <w:szCs w:val="32"/>
        </w:rPr>
        <w:t>决算数与预算数持平</w:t>
      </w:r>
      <w:r>
        <w:rPr>
          <w:rStyle w:val="17"/>
          <w:rFonts w:hint="eastAsia" w:ascii="仿宋_GB2312" w:hAnsi="仿宋_GB2312" w:eastAsia="仿宋_GB2312" w:cs="仿宋_GB2312"/>
          <w:b w:val="0"/>
          <w:bCs/>
          <w:color w:val="auto"/>
          <w:sz w:val="32"/>
          <w:szCs w:val="32"/>
        </w:rPr>
        <w:t>。</w:t>
      </w:r>
    </w:p>
    <w:p>
      <w:pPr>
        <w:pageBreakBefore w:val="0"/>
        <w:widowControl w:val="0"/>
        <w:numPr>
          <w:ilvl w:val="0"/>
          <w:numId w:val="0"/>
        </w:numPr>
        <w:shd w:val="clear"/>
        <w:kinsoku/>
        <w:wordWrap/>
        <w:overflowPunct/>
        <w:topLinePunct w:val="0"/>
        <w:autoSpaceDE/>
        <w:autoSpaceDN/>
        <w:bidi w:val="0"/>
        <w:adjustRightInd/>
        <w:snapToGrid/>
        <w:spacing w:line="576" w:lineRule="exact"/>
        <w:ind w:firstLine="642" w:firstLineChars="200"/>
        <w:jc w:val="both"/>
        <w:textAlignment w:val="auto"/>
        <w:rPr>
          <w:rStyle w:val="17"/>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社会保障和就业（类）行政事业单位</w:t>
      </w:r>
      <w:r>
        <w:rPr>
          <w:rFonts w:hint="eastAsia" w:ascii="仿宋_GB2312" w:hAnsi="仿宋_GB2312" w:eastAsia="仿宋_GB2312" w:cs="仿宋_GB2312"/>
          <w:b/>
          <w:bCs/>
          <w:color w:val="auto"/>
          <w:sz w:val="32"/>
          <w:szCs w:val="32"/>
          <w:lang w:eastAsia="zh-CN"/>
        </w:rPr>
        <w:t>养老支出</w:t>
      </w:r>
      <w:r>
        <w:rPr>
          <w:rFonts w:hint="eastAsia" w:ascii="仿宋_GB2312" w:hAnsi="仿宋_GB2312" w:eastAsia="仿宋_GB2312" w:cs="仿宋_GB2312"/>
          <w:b/>
          <w:bCs/>
          <w:color w:val="auto"/>
          <w:sz w:val="32"/>
          <w:szCs w:val="32"/>
        </w:rPr>
        <w:t>（款）</w:t>
      </w:r>
      <w:r>
        <w:rPr>
          <w:rFonts w:hint="default" w:ascii="仿宋_GB2312" w:hAnsi="仿宋_GB2312" w:eastAsia="仿宋_GB2312" w:cs="仿宋_GB2312"/>
          <w:b/>
          <w:bCs/>
          <w:color w:val="auto"/>
          <w:sz w:val="32"/>
          <w:szCs w:val="32"/>
        </w:rPr>
        <w:t>机关事业单位职业年金缴费支出：</w:t>
      </w:r>
      <w:r>
        <w:rPr>
          <w:rStyle w:val="17"/>
          <w:rFonts w:hint="eastAsia" w:ascii="仿宋_GB2312" w:hAnsi="仿宋_GB2312" w:eastAsia="仿宋_GB2312" w:cs="仿宋_GB2312"/>
          <w:b w:val="0"/>
          <w:bCs/>
          <w:color w:val="auto"/>
          <w:sz w:val="32"/>
          <w:szCs w:val="32"/>
        </w:rPr>
        <w:t>支出决算为</w:t>
      </w:r>
      <w:r>
        <w:rPr>
          <w:rStyle w:val="17"/>
          <w:rFonts w:hint="eastAsia" w:ascii="仿宋_GB2312" w:hAnsi="仿宋_GB2312" w:eastAsia="仿宋_GB2312" w:cs="仿宋_GB2312"/>
          <w:b w:val="0"/>
          <w:bCs/>
          <w:color w:val="auto"/>
          <w:sz w:val="32"/>
          <w:szCs w:val="32"/>
          <w:lang w:val="en-US" w:eastAsia="zh-CN"/>
        </w:rPr>
        <w:t>5.31</w:t>
      </w:r>
      <w:r>
        <w:rPr>
          <w:rStyle w:val="17"/>
          <w:rFonts w:hint="eastAsia" w:ascii="仿宋_GB2312" w:hAnsi="仿宋_GB2312" w:eastAsia="仿宋_GB2312" w:cs="仿宋_GB2312"/>
          <w:b w:val="0"/>
          <w:bCs/>
          <w:color w:val="auto"/>
          <w:sz w:val="32"/>
          <w:szCs w:val="32"/>
        </w:rPr>
        <w:t>万元，完成预算100%，</w:t>
      </w:r>
      <w:r>
        <w:rPr>
          <w:rFonts w:hint="eastAsia" w:ascii="仿宋_GB2312" w:hAnsi="仿宋_GB2312" w:eastAsia="仿宋_GB2312" w:cs="仿宋_GB2312"/>
          <w:color w:val="auto"/>
          <w:sz w:val="32"/>
          <w:szCs w:val="32"/>
        </w:rPr>
        <w:t>决算数与预算数持平</w:t>
      </w:r>
      <w:r>
        <w:rPr>
          <w:rStyle w:val="17"/>
          <w:rFonts w:hint="eastAsia" w:ascii="仿宋_GB2312" w:hAnsi="仿宋_GB2312" w:eastAsia="仿宋_GB2312" w:cs="仿宋_GB2312"/>
          <w:b w:val="0"/>
          <w:bCs/>
          <w:color w:val="auto"/>
          <w:sz w:val="32"/>
          <w:szCs w:val="32"/>
        </w:rPr>
        <w:t>。</w:t>
      </w:r>
    </w:p>
    <w:p>
      <w:pPr>
        <w:pageBreakBefore w:val="0"/>
        <w:widowControl w:val="0"/>
        <w:shd w:val="clear"/>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color w:val="auto"/>
          <w:sz w:val="32"/>
          <w:szCs w:val="32"/>
        </w:rPr>
      </w:pPr>
      <w:r>
        <w:rPr>
          <w:rStyle w:val="17"/>
          <w:rFonts w:hint="eastAsia" w:ascii="仿宋_GB2312" w:hAnsi="仿宋_GB2312" w:eastAsia="仿宋_GB2312" w:cs="仿宋_GB2312"/>
          <w:bCs/>
          <w:color w:val="auto"/>
          <w:sz w:val="32"/>
          <w:szCs w:val="32"/>
          <w:lang w:val="en-US" w:eastAsia="zh-CN"/>
        </w:rPr>
        <w:t>4</w:t>
      </w:r>
      <w:r>
        <w:rPr>
          <w:rStyle w:val="17"/>
          <w:rFonts w:hint="eastAsia" w:ascii="仿宋_GB2312" w:hAnsi="仿宋_GB2312" w:eastAsia="仿宋_GB2312" w:cs="仿宋_GB2312"/>
          <w:bCs/>
          <w:color w:val="auto"/>
          <w:sz w:val="32"/>
          <w:szCs w:val="32"/>
        </w:rPr>
        <w:t>.</w:t>
      </w:r>
      <w:r>
        <w:rPr>
          <w:rFonts w:hint="eastAsia" w:ascii="仿宋_GB2312" w:hAnsi="仿宋_GB2312" w:eastAsia="仿宋_GB2312" w:cs="仿宋_GB2312"/>
          <w:b/>
          <w:bCs/>
          <w:color w:val="auto"/>
          <w:sz w:val="32"/>
          <w:szCs w:val="32"/>
        </w:rPr>
        <w:t>卫生健康（类）行政事业单位医疗（款）事业单位医疗（项）</w:t>
      </w:r>
      <w:r>
        <w:rPr>
          <w:rFonts w:hint="eastAsia" w:ascii="仿宋_GB2312" w:hAnsi="仿宋_GB2312" w:eastAsia="仿宋_GB2312" w:cs="仿宋_GB2312"/>
          <w:b/>
          <w:bCs/>
          <w:color w:val="auto"/>
          <w:sz w:val="32"/>
          <w:szCs w:val="32"/>
          <w:lang w:eastAsia="zh-CN"/>
        </w:rPr>
        <w:t>：</w:t>
      </w:r>
      <w:r>
        <w:rPr>
          <w:rStyle w:val="17"/>
          <w:rFonts w:hint="eastAsia" w:ascii="仿宋_GB2312" w:hAnsi="仿宋_GB2312" w:eastAsia="仿宋_GB2312" w:cs="仿宋_GB2312"/>
          <w:b w:val="0"/>
          <w:bCs/>
          <w:color w:val="auto"/>
          <w:sz w:val="32"/>
          <w:szCs w:val="32"/>
        </w:rPr>
        <w:t>出决算为</w:t>
      </w:r>
      <w:r>
        <w:rPr>
          <w:rStyle w:val="17"/>
          <w:rFonts w:hint="eastAsia" w:ascii="仿宋_GB2312" w:hAnsi="仿宋_GB2312" w:eastAsia="仿宋_GB2312" w:cs="仿宋_GB2312"/>
          <w:b w:val="0"/>
          <w:bCs/>
          <w:color w:val="auto"/>
          <w:sz w:val="32"/>
          <w:szCs w:val="32"/>
          <w:lang w:val="en-US" w:eastAsia="zh-CN"/>
        </w:rPr>
        <w:t>8.56</w:t>
      </w:r>
      <w:r>
        <w:rPr>
          <w:rStyle w:val="17"/>
          <w:rFonts w:hint="eastAsia" w:ascii="仿宋_GB2312" w:hAnsi="仿宋_GB2312" w:eastAsia="仿宋_GB2312" w:cs="仿宋_GB2312"/>
          <w:b w:val="0"/>
          <w:bCs/>
          <w:color w:val="auto"/>
          <w:sz w:val="32"/>
          <w:szCs w:val="32"/>
        </w:rPr>
        <w:t>万元，完成预算100%，</w:t>
      </w:r>
      <w:r>
        <w:rPr>
          <w:rFonts w:hint="eastAsia" w:ascii="仿宋_GB2312" w:hAnsi="仿宋_GB2312" w:eastAsia="仿宋_GB2312" w:cs="仿宋_GB2312"/>
          <w:color w:val="auto"/>
          <w:sz w:val="32"/>
          <w:szCs w:val="32"/>
        </w:rPr>
        <w:t>决算数与预算数持平</w:t>
      </w:r>
      <w:r>
        <w:rPr>
          <w:rStyle w:val="17"/>
          <w:rFonts w:hint="eastAsia" w:ascii="仿宋_GB2312" w:hAnsi="仿宋_GB2312" w:eastAsia="仿宋_GB2312" w:cs="仿宋_GB2312"/>
          <w:b w:val="0"/>
          <w:bCs/>
          <w:color w:val="auto"/>
          <w:sz w:val="32"/>
          <w:szCs w:val="32"/>
        </w:rPr>
        <w:t>。</w:t>
      </w:r>
    </w:p>
    <w:p>
      <w:pPr>
        <w:pageBreakBefore w:val="0"/>
        <w:widowControl w:val="0"/>
        <w:shd w:val="clear"/>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.自然资源海洋气象等支出（类）自然资源事务（款）事业运行</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200.17</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决算数</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rPr>
        <w:t>预算数基本持平。</w:t>
      </w:r>
    </w:p>
    <w:p>
      <w:pPr>
        <w:pStyle w:val="4"/>
        <w:pageBreakBefore w:val="0"/>
        <w:widowControl w:val="0"/>
        <w:shd w:val="clear"/>
        <w:kinsoku/>
        <w:wordWrap/>
        <w:overflowPunct/>
        <w:topLinePunct w:val="0"/>
        <w:autoSpaceDE/>
        <w:autoSpaceDN/>
        <w:bidi w:val="0"/>
        <w:adjustRightInd/>
        <w:snapToGrid/>
        <w:spacing w:before="0" w:after="0" w:line="576" w:lineRule="exact"/>
        <w:ind w:firstLine="642" w:firstLineChars="200"/>
        <w:jc w:val="both"/>
        <w:textAlignment w:val="auto"/>
        <w:rPr>
          <w:rFonts w:hint="eastAsia" w:ascii="仿宋_GB2312" w:hAnsi="仿宋_GB2312" w:eastAsia="仿宋_GB2312" w:cs="仿宋_GB2312"/>
          <w:color w:val="auto"/>
          <w:sz w:val="32"/>
          <w:szCs w:val="32"/>
        </w:rPr>
      </w:pPr>
      <w:bookmarkStart w:id="31" w:name="_Toc17688"/>
      <w:bookmarkStart w:id="32" w:name="_Toc22098"/>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.自然资源海洋气象等支出（类）自然资源事务（款）</w:t>
      </w:r>
      <w:r>
        <w:rPr>
          <w:rFonts w:hint="eastAsia" w:ascii="仿宋_GB2312" w:hAnsi="仿宋_GB2312" w:eastAsia="仿宋_GB2312" w:cs="仿宋_GB2312"/>
          <w:b/>
          <w:bCs/>
          <w:color w:val="auto"/>
          <w:sz w:val="32"/>
          <w:szCs w:val="32"/>
          <w:lang w:val="en-US" w:eastAsia="zh-CN"/>
        </w:rPr>
        <w:t>其他自然资源事务支出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项）：</w:t>
      </w:r>
      <w:r>
        <w:rPr>
          <w:rFonts w:hint="eastAsia" w:ascii="仿宋_GB2312" w:hAnsi="仿宋_GB2312" w:eastAsia="仿宋_GB2312" w:cs="仿宋_GB2312"/>
          <w:b w:val="0"/>
          <w:bCs w:val="0"/>
          <w:color w:val="auto"/>
          <w:sz w:val="32"/>
          <w:szCs w:val="32"/>
        </w:rPr>
        <w:t>支出决算为</w:t>
      </w:r>
      <w:r>
        <w:rPr>
          <w:rFonts w:hint="eastAsia" w:ascii="仿宋_GB2312" w:hAnsi="仿宋_GB2312" w:eastAsia="仿宋_GB2312" w:cs="仿宋_GB2312"/>
          <w:b w:val="0"/>
          <w:bCs w:val="0"/>
          <w:color w:val="auto"/>
          <w:sz w:val="32"/>
          <w:szCs w:val="32"/>
          <w:lang w:val="en-US" w:eastAsia="zh-CN"/>
        </w:rPr>
        <w:t>61.48</w:t>
      </w:r>
      <w:r>
        <w:rPr>
          <w:rFonts w:hint="eastAsia" w:ascii="仿宋_GB2312" w:hAnsi="仿宋_GB2312" w:eastAsia="仿宋_GB2312" w:cs="仿宋_GB2312"/>
          <w:b w:val="0"/>
          <w:bCs w:val="0"/>
          <w:color w:val="auto"/>
          <w:sz w:val="32"/>
          <w:szCs w:val="32"/>
        </w:rPr>
        <w:t>万元，完成预算</w:t>
      </w:r>
      <w:r>
        <w:rPr>
          <w:rFonts w:hint="eastAsia" w:ascii="仿宋_GB2312" w:hAnsi="仿宋_GB2312" w:eastAsia="仿宋_GB2312" w:cs="仿宋_GB2312"/>
          <w:b w:val="0"/>
          <w:bCs w:val="0"/>
          <w:color w:val="auto"/>
          <w:sz w:val="32"/>
          <w:szCs w:val="32"/>
          <w:lang w:val="en-US" w:eastAsia="zh-CN"/>
        </w:rPr>
        <w:t>100</w:t>
      </w:r>
      <w:r>
        <w:rPr>
          <w:rFonts w:hint="eastAsia" w:ascii="仿宋_GB2312" w:hAnsi="仿宋_GB2312" w:eastAsia="仿宋_GB2312" w:cs="仿宋_GB2312"/>
          <w:b w:val="0"/>
          <w:bCs w:val="0"/>
          <w:color w:val="auto"/>
          <w:sz w:val="32"/>
          <w:szCs w:val="32"/>
        </w:rPr>
        <w:t>%，决算数与预算数基本持平。</w:t>
      </w:r>
      <w:bookmarkEnd w:id="31"/>
      <w:bookmarkEnd w:id="32"/>
    </w:p>
    <w:p>
      <w:pPr>
        <w:pageBreakBefore w:val="0"/>
        <w:widowControl w:val="0"/>
        <w:shd w:val="clear"/>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.住房保障（类）住房改革（款）住房公积金（项）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出决算为</w:t>
      </w:r>
      <w:r>
        <w:rPr>
          <w:rFonts w:hint="eastAsia" w:ascii="仿宋_GB2312" w:hAnsi="仿宋_GB2312" w:eastAsia="仿宋_GB2312" w:cs="仿宋_GB2312"/>
          <w:color w:val="auto"/>
          <w:sz w:val="32"/>
          <w:szCs w:val="32"/>
          <w:lang w:val="en-US" w:eastAsia="zh-CN"/>
        </w:rPr>
        <w:t>21.24</w:t>
      </w:r>
      <w:r>
        <w:rPr>
          <w:rFonts w:hint="eastAsia" w:ascii="仿宋_GB2312" w:hAnsi="仿宋_GB2312" w:eastAsia="仿宋_GB2312" w:cs="仿宋_GB2312"/>
          <w:color w:val="auto"/>
          <w:sz w:val="32"/>
          <w:szCs w:val="32"/>
        </w:rPr>
        <w:t>万元，完成预算100%，决算数与预算数持平。</w:t>
      </w:r>
    </w:p>
    <w:p>
      <w:pPr>
        <w:pageBreakBefore w:val="0"/>
        <w:widowControl w:val="0"/>
        <w:shd w:val="clear"/>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粮油物资储备支出</w:t>
      </w:r>
      <w:r>
        <w:rPr>
          <w:rFonts w:hint="eastAsia" w:ascii="仿宋_GB2312" w:hAnsi="仿宋_GB2312" w:eastAsia="仿宋_GB2312" w:cs="仿宋_GB2312"/>
          <w:b/>
          <w:bCs/>
          <w:color w:val="auto"/>
          <w:sz w:val="32"/>
          <w:szCs w:val="32"/>
        </w:rPr>
        <w:t>（类）</w:t>
      </w:r>
      <w:r>
        <w:rPr>
          <w:rFonts w:hint="eastAsia" w:ascii="仿宋_GB2312" w:hAnsi="仿宋_GB2312" w:eastAsia="仿宋_GB2312" w:cs="仿宋_GB2312"/>
          <w:b/>
          <w:bCs/>
          <w:color w:val="auto"/>
          <w:sz w:val="32"/>
          <w:szCs w:val="32"/>
          <w:lang w:eastAsia="zh-CN"/>
        </w:rPr>
        <w:t>粮油物资事务</w:t>
      </w:r>
      <w:r>
        <w:rPr>
          <w:rFonts w:hint="eastAsia" w:ascii="仿宋_GB2312" w:hAnsi="仿宋_GB2312" w:eastAsia="仿宋_GB2312" w:cs="仿宋_GB2312"/>
          <w:b/>
          <w:bCs/>
          <w:color w:val="auto"/>
          <w:sz w:val="32"/>
          <w:szCs w:val="32"/>
        </w:rPr>
        <w:t>（款）</w:t>
      </w:r>
      <w:r>
        <w:rPr>
          <w:rFonts w:hint="eastAsia" w:ascii="仿宋_GB2312" w:hAnsi="仿宋_GB2312" w:eastAsia="仿宋_GB2312" w:cs="仿宋_GB2312"/>
          <w:b/>
          <w:bCs/>
          <w:color w:val="auto"/>
          <w:sz w:val="32"/>
          <w:szCs w:val="32"/>
          <w:lang w:eastAsia="zh-CN"/>
        </w:rPr>
        <w:t>事业运行</w:t>
      </w:r>
      <w:r>
        <w:rPr>
          <w:rFonts w:hint="eastAsia" w:ascii="仿宋_GB2312" w:hAnsi="仿宋_GB2312" w:eastAsia="仿宋_GB2312" w:cs="仿宋_GB2312"/>
          <w:b/>
          <w:bCs/>
          <w:color w:val="auto"/>
          <w:sz w:val="32"/>
          <w:szCs w:val="32"/>
        </w:rPr>
        <w:t>（项）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出决算为</w:t>
      </w:r>
      <w:r>
        <w:rPr>
          <w:rFonts w:hint="eastAsia" w:ascii="仿宋_GB2312" w:hAnsi="仿宋_GB2312" w:eastAsia="仿宋_GB2312" w:cs="仿宋_GB2312"/>
          <w:color w:val="auto"/>
          <w:sz w:val="32"/>
          <w:szCs w:val="32"/>
          <w:lang w:val="en-US" w:eastAsia="zh-CN"/>
        </w:rPr>
        <w:t>2.03</w:t>
      </w:r>
      <w:r>
        <w:rPr>
          <w:rFonts w:hint="eastAsia" w:ascii="仿宋_GB2312" w:hAnsi="仿宋_GB2312" w:eastAsia="仿宋_GB2312" w:cs="仿宋_GB2312"/>
          <w:color w:val="auto"/>
          <w:sz w:val="32"/>
          <w:szCs w:val="32"/>
        </w:rPr>
        <w:t>万元，完成预算100%，决算数与预算数持平。</w:t>
      </w:r>
    </w:p>
    <w:p>
      <w:pPr>
        <w:pStyle w:val="4"/>
        <w:pageBreakBefore w:val="0"/>
        <w:widowControl w:val="0"/>
        <w:shd w:val="clear"/>
        <w:kinsoku/>
        <w:wordWrap/>
        <w:overflowPunct/>
        <w:topLinePunct w:val="0"/>
        <w:autoSpaceDE/>
        <w:autoSpaceDN/>
        <w:bidi w:val="0"/>
        <w:adjustRightInd/>
        <w:spacing w:before="0" w:after="0" w:line="576" w:lineRule="exact"/>
        <w:ind w:firstLine="640" w:firstLineChars="200"/>
        <w:textAlignment w:val="auto"/>
        <w:rPr>
          <w:rFonts w:hint="eastAsia" w:ascii="黑体" w:hAnsi="黑体" w:eastAsia="黑体" w:cs="黑体"/>
          <w:b w:val="0"/>
          <w:bCs w:val="0"/>
          <w:color w:val="auto"/>
          <w:sz w:val="32"/>
          <w:szCs w:val="32"/>
        </w:rPr>
      </w:pPr>
      <w:bookmarkStart w:id="33" w:name="_Toc30304"/>
      <w:bookmarkStart w:id="34" w:name="_Toc15377214"/>
      <w:bookmarkStart w:id="35" w:name="_Toc27337"/>
      <w:bookmarkStart w:id="36" w:name="_Toc15396608"/>
    </w:p>
    <w:p>
      <w:pPr>
        <w:pStyle w:val="4"/>
        <w:pageBreakBefore w:val="0"/>
        <w:widowControl w:val="0"/>
        <w:shd w:val="clear"/>
        <w:kinsoku/>
        <w:wordWrap/>
        <w:overflowPunct/>
        <w:topLinePunct w:val="0"/>
        <w:autoSpaceDE/>
        <w:autoSpaceDN/>
        <w:bidi w:val="0"/>
        <w:adjustRightInd/>
        <w:spacing w:before="0" w:after="0" w:line="576"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六、一般公共预算财政拨款基本支出决算情况说明</w:t>
      </w:r>
      <w:bookmarkEnd w:id="33"/>
      <w:bookmarkEnd w:id="34"/>
      <w:bookmarkEnd w:id="35"/>
      <w:bookmarkEnd w:id="36"/>
    </w:p>
    <w:p>
      <w:pPr>
        <w:pageBreakBefore w:val="0"/>
        <w:widowControl w:val="0"/>
        <w:shd w:val="clea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一般公共预算财政拨款基本支出</w:t>
      </w:r>
      <w:r>
        <w:rPr>
          <w:rFonts w:hint="eastAsia" w:ascii="仿宋_GB2312" w:hAnsi="仿宋_GB2312" w:eastAsia="仿宋_GB2312" w:cs="仿宋_GB2312"/>
          <w:color w:val="auto"/>
          <w:kern w:val="2"/>
          <w:sz w:val="32"/>
          <w:szCs w:val="32"/>
          <w:lang w:val="zh-CN"/>
        </w:rPr>
        <w:t>2</w:t>
      </w:r>
      <w:r>
        <w:rPr>
          <w:rFonts w:hint="eastAsia" w:ascii="仿宋_GB2312" w:hAnsi="仿宋_GB2312" w:eastAsia="仿宋_GB2312" w:cs="仿宋_GB2312"/>
          <w:color w:val="auto"/>
          <w:kern w:val="2"/>
          <w:sz w:val="32"/>
          <w:szCs w:val="32"/>
          <w:lang w:val="en-US" w:eastAsia="zh-CN"/>
        </w:rPr>
        <w:t>63.34</w:t>
      </w:r>
      <w:r>
        <w:rPr>
          <w:rFonts w:hint="eastAsia" w:ascii="仿宋_GB2312" w:hAnsi="仿宋_GB2312" w:eastAsia="仿宋_GB2312" w:cs="仿宋_GB2312"/>
          <w:color w:val="auto"/>
          <w:sz w:val="32"/>
          <w:szCs w:val="32"/>
        </w:rPr>
        <w:t>万元，其中：</w:t>
      </w:r>
    </w:p>
    <w:p>
      <w:pPr>
        <w:pageBreakBefore w:val="0"/>
        <w:widowControl w:val="0"/>
        <w:shd w:val="clea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人员经费</w:t>
      </w:r>
      <w:r>
        <w:rPr>
          <w:rFonts w:hint="eastAsia" w:ascii="仿宋_GB2312" w:hAnsi="仿宋_GB2312" w:eastAsia="仿宋_GB2312" w:cs="仿宋_GB2312"/>
          <w:color w:val="auto"/>
          <w:kern w:val="2"/>
          <w:sz w:val="32"/>
          <w:szCs w:val="32"/>
          <w:lang w:val="zh-CN"/>
        </w:rPr>
        <w:t>2</w:t>
      </w:r>
      <w:r>
        <w:rPr>
          <w:rFonts w:hint="eastAsia" w:ascii="仿宋_GB2312" w:hAnsi="仿宋_GB2312" w:eastAsia="仿宋_GB2312" w:cs="仿宋_GB2312"/>
          <w:color w:val="auto"/>
          <w:kern w:val="2"/>
          <w:sz w:val="32"/>
          <w:szCs w:val="32"/>
          <w:lang w:val="en-US" w:eastAsia="zh-CN"/>
        </w:rPr>
        <w:t>40.89</w:t>
      </w:r>
      <w:r>
        <w:rPr>
          <w:rFonts w:hint="eastAsia" w:ascii="仿宋_GB2312" w:hAnsi="仿宋_GB2312" w:eastAsia="仿宋_GB2312" w:cs="仿宋_GB2312"/>
          <w:color w:val="auto"/>
          <w:sz w:val="32"/>
          <w:szCs w:val="32"/>
        </w:rPr>
        <w:t>万元，主要包括：基本工资、津贴补贴、奖金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绩效工资、机关事业单位基本养老保险缴费、</w:t>
      </w:r>
      <w:r>
        <w:rPr>
          <w:rFonts w:hint="default" w:ascii="仿宋_GB2312" w:hAnsi="仿宋_GB2312" w:eastAsia="仿宋_GB2312" w:cs="仿宋_GB2312"/>
          <w:color w:val="auto"/>
          <w:sz w:val="32"/>
          <w:szCs w:val="32"/>
        </w:rPr>
        <w:t>职业年金缴费、</w:t>
      </w:r>
      <w:r>
        <w:rPr>
          <w:rFonts w:hint="eastAsia" w:ascii="仿宋_GB2312" w:hAnsi="仿宋_GB2312" w:eastAsia="仿宋_GB2312" w:cs="仿宋_GB2312"/>
          <w:color w:val="auto"/>
          <w:sz w:val="32"/>
          <w:szCs w:val="32"/>
        </w:rPr>
        <w:t>职工基本医疗保险缴费、其他社会保障缴费、住房公积金</w:t>
      </w:r>
      <w:r>
        <w:rPr>
          <w:rFonts w:hint="default" w:ascii="仿宋_GB2312" w:hAnsi="仿宋_GB2312" w:eastAsia="仿宋_GB2312" w:cs="仿宋_GB2312"/>
          <w:color w:val="auto"/>
          <w:sz w:val="32"/>
          <w:szCs w:val="32"/>
        </w:rPr>
        <w:t>、生活补助</w:t>
      </w:r>
      <w:r>
        <w:rPr>
          <w:rFonts w:hint="eastAsia" w:ascii="仿宋_GB2312" w:hAnsi="仿宋_GB2312" w:eastAsia="仿宋_GB2312" w:cs="仿宋_GB2312"/>
          <w:color w:val="auto"/>
          <w:sz w:val="32"/>
          <w:szCs w:val="32"/>
        </w:rPr>
        <w:t>。</w:t>
      </w:r>
    </w:p>
    <w:p>
      <w:pPr>
        <w:pageBreakBefore w:val="0"/>
        <w:widowControl w:val="0"/>
        <w:shd w:val="clea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color w:val="auto"/>
          <w:sz w:val="32"/>
          <w:szCs w:val="32"/>
        </w:rPr>
        <w:t>公用经费</w:t>
      </w:r>
      <w:r>
        <w:rPr>
          <w:rFonts w:hint="eastAsia" w:ascii="仿宋_GB2312" w:hAnsi="仿宋_GB2312" w:eastAsia="仿宋_GB2312" w:cs="仿宋_GB2312"/>
          <w:color w:val="auto"/>
          <w:kern w:val="2"/>
          <w:sz w:val="32"/>
          <w:szCs w:val="32"/>
          <w:lang w:val="zh-CN"/>
        </w:rPr>
        <w:t>22.</w:t>
      </w:r>
      <w:r>
        <w:rPr>
          <w:rFonts w:hint="eastAsia" w:ascii="仿宋_GB2312" w:hAnsi="仿宋_GB2312" w:eastAsia="仿宋_GB2312" w:cs="仿宋_GB2312"/>
          <w:color w:val="auto"/>
          <w:kern w:val="2"/>
          <w:sz w:val="32"/>
          <w:szCs w:val="32"/>
          <w:lang w:val="en-US" w:eastAsia="zh-CN"/>
        </w:rPr>
        <w:t>45</w:t>
      </w:r>
      <w:r>
        <w:rPr>
          <w:rFonts w:hint="eastAsia" w:ascii="仿宋_GB2312" w:hAnsi="仿宋_GB2312" w:eastAsia="仿宋_GB2312" w:cs="仿宋_GB2312"/>
          <w:color w:val="auto"/>
          <w:sz w:val="32"/>
          <w:szCs w:val="32"/>
        </w:rPr>
        <w:t>万元，主要包括：办公费、印刷费、</w:t>
      </w:r>
      <w:r>
        <w:rPr>
          <w:rFonts w:hint="eastAsia" w:ascii="仿宋_GB2312" w:hAnsi="仿宋_GB2312" w:eastAsia="仿宋_GB2312" w:cs="仿宋_GB2312"/>
          <w:color w:val="auto"/>
          <w:sz w:val="32"/>
          <w:szCs w:val="32"/>
          <w:lang w:eastAsia="zh-CN"/>
        </w:rPr>
        <w:t>电费</w:t>
      </w:r>
      <w:r>
        <w:rPr>
          <w:rFonts w:hint="eastAsia" w:ascii="仿宋_GB2312" w:hAnsi="仿宋_GB2312" w:eastAsia="仿宋_GB2312" w:cs="仿宋_GB2312"/>
          <w:color w:val="auto"/>
          <w:sz w:val="32"/>
          <w:szCs w:val="32"/>
        </w:rPr>
        <w:t>、邮电费、物业管理费、差旅费、租赁费、</w:t>
      </w:r>
      <w:r>
        <w:rPr>
          <w:rFonts w:hint="eastAsia" w:ascii="仿宋_GB2312" w:hAnsi="仿宋_GB2312" w:eastAsia="仿宋_GB2312" w:cs="仿宋_GB2312"/>
          <w:color w:val="auto"/>
          <w:sz w:val="32"/>
          <w:szCs w:val="32"/>
          <w:lang w:eastAsia="zh-CN"/>
        </w:rPr>
        <w:t>公务接待费、</w:t>
      </w:r>
      <w:r>
        <w:rPr>
          <w:rFonts w:hint="eastAsia" w:ascii="仿宋_GB2312" w:hAnsi="仿宋_GB2312" w:eastAsia="仿宋_GB2312" w:cs="仿宋_GB2312"/>
          <w:color w:val="auto"/>
          <w:sz w:val="32"/>
          <w:szCs w:val="32"/>
        </w:rPr>
        <w:t>劳务费、工会经费、福利费、公务用车运行维护费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其他商品和服务支出。</w:t>
      </w:r>
      <w:bookmarkStart w:id="37" w:name="_Toc15377215"/>
      <w:bookmarkStart w:id="38" w:name="_Toc25356"/>
      <w:bookmarkStart w:id="39" w:name="_Toc15396609"/>
    </w:p>
    <w:p>
      <w:pPr>
        <w:pStyle w:val="4"/>
        <w:pageBreakBefore w:val="0"/>
        <w:widowControl w:val="0"/>
        <w:shd w:val="clear"/>
        <w:kinsoku/>
        <w:wordWrap/>
        <w:overflowPunct/>
        <w:topLinePunct w:val="0"/>
        <w:autoSpaceDE/>
        <w:autoSpaceDN/>
        <w:bidi w:val="0"/>
        <w:adjustRightInd/>
        <w:spacing w:before="0" w:after="0" w:line="576" w:lineRule="exact"/>
        <w:ind w:firstLine="640" w:firstLineChars="200"/>
        <w:textAlignment w:val="auto"/>
        <w:rPr>
          <w:rFonts w:hint="eastAsia" w:ascii="黑体" w:hAnsi="黑体" w:eastAsia="黑体" w:cs="黑体"/>
          <w:b w:val="0"/>
          <w:bCs w:val="0"/>
          <w:color w:val="auto"/>
          <w:sz w:val="32"/>
          <w:szCs w:val="32"/>
        </w:rPr>
      </w:pPr>
      <w:bookmarkStart w:id="40" w:name="_Toc86"/>
      <w:r>
        <w:rPr>
          <w:rFonts w:hint="eastAsia" w:ascii="黑体" w:hAnsi="黑体" w:eastAsia="黑体" w:cs="黑体"/>
          <w:b w:val="0"/>
          <w:bCs w:val="0"/>
          <w:color w:val="auto"/>
          <w:sz w:val="32"/>
          <w:szCs w:val="32"/>
        </w:rPr>
        <w:t>七、</w:t>
      </w:r>
      <w:bookmarkEnd w:id="37"/>
      <w:bookmarkEnd w:id="38"/>
      <w:bookmarkEnd w:id="39"/>
      <w:r>
        <w:rPr>
          <w:rStyle w:val="20"/>
          <w:rFonts w:hint="eastAsia" w:ascii="黑体" w:hAnsi="黑体" w:eastAsia="黑体"/>
          <w:b w:val="0"/>
          <w:color w:val="auto"/>
          <w:highlight w:val="none"/>
        </w:rPr>
        <w:t>财政拨款</w:t>
      </w:r>
      <w:r>
        <w:rPr>
          <w:rStyle w:val="20"/>
          <w:rFonts w:hint="eastAsia" w:ascii="黑体" w:hAnsi="黑体" w:eastAsia="黑体"/>
          <w:color w:val="auto"/>
          <w:highlight w:val="none"/>
        </w:rPr>
        <w:t>“</w:t>
      </w:r>
      <w:r>
        <w:rPr>
          <w:rStyle w:val="20"/>
          <w:rFonts w:hint="eastAsia" w:ascii="黑体" w:hAnsi="黑体" w:eastAsia="黑体"/>
          <w:b w:val="0"/>
          <w:color w:val="auto"/>
          <w:highlight w:val="none"/>
        </w:rPr>
        <w:t>三公”经费支出决算情况说明</w:t>
      </w:r>
      <w:bookmarkEnd w:id="40"/>
    </w:p>
    <w:p>
      <w:pPr>
        <w:spacing w:line="600" w:lineRule="exact"/>
        <w:ind w:firstLine="642" w:firstLineChars="200"/>
        <w:outlineLvl w:val="2"/>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（一）“三公”经费财政拨款支出决算总体情况说明</w:t>
      </w:r>
    </w:p>
    <w:p>
      <w:pPr>
        <w:pageBreakBefore w:val="0"/>
        <w:widowControl w:val="0"/>
        <w:shd w:val="clea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“三公”经费财政拨款支出决算为</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%；较上年</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1万元，</w:t>
      </w:r>
      <w:r>
        <w:rPr>
          <w:rFonts w:hint="eastAsia" w:ascii="仿宋_GB2312" w:hAnsi="仿宋_GB2312" w:eastAsia="仿宋_GB2312" w:cs="仿宋_GB2312"/>
          <w:color w:val="auto"/>
          <w:kern w:val="2"/>
          <w:sz w:val="32"/>
          <w:szCs w:val="32"/>
          <w:lang w:val="zh-CN"/>
        </w:rPr>
        <w:t>下降</w:t>
      </w:r>
      <w:r>
        <w:rPr>
          <w:rFonts w:hint="eastAsia" w:ascii="仿宋_GB2312" w:hAnsi="仿宋_GB2312" w:eastAsia="仿宋_GB2312" w:cs="仿宋_GB2312"/>
          <w:color w:val="auto"/>
          <w:sz w:val="32"/>
          <w:szCs w:val="32"/>
          <w:lang w:val="en-US" w:eastAsia="zh-CN"/>
        </w:rPr>
        <w:t>95.36</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等于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合理安排支出</w:t>
      </w:r>
      <w:r>
        <w:rPr>
          <w:rFonts w:hint="eastAsia" w:ascii="仿宋_GB2312" w:hAnsi="仿宋_GB2312" w:eastAsia="仿宋_GB2312" w:cs="仿宋_GB2312"/>
          <w:color w:val="auto"/>
          <w:sz w:val="32"/>
          <w:szCs w:val="32"/>
        </w:rPr>
        <w:t>。</w:t>
      </w:r>
    </w:p>
    <w:p>
      <w:pPr>
        <w:spacing w:line="600" w:lineRule="exact"/>
        <w:ind w:firstLine="642" w:firstLineChars="200"/>
        <w:outlineLvl w:val="2"/>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（二）“三公”经费财政拨款支出决算具体情况说明</w:t>
      </w:r>
    </w:p>
    <w:p>
      <w:pPr>
        <w:pageBreakBefore w:val="0"/>
        <w:widowControl w:val="0"/>
        <w:shd w:val="clea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“三公”经费财政拨款支出决算中，因公出国（境）费支出决算0万元，占0%；公务用车购置及运行维护费支出决算</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95.24</w:t>
      </w:r>
      <w:r>
        <w:rPr>
          <w:rFonts w:hint="eastAsia" w:ascii="仿宋_GB2312" w:hAnsi="仿宋_GB2312" w:eastAsia="仿宋_GB2312" w:cs="仿宋_GB2312"/>
          <w:color w:val="auto"/>
          <w:sz w:val="32"/>
          <w:szCs w:val="32"/>
        </w:rPr>
        <w:t>%；公务接待费支出决算0</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4.76</w:t>
      </w:r>
      <w:r>
        <w:rPr>
          <w:rFonts w:hint="eastAsia" w:ascii="仿宋_GB2312" w:hAnsi="仿宋_GB2312" w:eastAsia="仿宋_GB2312" w:cs="仿宋_GB2312"/>
          <w:color w:val="auto"/>
          <w:sz w:val="32"/>
          <w:szCs w:val="32"/>
        </w:rPr>
        <w:t>%。具体情况如下：</w:t>
      </w:r>
    </w:p>
    <w:p>
      <w:pPr>
        <w:pStyle w:val="28"/>
        <w:shd w:val="clear"/>
        <w:jc w:val="center"/>
        <w:rPr>
          <w:rFonts w:hAnsi="仿宋"/>
          <w:color w:val="auto"/>
          <w:sz w:val="32"/>
          <w:szCs w:val="32"/>
        </w:rPr>
      </w:pPr>
      <w:r>
        <w:rPr>
          <w:rFonts w:hint="eastAsia" w:hAnsi="仿宋"/>
          <w:color w:val="auto"/>
          <w:sz w:val="32"/>
          <w:szCs w:val="32"/>
        </w:rPr>
        <w:drawing>
          <wp:inline distT="0" distB="0" distL="114300" distR="114300">
            <wp:extent cx="4332605" cy="2417445"/>
            <wp:effectExtent l="4445" t="4445" r="6350" b="1651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ageBreakBefore w:val="0"/>
        <w:widowControl w:val="0"/>
        <w:shd w:val="clear"/>
        <w:kinsoku/>
        <w:wordWrap/>
        <w:overflowPunct/>
        <w:topLinePunct w:val="0"/>
        <w:bidi w:val="0"/>
        <w:snapToGrid/>
        <w:spacing w:line="576" w:lineRule="exact"/>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（图7：“三公”经费财政拨款支出结构）</w:t>
      </w:r>
    </w:p>
    <w:p>
      <w:pPr>
        <w:pageBreakBefore w:val="0"/>
        <w:widowControl w:val="0"/>
        <w:shd w:val="clear"/>
        <w:kinsoku/>
        <w:wordWrap/>
        <w:overflowPunct/>
        <w:topLinePunct w:val="0"/>
        <w:bidi w:val="0"/>
        <w:snapToGrid/>
        <w:spacing w:line="576" w:lineRule="exact"/>
        <w:ind w:firstLine="642" w:firstLineChars="200"/>
        <w:jc w:val="both"/>
        <w:textAlignment w:val="auto"/>
        <w:outlineLvl w:val="3"/>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1.因公出国（境）经费支出0</w:t>
      </w:r>
      <w:r>
        <w:rPr>
          <w:rFonts w:hint="eastAsia" w:ascii="仿宋_GB2312" w:hAnsi="仿宋_GB2312" w:eastAsia="仿宋_GB2312" w:cs="仿宋_GB2312"/>
          <w:color w:val="auto"/>
          <w:sz w:val="32"/>
          <w:szCs w:val="32"/>
        </w:rPr>
        <w:t>万元，</w:t>
      </w:r>
      <w:r>
        <w:rPr>
          <w:rStyle w:val="17"/>
          <w:rFonts w:hint="eastAsia" w:ascii="仿宋_GB2312" w:hAnsi="仿宋_GB2312" w:eastAsia="仿宋_GB2312" w:cs="仿宋_GB2312"/>
          <w:b w:val="0"/>
          <w:bCs/>
          <w:color w:val="auto"/>
          <w:sz w:val="32"/>
          <w:szCs w:val="32"/>
        </w:rPr>
        <w:t>年初未安排预算</w:t>
      </w:r>
      <w:r>
        <w:rPr>
          <w:rStyle w:val="17"/>
          <w:rFonts w:hint="eastAsia" w:ascii="仿宋_GB2312" w:hAnsi="仿宋_GB2312" w:eastAsia="仿宋_GB2312" w:cs="仿宋_GB2312"/>
          <w:b w:val="0"/>
          <w:bCs/>
          <w:color w:val="auto"/>
          <w:sz w:val="32"/>
          <w:szCs w:val="32"/>
          <w:lang w:eastAsia="zh-CN"/>
        </w:rPr>
        <w:t>，较上年无变化</w:t>
      </w:r>
      <w:r>
        <w:rPr>
          <w:rFonts w:hint="eastAsia" w:ascii="仿宋_GB2312" w:hAnsi="仿宋_GB2312" w:eastAsia="仿宋_GB2312" w:cs="仿宋_GB2312"/>
          <w:color w:val="auto"/>
          <w:sz w:val="32"/>
          <w:szCs w:val="32"/>
        </w:rPr>
        <w:t>。</w:t>
      </w:r>
    </w:p>
    <w:p>
      <w:pPr>
        <w:pageBreakBefore w:val="0"/>
        <w:widowControl w:val="0"/>
        <w:shd w:val="clear"/>
        <w:kinsoku/>
        <w:wordWrap/>
        <w:overflowPunct/>
        <w:topLinePunct w:val="0"/>
        <w:bidi w:val="0"/>
        <w:snapToGrid/>
        <w:spacing w:line="576" w:lineRule="exact"/>
        <w:ind w:firstLine="642" w:firstLineChars="200"/>
        <w:jc w:val="both"/>
        <w:textAlignment w:val="auto"/>
        <w:rPr>
          <w:rFonts w:hint="default"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2.公务用车购置及运行维护费支出</w:t>
      </w: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val="zh-CN"/>
        </w:rPr>
        <w:t>万元，完成预算</w:t>
      </w:r>
      <w:r>
        <w:rPr>
          <w:rFonts w:hint="eastAsia" w:ascii="仿宋_GB2312" w:hAnsi="仿宋_GB2312" w:eastAsia="仿宋_GB2312" w:cs="仿宋_GB2312"/>
          <w:color w:val="auto"/>
          <w:kern w:val="2"/>
          <w:sz w:val="32"/>
          <w:szCs w:val="32"/>
          <w:lang w:val="en-US" w:eastAsia="zh-CN"/>
        </w:rPr>
        <w:t>100</w:t>
      </w:r>
      <w:r>
        <w:rPr>
          <w:rFonts w:hint="eastAsia" w:ascii="仿宋_GB2312" w:hAnsi="仿宋_GB2312" w:eastAsia="仿宋_GB2312" w:cs="仿宋_GB2312"/>
          <w:color w:val="auto"/>
          <w:kern w:val="2"/>
          <w:sz w:val="32"/>
          <w:szCs w:val="32"/>
          <w:lang w:val="zh-CN"/>
        </w:rPr>
        <w:t>%。公务用车购置及运行维护费支出决算比202</w:t>
      </w: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val="zh-CN"/>
        </w:rPr>
        <w:t>年减少4</w:t>
      </w:r>
      <w:r>
        <w:rPr>
          <w:rFonts w:hint="eastAsia" w:ascii="仿宋_GB2312" w:hAnsi="仿宋_GB2312" w:eastAsia="仿宋_GB2312" w:cs="仿宋_GB2312"/>
          <w:color w:val="auto"/>
          <w:kern w:val="2"/>
          <w:sz w:val="32"/>
          <w:szCs w:val="32"/>
          <w:lang w:val="en-US" w:eastAsia="zh-CN"/>
        </w:rPr>
        <w:t>3.11</w:t>
      </w:r>
      <w:r>
        <w:rPr>
          <w:rFonts w:hint="eastAsia" w:ascii="仿宋_GB2312" w:hAnsi="仿宋_GB2312" w:eastAsia="仿宋_GB2312" w:cs="仿宋_GB2312"/>
          <w:color w:val="auto"/>
          <w:kern w:val="2"/>
          <w:sz w:val="32"/>
          <w:szCs w:val="32"/>
          <w:lang w:val="zh-CN"/>
        </w:rPr>
        <w:t>万元，下降</w:t>
      </w:r>
      <w:r>
        <w:rPr>
          <w:rFonts w:hint="eastAsia" w:ascii="仿宋_GB2312" w:hAnsi="仿宋_GB2312" w:eastAsia="仿宋_GB2312" w:cs="仿宋_GB2312"/>
          <w:color w:val="auto"/>
          <w:sz w:val="32"/>
          <w:szCs w:val="32"/>
          <w:lang w:val="en-US" w:eastAsia="zh-CN"/>
        </w:rPr>
        <w:t>95.36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zh-CN"/>
        </w:rPr>
        <w:t>。</w:t>
      </w:r>
      <w:r>
        <w:rPr>
          <w:rFonts w:hint="default" w:ascii="仿宋_GB2312" w:hAnsi="仿宋_GB2312" w:eastAsia="仿宋_GB2312" w:cs="仿宋_GB2312"/>
          <w:color w:val="auto"/>
          <w:kern w:val="2"/>
          <w:sz w:val="32"/>
          <w:szCs w:val="32"/>
        </w:rPr>
        <w:t>主要原因是：</w:t>
      </w:r>
      <w:r>
        <w:rPr>
          <w:rFonts w:hint="eastAsia" w:ascii="仿宋_GB2312" w:hAnsi="仿宋_GB2312" w:eastAsia="仿宋_GB2312" w:cs="仿宋_GB2312"/>
          <w:color w:val="auto"/>
          <w:kern w:val="2"/>
          <w:sz w:val="32"/>
          <w:szCs w:val="32"/>
          <w:lang w:val="en-US" w:eastAsia="zh-CN"/>
        </w:rPr>
        <w:t>2023年度没有购置公务用车</w:t>
      </w:r>
      <w:r>
        <w:rPr>
          <w:rFonts w:hint="default" w:ascii="仿宋_GB2312" w:hAnsi="仿宋_GB2312" w:eastAsia="仿宋_GB2312" w:cs="仿宋_GB2312"/>
          <w:color w:val="auto"/>
          <w:kern w:val="2"/>
          <w:sz w:val="32"/>
          <w:szCs w:val="32"/>
        </w:rPr>
        <w:t>。</w:t>
      </w:r>
    </w:p>
    <w:p>
      <w:pPr>
        <w:pageBreakBefore w:val="0"/>
        <w:widowControl w:val="0"/>
        <w:shd w:val="clear"/>
        <w:kinsoku/>
        <w:wordWrap/>
        <w:overflowPunct/>
        <w:topLinePunct w:val="0"/>
        <w:bidi w:val="0"/>
        <w:snapToGrid/>
        <w:spacing w:line="576"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b/>
          <w:color w:val="auto"/>
          <w:sz w:val="32"/>
          <w:szCs w:val="32"/>
        </w:rPr>
        <w:t>公务用车购置支出</w:t>
      </w:r>
      <w:r>
        <w:rPr>
          <w:rFonts w:hint="eastAsia" w:ascii="仿宋_GB2312" w:hAnsi="仿宋_GB2312" w:eastAsia="仿宋_GB2312" w:cs="仿宋_GB2312"/>
          <w:color w:val="auto"/>
          <w:kern w:val="2"/>
          <w:sz w:val="32"/>
          <w:szCs w:val="32"/>
          <w:lang w:val="en-US" w:eastAsia="zh-CN"/>
        </w:rPr>
        <w:t>0</w:t>
      </w:r>
      <w:r>
        <w:rPr>
          <w:rFonts w:hint="eastAsia" w:ascii="仿宋_GB2312" w:hAnsi="仿宋_GB2312" w:eastAsia="仿宋_GB2312" w:cs="仿宋_GB2312"/>
          <w:color w:val="auto"/>
          <w:sz w:val="32"/>
          <w:szCs w:val="32"/>
        </w:rPr>
        <w:t>万元。全年按规定更新购置公务用车0辆。截至2023年12月底，单位共有公务用车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其中：其他车型</w:t>
      </w:r>
      <w:r>
        <w:rPr>
          <w:rFonts w:hint="eastAsia" w:ascii="仿宋_GB2312" w:hAnsi="仿宋_GB2312" w:eastAsia="仿宋_GB2312" w:cs="仿宋_GB2312"/>
          <w:color w:val="auto"/>
          <w:sz w:val="32"/>
          <w:szCs w:val="32"/>
          <w:lang w:val="en-US" w:eastAsia="zh-CN"/>
        </w:rPr>
        <w:t>1辆。</w:t>
      </w:r>
    </w:p>
    <w:p>
      <w:pPr>
        <w:keepNext/>
        <w:keepLines/>
        <w:pageBreakBefore w:val="0"/>
        <w:widowControl w:val="0"/>
        <w:shd w:val="clear"/>
        <w:kinsoku/>
        <w:wordWrap/>
        <w:overflowPunct/>
        <w:topLinePunct w:val="0"/>
        <w:bidi w:val="0"/>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公务用车运行维护费支出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zh-CN"/>
        </w:rPr>
        <w:t>万元。主要用于</w:t>
      </w:r>
      <w:r>
        <w:rPr>
          <w:rFonts w:hint="eastAsia" w:ascii="仿宋_GB2312" w:hAnsi="仿宋_GB2312" w:eastAsia="仿宋_GB2312" w:cs="仿宋_GB2312"/>
          <w:color w:val="auto"/>
          <w:sz w:val="32"/>
          <w:szCs w:val="32"/>
          <w:lang w:val="en-US" w:eastAsia="zh-CN"/>
        </w:rPr>
        <w:t>储备土地</w:t>
      </w:r>
      <w:r>
        <w:rPr>
          <w:rFonts w:hint="eastAsia" w:ascii="仿宋_GB2312" w:hAnsi="仿宋_GB2312" w:eastAsia="仿宋_GB2312" w:cs="仿宋_GB2312"/>
          <w:color w:val="auto"/>
          <w:sz w:val="32"/>
          <w:szCs w:val="32"/>
        </w:rPr>
        <w:t>现场勘查和土管会会前调研</w:t>
      </w:r>
      <w:r>
        <w:rPr>
          <w:rFonts w:hint="eastAsia" w:ascii="仿宋_GB2312" w:hAnsi="仿宋_GB2312" w:eastAsia="仿宋_GB2312" w:cs="仿宋_GB2312"/>
          <w:color w:val="auto"/>
          <w:kern w:val="2"/>
          <w:sz w:val="32"/>
          <w:szCs w:val="32"/>
          <w:lang w:val="zh-CN"/>
        </w:rPr>
        <w:t>等所需的公务用车燃料费、维修费、过路过桥费、保险费等支出。</w:t>
      </w:r>
    </w:p>
    <w:p>
      <w:pPr>
        <w:pageBreakBefore w:val="0"/>
        <w:widowControl w:val="0"/>
        <w:numPr>
          <w:ilvl w:val="0"/>
          <w:numId w:val="0"/>
        </w:numPr>
        <w:shd w:val="clear"/>
        <w:kinsoku/>
        <w:wordWrap/>
        <w:overflowPunct/>
        <w:topLinePunct w:val="0"/>
        <w:bidi w:val="0"/>
        <w:snapToGrid/>
        <w:spacing w:line="576"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公务接待费支出</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rPr>
        <w:t>万元，</w:t>
      </w:r>
      <w:r>
        <w:rPr>
          <w:rStyle w:val="17"/>
          <w:rFonts w:hint="eastAsia" w:ascii="仿宋_GB2312" w:hAnsi="仿宋_GB2312" w:eastAsia="仿宋_GB2312" w:cs="仿宋_GB2312"/>
          <w:b w:val="0"/>
          <w:bCs/>
          <w:color w:val="auto"/>
          <w:sz w:val="32"/>
          <w:szCs w:val="32"/>
        </w:rPr>
        <w:t>完成预算</w:t>
      </w:r>
      <w:r>
        <w:rPr>
          <w:rStyle w:val="17"/>
          <w:rFonts w:hint="eastAsia" w:ascii="仿宋_GB2312" w:hAnsi="仿宋_GB2312" w:eastAsia="仿宋_GB2312" w:cs="仿宋_GB2312"/>
          <w:b w:val="0"/>
          <w:bCs/>
          <w:color w:val="auto"/>
          <w:sz w:val="32"/>
          <w:szCs w:val="32"/>
          <w:lang w:val="en-US" w:eastAsia="zh-CN"/>
        </w:rPr>
        <w:t>10</w:t>
      </w:r>
      <w:r>
        <w:rPr>
          <w:rStyle w:val="17"/>
          <w:rFonts w:hint="eastAsia" w:ascii="仿宋_GB2312" w:hAnsi="仿宋_GB2312" w:eastAsia="仿宋_GB2312" w:cs="仿宋_GB2312"/>
          <w:b w:val="0"/>
          <w:bCs/>
          <w:color w:val="auto"/>
          <w:sz w:val="32"/>
          <w:szCs w:val="32"/>
        </w:rPr>
        <w:t>0%。</w:t>
      </w:r>
      <w:r>
        <w:rPr>
          <w:rFonts w:hint="eastAsia" w:ascii="仿宋_GB2312" w:hAnsi="仿宋_GB2312" w:eastAsia="仿宋_GB2312" w:cs="仿宋_GB2312"/>
          <w:color w:val="auto"/>
          <w:kern w:val="2"/>
          <w:sz w:val="32"/>
          <w:szCs w:val="32"/>
          <w:lang w:val="zh-CN"/>
        </w:rPr>
        <w:t>公务接待费支出决算比202</w:t>
      </w: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val="zh-CN"/>
        </w:rPr>
        <w:t>年增加</w:t>
      </w:r>
      <w:r>
        <w:rPr>
          <w:rFonts w:hint="eastAsia" w:ascii="仿宋_GB2312" w:hAnsi="仿宋_GB2312" w:eastAsia="仿宋_GB2312" w:cs="仿宋_GB2312"/>
          <w:color w:val="auto"/>
          <w:kern w:val="2"/>
          <w:sz w:val="32"/>
          <w:szCs w:val="32"/>
          <w:lang w:val="en-US" w:eastAsia="zh-CN"/>
        </w:rPr>
        <w:t>0.1</w:t>
      </w:r>
      <w:r>
        <w:rPr>
          <w:rFonts w:hint="eastAsia" w:ascii="仿宋_GB2312" w:hAnsi="仿宋_GB2312" w:eastAsia="仿宋_GB2312" w:cs="仿宋_GB2312"/>
          <w:color w:val="auto"/>
          <w:kern w:val="2"/>
          <w:sz w:val="32"/>
          <w:szCs w:val="32"/>
          <w:lang w:val="zh-CN"/>
        </w:rPr>
        <w:t>万元，增长100%</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公务接待次数增加</w:t>
      </w:r>
      <w:r>
        <w:rPr>
          <w:rFonts w:hint="eastAsia" w:ascii="仿宋_GB2312" w:hAnsi="仿宋_GB2312" w:eastAsia="仿宋_GB2312" w:cs="仿宋_GB2312"/>
          <w:color w:val="auto"/>
          <w:sz w:val="32"/>
          <w:szCs w:val="32"/>
        </w:rPr>
        <w:t>。其中：</w:t>
      </w:r>
    </w:p>
    <w:p>
      <w:pPr>
        <w:pageBreakBefore w:val="0"/>
        <w:widowControl w:val="0"/>
        <w:shd w:val="clear"/>
        <w:kinsoku/>
        <w:wordWrap/>
        <w:overflowPunct/>
        <w:topLinePunct w:val="0"/>
        <w:bidi w:val="0"/>
        <w:snapToGrid/>
        <w:spacing w:line="576"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rPr>
        <w:t>国内公务接待支出</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主要用于执行公务、开展业务活动开支的用餐费等。</w:t>
      </w:r>
      <w:r>
        <w:rPr>
          <w:rFonts w:hint="eastAsia" w:ascii="仿宋_GB2312" w:hAnsi="仿宋_GB2312" w:eastAsia="仿宋_GB2312" w:cs="仿宋_GB2312"/>
          <w:color w:val="auto"/>
          <w:sz w:val="32"/>
          <w:szCs w:val="32"/>
          <w:highlight w:val="none"/>
        </w:rPr>
        <w:t>国内公务接待</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批次，</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人次（不包括陪同人员）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具体内容包括：</w:t>
      </w:r>
      <w:r>
        <w:rPr>
          <w:rFonts w:hint="eastAsia" w:ascii="仿宋_GB2312" w:hAnsi="仿宋_GB2312" w:eastAsia="仿宋_GB2312" w:cs="仿宋_GB2312"/>
          <w:color w:val="auto"/>
          <w:sz w:val="32"/>
          <w:szCs w:val="32"/>
          <w:highlight w:val="none"/>
          <w:lang w:eastAsia="zh-CN"/>
        </w:rPr>
        <w:t>接待内蒙古赤峰市自然资源局考察组学习座谈接待费</w:t>
      </w:r>
      <w:r>
        <w:rPr>
          <w:rFonts w:hint="eastAsia" w:ascii="仿宋_GB2312" w:hAnsi="仿宋_GB2312" w:eastAsia="仿宋_GB2312" w:cs="仿宋_GB2312"/>
          <w:color w:val="auto"/>
          <w:sz w:val="32"/>
          <w:szCs w:val="32"/>
          <w:highlight w:val="none"/>
          <w:lang w:val="en-US" w:eastAsia="zh-CN"/>
        </w:rPr>
        <w:t>0.1万元</w:t>
      </w:r>
      <w:r>
        <w:rPr>
          <w:rFonts w:hint="eastAsia" w:ascii="仿宋_GB2312" w:hAnsi="仿宋_GB2312" w:eastAsia="仿宋_GB2312" w:cs="仿宋_GB2312"/>
          <w:color w:val="auto"/>
          <w:sz w:val="32"/>
          <w:szCs w:val="32"/>
          <w:highlight w:val="none"/>
        </w:rPr>
        <w:t>。</w:t>
      </w:r>
    </w:p>
    <w:p>
      <w:pPr>
        <w:pageBreakBefore w:val="0"/>
        <w:widowControl w:val="0"/>
        <w:shd w:val="clear"/>
        <w:kinsoku/>
        <w:wordWrap/>
        <w:overflowPunct/>
        <w:topLinePunct w:val="0"/>
        <w:bidi w:val="0"/>
        <w:snapToGrid/>
        <w:spacing w:line="576" w:lineRule="exact"/>
        <w:ind w:firstLine="642" w:firstLineChars="200"/>
        <w:jc w:val="both"/>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color w:val="auto"/>
          <w:sz w:val="32"/>
          <w:szCs w:val="32"/>
        </w:rPr>
        <w:t>外事接待支出</w:t>
      </w:r>
      <w:r>
        <w:rPr>
          <w:rFonts w:hint="eastAsia" w:ascii="仿宋_GB2312" w:hAnsi="仿宋_GB2312" w:eastAsia="仿宋_GB2312" w:cs="仿宋_GB2312"/>
          <w:color w:val="auto"/>
          <w:sz w:val="32"/>
          <w:szCs w:val="32"/>
        </w:rPr>
        <w:t>0万元。</w:t>
      </w:r>
      <w:bookmarkStart w:id="41" w:name="_Toc15377218"/>
      <w:bookmarkStart w:id="42" w:name="_Toc3207"/>
      <w:bookmarkStart w:id="43" w:name="_Toc23098"/>
      <w:bookmarkStart w:id="44" w:name="_Toc15396610"/>
    </w:p>
    <w:p>
      <w:pPr>
        <w:pStyle w:val="4"/>
        <w:pageBreakBefore w:val="0"/>
        <w:widowControl w:val="0"/>
        <w:shd w:val="clear"/>
        <w:kinsoku/>
        <w:wordWrap/>
        <w:overflowPunct/>
        <w:topLinePunct w:val="0"/>
        <w:autoSpaceDE/>
        <w:autoSpaceDN/>
        <w:bidi w:val="0"/>
        <w:adjustRightInd/>
        <w:spacing w:before="0" w:after="0" w:line="576"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八、政府性基金预算支出决算情况说明</w:t>
      </w:r>
      <w:bookmarkEnd w:id="41"/>
      <w:bookmarkEnd w:id="42"/>
      <w:bookmarkEnd w:id="43"/>
      <w:bookmarkEnd w:id="44"/>
    </w:p>
    <w:p>
      <w:pPr>
        <w:pageBreakBefore w:val="0"/>
        <w:widowControl w:val="0"/>
        <w:shd w:val="clear"/>
        <w:kinsoku/>
        <w:wordWrap/>
        <w:overflowPunct/>
        <w:topLinePunct w:val="0"/>
        <w:bidi w:val="0"/>
        <w:snapToGrid/>
        <w:spacing w:line="576"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政府性基金预算财政拨款支出</w:t>
      </w:r>
      <w:r>
        <w:rPr>
          <w:rFonts w:hint="eastAsia" w:ascii="仿宋_GB2312" w:hAnsi="仿宋_GB2312" w:eastAsia="仿宋_GB2312" w:cs="仿宋_GB2312"/>
          <w:color w:val="auto"/>
          <w:kern w:val="2"/>
          <w:sz w:val="32"/>
          <w:szCs w:val="32"/>
          <w:lang w:val="en-US" w:eastAsia="zh-CN"/>
        </w:rPr>
        <w:t>8496.81</w:t>
      </w:r>
      <w:r>
        <w:rPr>
          <w:rFonts w:hint="eastAsia" w:ascii="仿宋_GB2312" w:hAnsi="仿宋_GB2312" w:eastAsia="仿宋_GB2312" w:cs="仿宋_GB2312"/>
          <w:color w:val="auto"/>
          <w:sz w:val="32"/>
          <w:szCs w:val="32"/>
        </w:rPr>
        <w:t>万元。</w:t>
      </w:r>
      <w:bookmarkStart w:id="45" w:name="_Toc15377219"/>
      <w:bookmarkStart w:id="46" w:name="_Toc2700"/>
      <w:bookmarkStart w:id="47" w:name="_Toc28782"/>
      <w:bookmarkStart w:id="48" w:name="_Toc15396611"/>
    </w:p>
    <w:p>
      <w:pPr>
        <w:pStyle w:val="4"/>
        <w:pageBreakBefore w:val="0"/>
        <w:widowControl w:val="0"/>
        <w:shd w:val="clear"/>
        <w:kinsoku/>
        <w:wordWrap/>
        <w:overflowPunct/>
        <w:topLinePunct w:val="0"/>
        <w:autoSpaceDE/>
        <w:autoSpaceDN/>
        <w:bidi w:val="0"/>
        <w:adjustRightInd/>
        <w:spacing w:before="0" w:after="0" w:line="576"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九、</w:t>
      </w:r>
      <w:r>
        <w:rPr>
          <w:rFonts w:hint="eastAsia" w:ascii="黑体" w:hAnsi="黑体" w:eastAsia="黑体" w:cs="黑体"/>
          <w:b w:val="0"/>
          <w:bCs w:val="0"/>
          <w:color w:val="auto"/>
          <w:sz w:val="32"/>
          <w:szCs w:val="32"/>
        </w:rPr>
        <w:t>国有资本经营预算支出决算情况说明</w:t>
      </w:r>
      <w:bookmarkEnd w:id="45"/>
      <w:bookmarkEnd w:id="46"/>
      <w:bookmarkEnd w:id="47"/>
      <w:bookmarkEnd w:id="48"/>
    </w:p>
    <w:p>
      <w:pPr>
        <w:pageBreakBefore w:val="0"/>
        <w:widowControl w:val="0"/>
        <w:shd w:val="clear"/>
        <w:kinsoku/>
        <w:wordWrap/>
        <w:overflowPunct/>
        <w:topLinePunct w:val="0"/>
        <w:bidi w:val="0"/>
        <w:snapToGrid/>
        <w:spacing w:line="576"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国有资本经营预算财政拨款支出0万元。</w:t>
      </w:r>
      <w:bookmarkStart w:id="49" w:name="_Toc28477"/>
      <w:bookmarkStart w:id="50" w:name="_Toc15396612"/>
      <w:bookmarkStart w:id="51" w:name="_Toc15377221"/>
      <w:bookmarkStart w:id="52" w:name="_Toc22329"/>
    </w:p>
    <w:p>
      <w:pPr>
        <w:pStyle w:val="4"/>
        <w:pageBreakBefore w:val="0"/>
        <w:widowControl w:val="0"/>
        <w:shd w:val="clear"/>
        <w:kinsoku/>
        <w:wordWrap/>
        <w:overflowPunct/>
        <w:topLinePunct w:val="0"/>
        <w:autoSpaceDE/>
        <w:autoSpaceDN/>
        <w:bidi w:val="0"/>
        <w:adjustRightInd/>
        <w:spacing w:before="0" w:after="0" w:line="576"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十、</w:t>
      </w:r>
      <w:r>
        <w:rPr>
          <w:rFonts w:hint="eastAsia" w:ascii="黑体" w:hAnsi="黑体" w:eastAsia="黑体" w:cs="黑体"/>
          <w:b w:val="0"/>
          <w:bCs w:val="0"/>
          <w:color w:val="auto"/>
          <w:sz w:val="32"/>
          <w:szCs w:val="32"/>
        </w:rPr>
        <w:t>其他重要事项的情况说明</w:t>
      </w:r>
      <w:bookmarkEnd w:id="49"/>
      <w:bookmarkEnd w:id="50"/>
      <w:bookmarkEnd w:id="51"/>
      <w:bookmarkEnd w:id="52"/>
    </w:p>
    <w:p>
      <w:pPr>
        <w:spacing w:line="600" w:lineRule="exact"/>
        <w:ind w:firstLine="642" w:firstLineChars="200"/>
        <w:outlineLvl w:val="2"/>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（一）机关运行经费支出情况</w:t>
      </w:r>
    </w:p>
    <w:p>
      <w:pPr>
        <w:pageBreakBefore w:val="0"/>
        <w:widowControl w:val="0"/>
        <w:shd w:val="clear"/>
        <w:kinsoku/>
        <w:wordWrap/>
        <w:overflowPunct/>
        <w:topLinePunct w:val="0"/>
        <w:bidi w:val="0"/>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未发生机关运行经费，与202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决算数持平</w:t>
      </w:r>
      <w:r>
        <w:rPr>
          <w:rFonts w:hint="eastAsia" w:ascii="仿宋_GB2312" w:hAnsi="仿宋_GB2312" w:eastAsia="仿宋_GB2312" w:cs="仿宋_GB2312"/>
          <w:color w:val="auto"/>
          <w:sz w:val="32"/>
          <w:szCs w:val="32"/>
        </w:rPr>
        <w:t>。</w:t>
      </w:r>
    </w:p>
    <w:p>
      <w:pPr>
        <w:spacing w:line="600" w:lineRule="exact"/>
        <w:ind w:firstLine="642" w:firstLineChars="200"/>
        <w:outlineLvl w:val="2"/>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（二）政府采购支出情况</w:t>
      </w:r>
    </w:p>
    <w:p>
      <w:pPr>
        <w:keepNext w:val="0"/>
        <w:keepLines w:val="0"/>
        <w:widowControl/>
        <w:suppressLineNumbers w:val="0"/>
        <w:spacing w:before="0" w:beforeAutospacing="0" w:after="0" w:afterAutospacing="0" w:line="600" w:lineRule="atLeast"/>
        <w:ind w:left="0" w:right="0"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zh-CN"/>
        </w:rPr>
        <w:t>202</w:t>
      </w: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lang w:val="zh-CN"/>
        </w:rPr>
        <w:t>年度，广元市自然资源储备交易中心政府采购支出总额</w:t>
      </w:r>
      <w:r>
        <w:rPr>
          <w:rFonts w:hint="eastAsia" w:ascii="仿宋_GB2312" w:hAnsi="仿宋_GB2312" w:eastAsia="仿宋_GB2312" w:cs="仿宋_GB2312"/>
          <w:color w:val="auto"/>
          <w:kern w:val="2"/>
          <w:sz w:val="32"/>
          <w:szCs w:val="32"/>
          <w:lang w:val="en-US" w:eastAsia="zh-CN"/>
        </w:rPr>
        <w:t>0</w:t>
      </w:r>
      <w:r>
        <w:rPr>
          <w:rFonts w:hint="eastAsia" w:ascii="仿宋_GB2312" w:hAnsi="仿宋_GB2312" w:eastAsia="仿宋_GB2312" w:cs="仿宋_GB2312"/>
          <w:color w:val="auto"/>
          <w:kern w:val="2"/>
          <w:sz w:val="32"/>
          <w:szCs w:val="32"/>
          <w:lang w:val="zh-CN"/>
        </w:rPr>
        <w:t>万元</w:t>
      </w:r>
      <w:r>
        <w:rPr>
          <w:rFonts w:hint="default" w:ascii="仿宋_GB2312" w:hAnsi="Times New Roman" w:eastAsia="仿宋_GB2312" w:cs="仿宋_GB2312"/>
          <w:i w:val="0"/>
          <w:iCs w:val="0"/>
          <w:caps w:val="0"/>
          <w:color w:val="000000"/>
          <w:spacing w:val="0"/>
          <w:kern w:val="0"/>
          <w:sz w:val="32"/>
          <w:szCs w:val="32"/>
          <w:highlight w:val="none"/>
          <w:lang w:val="en-US" w:eastAsia="zh-CN" w:bidi="ar"/>
        </w:rPr>
        <w:t>。</w:t>
      </w:r>
    </w:p>
    <w:p>
      <w:pPr>
        <w:spacing w:line="600" w:lineRule="exact"/>
        <w:ind w:firstLine="642" w:firstLineChars="200"/>
        <w:outlineLvl w:val="2"/>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（三）国有资产占有使用情况</w:t>
      </w:r>
    </w:p>
    <w:p>
      <w:pPr>
        <w:pStyle w:val="2"/>
        <w:pageBreakBefore w:val="0"/>
        <w:widowControl w:val="0"/>
        <w:shd w:val="clear"/>
        <w:kinsoku/>
        <w:wordWrap/>
        <w:overflowPunct/>
        <w:topLinePunct w:val="0"/>
        <w:bidi w:val="0"/>
        <w:snapToGrid/>
        <w:spacing w:beforeLines="0" w:line="576" w:lineRule="exact"/>
        <w:ind w:firstLine="640" w:firstLineChars="200"/>
        <w:jc w:val="both"/>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截至202</w:t>
      </w:r>
      <w:r>
        <w:rPr>
          <w:rFonts w:hint="eastAsia"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年12月31日，广元市自然资源储备交易中心共有车辆1辆，其中：其他用车1辆。其中：其他用车主要是用于现场勘查和土管会会前调</w:t>
      </w:r>
      <w:r>
        <w:rPr>
          <w:rFonts w:hint="eastAsia" w:ascii="仿宋_GB2312" w:hAnsi="仿宋_GB2312" w:eastAsia="仿宋_GB2312" w:cs="仿宋_GB2312"/>
          <w:color w:val="auto"/>
          <w:sz w:val="32"/>
          <w:szCs w:val="32"/>
          <w:lang w:eastAsia="zh-CN"/>
        </w:rPr>
        <w:t>研</w:t>
      </w:r>
      <w:r>
        <w:rPr>
          <w:rFonts w:hint="eastAsia" w:ascii="仿宋_GB2312" w:hAnsi="仿宋_GB2312" w:eastAsia="仿宋_GB2312" w:cs="仿宋_GB2312"/>
          <w:color w:val="auto"/>
          <w:sz w:val="32"/>
          <w:szCs w:val="32"/>
        </w:rPr>
        <w:t>。单价100万元（含）以上设备0台（套</w:t>
      </w:r>
      <w:r>
        <w:rPr>
          <w:rFonts w:hint="eastAsia" w:hAnsi="仿宋_GB2312" w:cs="仿宋_GB2312"/>
          <w:color w:val="auto"/>
          <w:sz w:val="32"/>
          <w:szCs w:val="32"/>
          <w:lang w:eastAsia="zh-CN"/>
        </w:rPr>
        <w:t>）</w:t>
      </w:r>
      <w:r>
        <w:rPr>
          <w:rFonts w:hint="eastAsia" w:ascii="仿宋_GB2312" w:hAnsi="仿宋_GB2312" w:eastAsia="仿宋_GB2312" w:cs="仿宋_GB2312"/>
          <w:color w:val="auto"/>
          <w:sz w:val="32"/>
          <w:szCs w:val="32"/>
        </w:rPr>
        <w:t>。</w:t>
      </w:r>
    </w:p>
    <w:p>
      <w:pPr>
        <w:spacing w:line="600" w:lineRule="exact"/>
        <w:ind w:firstLine="642" w:firstLineChars="200"/>
        <w:outlineLvl w:val="2"/>
        <w:rPr>
          <w:rFonts w:hint="eastAsia" w:ascii="楷体_GB2312" w:hAnsi="楷体_GB2312" w:eastAsia="楷体_GB2312" w:cs="楷体_GB2312"/>
          <w:b/>
          <w:bCs w:val="0"/>
          <w:color w:val="auto"/>
          <w:sz w:val="32"/>
          <w:szCs w:val="32"/>
          <w:highlight w:val="none"/>
          <w:lang w:eastAsia="zh-CN"/>
        </w:rPr>
      </w:pPr>
      <w:r>
        <w:rPr>
          <w:rFonts w:hint="eastAsia" w:ascii="楷体_GB2312" w:hAnsi="楷体_GB2312" w:eastAsia="楷体_GB2312" w:cs="楷体_GB2312"/>
          <w:b/>
          <w:bCs w:val="0"/>
          <w:color w:val="auto"/>
          <w:sz w:val="32"/>
          <w:szCs w:val="32"/>
          <w:highlight w:val="none"/>
        </w:rPr>
        <w:t>（四）预算绩效管理情况</w:t>
      </w: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eastAsia="zh-CN"/>
        </w:rPr>
        <w:t>根据预算绩效管理要求，本单位在</w:t>
      </w:r>
      <w:r>
        <w:rPr>
          <w:rFonts w:hint="eastAsia" w:ascii="仿宋_GB2312" w:hAnsi="Times New Roman" w:eastAsia="仿宋_GB2312" w:cs="Times New Roman"/>
          <w:color w:val="auto"/>
          <w:sz w:val="32"/>
          <w:szCs w:val="32"/>
          <w:highlight w:val="none"/>
          <w:lang w:val="en-US" w:eastAsia="zh-CN"/>
        </w:rPr>
        <w:t>2023年度</w:t>
      </w:r>
      <w:r>
        <w:rPr>
          <w:rFonts w:hint="eastAsia" w:ascii="仿宋_GB2312" w:hAnsi="Times New Roman" w:eastAsia="仿宋_GB2312" w:cs="Times New Roman"/>
          <w:color w:val="auto"/>
          <w:sz w:val="32"/>
          <w:szCs w:val="32"/>
          <w:highlight w:val="none"/>
          <w:lang w:eastAsia="zh-CN"/>
        </w:rPr>
        <w:t>预算编制阶段，组织对市本级储备土地和出让土地管理工作经费等</w:t>
      </w:r>
      <w:r>
        <w:rPr>
          <w:rFonts w:hint="eastAsia" w:ascii="仿宋_GB2312" w:hAnsi="Times New Roman" w:eastAsia="仿宋_GB2312" w:cs="Times New Roman"/>
          <w:color w:val="auto"/>
          <w:sz w:val="32"/>
          <w:szCs w:val="32"/>
          <w:highlight w:val="none"/>
          <w:lang w:val="en-US" w:eastAsia="zh-CN"/>
        </w:rPr>
        <w:t>22个项目</w:t>
      </w:r>
      <w:r>
        <w:rPr>
          <w:rFonts w:hint="eastAsia" w:ascii="仿宋_GB2312" w:hAnsi="Times New Roman" w:eastAsia="仿宋_GB2312" w:cs="Times New Roman"/>
          <w:color w:val="auto"/>
          <w:sz w:val="32"/>
          <w:szCs w:val="32"/>
          <w:highlight w:val="none"/>
          <w:lang w:eastAsia="zh-CN"/>
        </w:rPr>
        <w:t>开展了预算事前绩效评估，对</w:t>
      </w:r>
      <w:r>
        <w:rPr>
          <w:rFonts w:hint="eastAsia" w:ascii="仿宋_GB2312" w:hAnsi="Times New Roman" w:eastAsia="仿宋_GB2312" w:cs="Times New Roman"/>
          <w:color w:val="auto"/>
          <w:sz w:val="32"/>
          <w:szCs w:val="32"/>
          <w:highlight w:val="none"/>
          <w:lang w:val="en-US" w:eastAsia="zh-CN"/>
        </w:rPr>
        <w:t>22</w:t>
      </w:r>
      <w:r>
        <w:rPr>
          <w:rFonts w:hint="eastAsia" w:ascii="仿宋_GB2312" w:hAnsi="Times New Roman" w:eastAsia="仿宋_GB2312" w:cs="Times New Roman"/>
          <w:color w:val="auto"/>
          <w:sz w:val="32"/>
          <w:szCs w:val="32"/>
          <w:highlight w:val="none"/>
          <w:lang w:eastAsia="zh-CN"/>
        </w:rPr>
        <w:t>个项目编制了绩效目标，预算执行过程中，选取</w:t>
      </w:r>
      <w:r>
        <w:rPr>
          <w:rFonts w:hint="eastAsia" w:ascii="仿宋_GB2312" w:hAnsi="Times New Roman" w:eastAsia="仿宋_GB2312" w:cs="Times New Roman"/>
          <w:color w:val="auto"/>
          <w:sz w:val="32"/>
          <w:szCs w:val="32"/>
          <w:highlight w:val="none"/>
          <w:lang w:val="en-US" w:eastAsia="zh-CN"/>
        </w:rPr>
        <w:t>22</w:t>
      </w:r>
      <w:r>
        <w:rPr>
          <w:rFonts w:hint="eastAsia" w:ascii="仿宋_GB2312" w:hAnsi="Times New Roman" w:eastAsia="仿宋_GB2312" w:cs="Times New Roman"/>
          <w:color w:val="auto"/>
          <w:sz w:val="32"/>
          <w:szCs w:val="32"/>
          <w:highlight w:val="none"/>
          <w:lang w:eastAsia="zh-CN"/>
        </w:rPr>
        <w:t>个项目开展绩效监控，组织对</w:t>
      </w:r>
      <w:r>
        <w:rPr>
          <w:rFonts w:hint="eastAsia" w:ascii="仿宋_GB2312" w:hAnsi="Times New Roman" w:eastAsia="仿宋_GB2312" w:cs="Times New Roman"/>
          <w:color w:val="auto"/>
          <w:sz w:val="32"/>
          <w:szCs w:val="32"/>
          <w:highlight w:val="none"/>
          <w:lang w:val="en-US" w:eastAsia="zh-CN"/>
        </w:rPr>
        <w:t>22个项目开展绩效自评，绩效自评表详见第四部分附件。</w:t>
      </w:r>
    </w:p>
    <w:p>
      <w:pPr>
        <w:widowControl/>
        <w:shd w:val="clear"/>
        <w:jc w:val="left"/>
        <w:rPr>
          <w:rFonts w:ascii="仿宋_GB2312" w:eastAsia="仿宋_GB2312"/>
          <w:b/>
          <w:color w:val="auto"/>
          <w:sz w:val="32"/>
          <w:szCs w:val="32"/>
        </w:rPr>
      </w:pPr>
      <w:r>
        <w:rPr>
          <w:rFonts w:ascii="仿宋_GB2312" w:eastAsia="仿宋_GB2312"/>
          <w:b/>
          <w:color w:val="auto"/>
          <w:sz w:val="32"/>
          <w:szCs w:val="32"/>
        </w:rPr>
        <w:br w:type="page"/>
      </w:r>
    </w:p>
    <w:p>
      <w:pPr>
        <w:pStyle w:val="3"/>
        <w:jc w:val="center"/>
        <w:rPr>
          <w:rFonts w:hint="eastAsia" w:ascii="方正小标宋_GBK" w:hAnsi="方正小标宋_GBK" w:eastAsia="方正小标宋_GBK" w:cs="方正小标宋_GBK"/>
          <w:b w:val="0"/>
          <w:bCs w:val="0"/>
          <w:color w:val="auto"/>
          <w:kern w:val="2"/>
          <w:sz w:val="44"/>
          <w:szCs w:val="44"/>
          <w:highlight w:val="none"/>
          <w:lang w:val="en-US" w:eastAsia="zh-CN" w:bidi="ar-SA"/>
        </w:rPr>
      </w:pPr>
      <w:bookmarkStart w:id="53" w:name="_Toc15377225"/>
      <w:bookmarkStart w:id="54" w:name="_Toc15396613"/>
      <w:bookmarkStart w:id="55" w:name="_Toc10115"/>
      <w:bookmarkStart w:id="56" w:name="_Toc7618"/>
      <w:r>
        <w:rPr>
          <w:rFonts w:hint="eastAsia" w:ascii="方正小标宋_GBK" w:hAnsi="方正小标宋_GBK" w:eastAsia="方正小标宋_GBK" w:cs="方正小标宋_GBK"/>
          <w:b w:val="0"/>
          <w:bCs w:val="0"/>
          <w:color w:val="auto"/>
          <w:kern w:val="2"/>
          <w:sz w:val="44"/>
          <w:szCs w:val="44"/>
          <w:highlight w:val="none"/>
          <w:lang w:val="en-US" w:eastAsia="zh-CN" w:bidi="ar-SA"/>
        </w:rPr>
        <w:t>第三部分  名词解释</w:t>
      </w:r>
      <w:bookmarkEnd w:id="53"/>
      <w:bookmarkEnd w:id="54"/>
      <w:bookmarkEnd w:id="55"/>
      <w:bookmarkEnd w:id="56"/>
    </w:p>
    <w:p>
      <w:pPr>
        <w:shd w:val="clear"/>
        <w:spacing w:line="600" w:lineRule="exact"/>
        <w:jc w:val="left"/>
        <w:rPr>
          <w:rFonts w:ascii="宋体"/>
          <w:b/>
          <w:color w:val="auto"/>
          <w:sz w:val="44"/>
          <w:szCs w:val="44"/>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left="0" w:leftChars="0" w:firstLine="640" w:firstLineChars="200"/>
        <w:jc w:val="both"/>
        <w:textAlignment w:val="auto"/>
        <w:outlineLvl w:val="1"/>
        <w:rPr>
          <w:rFonts w:hint="eastAsia" w:ascii="仿宋_GB2312" w:hAnsi="仿宋_GB2312" w:eastAsia="仿宋_GB2312" w:cs="仿宋_GB2312"/>
          <w:color w:val="auto"/>
          <w:sz w:val="32"/>
          <w:szCs w:val="32"/>
        </w:rPr>
      </w:pPr>
      <w:bookmarkStart w:id="57" w:name="_Toc13331"/>
      <w:bookmarkStart w:id="58" w:name="_Toc15377226"/>
      <w:r>
        <w:rPr>
          <w:rFonts w:hint="default" w:ascii="Times New Roman" w:hAnsi="Times New Roman" w:eastAsia="仿宋_GB2312" w:cs="Times New Roman"/>
          <w:color w:val="auto"/>
          <w:kern w:val="2"/>
          <w:sz w:val="32"/>
          <w:szCs w:val="32"/>
          <w:lang w:val="en-US" w:eastAsia="zh-CN" w:bidi="ar-SA"/>
        </w:rPr>
        <w:t>1．</w:t>
      </w:r>
      <w:r>
        <w:rPr>
          <w:rFonts w:hint="eastAsia" w:ascii="仿宋_GB2312" w:hAnsi="仿宋_GB2312" w:eastAsia="仿宋_GB2312" w:cs="仿宋_GB2312"/>
          <w:color w:val="auto"/>
          <w:sz w:val="32"/>
          <w:szCs w:val="32"/>
        </w:rPr>
        <w:t>财政拨款收入：指单位从同级财政部门取得的财政预算资金。</w:t>
      </w:r>
      <w:bookmarkEnd w:id="57"/>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left="0" w:leftChars="0" w:firstLine="640" w:firstLineChars="200"/>
        <w:jc w:val="both"/>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社会保障和就业（类）行政事业单位养老支出（款）事业单位离退休（项）：指事业单位退休职工生活补助。</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color w:val="auto"/>
          <w:sz w:val="32"/>
          <w:szCs w:val="32"/>
        </w:rPr>
        <w:t>社会保障和就业（类）行政事业单位</w:t>
      </w:r>
      <w:r>
        <w:rPr>
          <w:rFonts w:hint="eastAsia" w:ascii="仿宋_GB2312" w:hAnsi="仿宋_GB2312" w:eastAsia="仿宋_GB2312" w:cs="仿宋_GB2312"/>
          <w:color w:val="auto"/>
          <w:sz w:val="32"/>
          <w:szCs w:val="32"/>
          <w:lang w:eastAsia="zh-CN"/>
        </w:rPr>
        <w:t>养老支出</w:t>
      </w:r>
      <w:r>
        <w:rPr>
          <w:rFonts w:hint="eastAsia" w:ascii="仿宋_GB2312" w:hAnsi="仿宋_GB2312" w:eastAsia="仿宋_GB2312" w:cs="仿宋_GB2312"/>
          <w:color w:val="auto"/>
          <w:sz w:val="32"/>
          <w:szCs w:val="32"/>
        </w:rPr>
        <w:t>（款）机关事业单位基本养老保险缴费支出（项）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指机关事业单位实施养老保</w:t>
      </w:r>
      <w:r>
        <w:rPr>
          <w:rFonts w:hint="eastAsia" w:ascii="仿宋_GB2312" w:hAnsi="仿宋_GB2312" w:eastAsia="仿宋_GB2312" w:cs="仿宋_GB2312"/>
          <w:color w:val="auto"/>
          <w:sz w:val="32"/>
          <w:szCs w:val="32"/>
          <w:highlight w:val="none"/>
        </w:rPr>
        <w:t>险制度由单位缴纳的基本养老保险费支出。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default" w:eastAsia="仿宋_GB2312"/>
          <w:highlight w:val="none"/>
          <w:lang w:val="en-US" w:eastAsia="zh-CN"/>
        </w:rPr>
      </w:pPr>
      <w:r>
        <w:rPr>
          <w:rFonts w:hint="eastAsia"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w:t>
      </w:r>
      <w:r>
        <w:rPr>
          <w:rFonts w:hint="eastAsia" w:ascii="仿宋_GB2312" w:hAnsi="仿宋_GB2312" w:eastAsia="仿宋_GB2312" w:cs="仿宋_GB2312"/>
          <w:color w:val="auto"/>
          <w:sz w:val="32"/>
          <w:szCs w:val="32"/>
          <w:highlight w:val="none"/>
        </w:rPr>
        <w:t>社会保障和就业（类）行政事业单位</w:t>
      </w:r>
      <w:r>
        <w:rPr>
          <w:rFonts w:hint="eastAsia" w:ascii="仿宋_GB2312" w:hAnsi="仿宋_GB2312" w:eastAsia="仿宋_GB2312" w:cs="仿宋_GB2312"/>
          <w:color w:val="auto"/>
          <w:sz w:val="32"/>
          <w:szCs w:val="32"/>
          <w:highlight w:val="none"/>
          <w:lang w:eastAsia="zh-CN"/>
        </w:rPr>
        <w:t>养老支出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机关事业单位职业年金缴费支出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指机关事业单位实施养老保险制度由单位实际缴纳的职业年金支出。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color w:val="auto"/>
          <w:sz w:val="32"/>
          <w:szCs w:val="32"/>
          <w:highlight w:val="none"/>
        </w:rPr>
        <w:t>卫生健康（类）行政事业单位医疗（款）事业单位医疗（项）：指事业单位用于缴纳单位基本医疗保险支出。</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eastAsia="仿宋_GB2312" w:cs="Times New Roman"/>
          <w:color w:val="auto"/>
          <w:kern w:val="2"/>
          <w:sz w:val="32"/>
          <w:szCs w:val="32"/>
          <w:lang w:val="en-US" w:eastAsia="zh-CN" w:bidi="ar-SA"/>
        </w:rPr>
        <w:t>6</w:t>
      </w:r>
      <w:r>
        <w:rPr>
          <w:rFonts w:hint="default" w:ascii="Times New Roman"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城区社区支出（类）国有土地使用权出让收入安排的支出（款）征地和拆迁补偿支出（项）：指地方政府在征地和收购土地过程中支付的土地补偿费、安置补助费、第三附着和青苗补偿费、拆迁补偿费支出。</w:t>
      </w:r>
    </w:p>
    <w:p>
      <w:pPr>
        <w:ind w:firstLine="640" w:firstLineChars="200"/>
        <w:rPr>
          <w:rFonts w:hint="eastAsia"/>
          <w:lang w:val="en-US" w:eastAsia="zh-CN"/>
        </w:rPr>
      </w:pPr>
      <w:r>
        <w:rPr>
          <w:rFonts w:hint="eastAsia" w:eastAsia="仿宋_GB2312" w:cs="Times New Roman"/>
          <w:color w:val="auto"/>
          <w:kern w:val="2"/>
          <w:sz w:val="32"/>
          <w:szCs w:val="32"/>
          <w:lang w:val="en-US" w:eastAsia="zh-CN" w:bidi="ar-SA"/>
        </w:rPr>
        <w:t>7</w:t>
      </w:r>
      <w:r>
        <w:rPr>
          <w:rFonts w:hint="default" w:ascii="Times New Roman"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城区社区支出（类）国有土地使用权出让收入安排的支出（款）土地开发支出（项）：指地方政府用于前期土地开发性支出以及与前期土地开发相关的费用等支出。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kern w:val="2"/>
          <w:sz w:val="32"/>
          <w:szCs w:val="32"/>
          <w:lang w:val="en-US" w:eastAsia="zh-CN" w:bidi="ar-SA"/>
        </w:rPr>
        <w:t>8</w:t>
      </w:r>
      <w:r>
        <w:rPr>
          <w:rFonts w:hint="default" w:ascii="Times New Roman"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color w:val="auto"/>
          <w:sz w:val="32"/>
          <w:szCs w:val="32"/>
          <w:highlight w:val="none"/>
        </w:rPr>
        <w:t>城</w:t>
      </w:r>
      <w:r>
        <w:rPr>
          <w:rFonts w:hint="eastAsia" w:ascii="仿宋_GB2312" w:hAnsi="仿宋_GB2312" w:eastAsia="仿宋_GB2312" w:cs="仿宋_GB2312"/>
          <w:color w:val="auto"/>
          <w:sz w:val="32"/>
          <w:szCs w:val="32"/>
          <w:highlight w:val="none"/>
          <w:lang w:val="en-US" w:eastAsia="zh-CN"/>
        </w:rPr>
        <w:t>乡</w:t>
      </w:r>
      <w:r>
        <w:rPr>
          <w:rFonts w:hint="eastAsia" w:ascii="仿宋_GB2312" w:hAnsi="仿宋_GB2312" w:eastAsia="仿宋_GB2312" w:cs="仿宋_GB2312"/>
          <w:color w:val="auto"/>
          <w:sz w:val="32"/>
          <w:szCs w:val="32"/>
          <w:highlight w:val="none"/>
        </w:rPr>
        <w:t>社区（类）</w:t>
      </w:r>
      <w:r>
        <w:rPr>
          <w:rFonts w:hint="eastAsia" w:ascii="仿宋_GB2312" w:hAnsi="仿宋_GB2312" w:eastAsia="仿宋_GB2312" w:cs="仿宋_GB2312"/>
          <w:color w:val="auto"/>
          <w:sz w:val="32"/>
          <w:szCs w:val="32"/>
          <w:highlight w:val="none"/>
          <w:lang w:val="en-US" w:eastAsia="zh-CN"/>
        </w:rPr>
        <w:t>国有土地使用权出让收入安排的支出</w:t>
      </w:r>
      <w:r>
        <w:rPr>
          <w:rFonts w:hint="eastAsia" w:ascii="仿宋_GB2312" w:hAnsi="仿宋_GB2312" w:eastAsia="仿宋_GB2312" w:cs="仿宋_GB2312"/>
          <w:color w:val="auto"/>
          <w:sz w:val="32"/>
          <w:szCs w:val="32"/>
          <w:highlight w:val="none"/>
        </w:rPr>
        <w:t>（款）土地出让</w:t>
      </w:r>
      <w:r>
        <w:rPr>
          <w:rFonts w:hint="eastAsia" w:ascii="仿宋_GB2312" w:hAnsi="仿宋_GB2312" w:eastAsia="仿宋_GB2312" w:cs="仿宋_GB2312"/>
          <w:color w:val="auto"/>
          <w:sz w:val="32"/>
          <w:szCs w:val="32"/>
          <w:highlight w:val="none"/>
          <w:lang w:val="en-US" w:eastAsia="zh-CN"/>
        </w:rPr>
        <w:t>业务</w:t>
      </w:r>
      <w:r>
        <w:rPr>
          <w:rFonts w:hint="eastAsia" w:ascii="仿宋_GB2312" w:hAnsi="仿宋_GB2312" w:eastAsia="仿宋_GB2312" w:cs="仿宋_GB2312"/>
          <w:color w:val="auto"/>
          <w:sz w:val="32"/>
          <w:szCs w:val="32"/>
          <w:highlight w:val="none"/>
        </w:rPr>
        <w:t>支出（项）：指土地</w:t>
      </w:r>
      <w:r>
        <w:rPr>
          <w:rFonts w:hint="eastAsia" w:ascii="仿宋_GB2312" w:hAnsi="仿宋_GB2312" w:eastAsia="仿宋_GB2312" w:cs="仿宋_GB2312"/>
          <w:color w:val="auto"/>
          <w:sz w:val="32"/>
          <w:szCs w:val="32"/>
          <w:highlight w:val="none"/>
          <w:lang w:eastAsia="zh-CN"/>
        </w:rPr>
        <w:t>出让收入用于土地出让业务费用的支出</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color w:val="auto"/>
          <w:sz w:val="32"/>
          <w:szCs w:val="32"/>
          <w:highlight w:val="none"/>
        </w:rPr>
        <w:t>自然资源海洋气象等（类）自然资源事务（款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事业运行（项）：指局事业单位用于保障机构正常运行、开展日常工作的基本支出。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kern w:val="2"/>
          <w:sz w:val="32"/>
          <w:szCs w:val="32"/>
          <w:lang w:val="en-US" w:eastAsia="zh-CN" w:bidi="ar-SA"/>
        </w:rPr>
        <w:t>10</w:t>
      </w:r>
      <w:r>
        <w:rPr>
          <w:rFonts w:hint="default" w:ascii="Times New Roman"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color w:val="auto"/>
          <w:sz w:val="32"/>
          <w:szCs w:val="32"/>
          <w:highlight w:val="none"/>
        </w:rPr>
        <w:t>自然资源海洋气象等支出（类）自然资源事务（款）其他自然资源事务（项）：指除财政一般公共预算安排的项目之外的项目支出。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kern w:val="2"/>
          <w:sz w:val="32"/>
          <w:szCs w:val="32"/>
          <w:lang w:val="en-US" w:eastAsia="zh-CN" w:bidi="ar-SA"/>
        </w:rPr>
        <w:t>1</w:t>
      </w:r>
      <w:r>
        <w:rPr>
          <w:rFonts w:hint="eastAsia"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color w:val="auto"/>
          <w:sz w:val="32"/>
          <w:szCs w:val="32"/>
        </w:rPr>
        <w:t>住房保障（类）住房改革支出（款）住房公积金（项）：指局机关及事业单位按行政事业单位按人力资源部和社会保障部、财政部规定的基本工资和津贴补贴以及规定比例为职工缴纳的住房公积金。</w:t>
      </w:r>
    </w:p>
    <w:p>
      <w:pPr>
        <w:pStyle w:val="2"/>
        <w:pageBreakBefore w:val="0"/>
        <w:widowControl w:val="0"/>
        <w:kinsoku/>
        <w:wordWrap/>
        <w:overflowPunct/>
        <w:topLinePunct w:val="0"/>
        <w:bidi w:val="0"/>
        <w:snapToGrid/>
        <w:spacing w:beforeLines="0" w:line="576" w:lineRule="exact"/>
        <w:ind w:left="0" w:firstLine="640" w:firstLineChars="200"/>
        <w:jc w:val="both"/>
        <w:textAlignment w:val="auto"/>
        <w:rPr>
          <w:rFonts w:hint="default" w:eastAsia="仿宋_GB2312"/>
          <w:lang w:val="en-US" w:eastAsia="zh-CN"/>
        </w:rPr>
      </w:pPr>
      <w:r>
        <w:rPr>
          <w:rFonts w:hint="eastAsia" w:hAnsi="仿宋_GB2312" w:cs="仿宋_GB2312"/>
          <w:color w:val="auto"/>
          <w:sz w:val="32"/>
          <w:szCs w:val="32"/>
          <w:lang w:val="en-US" w:eastAsia="zh-CN"/>
        </w:rPr>
        <w:t>12.粮油物资储备支出（类）粮油物资事务（款）事业运行（项）：指事业单位的基本支出，不包括行政单位（包括实行公务员管理的事业单位）后勤服务中心、医务室等附属事业单位。</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基本支出：指为保障机构正常运转、完成日常工作任务而发生的人员支出和公用支出。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项目支出：指在基本支出之外为完成特定行政任务和事业发展目标所发生的支出。</w:t>
      </w:r>
    </w:p>
    <w:p>
      <w:pPr>
        <w:pStyle w:val="28"/>
        <w:pageBreakBefore w:val="0"/>
        <w:widowControl w:val="0"/>
        <w:kinsoku/>
        <w:wordWrap/>
        <w:overflowPunct/>
        <w:topLinePunct w:val="0"/>
        <w:bidi w:val="0"/>
        <w:snapToGrid/>
        <w:spacing w:line="576" w:lineRule="exact"/>
        <w:ind w:left="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bookmarkStart w:id="64" w:name="_GoBack"/>
      <w:bookmarkEnd w:id="64"/>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
        <w:pageBreakBefore w:val="0"/>
        <w:widowControl w:val="0"/>
        <w:kinsoku/>
        <w:wordWrap/>
        <w:overflowPunct/>
        <w:topLinePunct w:val="0"/>
        <w:bidi w:val="0"/>
        <w:snapToGrid/>
        <w:spacing w:before="0" w:after="0" w:line="576" w:lineRule="exact"/>
        <w:ind w:left="0" w:firstLine="883" w:firstLineChars="200"/>
        <w:jc w:val="center"/>
        <w:textAlignment w:val="auto"/>
        <w:rPr>
          <w:rFonts w:hint="eastAsia" w:ascii="方正小标宋_GBK" w:hAnsi="方正小标宋_GBK" w:eastAsia="方正小标宋_GBK" w:cs="方正小标宋_GBK"/>
          <w:b w:val="0"/>
          <w:bCs w:val="0"/>
          <w:color w:val="auto"/>
          <w:kern w:val="2"/>
          <w:sz w:val="44"/>
          <w:szCs w:val="44"/>
          <w:highlight w:val="none"/>
          <w:lang w:val="en-US" w:eastAsia="zh-CN" w:bidi="ar-SA"/>
        </w:rPr>
      </w:pPr>
      <w:r>
        <w:rPr>
          <w:rFonts w:ascii="宋体"/>
          <w:b/>
          <w:color w:val="auto"/>
          <w:sz w:val="44"/>
          <w:szCs w:val="44"/>
        </w:rPr>
        <w:br w:type="page"/>
      </w:r>
      <w:bookmarkStart w:id="59" w:name="_Toc13263"/>
      <w:bookmarkStart w:id="60" w:name="_Toc15396618"/>
      <w:r>
        <w:rPr>
          <w:rFonts w:hint="eastAsia" w:ascii="方正小标宋_GBK" w:hAnsi="方正小标宋_GBK" w:eastAsia="方正小标宋_GBK" w:cs="方正小标宋_GBK"/>
          <w:b w:val="0"/>
          <w:bCs w:val="0"/>
          <w:color w:val="auto"/>
          <w:kern w:val="2"/>
          <w:sz w:val="44"/>
          <w:szCs w:val="44"/>
          <w:highlight w:val="none"/>
          <w:lang w:val="en-US" w:eastAsia="zh-CN" w:bidi="ar-SA"/>
        </w:rPr>
        <w:t>第四部分  附件</w:t>
      </w:r>
      <w:bookmarkEnd w:id="59"/>
    </w:p>
    <w:p>
      <w:pPr>
        <w:spacing w:line="600" w:lineRule="exact"/>
        <w:jc w:val="center"/>
        <w:outlineLvl w:val="1"/>
        <w:rPr>
          <w:rFonts w:hint="eastAsia" w:hAnsi="Times New Roman" w:cs="Times New Roman"/>
          <w:sz w:val="32"/>
          <w:szCs w:val="32"/>
          <w:highlight w:val="none"/>
          <w:lang w:val="en-US" w:eastAsia="zh-CN"/>
        </w:rPr>
      </w:pPr>
      <w:bookmarkStart w:id="61" w:name="_Toc11075"/>
    </w:p>
    <w:p>
      <w:pPr>
        <w:spacing w:line="600" w:lineRule="exact"/>
        <w:jc w:val="center"/>
        <w:outlineLvl w:val="1"/>
        <w:rPr>
          <w:rFonts w:hint="eastAsia" w:ascii="黑体" w:hAnsi="黑体" w:eastAsia="黑体"/>
          <w:color w:val="FF0000"/>
          <w:sz w:val="44"/>
          <w:szCs w:val="44"/>
          <w:highlight w:val="none"/>
        </w:rPr>
      </w:pPr>
      <w:r>
        <w:rPr>
          <w:rFonts w:hint="eastAsia" w:hAnsi="Times New Roman" w:cs="Times New Roman"/>
          <w:sz w:val="32"/>
          <w:szCs w:val="32"/>
          <w:highlight w:val="none"/>
          <w:lang w:val="en-US" w:eastAsia="zh-CN"/>
        </w:rPr>
        <w:t>部门预算项目支出绩效自评表（202</w:t>
      </w:r>
      <w:r>
        <w:rPr>
          <w:rFonts w:hint="eastAsia" w:cs="Times New Roman"/>
          <w:sz w:val="32"/>
          <w:szCs w:val="32"/>
          <w:highlight w:val="none"/>
          <w:lang w:val="en-US" w:eastAsia="zh-CN"/>
        </w:rPr>
        <w:t>3</w:t>
      </w:r>
      <w:r>
        <w:rPr>
          <w:rFonts w:hint="eastAsia" w:hAnsi="Times New Roman" w:cs="Times New Roman"/>
          <w:sz w:val="32"/>
          <w:szCs w:val="32"/>
          <w:highlight w:val="none"/>
          <w:lang w:val="en-US" w:eastAsia="zh-CN"/>
        </w:rPr>
        <w:t>年度）</w:t>
      </w:r>
      <w:bookmarkEnd w:id="61"/>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rPr>
          <w:rFonts w:hint="eastAsia" w:ascii="方正小标宋_GBK" w:hAnsi="方正小标宋_GBK" w:eastAsia="方正小标宋_GBK" w:cs="方正小标宋_GBK"/>
          <w:color w:val="auto"/>
          <w:sz w:val="44"/>
          <w:szCs w:val="44"/>
        </w:rPr>
      </w:pPr>
      <w:bookmarkStart w:id="62" w:name="_Toc26389"/>
      <w:r>
        <w:rPr>
          <w:rFonts w:hint="eastAsia" w:ascii="方正小标宋_GBK" w:hAnsi="方正小标宋_GBK" w:eastAsia="方正小标宋_GBK" w:cs="方正小标宋_GBK"/>
          <w:color w:val="auto"/>
          <w:sz w:val="44"/>
          <w:szCs w:val="44"/>
        </w:rPr>
        <w:br w:type="page"/>
      </w:r>
    </w:p>
    <w:bookmarkEnd w:id="58"/>
    <w:bookmarkEnd w:id="60"/>
    <w:bookmarkEnd w:id="62"/>
    <w:p>
      <w:pPr>
        <w:pStyle w:val="3"/>
        <w:jc w:val="center"/>
        <w:rPr>
          <w:rFonts w:hint="eastAsia" w:ascii="方正小标宋_GBK" w:hAnsi="方正小标宋_GBK" w:eastAsia="方正小标宋_GBK" w:cs="方正小标宋_GBK"/>
          <w:b w:val="0"/>
          <w:bCs w:val="0"/>
          <w:color w:val="auto"/>
          <w:kern w:val="2"/>
          <w:sz w:val="44"/>
          <w:szCs w:val="44"/>
          <w:highlight w:val="none"/>
          <w:lang w:val="en-US" w:eastAsia="zh-CN" w:bidi="ar-SA"/>
        </w:rPr>
      </w:pPr>
      <w:bookmarkStart w:id="63" w:name="_Toc27678"/>
      <w:r>
        <w:rPr>
          <w:rFonts w:hint="eastAsia" w:ascii="方正小标宋_GBK" w:hAnsi="方正小标宋_GBK" w:eastAsia="方正小标宋_GBK" w:cs="方正小标宋_GBK"/>
          <w:b w:val="0"/>
          <w:bCs w:val="0"/>
          <w:color w:val="auto"/>
          <w:kern w:val="2"/>
          <w:sz w:val="44"/>
          <w:szCs w:val="44"/>
          <w:highlight w:val="none"/>
          <w:lang w:val="en-US" w:eastAsia="zh-CN" w:bidi="ar-SA"/>
        </w:rPr>
        <w:t>第五部分  附表</w:t>
      </w:r>
      <w:bookmarkEnd w:id="63"/>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0"/>
          <w:rFonts w:hint="eastAsia" w:ascii="仿宋" w:hAnsi="仿宋" w:eastAsia="仿宋"/>
          <w:b w:val="0"/>
          <w:bCs w:val="0"/>
          <w:color w:val="auto"/>
          <w:highlight w:val="none"/>
        </w:rPr>
        <w:t>入支出决算总表</w:t>
      </w:r>
    </w:p>
    <w:p>
      <w:pPr>
        <w:pStyle w:val="4"/>
        <w:rPr>
          <w:rFonts w:ascii="仿宋" w:hAnsi="仿宋" w:eastAsia="仿宋"/>
          <w:color w:val="auto"/>
          <w:highlight w:val="none"/>
        </w:rPr>
      </w:pPr>
      <w:r>
        <w:rPr>
          <w:rFonts w:hint="eastAsia" w:ascii="仿宋" w:hAnsi="仿宋" w:eastAsia="仿宋"/>
          <w:b w:val="0"/>
          <w:color w:val="auto"/>
          <w:highlight w:val="none"/>
        </w:rPr>
        <w:t>二、收</w:t>
      </w:r>
      <w:r>
        <w:rPr>
          <w:rStyle w:val="20"/>
          <w:rFonts w:hint="eastAsia" w:ascii="仿宋" w:hAnsi="仿宋" w:eastAsia="仿宋"/>
          <w:b w:val="0"/>
          <w:bCs w:val="0"/>
          <w:color w:val="auto"/>
          <w:highlight w:val="none"/>
        </w:rPr>
        <w:t>入决算表</w:t>
      </w:r>
    </w:p>
    <w:p>
      <w:pPr>
        <w:pStyle w:val="4"/>
        <w:rPr>
          <w:rFonts w:ascii="仿宋" w:hAnsi="仿宋" w:eastAsia="仿宋"/>
          <w:color w:val="auto"/>
          <w:highlight w:val="none"/>
        </w:rPr>
      </w:pPr>
      <w:r>
        <w:rPr>
          <w:rStyle w:val="2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0"/>
          <w:rFonts w:hint="eastAsia" w:ascii="仿宋" w:hAnsi="仿宋" w:eastAsia="仿宋"/>
          <w:b w:val="0"/>
          <w:bCs w:val="0"/>
          <w:color w:val="auto"/>
          <w:highlight w:val="none"/>
        </w:rPr>
        <w:t>出决算表</w:t>
      </w:r>
    </w:p>
    <w:p>
      <w:pPr>
        <w:pStyle w:val="4"/>
        <w:rPr>
          <w:rFonts w:ascii="仿宋" w:hAnsi="仿宋" w:eastAsia="仿宋"/>
          <w:b w:val="0"/>
          <w:color w:val="auto"/>
          <w:highlight w:val="none"/>
        </w:rPr>
      </w:pPr>
      <w:r>
        <w:rPr>
          <w:rStyle w:val="2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0"/>
          <w:rFonts w:hint="eastAsia" w:ascii="仿宋" w:hAnsi="仿宋" w:eastAsia="仿宋"/>
          <w:b w:val="0"/>
          <w:bCs w:val="0"/>
          <w:color w:val="auto"/>
          <w:highlight w:val="none"/>
        </w:rPr>
        <w:t>政拨款收入支出决算总表</w:t>
      </w:r>
    </w:p>
    <w:p>
      <w:pPr>
        <w:pStyle w:val="4"/>
        <w:rPr>
          <w:rStyle w:val="20"/>
          <w:rFonts w:ascii="仿宋" w:hAnsi="仿宋" w:eastAsia="仿宋"/>
          <w:b w:val="0"/>
          <w:bCs w:val="0"/>
          <w:color w:val="auto"/>
          <w:highlight w:val="none"/>
        </w:rPr>
      </w:pPr>
      <w:r>
        <w:rPr>
          <w:rStyle w:val="2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0"/>
          <w:rFonts w:hint="eastAsia" w:ascii="仿宋" w:hAnsi="仿宋" w:eastAsia="仿宋"/>
          <w:b w:val="0"/>
          <w:bCs w:val="0"/>
          <w:color w:val="auto"/>
          <w:highlight w:val="none"/>
        </w:rPr>
        <w:t>政拨款支出决算明细表</w:t>
      </w:r>
    </w:p>
    <w:p>
      <w:pPr>
        <w:pStyle w:val="4"/>
        <w:rPr>
          <w:rFonts w:ascii="仿宋" w:hAnsi="仿宋" w:eastAsia="仿宋"/>
          <w:color w:val="auto"/>
          <w:highlight w:val="none"/>
        </w:rPr>
      </w:pPr>
      <w:r>
        <w:rPr>
          <w:rStyle w:val="2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般公共预算财政拨款支出决算表</w:t>
      </w:r>
    </w:p>
    <w:p>
      <w:pPr>
        <w:pStyle w:val="4"/>
        <w:rPr>
          <w:rFonts w:ascii="仿宋" w:hAnsi="仿宋" w:eastAsia="仿宋"/>
          <w:color w:val="auto"/>
          <w:highlight w:val="none"/>
        </w:rPr>
      </w:pPr>
      <w:r>
        <w:rPr>
          <w:rStyle w:val="2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般公共预算财政拨款支出决算明细表</w:t>
      </w:r>
    </w:p>
    <w:p>
      <w:pPr>
        <w:pStyle w:val="4"/>
        <w:rPr>
          <w:rFonts w:ascii="仿宋" w:hAnsi="仿宋" w:eastAsia="仿宋"/>
          <w:color w:val="auto"/>
          <w:highlight w:val="none"/>
        </w:rPr>
      </w:pPr>
      <w:r>
        <w:rPr>
          <w:rStyle w:val="2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般公共预算财政拨款基本支出决算表</w:t>
      </w:r>
    </w:p>
    <w:p>
      <w:pPr>
        <w:pStyle w:val="4"/>
        <w:rPr>
          <w:rFonts w:ascii="仿宋" w:hAnsi="仿宋" w:eastAsia="仿宋"/>
          <w:color w:val="auto"/>
          <w:highlight w:val="none"/>
        </w:rPr>
      </w:pPr>
      <w:r>
        <w:rPr>
          <w:rStyle w:val="2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般公共预算财政拨款项目支出决算表</w:t>
      </w:r>
    </w:p>
    <w:p>
      <w:pPr>
        <w:pStyle w:val="4"/>
        <w:rPr>
          <w:rFonts w:ascii="仿宋" w:hAnsi="仿宋" w:eastAsia="仿宋"/>
          <w:color w:val="auto"/>
          <w:highlight w:val="none"/>
        </w:rPr>
      </w:pPr>
      <w:r>
        <w:rPr>
          <w:rStyle w:val="20"/>
          <w:rFonts w:hint="eastAsia" w:ascii="仿宋" w:hAnsi="仿宋" w:eastAsia="仿宋"/>
          <w:b w:val="0"/>
          <w:bCs w:val="0"/>
          <w:color w:val="auto"/>
          <w:highlight w:val="none"/>
        </w:rPr>
        <w:t>十、</w:t>
      </w:r>
      <w:r>
        <w:rPr>
          <w:rFonts w:hint="eastAsia" w:ascii="仿宋" w:hAnsi="仿宋" w:eastAsia="仿宋"/>
          <w:b w:val="0"/>
          <w:color w:val="auto"/>
          <w:highlight w:val="none"/>
        </w:rPr>
        <w:t>政</w:t>
      </w:r>
      <w:r>
        <w:rPr>
          <w:rStyle w:val="20"/>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r>
        <w:rPr>
          <w:rStyle w:val="20"/>
          <w:rFonts w:hint="eastAsia" w:ascii="仿宋" w:hAnsi="仿宋" w:eastAsia="仿宋"/>
          <w:b w:val="0"/>
          <w:bCs w:val="0"/>
          <w:color w:val="auto"/>
          <w:highlight w:val="none"/>
        </w:rPr>
        <w:t>十一、</w:t>
      </w:r>
      <w:r>
        <w:rPr>
          <w:rFonts w:hint="eastAsia" w:ascii="仿宋" w:hAnsi="仿宋" w:eastAsia="仿宋"/>
          <w:b w:val="0"/>
          <w:color w:val="auto"/>
          <w:highlight w:val="none"/>
        </w:rPr>
        <w:t>国</w:t>
      </w:r>
      <w:r>
        <w:rPr>
          <w:rStyle w:val="20"/>
          <w:rFonts w:hint="eastAsia" w:ascii="仿宋" w:hAnsi="仿宋" w:eastAsia="仿宋"/>
          <w:b w:val="0"/>
          <w:bCs w:val="0"/>
          <w:color w:val="auto"/>
          <w:highlight w:val="none"/>
        </w:rPr>
        <w:t>有资本经营预算</w:t>
      </w:r>
      <w:r>
        <w:rPr>
          <w:rStyle w:val="20"/>
          <w:rFonts w:hint="eastAsia" w:ascii="仿宋" w:hAnsi="仿宋" w:eastAsia="仿宋"/>
          <w:b w:val="0"/>
          <w:bCs w:val="0"/>
          <w:color w:val="auto"/>
          <w:highlight w:val="none"/>
          <w:lang w:eastAsia="zh-CN"/>
        </w:rPr>
        <w:t>财政拨款收入</w:t>
      </w:r>
      <w:r>
        <w:rPr>
          <w:rStyle w:val="20"/>
          <w:rFonts w:hint="eastAsia" w:ascii="仿宋" w:hAnsi="仿宋" w:eastAsia="仿宋"/>
          <w:b w:val="0"/>
          <w:bCs w:val="0"/>
          <w:color w:val="auto"/>
          <w:highlight w:val="none"/>
        </w:rPr>
        <w:t>支出决算表</w:t>
      </w:r>
    </w:p>
    <w:p>
      <w:pPr>
        <w:pStyle w:val="4"/>
        <w:rPr>
          <w:rFonts w:ascii="仿宋" w:hAnsi="仿宋" w:eastAsia="仿宋"/>
          <w:color w:val="auto"/>
          <w:highlight w:val="none"/>
        </w:rPr>
      </w:pPr>
      <w:r>
        <w:rPr>
          <w:rStyle w:val="20"/>
          <w:rFonts w:hint="eastAsia" w:ascii="仿宋" w:hAnsi="仿宋" w:eastAsia="仿宋"/>
          <w:b w:val="0"/>
          <w:bCs w:val="0"/>
          <w:color w:val="auto"/>
          <w:highlight w:val="none"/>
        </w:rPr>
        <w:t>十二、</w:t>
      </w:r>
      <w:r>
        <w:rPr>
          <w:rStyle w:val="20"/>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r>
        <w:rPr>
          <w:rStyle w:val="20"/>
          <w:rFonts w:hint="eastAsia" w:ascii="仿宋" w:hAnsi="仿宋" w:eastAsia="仿宋"/>
          <w:b w:val="0"/>
          <w:bCs w:val="0"/>
          <w:color w:val="auto"/>
          <w:highlight w:val="none"/>
        </w:rPr>
        <w:t>十三、</w:t>
      </w:r>
      <w:r>
        <w:rPr>
          <w:rStyle w:val="20"/>
          <w:rFonts w:hint="eastAsia" w:ascii="仿宋" w:hAnsi="仿宋" w:eastAsia="仿宋"/>
          <w:b w:val="0"/>
          <w:bCs w:val="0"/>
          <w:color w:val="auto"/>
          <w:highlight w:val="none"/>
          <w:lang w:eastAsia="zh-CN"/>
        </w:rPr>
        <w:t>财政拨款“三公”经费支出决算表</w:t>
      </w:r>
    </w:p>
    <w:sectPr>
      <w:footerReference r:id="rId5" w:type="default"/>
      <w:pgSz w:w="11906" w:h="16838"/>
      <w:pgMar w:top="2098" w:right="1474" w:bottom="1984" w:left="1587" w:header="851" w:footer="1559"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6472212"/>
    <w:rsid w:val="07DF357D"/>
    <w:rsid w:val="1D947594"/>
    <w:rsid w:val="1EAA6CD6"/>
    <w:rsid w:val="24E27C2C"/>
    <w:rsid w:val="30207C34"/>
    <w:rsid w:val="3215384B"/>
    <w:rsid w:val="345C77FC"/>
    <w:rsid w:val="34A0708E"/>
    <w:rsid w:val="4157331D"/>
    <w:rsid w:val="43174121"/>
    <w:rsid w:val="4F7D69AB"/>
    <w:rsid w:val="53232E40"/>
    <w:rsid w:val="5F854BC7"/>
    <w:rsid w:val="650472D0"/>
    <w:rsid w:val="69BA7E14"/>
    <w:rsid w:val="6A55587A"/>
    <w:rsid w:val="6DFEE437"/>
    <w:rsid w:val="6EA9D8C5"/>
    <w:rsid w:val="73FF1212"/>
    <w:rsid w:val="73FF94F7"/>
    <w:rsid w:val="745F7226"/>
    <w:rsid w:val="75ED0E84"/>
    <w:rsid w:val="7E9D86D9"/>
    <w:rsid w:val="7F622293"/>
    <w:rsid w:val="7F7D792D"/>
    <w:rsid w:val="7FDBAE2D"/>
    <w:rsid w:val="7FF3B92D"/>
    <w:rsid w:val="DDEF7136"/>
    <w:rsid w:val="ECFCF37A"/>
    <w:rsid w:val="EF5B51AC"/>
    <w:rsid w:val="F2DEC843"/>
    <w:rsid w:val="F3D817A8"/>
    <w:rsid w:val="F7FF6714"/>
    <w:rsid w:val="FAEFCEC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spacing w:before="260" w:after="260" w:line="416" w:lineRule="auto"/>
      <w:outlineLvl w:val="1"/>
    </w:pPr>
    <w:rPr>
      <w:rFonts w:asciiTheme="majorHAnsi" w:hAnsiTheme="majorHAnsi" w:eastAsiaTheme="majorEastAsia" w:cstheme="majorBidi"/>
      <w:sz w:val="32"/>
      <w:szCs w:val="32"/>
    </w:rPr>
  </w:style>
  <w:style w:type="paragraph" w:styleId="5">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420" w:leftChars="200"/>
    </w:pPr>
    <w:rPr>
      <w:rFonts w:cs="Calibri"/>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unhideWhenUsed/>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6"/>
    <w:next w:val="1"/>
    <w:qFormat/>
    <w:uiPriority w:val="0"/>
    <w:pPr>
      <w:ind w:firstLine="420" w:firstLineChars="200"/>
    </w:pPr>
    <w:rPr>
      <w:rFonts w:cs="Times New Roman"/>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1 Char"/>
    <w:basedOn w:val="16"/>
    <w:link w:val="3"/>
    <w:qFormat/>
    <w:uiPriority w:val="9"/>
    <w:rPr>
      <w:rFonts w:ascii="Times New Roman" w:hAnsi="Times New Roman"/>
      <w:b/>
      <w:bCs/>
      <w:kern w:val="44"/>
      <w:sz w:val="44"/>
      <w:szCs w:val="44"/>
    </w:rPr>
  </w:style>
  <w:style w:type="character" w:customStyle="1" w:styleId="20">
    <w:name w:val="标题 2 Char"/>
    <w:basedOn w:val="16"/>
    <w:link w:val="4"/>
    <w:qFormat/>
    <w:uiPriority w:val="9"/>
    <w:rPr>
      <w:rFonts w:asciiTheme="majorHAnsi" w:hAnsiTheme="majorHAnsi" w:eastAsiaTheme="majorEastAsia" w:cstheme="majorBidi"/>
      <w:b/>
      <w:bCs/>
      <w:kern w:val="2"/>
      <w:sz w:val="32"/>
      <w:szCs w:val="32"/>
    </w:rPr>
  </w:style>
  <w:style w:type="character" w:customStyle="1" w:styleId="21">
    <w:name w:val="标题 3 Char"/>
    <w:basedOn w:val="16"/>
    <w:link w:val="5"/>
    <w:qFormat/>
    <w:uiPriority w:val="9"/>
    <w:rPr>
      <w:rFonts w:ascii="Times New Roman" w:hAnsi="Times New Roman"/>
      <w:b/>
      <w:bCs/>
      <w:kern w:val="2"/>
      <w:sz w:val="32"/>
      <w:szCs w:val="32"/>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Char"/>
    <w:link w:val="10"/>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Char"/>
    <w:link w:val="9"/>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9">
    <w:name w:val="List Paragraph"/>
    <w:basedOn w:val="1"/>
    <w:qFormat/>
    <w:uiPriority w:val="34"/>
    <w:pPr>
      <w:ind w:firstLine="420" w:firstLineChars="200"/>
    </w:p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NormalCharacter"/>
    <w:semiHidden/>
    <w:qFormat/>
    <w:uiPriority w:val="0"/>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632218024824609"/>
          <c:y val="0.1232779587405"/>
          <c:w val="0.85355"/>
          <c:h val="0.709566666666667"/>
        </c:manualLayout>
      </c:layout>
      <c:barChart>
        <c:barDir val="col"/>
        <c:grouping val="clustered"/>
        <c:varyColors val="false"/>
        <c:ser>
          <c:idx val="0"/>
          <c:order val="0"/>
          <c:tx>
            <c:strRef>
              <c:f>Sheet1!$B$1</c:f>
              <c:strCache>
                <c:ptCount val="1"/>
                <c:pt idx="0">
                  <c:v>收、支决算总计变动情况图（单位：万元）</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2022年度支总计</c:v>
                </c:pt>
                <c:pt idx="1">
                  <c:v>2023年度收、支总计</c:v>
                </c:pt>
              </c:strCache>
            </c:strRef>
          </c:cat>
          <c:val>
            <c:numRef>
              <c:f>Sheet1!$B$2:$B$3</c:f>
              <c:numCache>
                <c:formatCode>General</c:formatCode>
                <c:ptCount val="2"/>
                <c:pt idx="0">
                  <c:v>19873.43</c:v>
                </c:pt>
                <c:pt idx="1">
                  <c:v>8821.63</c:v>
                </c:pt>
              </c:numCache>
            </c:numRef>
          </c:val>
        </c:ser>
        <c:dLbls>
          <c:showLegendKey val="false"/>
          <c:showVal val="false"/>
          <c:showCatName val="false"/>
          <c:showSerName val="false"/>
          <c:showPercent val="false"/>
          <c:showBubbleSize val="false"/>
        </c:dLbls>
        <c:gapWidth val="219"/>
        <c:overlap val="-27"/>
        <c:axId val="286498848"/>
        <c:axId val="286499240"/>
      </c:barChart>
      <c:catAx>
        <c:axId val="286498848"/>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86499240"/>
        <c:crosses val="autoZero"/>
        <c:auto val="true"/>
        <c:lblAlgn val="ctr"/>
        <c:lblOffset val="100"/>
        <c:noMultiLvlLbl val="false"/>
      </c:catAx>
      <c:valAx>
        <c:axId val="286499240"/>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86498848"/>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收入决算结构图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324.82</c:v>
                </c:pt>
                <c:pt idx="1">
                  <c:v>8496.81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272.46</c:v>
                </c:pt>
                <c:pt idx="1">
                  <c:v>19600.97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4106201864613"/>
          <c:y val="0.023231031543052"/>
        </c:manualLayout>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财政拨款收、支决算总计变动情况（单位：万元）</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2022年财政拨款收、支总计</c:v>
                </c:pt>
                <c:pt idx="1">
                  <c:v>2023年财政拨款收、支总计</c:v>
                </c:pt>
              </c:strCache>
            </c:strRef>
          </c:cat>
          <c:val>
            <c:numRef>
              <c:f>Sheet1!$B$2:$B$3</c:f>
              <c:numCache>
                <c:formatCode>General</c:formatCode>
                <c:ptCount val="2"/>
                <c:pt idx="0">
                  <c:v>19873.4</c:v>
                </c:pt>
                <c:pt idx="1" c:formatCode="#,##0.00">
                  <c:v>8821.63</c:v>
                </c:pt>
              </c:numCache>
            </c:numRef>
          </c:val>
        </c:ser>
        <c:dLbls>
          <c:showLegendKey val="false"/>
          <c:showVal val="false"/>
          <c:showCatName val="false"/>
          <c:showSerName val="false"/>
          <c:showPercent val="false"/>
          <c:showBubbleSize val="false"/>
        </c:dLbls>
        <c:gapWidth val="219"/>
        <c:overlap val="-27"/>
        <c:axId val="361007424"/>
        <c:axId val="361007816"/>
      </c:barChart>
      <c:catAx>
        <c:axId val="361007424"/>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1007816"/>
        <c:crosses val="autoZero"/>
        <c:auto val="true"/>
        <c:lblAlgn val="ctr"/>
        <c:lblOffset val="100"/>
        <c:noMultiLvlLbl val="false"/>
      </c:catAx>
      <c:valAx>
        <c:axId val="36100781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1007424"/>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一般公共预算财政拨款支出决算变动情况（单位：万元）</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2022年一般公共预算财政拨款支出</c:v>
                </c:pt>
                <c:pt idx="1">
                  <c:v>2023年一般公共预算财政拨款支出</c:v>
                </c:pt>
              </c:strCache>
            </c:strRef>
          </c:cat>
          <c:val>
            <c:numRef>
              <c:f>Sheet1!$B$2:$B$3</c:f>
              <c:numCache>
                <c:formatCode>General</c:formatCode>
                <c:ptCount val="2"/>
                <c:pt idx="0">
                  <c:v>2345.55</c:v>
                </c:pt>
                <c:pt idx="1" c:formatCode="#,##0.00">
                  <c:v>324.82</c:v>
                </c:pt>
              </c:numCache>
            </c:numRef>
          </c:val>
        </c:ser>
        <c:dLbls>
          <c:showLegendKey val="false"/>
          <c:showVal val="false"/>
          <c:showCatName val="false"/>
          <c:showSerName val="false"/>
          <c:showPercent val="false"/>
          <c:showBubbleSize val="false"/>
        </c:dLbls>
        <c:gapWidth val="219"/>
        <c:overlap val="-27"/>
        <c:axId val="361008600"/>
        <c:axId val="278919384"/>
      </c:barChart>
      <c:catAx>
        <c:axId val="361008600"/>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78919384"/>
        <c:crosses val="autoZero"/>
        <c:auto val="true"/>
        <c:lblAlgn val="ctr"/>
        <c:lblOffset val="100"/>
        <c:noMultiLvlLbl val="false"/>
      </c:catAx>
      <c:valAx>
        <c:axId val="27891938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1008600"/>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Lbl>
              <c:idx val="0"/>
              <c:layout>
                <c:manualLayout>
                  <c:x val="-0.0250334081789926"/>
                  <c:y val="-0.039432743432598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533974334585309"/>
                  <c:y val="0.0110086858593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690625918535377"/>
                  <c:y val="0.045659375792054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社会保障和就业（类）支出</c:v>
                </c:pt>
                <c:pt idx="1">
                  <c:v>卫生健康支出</c:v>
                </c:pt>
                <c:pt idx="2">
                  <c:v>自然资源海洋气象等支出</c:v>
                </c:pt>
                <c:pt idx="3">
                  <c:v>住房保障支出</c:v>
                </c:pt>
                <c:pt idx="4">
                  <c:v>粮油物质储备支出</c:v>
                </c:pt>
              </c:strCache>
            </c:strRef>
          </c:cat>
          <c:val>
            <c:numRef>
              <c:f>Sheet1!$B$2:$B$6</c:f>
              <c:numCache>
                <c:formatCode>General</c:formatCode>
                <c:ptCount val="5"/>
                <c:pt idx="0">
                  <c:v>31.24</c:v>
                </c:pt>
                <c:pt idx="1">
                  <c:v>8.56</c:v>
                </c:pt>
                <c:pt idx="2" c:formatCode="#,##0.00">
                  <c:v>261.65</c:v>
                </c:pt>
                <c:pt idx="3">
                  <c:v>21.24</c:v>
                </c:pt>
                <c:pt idx="4">
                  <c:v>2.03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323445631333881"/>
          <c:y val="0.217365406643757"/>
          <c:w val="0.353108737332238"/>
          <c:h val="0.590698739977091"/>
        </c:manualLayout>
      </c:layout>
      <c:pieChart>
        <c:varyColors val="true"/>
        <c:ser>
          <c:idx val="0"/>
          <c:order val="0"/>
          <c:tx>
            <c:strRef>
              <c:f>Sheet1!$B$1</c:f>
              <c:strCache>
                <c:ptCount val="1"/>
                <c:pt idx="0">
                  <c:v>“三公”经费财政拨款支出结构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2"/>
              <c:layout>
                <c:manualLayout>
                  <c:x val="-0.0198217020798606"/>
                  <c:y val="0.0023617368675892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公务接待费支出决算</c:v>
                </c:pt>
              </c:strCache>
            </c:strRef>
          </c:cat>
          <c:val>
            <c:numRef>
              <c:f>Sheet1!$B$2:$B$4</c:f>
              <c:numCache>
                <c:formatCode>General</c:formatCode>
                <c:ptCount val="3"/>
                <c:pt idx="0">
                  <c:v>0</c:v>
                </c:pt>
                <c:pt idx="1">
                  <c:v>2.1</c:v>
                </c:pt>
                <c:pt idx="2">
                  <c:v>0.1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18</Pages>
  <Words>4189</Words>
  <Characters>4595</Characters>
  <Lines>62</Lines>
  <Paragraphs>17</Paragraphs>
  <TotalTime>12</TotalTime>
  <ScaleCrop>false</ScaleCrop>
  <LinksUpToDate>false</LinksUpToDate>
  <CharactersWithSpaces>4669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 </cp:lastModifiedBy>
  <cp:lastPrinted>2023-10-20T13:00:00Z</cp:lastPrinted>
  <dcterms:modified xsi:type="dcterms:W3CDTF">2024-10-12T14:48:08Z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18C4299B72334D3095585539B3212D20</vt:lpwstr>
  </property>
</Properties>
</file>