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auto"/>
          <w:sz w:val="21"/>
          <w:szCs w:val="21"/>
          <w:highlight w:val="none"/>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360" w:lineRule="auto"/>
        <w:jc w:val="center"/>
        <w:outlineLvl w:val="9"/>
        <w:rPr>
          <w:rFonts w:ascii="方正小标宋简体" w:hAnsi="宋体" w:eastAsia="方正小标宋简体"/>
          <w:color w:val="auto"/>
          <w:sz w:val="72"/>
          <w:szCs w:val="72"/>
          <w:highlight w:val="none"/>
        </w:rPr>
      </w:pPr>
    </w:p>
    <w:p>
      <w:pPr>
        <w:keepNext w:val="0"/>
        <w:keepLines w:val="0"/>
        <w:pageBreakBefore w:val="0"/>
        <w:kinsoku/>
        <w:wordWrap/>
        <w:overflowPunct/>
        <w:topLinePunct w:val="0"/>
        <w:autoSpaceDE/>
        <w:autoSpaceDN/>
        <w:bidi w:val="0"/>
        <w:adjustRightInd w:val="0"/>
        <w:snapToGrid w:val="0"/>
        <w:spacing w:line="360" w:lineRule="auto"/>
        <w:ind w:leftChars="0"/>
        <w:jc w:val="center"/>
        <w:textAlignment w:val="auto"/>
        <w:outlineLvl w:val="0"/>
        <w:rPr>
          <w:rFonts w:hint="eastAsia" w:ascii="仿宋_GB2312" w:hAnsi="仿宋_GB2312" w:eastAsia="仿宋_GB2312" w:cs="仿宋_GB2312"/>
          <w:color w:val="auto"/>
          <w:sz w:val="32"/>
          <w:szCs w:val="32"/>
          <w:highlight w:val="none"/>
        </w:rPr>
      </w:pPr>
      <w:bookmarkStart w:id="1" w:name="_Toc28101"/>
      <w:bookmarkStart w:id="2" w:name="_Toc11368"/>
      <w:bookmarkStart w:id="3" w:name="_Toc15396475"/>
      <w:bookmarkStart w:id="4" w:name="_Toc15377425"/>
      <w:bookmarkStart w:id="5" w:name="_Toc15377193"/>
      <w:bookmarkStart w:id="6" w:name="_Toc15396597"/>
      <w:bookmarkStart w:id="7" w:name="_Toc15378441"/>
      <w:r>
        <w:rPr>
          <w:rFonts w:hint="eastAsia" w:ascii="方正小标宋简体" w:hAnsi="方正小标宋简体" w:eastAsia="方正小标宋简体" w:cs="方正小标宋简体"/>
          <w:color w:val="auto"/>
          <w:sz w:val="52"/>
          <w:szCs w:val="52"/>
          <w:highlight w:val="none"/>
        </w:rPr>
        <w:t>20</w:t>
      </w:r>
      <w:r>
        <w:rPr>
          <w:rFonts w:hint="eastAsia" w:ascii="方正小标宋简体" w:hAnsi="方正小标宋简体" w:eastAsia="方正小标宋简体" w:cs="方正小标宋简体"/>
          <w:color w:val="auto"/>
          <w:sz w:val="52"/>
          <w:szCs w:val="52"/>
          <w:highlight w:val="none"/>
          <w:lang w:val="en-US" w:eastAsia="zh-CN"/>
        </w:rPr>
        <w:t>23</w:t>
      </w:r>
      <w:r>
        <w:rPr>
          <w:rFonts w:hint="eastAsia" w:ascii="方正小标宋简体" w:hAnsi="方正小标宋简体" w:eastAsia="方正小标宋简体" w:cs="方正小标宋简体"/>
          <w:color w:val="auto"/>
          <w:sz w:val="52"/>
          <w:szCs w:val="52"/>
          <w:highlight w:val="none"/>
        </w:rPr>
        <w:t>年度</w:t>
      </w:r>
      <w:bookmarkEnd w:id="1"/>
      <w:bookmarkEnd w:id="2"/>
      <w:bookmarkEnd w:id="3"/>
      <w:bookmarkEnd w:id="4"/>
      <w:bookmarkEnd w:id="5"/>
      <w:bookmarkEnd w:id="6"/>
      <w:bookmarkEnd w:id="7"/>
    </w:p>
    <w:p>
      <w:pPr>
        <w:keepNext w:val="0"/>
        <w:keepLines w:val="0"/>
        <w:pageBreakBefore w:val="0"/>
        <w:kinsoku/>
        <w:wordWrap/>
        <w:overflowPunct/>
        <w:topLinePunct w:val="0"/>
        <w:autoSpaceDE/>
        <w:autoSpaceDN/>
        <w:bidi w:val="0"/>
        <w:adjustRightInd w:val="0"/>
        <w:snapToGrid w:val="0"/>
        <w:spacing w:line="360" w:lineRule="auto"/>
        <w:ind w:leftChars="0"/>
        <w:jc w:val="center"/>
        <w:textAlignment w:val="auto"/>
        <w:outlineLvl w:val="0"/>
        <w:rPr>
          <w:rFonts w:hint="eastAsia" w:ascii="方正小标宋简体" w:hAnsi="方正小标宋简体" w:eastAsia="方正小标宋简体" w:cs="方正小标宋简体"/>
          <w:color w:val="auto"/>
          <w:sz w:val="52"/>
          <w:szCs w:val="52"/>
          <w:highlight w:val="none"/>
        </w:rPr>
      </w:pPr>
      <w:bookmarkStart w:id="8" w:name="_Toc15377194"/>
      <w:bookmarkStart w:id="9" w:name="_Toc15377426"/>
      <w:bookmarkStart w:id="10" w:name="_Toc15396476"/>
      <w:bookmarkStart w:id="11" w:name="_Toc15378442"/>
      <w:bookmarkStart w:id="12" w:name="_Toc9727"/>
      <w:bookmarkStart w:id="13" w:name="_Toc29981"/>
      <w:bookmarkStart w:id="14" w:name="_Toc15396598"/>
      <w:r>
        <w:rPr>
          <w:rFonts w:hint="eastAsia" w:ascii="方正小标宋简体" w:hAnsi="方正小标宋简体" w:eastAsia="方正小标宋简体" w:cs="方正小标宋简体"/>
          <w:color w:val="auto"/>
          <w:sz w:val="52"/>
          <w:szCs w:val="52"/>
          <w:highlight w:val="none"/>
          <w:lang w:eastAsia="zh-CN"/>
        </w:rPr>
        <w:t>广元市</w:t>
      </w:r>
      <w:bookmarkEnd w:id="0"/>
      <w:bookmarkStart w:id="15" w:name="_Toc15306268"/>
      <w:r>
        <w:rPr>
          <w:rFonts w:hint="eastAsia" w:ascii="方正小标宋简体" w:hAnsi="方正小标宋简体" w:eastAsia="方正小标宋简体" w:cs="方正小标宋简体"/>
          <w:color w:val="auto"/>
          <w:sz w:val="52"/>
          <w:szCs w:val="52"/>
          <w:highlight w:val="none"/>
          <w:lang w:val="en-US" w:eastAsia="zh-CN"/>
        </w:rPr>
        <w:t>自然资源局</w:t>
      </w:r>
      <w:r>
        <w:rPr>
          <w:rFonts w:hint="eastAsia" w:ascii="方正小标宋简体" w:hAnsi="方正小标宋简体" w:eastAsia="方正小标宋简体" w:cs="方正小标宋简体"/>
          <w:color w:val="auto"/>
          <w:sz w:val="52"/>
          <w:szCs w:val="52"/>
          <w:highlight w:val="none"/>
          <w:lang w:eastAsia="zh-CN"/>
        </w:rPr>
        <w:t>单位</w:t>
      </w:r>
      <w:r>
        <w:rPr>
          <w:rFonts w:hint="eastAsia" w:ascii="方正小标宋简体" w:hAnsi="方正小标宋简体" w:eastAsia="方正小标宋简体" w:cs="方正小标宋简体"/>
          <w:color w:val="auto"/>
          <w:sz w:val="52"/>
          <w:szCs w:val="52"/>
          <w:highlight w:val="none"/>
        </w:rPr>
        <w:t>决算</w:t>
      </w:r>
      <w:bookmarkEnd w:id="8"/>
      <w:bookmarkEnd w:id="9"/>
      <w:bookmarkEnd w:id="10"/>
      <w:bookmarkEnd w:id="11"/>
      <w:bookmarkEnd w:id="12"/>
      <w:bookmarkEnd w:id="13"/>
      <w:bookmarkEnd w:id="14"/>
      <w:bookmarkEnd w:id="15"/>
    </w:p>
    <w:p>
      <w:pPr>
        <w:keepNext w:val="0"/>
        <w:keepLines w:val="0"/>
        <w:pageBreakBefore w:val="0"/>
        <w:kinsoku/>
        <w:wordWrap/>
        <w:overflowPunct/>
        <w:topLinePunct w:val="0"/>
        <w:autoSpaceDE/>
        <w:autoSpaceDN/>
        <w:bidi w:val="0"/>
        <w:adjustRightInd w:val="0"/>
        <w:snapToGrid w:val="0"/>
        <w:spacing w:line="576" w:lineRule="exact"/>
        <w:ind w:leftChars="0"/>
        <w:jc w:val="center"/>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kinsoku/>
        <w:wordWrap/>
        <w:overflowPunct/>
        <w:topLinePunct w:val="0"/>
        <w:autoSpaceDE/>
        <w:autoSpaceDN/>
        <w:bidi w:val="0"/>
        <w:spacing w:line="576" w:lineRule="exact"/>
        <w:ind w:leftChars="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方正小标宋_GBK" w:hAnsi="方正小标宋_GBK" w:eastAsia="方正小标宋_GBK" w:cs="方正小标宋_GBK"/>
          <w:color w:val="auto"/>
          <w:sz w:val="44"/>
          <w:szCs w:val="44"/>
          <w:highlight w:val="none"/>
        </w:rPr>
        <w:t>目</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录</w:t>
      </w:r>
    </w:p>
    <w:p>
      <w:pPr>
        <w:pStyle w:val="11"/>
        <w:keepNext w:val="0"/>
        <w:keepLines w:val="0"/>
        <w:pageBreakBefore w:val="0"/>
        <w:kinsoku/>
        <w:wordWrap/>
        <w:overflowPunct/>
        <w:topLinePunct w:val="0"/>
        <w:autoSpaceDE/>
        <w:autoSpaceDN/>
        <w:bidi w:val="0"/>
        <w:spacing w:before="0" w:line="576" w:lineRule="exact"/>
        <w:ind w:lef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公开时间：20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10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14</w:t>
      </w:r>
      <w:r>
        <w:rPr>
          <w:rFonts w:hint="eastAsia" w:ascii="仿宋_GB2312" w:hAnsi="仿宋_GB2312"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147460834"/>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6" w:name="_Toc15377196"/>
          <w:bookmarkStart w:id="17" w:name="_Toc15396599"/>
          <w:r>
            <w:fldChar w:fldCharType="begin"/>
          </w:r>
          <w:r>
            <w:instrText xml:space="preserve">TOC \o "1-3" \h \u </w:instrText>
          </w:r>
          <w:r>
            <w:fldChar w:fldCharType="separate"/>
          </w:r>
        </w:p>
        <w:p>
          <w:pPr>
            <w:pStyle w:val="31"/>
            <w:tabs>
              <w:tab w:val="right" w:leader="dot" w:pos="8845"/>
            </w:tabs>
          </w:pPr>
          <w:r>
            <w:fldChar w:fldCharType="begin"/>
          </w:r>
          <w:r>
            <w:instrText xml:space="preserve"> HYPERLINK \l _Toc23330 </w:instrText>
          </w:r>
          <w:r>
            <w:fldChar w:fldCharType="separate"/>
          </w:r>
          <w:r>
            <w:rPr>
              <w:rFonts w:hint="eastAsia" w:ascii="黑体" w:hAnsi="黑体" w:eastAsia="黑体"/>
              <w:highlight w:val="none"/>
            </w:rPr>
            <w:t xml:space="preserve">第一部分 </w:t>
          </w:r>
          <w:r>
            <w:rPr>
              <w:rFonts w:hint="eastAsia" w:ascii="黑体" w:hAnsi="黑体" w:eastAsia="黑体"/>
              <w:highlight w:val="none"/>
              <w:lang w:eastAsia="zh-CN"/>
            </w:rPr>
            <w:t>单位</w:t>
          </w:r>
          <w:r>
            <w:rPr>
              <w:rFonts w:hint="eastAsia" w:ascii="黑体" w:hAnsi="黑体" w:eastAsia="黑体"/>
              <w:bCs w:val="0"/>
              <w:highlight w:val="none"/>
            </w:rPr>
            <w:t>概况</w:t>
          </w:r>
          <w:r>
            <w:tab/>
          </w:r>
          <w:r>
            <w:fldChar w:fldCharType="begin"/>
          </w:r>
          <w:r>
            <w:instrText xml:space="preserve"> PAGEREF _Toc23330 \h </w:instrText>
          </w:r>
          <w:r>
            <w:fldChar w:fldCharType="separate"/>
          </w:r>
          <w:r>
            <w:t>1</w:t>
          </w:r>
          <w:r>
            <w:fldChar w:fldCharType="end"/>
          </w:r>
          <w:r>
            <w:fldChar w:fldCharType="end"/>
          </w:r>
        </w:p>
        <w:p>
          <w:pPr>
            <w:pStyle w:val="32"/>
            <w:tabs>
              <w:tab w:val="right" w:leader="dot" w:pos="8845"/>
            </w:tabs>
          </w:pPr>
          <w:r>
            <w:fldChar w:fldCharType="begin"/>
          </w:r>
          <w:r>
            <w:instrText xml:space="preserve"> HYPERLINK \l _Toc1115 </w:instrText>
          </w:r>
          <w:r>
            <w:fldChar w:fldCharType="separate"/>
          </w:r>
          <w:r>
            <w:rPr>
              <w:rFonts w:hint="eastAsia" w:ascii="黑体" w:hAnsi="黑体" w:eastAsia="黑体"/>
              <w:bCs w:val="0"/>
              <w:highlight w:val="none"/>
              <w:lang w:val="en-US" w:eastAsia="zh-CN"/>
            </w:rPr>
            <w:t>一、</w:t>
          </w:r>
          <w:r>
            <w:rPr>
              <w:rFonts w:hint="eastAsia" w:ascii="黑体" w:hAnsi="黑体" w:eastAsia="黑体"/>
              <w:bCs w:val="0"/>
              <w:highlight w:val="none"/>
              <w:lang w:eastAsia="zh-CN"/>
            </w:rPr>
            <w:t>主要职责</w:t>
          </w:r>
          <w:r>
            <w:tab/>
          </w:r>
          <w:r>
            <w:fldChar w:fldCharType="begin"/>
          </w:r>
          <w:r>
            <w:instrText xml:space="preserve"> PAGEREF _Toc1115 \h </w:instrText>
          </w:r>
          <w:r>
            <w:fldChar w:fldCharType="separate"/>
          </w:r>
          <w:r>
            <w:t>1</w:t>
          </w:r>
          <w:r>
            <w:fldChar w:fldCharType="end"/>
          </w:r>
          <w:r>
            <w:fldChar w:fldCharType="end"/>
          </w:r>
        </w:p>
        <w:p>
          <w:pPr>
            <w:pStyle w:val="32"/>
            <w:tabs>
              <w:tab w:val="right" w:leader="dot" w:pos="8845"/>
            </w:tabs>
          </w:pPr>
          <w:r>
            <w:fldChar w:fldCharType="begin"/>
          </w:r>
          <w:r>
            <w:instrText xml:space="preserve"> HYPERLINK \l _Toc1911 </w:instrText>
          </w:r>
          <w:r>
            <w:fldChar w:fldCharType="separate"/>
          </w:r>
          <w:r>
            <w:rPr>
              <w:rFonts w:hint="eastAsia" w:ascii="黑体" w:hAnsi="黑体" w:eastAsia="黑体"/>
              <w:highlight w:val="none"/>
              <w:lang w:val="en-US" w:eastAsia="zh-CN"/>
            </w:rPr>
            <w:t>二、机构设置</w:t>
          </w:r>
          <w:r>
            <w:tab/>
          </w:r>
          <w:r>
            <w:fldChar w:fldCharType="begin"/>
          </w:r>
          <w:r>
            <w:instrText xml:space="preserve"> PAGEREF _Toc1911 \h </w:instrText>
          </w:r>
          <w:r>
            <w:fldChar w:fldCharType="separate"/>
          </w:r>
          <w:r>
            <w:t>5</w:t>
          </w:r>
          <w:r>
            <w:fldChar w:fldCharType="end"/>
          </w:r>
          <w:r>
            <w:fldChar w:fldCharType="end"/>
          </w:r>
        </w:p>
        <w:p>
          <w:pPr>
            <w:pStyle w:val="31"/>
            <w:tabs>
              <w:tab w:val="right" w:leader="dot" w:pos="8845"/>
            </w:tabs>
          </w:pPr>
          <w:r>
            <w:fldChar w:fldCharType="begin"/>
          </w:r>
          <w:r>
            <w:instrText xml:space="preserve"> HYPERLINK \l _Toc1924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lang w:eastAsia="zh-CN"/>
            </w:rPr>
            <w:t>单位</w:t>
          </w:r>
          <w:r>
            <w:rPr>
              <w:rFonts w:hint="eastAsia" w:ascii="黑体" w:hAnsi="黑体" w:eastAsia="黑体"/>
              <w:bCs/>
              <w:highlight w:val="none"/>
            </w:rPr>
            <w:t>决算情况说明</w:t>
          </w:r>
          <w:r>
            <w:tab/>
          </w:r>
          <w:r>
            <w:fldChar w:fldCharType="begin"/>
          </w:r>
          <w:r>
            <w:instrText xml:space="preserve"> PAGEREF _Toc1924 \h </w:instrText>
          </w:r>
          <w:r>
            <w:fldChar w:fldCharType="separate"/>
          </w:r>
          <w:r>
            <w:t>6</w:t>
          </w:r>
          <w:r>
            <w:fldChar w:fldCharType="end"/>
          </w:r>
          <w:r>
            <w:fldChar w:fldCharType="end"/>
          </w:r>
        </w:p>
        <w:p>
          <w:pPr>
            <w:pStyle w:val="32"/>
            <w:tabs>
              <w:tab w:val="right" w:leader="dot" w:pos="8845"/>
            </w:tabs>
          </w:pPr>
          <w:r>
            <w:fldChar w:fldCharType="begin"/>
          </w:r>
          <w:r>
            <w:instrText xml:space="preserve"> HYPERLINK \l _Toc29467 </w:instrText>
          </w:r>
          <w:r>
            <w:fldChar w:fldCharType="separate"/>
          </w:r>
          <w:r>
            <w:rPr>
              <w:rFonts w:hint="eastAsia" w:ascii="黑体" w:hAnsi="黑体" w:eastAsia="黑体"/>
              <w:szCs w:val="32"/>
              <w:highlight w:val="none"/>
              <w:lang w:eastAsia="zh-CN"/>
            </w:rPr>
            <w:t>一、收入支出决算总体情况说明</w:t>
          </w:r>
          <w:r>
            <w:tab/>
          </w:r>
          <w:r>
            <w:fldChar w:fldCharType="begin"/>
          </w:r>
          <w:r>
            <w:instrText xml:space="preserve"> PAGEREF _Toc29467 \h </w:instrText>
          </w:r>
          <w:r>
            <w:fldChar w:fldCharType="separate"/>
          </w:r>
          <w:r>
            <w:t>6</w:t>
          </w:r>
          <w:r>
            <w:fldChar w:fldCharType="end"/>
          </w:r>
          <w:r>
            <w:fldChar w:fldCharType="end"/>
          </w:r>
        </w:p>
        <w:p>
          <w:pPr>
            <w:pStyle w:val="32"/>
            <w:tabs>
              <w:tab w:val="right" w:leader="dot" w:pos="8845"/>
            </w:tabs>
          </w:pPr>
          <w:r>
            <w:fldChar w:fldCharType="begin"/>
          </w:r>
          <w:r>
            <w:instrText xml:space="preserve"> HYPERLINK \l _Toc17867 </w:instrText>
          </w:r>
          <w:r>
            <w:fldChar w:fldCharType="separate"/>
          </w:r>
          <w:r>
            <w:rPr>
              <w:rFonts w:hint="eastAsia" w:ascii="黑体" w:hAnsi="黑体" w:eastAsia="黑体"/>
              <w:szCs w:val="32"/>
              <w:highlight w:val="none"/>
              <w:lang w:eastAsia="zh-CN"/>
            </w:rPr>
            <w:t>二、收入决算情况说明</w:t>
          </w:r>
          <w:r>
            <w:tab/>
          </w:r>
          <w:r>
            <w:fldChar w:fldCharType="begin"/>
          </w:r>
          <w:r>
            <w:instrText xml:space="preserve"> PAGEREF _Toc17867 \h </w:instrText>
          </w:r>
          <w:r>
            <w:fldChar w:fldCharType="separate"/>
          </w:r>
          <w:r>
            <w:t>6</w:t>
          </w:r>
          <w:r>
            <w:fldChar w:fldCharType="end"/>
          </w:r>
          <w:r>
            <w:fldChar w:fldCharType="end"/>
          </w:r>
        </w:p>
        <w:p>
          <w:pPr>
            <w:pStyle w:val="32"/>
            <w:tabs>
              <w:tab w:val="right" w:leader="dot" w:pos="8845"/>
            </w:tabs>
          </w:pPr>
          <w:r>
            <w:fldChar w:fldCharType="begin"/>
          </w:r>
          <w:r>
            <w:instrText xml:space="preserve"> HYPERLINK \l _Toc17230 </w:instrText>
          </w:r>
          <w:r>
            <w:fldChar w:fldCharType="separate"/>
          </w:r>
          <w:r>
            <w:rPr>
              <w:rFonts w:hint="eastAsia" w:ascii="黑体" w:hAnsi="黑体" w:eastAsia="黑体"/>
              <w:szCs w:val="32"/>
              <w:highlight w:val="none"/>
              <w:lang w:eastAsia="zh-CN"/>
            </w:rPr>
            <w:t>三、支出决算情况说明</w:t>
          </w:r>
          <w:r>
            <w:tab/>
          </w:r>
          <w:r>
            <w:fldChar w:fldCharType="begin"/>
          </w:r>
          <w:r>
            <w:instrText xml:space="preserve"> PAGEREF _Toc17230 \h </w:instrText>
          </w:r>
          <w:r>
            <w:fldChar w:fldCharType="separate"/>
          </w:r>
          <w:r>
            <w:t>7</w:t>
          </w:r>
          <w:r>
            <w:fldChar w:fldCharType="end"/>
          </w:r>
          <w:r>
            <w:fldChar w:fldCharType="end"/>
          </w:r>
        </w:p>
        <w:p>
          <w:pPr>
            <w:pStyle w:val="32"/>
            <w:tabs>
              <w:tab w:val="right" w:leader="dot" w:pos="8845"/>
            </w:tabs>
          </w:pPr>
          <w:r>
            <w:fldChar w:fldCharType="begin"/>
          </w:r>
          <w:r>
            <w:instrText xml:space="preserve"> HYPERLINK \l _Toc2113 </w:instrText>
          </w:r>
          <w:r>
            <w:fldChar w:fldCharType="separate"/>
          </w:r>
          <w:r>
            <w:rPr>
              <w:rFonts w:hint="eastAsia" w:ascii="黑体" w:hAnsi="黑体" w:eastAsia="黑体"/>
              <w:szCs w:val="32"/>
              <w:highlight w:val="none"/>
              <w:lang w:eastAsia="zh-CN"/>
            </w:rPr>
            <w:t>四、财政拨款收入支出决算总体情况说明</w:t>
          </w:r>
          <w:r>
            <w:tab/>
          </w:r>
          <w:r>
            <w:fldChar w:fldCharType="begin"/>
          </w:r>
          <w:r>
            <w:instrText xml:space="preserve"> PAGEREF _Toc2113 \h </w:instrText>
          </w:r>
          <w:r>
            <w:fldChar w:fldCharType="separate"/>
          </w:r>
          <w:r>
            <w:t>8</w:t>
          </w:r>
          <w:r>
            <w:fldChar w:fldCharType="end"/>
          </w:r>
          <w:r>
            <w:fldChar w:fldCharType="end"/>
          </w:r>
        </w:p>
        <w:p>
          <w:pPr>
            <w:pStyle w:val="32"/>
            <w:tabs>
              <w:tab w:val="right" w:leader="dot" w:pos="8845"/>
            </w:tabs>
          </w:pPr>
          <w:r>
            <w:fldChar w:fldCharType="begin"/>
          </w:r>
          <w:r>
            <w:instrText xml:space="preserve"> HYPERLINK \l _Toc14904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_Toc14904 \h </w:instrText>
          </w:r>
          <w:r>
            <w:fldChar w:fldCharType="separate"/>
          </w:r>
          <w:r>
            <w:t>12</w:t>
          </w:r>
          <w:r>
            <w:fldChar w:fldCharType="end"/>
          </w:r>
          <w:r>
            <w:fldChar w:fldCharType="end"/>
          </w:r>
        </w:p>
        <w:p>
          <w:pPr>
            <w:pStyle w:val="32"/>
            <w:tabs>
              <w:tab w:val="right" w:leader="dot" w:pos="8845"/>
            </w:tabs>
          </w:pPr>
          <w:r>
            <w:fldChar w:fldCharType="begin"/>
          </w:r>
          <w:r>
            <w:instrText xml:space="preserve"> HYPERLINK \l _Toc30600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_Toc30600 \h </w:instrText>
          </w:r>
          <w:r>
            <w:fldChar w:fldCharType="separate"/>
          </w:r>
          <w:r>
            <w:t>12</w:t>
          </w:r>
          <w:r>
            <w:fldChar w:fldCharType="end"/>
          </w:r>
          <w:r>
            <w:fldChar w:fldCharType="end"/>
          </w:r>
        </w:p>
        <w:p>
          <w:pPr>
            <w:pStyle w:val="32"/>
            <w:tabs>
              <w:tab w:val="right" w:leader="dot" w:pos="8845"/>
            </w:tabs>
          </w:pPr>
          <w:r>
            <w:fldChar w:fldCharType="begin"/>
          </w:r>
          <w:r>
            <w:instrText xml:space="preserve"> HYPERLINK \l _Toc748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_Toc748 \h </w:instrText>
          </w:r>
          <w:r>
            <w:fldChar w:fldCharType="separate"/>
          </w:r>
          <w:r>
            <w:t>14</w:t>
          </w:r>
          <w:r>
            <w:fldChar w:fldCharType="end"/>
          </w:r>
          <w:r>
            <w:fldChar w:fldCharType="end"/>
          </w:r>
        </w:p>
        <w:p>
          <w:pPr>
            <w:pStyle w:val="32"/>
            <w:tabs>
              <w:tab w:val="right" w:leader="dot" w:pos="8845"/>
            </w:tabs>
          </w:pPr>
          <w:r>
            <w:fldChar w:fldCharType="begin"/>
          </w:r>
          <w:r>
            <w:instrText xml:space="preserve"> HYPERLINK \l _Toc2856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_Toc2856 \h </w:instrText>
          </w:r>
          <w:r>
            <w:fldChar w:fldCharType="separate"/>
          </w:r>
          <w:r>
            <w:t>14</w:t>
          </w:r>
          <w:r>
            <w:fldChar w:fldCharType="end"/>
          </w:r>
          <w:r>
            <w:fldChar w:fldCharType="end"/>
          </w:r>
        </w:p>
        <w:p>
          <w:pPr>
            <w:pStyle w:val="32"/>
            <w:tabs>
              <w:tab w:val="right" w:leader="dot" w:pos="8845"/>
            </w:tabs>
          </w:pPr>
          <w:r>
            <w:fldChar w:fldCharType="begin"/>
          </w:r>
          <w:r>
            <w:instrText xml:space="preserve"> HYPERLINK \l _Toc7628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_Toc7628 \h </w:instrText>
          </w:r>
          <w:r>
            <w:fldChar w:fldCharType="separate"/>
          </w:r>
          <w:r>
            <w:t>14</w:t>
          </w:r>
          <w:r>
            <w:fldChar w:fldCharType="end"/>
          </w:r>
          <w:r>
            <w:fldChar w:fldCharType="end"/>
          </w:r>
        </w:p>
        <w:p>
          <w:pPr>
            <w:pStyle w:val="31"/>
            <w:tabs>
              <w:tab w:val="right" w:leader="dot" w:pos="8845"/>
            </w:tabs>
          </w:pPr>
          <w:r>
            <w:fldChar w:fldCharType="begin"/>
          </w:r>
          <w:r>
            <w:instrText xml:space="preserve"> HYPERLINK \l _Toc32766 </w:instrText>
          </w:r>
          <w:r>
            <w:fldChar w:fldCharType="separate"/>
          </w:r>
          <w:r>
            <w:rPr>
              <w:rFonts w:hint="eastAsia" w:ascii="黑体" w:hAnsi="黑体" w:eastAsia="黑体" w:cs="黑体"/>
              <w:szCs w:val="44"/>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_Toc32766 \h </w:instrText>
          </w:r>
          <w:r>
            <w:fldChar w:fldCharType="separate"/>
          </w:r>
          <w:r>
            <w:t>17</w:t>
          </w:r>
          <w:r>
            <w:fldChar w:fldCharType="end"/>
          </w:r>
          <w:r>
            <w:fldChar w:fldCharType="end"/>
          </w:r>
        </w:p>
        <w:p>
          <w:pPr>
            <w:pStyle w:val="31"/>
            <w:tabs>
              <w:tab w:val="right" w:leader="dot" w:pos="8845"/>
            </w:tabs>
          </w:pPr>
          <w:r>
            <w:fldChar w:fldCharType="begin"/>
          </w:r>
          <w:r>
            <w:instrText xml:space="preserve"> HYPERLINK \l _Toc29946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_Toc29946 \h </w:instrText>
          </w:r>
          <w:r>
            <w:fldChar w:fldCharType="separate"/>
          </w:r>
          <w:r>
            <w:t>21</w:t>
          </w:r>
          <w:r>
            <w:fldChar w:fldCharType="end"/>
          </w:r>
          <w:r>
            <w:fldChar w:fldCharType="end"/>
          </w:r>
        </w:p>
        <w:p>
          <w:pPr>
            <w:pStyle w:val="31"/>
            <w:tabs>
              <w:tab w:val="right" w:leader="dot" w:pos="8845"/>
            </w:tabs>
          </w:pPr>
          <w:r>
            <w:fldChar w:fldCharType="begin"/>
          </w:r>
          <w:r>
            <w:instrText xml:space="preserve"> HYPERLINK \l _Toc30980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_Toc30980 \h </w:instrText>
          </w:r>
          <w:r>
            <w:fldChar w:fldCharType="separate"/>
          </w:r>
          <w:r>
            <w:t>22</w:t>
          </w:r>
          <w:r>
            <w:fldChar w:fldCharType="end"/>
          </w:r>
          <w:r>
            <w:fldChar w:fldCharType="end"/>
          </w:r>
        </w:p>
        <w:p>
          <w:pPr>
            <w:pStyle w:val="32"/>
            <w:tabs>
              <w:tab w:val="right" w:leader="dot" w:pos="8845"/>
            </w:tabs>
          </w:pPr>
          <w:r>
            <w:fldChar w:fldCharType="begin"/>
          </w:r>
          <w:r>
            <w:instrText xml:space="preserve"> HYPERLINK \l _Toc21041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_Toc21041 \h </w:instrText>
          </w:r>
          <w:r>
            <w:fldChar w:fldCharType="separate"/>
          </w:r>
          <w:r>
            <w:t>22</w:t>
          </w:r>
          <w:r>
            <w:fldChar w:fldCharType="end"/>
          </w:r>
          <w:r>
            <w:fldChar w:fldCharType="end"/>
          </w:r>
        </w:p>
        <w:p>
          <w:pPr>
            <w:pStyle w:val="32"/>
            <w:tabs>
              <w:tab w:val="right" w:leader="dot" w:pos="8845"/>
            </w:tabs>
          </w:pPr>
          <w:r>
            <w:fldChar w:fldCharType="begin"/>
          </w:r>
          <w:r>
            <w:instrText xml:space="preserve"> HYPERLINK \l _Toc647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_Toc647 \h </w:instrText>
          </w:r>
          <w:r>
            <w:fldChar w:fldCharType="separate"/>
          </w:r>
          <w:r>
            <w:t>22</w:t>
          </w:r>
          <w:r>
            <w:fldChar w:fldCharType="end"/>
          </w:r>
          <w:r>
            <w:fldChar w:fldCharType="end"/>
          </w:r>
        </w:p>
        <w:p>
          <w:pPr>
            <w:pStyle w:val="32"/>
            <w:tabs>
              <w:tab w:val="right" w:leader="dot" w:pos="8845"/>
            </w:tabs>
          </w:pPr>
          <w:r>
            <w:fldChar w:fldCharType="begin"/>
          </w:r>
          <w:r>
            <w:instrText xml:space="preserve"> HYPERLINK \l _Toc8419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_Toc8419 \h </w:instrText>
          </w:r>
          <w:r>
            <w:fldChar w:fldCharType="separate"/>
          </w:r>
          <w:r>
            <w:t>22</w:t>
          </w:r>
          <w:r>
            <w:fldChar w:fldCharType="end"/>
          </w:r>
          <w:r>
            <w:fldChar w:fldCharType="end"/>
          </w:r>
        </w:p>
        <w:p>
          <w:pPr>
            <w:pStyle w:val="32"/>
            <w:tabs>
              <w:tab w:val="right" w:leader="dot" w:pos="8845"/>
            </w:tabs>
          </w:pPr>
          <w:r>
            <w:fldChar w:fldCharType="begin"/>
          </w:r>
          <w:r>
            <w:instrText xml:space="preserve"> HYPERLINK \l _Toc20201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_Toc20201 \h </w:instrText>
          </w:r>
          <w:r>
            <w:fldChar w:fldCharType="separate"/>
          </w:r>
          <w:r>
            <w:t>22</w:t>
          </w:r>
          <w:r>
            <w:fldChar w:fldCharType="end"/>
          </w:r>
          <w:r>
            <w:fldChar w:fldCharType="end"/>
          </w:r>
        </w:p>
        <w:p>
          <w:pPr>
            <w:pStyle w:val="32"/>
            <w:tabs>
              <w:tab w:val="right" w:leader="dot" w:pos="8845"/>
            </w:tabs>
          </w:pPr>
          <w:r>
            <w:fldChar w:fldCharType="begin"/>
          </w:r>
          <w:r>
            <w:instrText xml:space="preserve"> HYPERLINK \l _Toc9203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_Toc9203 \h </w:instrText>
          </w:r>
          <w:r>
            <w:fldChar w:fldCharType="separate"/>
          </w:r>
          <w:r>
            <w:t>22</w:t>
          </w:r>
          <w:r>
            <w:fldChar w:fldCharType="end"/>
          </w:r>
          <w:r>
            <w:fldChar w:fldCharType="end"/>
          </w:r>
        </w:p>
        <w:p>
          <w:pPr>
            <w:pStyle w:val="32"/>
            <w:tabs>
              <w:tab w:val="right" w:leader="dot" w:pos="8845"/>
            </w:tabs>
          </w:pPr>
          <w:r>
            <w:fldChar w:fldCharType="begin"/>
          </w:r>
          <w:r>
            <w:instrText xml:space="preserve"> HYPERLINK \l _Toc22578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_Toc22578 \h </w:instrText>
          </w:r>
          <w:r>
            <w:fldChar w:fldCharType="separate"/>
          </w:r>
          <w:r>
            <w:t>22</w:t>
          </w:r>
          <w:r>
            <w:fldChar w:fldCharType="end"/>
          </w:r>
          <w:r>
            <w:fldChar w:fldCharType="end"/>
          </w:r>
        </w:p>
        <w:p>
          <w:pPr>
            <w:pStyle w:val="32"/>
            <w:tabs>
              <w:tab w:val="right" w:leader="dot" w:pos="8845"/>
            </w:tabs>
          </w:pPr>
          <w:r>
            <w:fldChar w:fldCharType="begin"/>
          </w:r>
          <w:r>
            <w:instrText xml:space="preserve"> HYPERLINK \l _Toc28501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_Toc28501 \h </w:instrText>
          </w:r>
          <w:r>
            <w:fldChar w:fldCharType="separate"/>
          </w:r>
          <w:r>
            <w:t>22</w:t>
          </w:r>
          <w:r>
            <w:fldChar w:fldCharType="end"/>
          </w:r>
          <w:r>
            <w:fldChar w:fldCharType="end"/>
          </w:r>
        </w:p>
        <w:p>
          <w:pPr>
            <w:pStyle w:val="32"/>
            <w:tabs>
              <w:tab w:val="right" w:leader="dot" w:pos="8845"/>
            </w:tabs>
          </w:pPr>
          <w:r>
            <w:fldChar w:fldCharType="begin"/>
          </w:r>
          <w:r>
            <w:instrText xml:space="preserve"> HYPERLINK \l _Toc25725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_Toc25725 \h </w:instrText>
          </w:r>
          <w:r>
            <w:fldChar w:fldCharType="separate"/>
          </w:r>
          <w:r>
            <w:t>22</w:t>
          </w:r>
          <w:r>
            <w:fldChar w:fldCharType="end"/>
          </w:r>
          <w:r>
            <w:fldChar w:fldCharType="end"/>
          </w:r>
        </w:p>
        <w:p>
          <w:pPr>
            <w:pStyle w:val="32"/>
            <w:tabs>
              <w:tab w:val="right" w:leader="dot" w:pos="8845"/>
            </w:tabs>
          </w:pPr>
          <w:r>
            <w:fldChar w:fldCharType="begin"/>
          </w:r>
          <w:r>
            <w:instrText xml:space="preserve"> HYPERLINK \l _Toc4802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_Toc4802 \h </w:instrText>
          </w:r>
          <w:r>
            <w:fldChar w:fldCharType="separate"/>
          </w:r>
          <w:r>
            <w:t>22</w:t>
          </w:r>
          <w:r>
            <w:fldChar w:fldCharType="end"/>
          </w:r>
          <w:r>
            <w:fldChar w:fldCharType="end"/>
          </w:r>
        </w:p>
        <w:p>
          <w:pPr>
            <w:pStyle w:val="32"/>
            <w:tabs>
              <w:tab w:val="right" w:leader="dot" w:pos="8845"/>
            </w:tabs>
          </w:pPr>
          <w:r>
            <w:fldChar w:fldCharType="begin"/>
          </w:r>
          <w:r>
            <w:instrText xml:space="preserve"> HYPERLINK \l _Toc26215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_Toc26215 \h </w:instrText>
          </w:r>
          <w:r>
            <w:fldChar w:fldCharType="separate"/>
          </w:r>
          <w:r>
            <w:t>22</w:t>
          </w:r>
          <w:r>
            <w:fldChar w:fldCharType="end"/>
          </w:r>
          <w:r>
            <w:fldChar w:fldCharType="end"/>
          </w:r>
        </w:p>
        <w:p>
          <w:pPr>
            <w:pStyle w:val="32"/>
            <w:tabs>
              <w:tab w:val="right" w:leader="dot" w:pos="8845"/>
            </w:tabs>
          </w:pPr>
          <w:r>
            <w:fldChar w:fldCharType="begin"/>
          </w:r>
          <w:r>
            <w:instrText xml:space="preserve"> HYPERLINK \l _Toc30986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_Toc30986 \h </w:instrText>
          </w:r>
          <w:r>
            <w:fldChar w:fldCharType="separate"/>
          </w:r>
          <w:r>
            <w:t>22</w:t>
          </w:r>
          <w:r>
            <w:fldChar w:fldCharType="end"/>
          </w:r>
          <w:r>
            <w:fldChar w:fldCharType="end"/>
          </w:r>
        </w:p>
        <w:p>
          <w:pPr>
            <w:pStyle w:val="32"/>
            <w:tabs>
              <w:tab w:val="right" w:leader="dot" w:pos="8845"/>
            </w:tabs>
          </w:pPr>
          <w:r>
            <w:fldChar w:fldCharType="begin"/>
          </w:r>
          <w:r>
            <w:instrText xml:space="preserve"> HYPERLINK \l _Toc23970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_Toc23970 \h </w:instrText>
          </w:r>
          <w:r>
            <w:fldChar w:fldCharType="separate"/>
          </w:r>
          <w:r>
            <w:t>22</w:t>
          </w:r>
          <w:r>
            <w:fldChar w:fldCharType="end"/>
          </w:r>
          <w:r>
            <w:fldChar w:fldCharType="end"/>
          </w:r>
        </w:p>
        <w:p>
          <w:pPr>
            <w:pStyle w:val="32"/>
            <w:tabs>
              <w:tab w:val="right" w:leader="dot" w:pos="8845"/>
            </w:tabs>
          </w:pPr>
          <w:r>
            <w:fldChar w:fldCharType="begin"/>
          </w:r>
          <w:r>
            <w:instrText xml:space="preserve"> HYPERLINK \l _Toc19141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_Toc19141 \h </w:instrText>
          </w:r>
          <w:r>
            <w:fldChar w:fldCharType="separate"/>
          </w:r>
          <w:r>
            <w:t>22</w:t>
          </w:r>
          <w:r>
            <w:fldChar w:fldCharType="end"/>
          </w:r>
          <w:r>
            <w:fldChar w:fldCharType="end"/>
          </w:r>
        </w:p>
        <w:p>
          <w:r>
            <w:fldChar w:fldCharType="end"/>
          </w:r>
        </w:p>
      </w:sdtContent>
    </w:sdt>
    <w:p>
      <w:pPr>
        <w:pStyle w:val="3"/>
        <w:pageBreakBefore w:val="0"/>
        <w:kinsoku/>
        <w:wordWrap/>
        <w:overflowPunct/>
        <w:topLinePunct w:val="0"/>
        <w:bidi w:val="0"/>
        <w:snapToGrid/>
        <w:spacing w:before="0" w:after="0" w:line="576" w:lineRule="exact"/>
        <w:ind w:left="0" w:right="0"/>
        <w:jc w:val="center"/>
        <w:textAlignment w:val="auto"/>
        <w:rPr>
          <w:rFonts w:hint="eastAsia" w:ascii="黑体" w:hAnsi="黑体" w:eastAsia="黑体"/>
          <w:b w:val="0"/>
          <w:color w:val="auto"/>
          <w:highlight w:val="none"/>
        </w:rPr>
        <w:sectPr>
          <w:headerReference r:id="rId3" w:type="default"/>
          <w:pgSz w:w="11906" w:h="16838"/>
          <w:pgMar w:top="2098" w:right="1474" w:bottom="1984" w:left="1587" w:header="851" w:footer="992" w:gutter="0"/>
          <w:pgNumType w:start="1"/>
          <w:cols w:space="425" w:num="1"/>
          <w:titlePg/>
          <w:docGrid w:type="lines" w:linePitch="312" w:charSpace="0"/>
        </w:sectPr>
      </w:pPr>
      <w:bookmarkStart w:id="18" w:name="_Toc28869"/>
      <w:bookmarkStart w:id="19" w:name="_Toc23330"/>
    </w:p>
    <w:p>
      <w:pPr>
        <w:pStyle w:val="3"/>
        <w:pageBreakBefore w:val="0"/>
        <w:kinsoku/>
        <w:wordWrap/>
        <w:overflowPunct/>
        <w:topLinePunct w:val="0"/>
        <w:bidi w:val="0"/>
        <w:snapToGrid/>
        <w:spacing w:before="0" w:after="0" w:line="576" w:lineRule="exact"/>
        <w:ind w:left="0" w:right="0"/>
        <w:jc w:val="center"/>
        <w:textAlignment w:val="auto"/>
        <w:rPr>
          <w:rStyle w:val="17"/>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17"/>
          <w:rFonts w:hint="eastAsia" w:ascii="黑体" w:hAnsi="黑体" w:eastAsia="黑体"/>
          <w:b w:val="0"/>
          <w:bCs w:val="0"/>
          <w:color w:val="auto"/>
          <w:highlight w:val="none"/>
        </w:rPr>
        <w:t>概况</w:t>
      </w:r>
      <w:bookmarkEnd w:id="16"/>
      <w:bookmarkEnd w:id="17"/>
      <w:bookmarkEnd w:id="18"/>
      <w:bookmarkEnd w:id="19"/>
    </w:p>
    <w:p>
      <w:pPr>
        <w:pageBreakBefore w:val="0"/>
        <w:widowControl/>
        <w:kinsoku/>
        <w:wordWrap/>
        <w:overflowPunct/>
        <w:topLinePunct w:val="0"/>
        <w:bidi w:val="0"/>
        <w:snapToGrid/>
        <w:spacing w:line="576" w:lineRule="exact"/>
        <w:ind w:left="0" w:right="0"/>
        <w:jc w:val="left"/>
        <w:textAlignment w:val="auto"/>
        <w:rPr>
          <w:rFonts w:ascii="黑体" w:eastAsia="黑体"/>
          <w:color w:val="auto"/>
          <w:sz w:val="32"/>
          <w:szCs w:val="32"/>
          <w:highlight w:val="none"/>
        </w:rPr>
      </w:pPr>
    </w:p>
    <w:p>
      <w:pPr>
        <w:pageBreakBefore w:val="0"/>
        <w:widowControl w:val="0"/>
        <w:numPr>
          <w:ilvl w:val="0"/>
          <w:numId w:val="0"/>
        </w:numPr>
        <w:shd w:val="clea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1"/>
        <w:rPr>
          <w:rStyle w:val="18"/>
          <w:rFonts w:hint="eastAsia" w:ascii="黑体" w:hAnsi="黑体" w:eastAsia="黑体"/>
          <w:b w:val="0"/>
          <w:bCs w:val="0"/>
          <w:color w:val="auto"/>
          <w:highlight w:val="none"/>
          <w:lang w:eastAsia="zh-CN"/>
        </w:rPr>
      </w:pPr>
      <w:bookmarkStart w:id="20" w:name="_Toc1115"/>
      <w:bookmarkStart w:id="21" w:name="_Toc15995"/>
      <w:bookmarkStart w:id="22" w:name="_Toc15396600"/>
      <w:bookmarkStart w:id="23" w:name="_Toc15377197"/>
      <w:r>
        <w:rPr>
          <w:rStyle w:val="18"/>
          <w:rFonts w:hint="eastAsia" w:ascii="黑体" w:hAnsi="黑体" w:eastAsia="黑体"/>
          <w:b w:val="0"/>
          <w:bCs w:val="0"/>
          <w:color w:val="auto"/>
          <w:highlight w:val="none"/>
          <w:lang w:val="en-US" w:eastAsia="zh-CN"/>
        </w:rPr>
        <w:t>一、</w:t>
      </w:r>
      <w:r>
        <w:rPr>
          <w:rStyle w:val="18"/>
          <w:rFonts w:hint="eastAsia" w:ascii="黑体" w:hAnsi="黑体" w:eastAsia="黑体"/>
          <w:b w:val="0"/>
          <w:bCs w:val="0"/>
          <w:color w:val="auto"/>
          <w:highlight w:val="none"/>
          <w:lang w:eastAsia="zh-CN"/>
        </w:rPr>
        <w:t>主要职责</w:t>
      </w:r>
      <w:bookmarkEnd w:id="20"/>
      <w:bookmarkEnd w:id="21"/>
    </w:p>
    <w:p>
      <w:pPr>
        <w:pageBreakBefore w:val="0"/>
        <w:widowControl w:val="0"/>
        <w:numPr>
          <w:ilvl w:val="0"/>
          <w:numId w:val="0"/>
        </w:numPr>
        <w:shd w:val="clea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规定权限，履行全民所有土地、矿产、森林、湿地、水等自然资源资产所有者职责和所有国土空间用途管制职责。拟订全市自然资源和国土空间规划地方性法规、政策规章草案，制定有关政策措施并监督检查执行情况。</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全市自然资源调查监测评价。依照自然资源调查监测评价的指标体系和统计标准，建立统一的自然资源调查监测评价制度。实施自然资源基础调查、专项调查和监测。负责自然资源调查监测评价成果的监督管理和信息发布。指导县区自然资源调查监测评价工作。</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全市自然资源统一确权登记工作。组织实施各类自然资源和不动产统一确权登记、权籍调查、不动产测绘、争议、调处、成果应用的制度、标准、规范。建立健全全市自然资源和不动产登记信息管理基础平台。负责自然资源和不动产登记资料收集、整理、共享、汇交管理等。指导监督自然资源和不动产确权登记工作。</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全市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自然资源资产价值评估管理，依法收缴相关资产收益。</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全市自然资源的合理开发利用。组织拟订并实施自然资源发展规划和战略，建立政府公示自然资源价格体系，组织开展自然资源分等定级价格评估，开展自然资源利用评价考核，指导节约集约利用。负责自然资源</w:t>
      </w:r>
      <w:r>
        <w:rPr>
          <w:rFonts w:hint="eastAsia" w:ascii="仿宋_GB2312" w:hAnsi="仿宋_GB2312" w:eastAsia="仿宋_GB2312" w:cs="仿宋_GB2312"/>
          <w:color w:val="auto"/>
          <w:sz w:val="32"/>
          <w:szCs w:val="32"/>
          <w:highlight w:val="none"/>
          <w:lang w:eastAsia="zh-CN"/>
        </w:rPr>
        <w:t>市场监管</w:t>
      </w:r>
      <w:r>
        <w:rPr>
          <w:rFonts w:hint="eastAsia" w:ascii="仿宋_GB2312" w:hAnsi="仿宋_GB2312" w:eastAsia="仿宋_GB2312" w:cs="仿宋_GB2312"/>
          <w:color w:val="auto"/>
          <w:sz w:val="32"/>
          <w:szCs w:val="32"/>
          <w:highlight w:val="none"/>
        </w:rPr>
        <w:t>。组织研究自然资源管理涉及宏观调控、区域协调和城乡统筹的政策措施。</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建立全市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统筹全市国土空间生态修复。牵头组织编制全市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组织实施最严格的耕地保护制度。牵头拟订并实施全市耕地保护政策，负责耕地数量、质量、生态保护。组织实施耕地保护责任目标考核和永久基本农田特殊保护。完善耕地占补平衡制度，监督占用耕地补偿制度执行情况。</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管理全市地质勘察和地质工作。拟订全市地质勘查规划并监督检查执行情况。组织实施重大地质矿产勘查专项。负责地质灾害预防和治理，监督管理地下水过量开采及引发的地面沉降等地质问题。负责古生物化石的监督管理。</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（十）</w:t>
      </w:r>
      <w:r>
        <w:rPr>
          <w:rFonts w:hint="eastAsia" w:ascii="仿宋_GB2312" w:hAnsi="仿宋_GB2312" w:eastAsia="仿宋_GB2312" w:cs="仿宋_GB2312"/>
          <w:color w:val="auto"/>
          <w:sz w:val="32"/>
          <w:szCs w:val="32"/>
          <w:highlight w:val="none"/>
        </w:rPr>
        <w:t>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负责全市矿产资源管理工作。负责矿产资源储量管理及压覆矿产资源审核报批。负责矿业权管理。会同有关部门承担保护性开采的特定矿种、优势矿产的调控及相关管理工作。监督指导矿产资源合理利用和保护。</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（十二）</w:t>
      </w:r>
      <w:r>
        <w:rPr>
          <w:rFonts w:hint="eastAsia" w:ascii="仿宋_GB2312" w:hAnsi="仿宋_GB2312" w:eastAsia="仿宋_GB2312" w:cs="仿宋_GB2312"/>
          <w:color w:val="auto"/>
          <w:sz w:val="32"/>
          <w:szCs w:val="32"/>
          <w:highlight w:val="none"/>
        </w:rPr>
        <w:t>推动全市自然资源领域科技发展和对外合作。制定并实施全市自然资源领域科技创新发展和人才培养规划、计划。组织实施重大科技专项及创新能力建设，推进自然资源信息化和信息资料的公共服务。组织开展全市自然资源系统对外交流合作。</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配合国家对县区政府落实党中央、国务院关于自然资源和国土空间规划的重大方针政策、决策部署及法律法规执行情况进行督察。按照市委、市政府安排，组织实施自然资源督查相关工作。查处全市自然资源开发利用、国土空间规划等领域重大违法案件。指导县区有关行政执法工作。</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负责职责范围内的安全生产和职业健康、生态环境保护、审批服务便民化等工作。</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负责测绘地理信息管理。负责基础测绘和测绘行业管理。监督管理全市测绘地理信息安全和市场秩序。负责地理信息公共服务管理和测量标志保护。</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统一领导和管理广元市林业局（简称林业局）。</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十七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完成市委、市政府交办的其他任务。</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八）职能转变。落实关于统一行使全民所有自然资源所有者职责，统一行使所有者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pageBreakBefore w:val="0"/>
        <w:widowControl w:val="0"/>
        <w:shd w:val="clear"/>
        <w:kinsoku/>
        <w:wordWrap/>
        <w:overflowPunct/>
        <w:topLinePunct w:val="0"/>
        <w:autoSpaceDE/>
        <w:autoSpaceDN/>
        <w:bidi w:val="0"/>
        <w:adjustRightInd/>
        <w:snapToGrid/>
        <w:spacing w:line="576" w:lineRule="exact"/>
        <w:ind w:left="0" w:leftChars="0" w:right="0" w:firstLine="640" w:firstLineChars="200"/>
        <w:jc w:val="both"/>
        <w:textAlignment w:val="auto"/>
        <w:outlineLvl w:val="2"/>
        <w:rPr>
          <w:rFonts w:hint="eastAsia" w:ascii="仿宋_GB2312" w:hAnsi="仿宋_GB2312" w:eastAsia="仿宋_GB2312" w:cs="仿宋_GB2312"/>
          <w:color w:val="auto"/>
          <w:sz w:val="32"/>
          <w:szCs w:val="32"/>
          <w:highlight w:val="none"/>
          <w:lang w:val="en-US" w:eastAsia="zh-CN"/>
        </w:rPr>
      </w:pPr>
      <w:bookmarkStart w:id="24" w:name="_Toc18564"/>
      <w:r>
        <w:rPr>
          <w:rFonts w:hint="eastAsia" w:ascii="仿宋_GB2312" w:hAnsi="仿宋_GB2312" w:eastAsia="仿宋_GB2312" w:cs="仿宋_GB2312"/>
          <w:color w:val="auto"/>
          <w:sz w:val="32"/>
          <w:szCs w:val="32"/>
          <w:highlight w:val="none"/>
          <w:lang w:val="en-US" w:eastAsia="zh-CN"/>
        </w:rPr>
        <w:t>（十九）在自然灾害防救方面的职责分工。</w:t>
      </w:r>
      <w:bookmarkEnd w:id="24"/>
    </w:p>
    <w:p>
      <w:pPr>
        <w:pStyle w:val="4"/>
        <w:pageBreakBefore w:val="0"/>
        <w:numPr>
          <w:ilvl w:val="0"/>
          <w:numId w:val="0"/>
        </w:numPr>
        <w:kinsoku/>
        <w:wordWrap/>
        <w:overflowPunct/>
        <w:topLinePunct w:val="0"/>
        <w:autoSpaceDE/>
        <w:autoSpaceDN/>
        <w:bidi w:val="0"/>
        <w:adjustRightInd/>
        <w:snapToGrid/>
        <w:spacing w:before="0" w:after="0" w:line="576" w:lineRule="exact"/>
        <w:ind w:left="0" w:right="0" w:firstLine="640" w:firstLineChars="200"/>
        <w:textAlignment w:val="auto"/>
        <w:rPr>
          <w:rFonts w:hint="eastAsia" w:ascii="黑体" w:hAnsi="黑体" w:eastAsia="黑体"/>
          <w:b w:val="0"/>
          <w:color w:val="auto"/>
          <w:highlight w:val="none"/>
          <w:lang w:val="en-US" w:eastAsia="zh-CN"/>
        </w:rPr>
      </w:pPr>
      <w:bookmarkStart w:id="25" w:name="_Toc3379"/>
      <w:bookmarkStart w:id="26" w:name="_Toc1911"/>
      <w:r>
        <w:rPr>
          <w:rFonts w:hint="eastAsia" w:ascii="黑体" w:hAnsi="黑体" w:eastAsia="黑体"/>
          <w:b w:val="0"/>
          <w:color w:val="auto"/>
          <w:highlight w:val="none"/>
          <w:lang w:val="en-US" w:eastAsia="zh-CN"/>
        </w:rPr>
        <w:t>二、机构设置</w:t>
      </w:r>
      <w:bookmarkEnd w:id="25"/>
      <w:bookmarkEnd w:id="26"/>
    </w:p>
    <w:bookmarkEnd w:id="22"/>
    <w:bookmarkEnd w:id="23"/>
    <w:p>
      <w:pPr>
        <w:pageBreakBefore w:val="0"/>
        <w:widowControl/>
        <w:kinsoku/>
        <w:wordWrap/>
        <w:overflowPunct/>
        <w:topLinePunct w:val="0"/>
        <w:autoSpaceDE/>
        <w:autoSpaceDN/>
        <w:bidi w:val="0"/>
        <w:adjustRightInd/>
        <w:snapToGrid/>
        <w:spacing w:line="576" w:lineRule="exact"/>
        <w:ind w:left="0" w:right="0" w:firstLine="640" w:firstLineChars="200"/>
        <w:jc w:val="left"/>
        <w:textAlignment w:val="auto"/>
        <w:rPr>
          <w:rFonts w:ascii="仿宋" w:hAnsi="仿宋" w:eastAsia="仿宋"/>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纳入广元市自然资源局</w:t>
      </w:r>
      <w:r>
        <w:rPr>
          <w:rFonts w:hint="default" w:ascii="仿宋_GB2312" w:hAnsi="仿宋_GB2312" w:eastAsia="仿宋_GB2312" w:cs="仿宋_GB2312"/>
          <w:color w:val="auto"/>
          <w:sz w:val="32"/>
          <w:szCs w:val="32"/>
          <w:highlight w:val="none"/>
          <w:lang w:eastAsia="zh-CN"/>
        </w:rPr>
        <w:t>（本级）属于广元市自然资源局部门的二级预算单位，为行政单位。</w:t>
      </w:r>
      <w:r>
        <w:rPr>
          <w:rFonts w:hint="eastAsia" w:ascii="仿宋_GB2312" w:hAnsi="仿宋_GB2312" w:eastAsia="仿宋_GB2312" w:cs="仿宋_GB2312"/>
          <w:color w:val="auto"/>
          <w:sz w:val="32"/>
          <w:szCs w:val="32"/>
          <w:highlight w:val="none"/>
          <w:lang w:val="en-US" w:eastAsia="zh-CN"/>
        </w:rPr>
        <w:t>2023年度单位决算编制范围的预算单位包括：广元市自然资源局（本级）。</w:t>
      </w:r>
      <w:r>
        <w:rPr>
          <w:rFonts w:ascii="仿宋" w:hAnsi="仿宋" w:eastAsia="仿宋"/>
          <w:color w:val="auto"/>
          <w:sz w:val="32"/>
          <w:szCs w:val="32"/>
          <w:highlight w:val="none"/>
        </w:rPr>
        <w:br w:type="page"/>
      </w:r>
    </w:p>
    <w:p>
      <w:pPr>
        <w:pStyle w:val="3"/>
        <w:pageBreakBefore w:val="0"/>
        <w:kinsoku/>
        <w:wordWrap/>
        <w:overflowPunct/>
        <w:topLinePunct w:val="0"/>
        <w:bidi w:val="0"/>
        <w:snapToGrid/>
        <w:spacing w:before="0" w:after="0" w:line="576" w:lineRule="exact"/>
        <w:ind w:left="0" w:right="0"/>
        <w:jc w:val="center"/>
        <w:textAlignment w:val="auto"/>
        <w:rPr>
          <w:rStyle w:val="17"/>
          <w:rFonts w:ascii="黑体" w:hAnsi="黑体" w:eastAsia="黑体"/>
          <w:b w:val="0"/>
          <w:bCs/>
          <w:color w:val="auto"/>
          <w:highlight w:val="none"/>
        </w:rPr>
      </w:pPr>
      <w:bookmarkStart w:id="27" w:name="_Toc1924"/>
      <w:bookmarkStart w:id="28" w:name="_Toc29617"/>
      <w:bookmarkStart w:id="29" w:name="_Toc15377204"/>
      <w:bookmarkStart w:id="30"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17"/>
          <w:rFonts w:hint="eastAsia" w:ascii="黑体" w:hAnsi="黑体" w:eastAsia="黑体"/>
          <w:b w:val="0"/>
          <w:bCs/>
          <w:color w:val="auto"/>
          <w:highlight w:val="none"/>
          <w:lang w:eastAsia="zh-CN"/>
        </w:rPr>
        <w:t>单位</w:t>
      </w:r>
      <w:r>
        <w:rPr>
          <w:rStyle w:val="17"/>
          <w:rFonts w:hint="eastAsia" w:ascii="黑体" w:hAnsi="黑体" w:eastAsia="黑体"/>
          <w:b w:val="0"/>
          <w:bCs/>
          <w:color w:val="auto"/>
          <w:highlight w:val="none"/>
        </w:rPr>
        <w:t>决算情况说明</w:t>
      </w:r>
      <w:bookmarkEnd w:id="27"/>
      <w:bookmarkEnd w:id="28"/>
      <w:bookmarkEnd w:id="29"/>
      <w:bookmarkEnd w:id="30"/>
    </w:p>
    <w:p>
      <w:pPr>
        <w:pageBreakBefore w:val="0"/>
        <w:kinsoku/>
        <w:wordWrap/>
        <w:overflowPunct/>
        <w:topLinePunct w:val="0"/>
        <w:bidi w:val="0"/>
        <w:snapToGrid/>
        <w:spacing w:line="576" w:lineRule="exact"/>
        <w:ind w:left="0" w:right="0"/>
        <w:textAlignment w:val="auto"/>
        <w:rPr>
          <w:color w:val="auto"/>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firstLine="640" w:firstLineChars="200"/>
        <w:jc w:val="both"/>
        <w:textAlignment w:val="auto"/>
        <w:outlineLvl w:val="1"/>
        <w:rPr>
          <w:rFonts w:hint="eastAsia" w:ascii="黑体" w:hAnsi="黑体" w:eastAsia="黑体"/>
          <w:color w:val="auto"/>
          <w:sz w:val="32"/>
          <w:szCs w:val="32"/>
          <w:highlight w:val="none"/>
          <w:lang w:eastAsia="zh-CN"/>
        </w:rPr>
      </w:pPr>
      <w:bookmarkStart w:id="31" w:name="_Toc15377205"/>
      <w:bookmarkStart w:id="32" w:name="_Toc6582"/>
      <w:bookmarkStart w:id="33" w:name="_Toc15396603"/>
      <w:bookmarkStart w:id="34" w:name="_Toc29467"/>
      <w:r>
        <w:rPr>
          <w:rFonts w:hint="eastAsia" w:ascii="黑体" w:hAnsi="黑体" w:eastAsia="黑体"/>
          <w:color w:val="auto"/>
          <w:sz w:val="32"/>
          <w:szCs w:val="32"/>
          <w:highlight w:val="none"/>
          <w:lang w:eastAsia="zh-CN"/>
        </w:rPr>
        <w:t>一、收入支出决算总体情况说明</w:t>
      </w:r>
      <w:bookmarkEnd w:id="31"/>
      <w:bookmarkEnd w:id="32"/>
      <w:bookmarkEnd w:id="33"/>
      <w:bookmarkEnd w:id="34"/>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val="en-US" w:eastAsia="zh-CN"/>
        </w:rPr>
        <w:t>9934.05</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年相比，收、支总计各</w:t>
      </w:r>
      <w:r>
        <w:rPr>
          <w:rFonts w:hint="eastAsia" w:ascii="仿宋_GB2312" w:hAnsi="仿宋_GB2312" w:eastAsia="仿宋_GB2312" w:cs="仿宋_GB2312"/>
          <w:color w:val="auto"/>
          <w:sz w:val="32"/>
          <w:szCs w:val="32"/>
          <w:highlight w:val="none"/>
          <w:lang w:val="en-US" w:eastAsia="zh-CN"/>
        </w:rPr>
        <w:t>增加4784.82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增长92.92</w:t>
      </w:r>
      <w:r>
        <w:rPr>
          <w:rFonts w:hint="eastAsia" w:ascii="仿宋_GB2312" w:hAnsi="仿宋_GB2312" w:eastAsia="仿宋_GB2312" w:cs="仿宋_GB2312"/>
          <w:color w:val="auto"/>
          <w:sz w:val="32"/>
          <w:szCs w:val="32"/>
          <w:highlight w:val="none"/>
        </w:rPr>
        <w:t>%。主要变动原因</w:t>
      </w:r>
      <w:r>
        <w:rPr>
          <w:rFonts w:hint="eastAsia" w:ascii="仿宋_GB2312" w:hAnsi="仿宋_GB2312" w:eastAsia="仿宋_GB2312" w:cs="仿宋_GB2312"/>
          <w:color w:val="auto"/>
          <w:sz w:val="32"/>
          <w:szCs w:val="32"/>
          <w:highlight w:val="none"/>
          <w:lang w:val="en-US" w:eastAsia="zh-CN"/>
        </w:rPr>
        <w:t>是本年度基金预算拨款增加。</w:t>
      </w:r>
    </w:p>
    <w:p>
      <w:pPr>
        <w:pStyle w:val="6"/>
        <w:rPr>
          <w:rFonts w:hint="eastAsia"/>
          <w:lang w:val="en-US" w:eastAsia="zh-CN"/>
        </w:rPr>
      </w:pPr>
      <w:r>
        <w:drawing>
          <wp:inline distT="0" distB="0" distL="114300" distR="114300">
            <wp:extent cx="5122545" cy="2157095"/>
            <wp:effectExtent l="4445" t="4445" r="16510" b="10160"/>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bidi w:val="0"/>
        <w:snapToGrid/>
        <w:spacing w:line="576"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（图1：收、支决算总计变动情况图）（柱状图）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firstLine="640" w:firstLineChars="200"/>
        <w:jc w:val="both"/>
        <w:textAlignment w:val="auto"/>
        <w:outlineLvl w:val="1"/>
        <w:rPr>
          <w:rFonts w:hint="eastAsia" w:ascii="黑体" w:hAnsi="黑体" w:eastAsia="黑体"/>
          <w:color w:val="auto"/>
          <w:sz w:val="32"/>
          <w:szCs w:val="32"/>
          <w:highlight w:val="none"/>
          <w:lang w:eastAsia="zh-CN"/>
        </w:rPr>
      </w:pPr>
      <w:bookmarkStart w:id="35" w:name="_Toc17867"/>
      <w:bookmarkStart w:id="36" w:name="_Toc15396604"/>
      <w:bookmarkStart w:id="37" w:name="_Toc15377206"/>
      <w:bookmarkStart w:id="38" w:name="_Toc26330"/>
      <w:r>
        <w:rPr>
          <w:rFonts w:hint="eastAsia" w:ascii="黑体" w:hAnsi="黑体" w:eastAsia="黑体"/>
          <w:color w:val="auto"/>
          <w:sz w:val="32"/>
          <w:szCs w:val="32"/>
          <w:highlight w:val="none"/>
          <w:lang w:eastAsia="zh-CN"/>
        </w:rPr>
        <w:t>二、收入决算情况说明</w:t>
      </w:r>
      <w:bookmarkEnd w:id="35"/>
      <w:bookmarkEnd w:id="36"/>
      <w:bookmarkEnd w:id="37"/>
      <w:bookmarkEnd w:id="38"/>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年本年收入合计</w:t>
      </w:r>
      <w:r>
        <w:rPr>
          <w:rFonts w:hint="eastAsia" w:ascii="仿宋_GB2312" w:hAnsi="仿宋_GB2312" w:eastAsia="仿宋_GB2312" w:cs="仿宋_GB2312"/>
          <w:color w:val="auto"/>
          <w:sz w:val="32"/>
          <w:szCs w:val="32"/>
          <w:highlight w:val="none"/>
          <w:lang w:val="en-US" w:eastAsia="zh-CN"/>
        </w:rPr>
        <w:t>9878.61</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eastAsia="仿宋_GB2312" w:cs="仿宋_GB2312"/>
          <w:color w:val="auto"/>
          <w:sz w:val="32"/>
          <w:szCs w:val="32"/>
          <w:highlight w:val="none"/>
          <w:lang w:val="en-US" w:eastAsia="zh-CN"/>
        </w:rPr>
        <w:t>2156.55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21.83</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eastAsia="仿宋_GB2312" w:cs="仿宋_GB2312"/>
          <w:color w:val="auto"/>
          <w:sz w:val="32"/>
          <w:szCs w:val="32"/>
          <w:highlight w:val="none"/>
          <w:lang w:val="en-US" w:eastAsia="zh-CN"/>
        </w:rPr>
        <w:t>7722.07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78.17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auto"/>
      </w:pPr>
      <w:r>
        <w:drawing>
          <wp:inline distT="0" distB="0" distL="114300" distR="114300">
            <wp:extent cx="4827905" cy="2708275"/>
            <wp:effectExtent l="4445" t="4445" r="6350" b="11430"/>
            <wp:docPr id="1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（图2：收入决算结构图）（饼状图）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firstLine="640" w:firstLineChars="200"/>
        <w:jc w:val="both"/>
        <w:textAlignment w:val="auto"/>
        <w:outlineLvl w:val="1"/>
        <w:rPr>
          <w:rFonts w:hint="eastAsia" w:ascii="黑体" w:hAnsi="黑体" w:eastAsia="黑体"/>
          <w:color w:val="auto"/>
          <w:sz w:val="32"/>
          <w:szCs w:val="32"/>
          <w:highlight w:val="none"/>
          <w:lang w:eastAsia="zh-CN"/>
        </w:rPr>
      </w:pPr>
      <w:bookmarkStart w:id="39" w:name="_Toc15396605"/>
      <w:bookmarkStart w:id="40" w:name="_Toc15377207"/>
      <w:bookmarkStart w:id="41" w:name="_Toc7878"/>
      <w:bookmarkStart w:id="42" w:name="_Toc17230"/>
      <w:r>
        <w:rPr>
          <w:rFonts w:hint="eastAsia" w:ascii="黑体" w:hAnsi="黑体" w:eastAsia="黑体"/>
          <w:color w:val="auto"/>
          <w:sz w:val="32"/>
          <w:szCs w:val="32"/>
          <w:highlight w:val="none"/>
          <w:lang w:eastAsia="zh-CN"/>
        </w:rPr>
        <w:t>三、支出决算情况说明</w:t>
      </w:r>
      <w:bookmarkEnd w:id="39"/>
      <w:bookmarkEnd w:id="40"/>
      <w:bookmarkEnd w:id="41"/>
      <w:bookmarkEnd w:id="42"/>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eastAsia="仿宋_GB2312" w:cs="仿宋_GB2312"/>
          <w:color w:val="auto"/>
          <w:sz w:val="32"/>
          <w:szCs w:val="32"/>
          <w:highlight w:val="none"/>
          <w:lang w:val="en-US" w:eastAsia="zh-CN"/>
        </w:rPr>
        <w:t>9934.05</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1606.42</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16.17</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8327.63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83.83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pStyle w:val="6"/>
        <w:rPr>
          <w:rFonts w:hint="eastAsia"/>
        </w:rPr>
      </w:pPr>
      <w:r>
        <w:drawing>
          <wp:inline distT="0" distB="0" distL="114300" distR="114300">
            <wp:extent cx="4827905" cy="2703830"/>
            <wp:effectExtent l="4445" t="4445" r="6350" b="15875"/>
            <wp:docPr id="1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9"/>
        <w:rPr>
          <w:rFonts w:ascii="仿宋" w:hAnsi="仿宋" w:eastAsia="仿宋"/>
          <w:b/>
          <w:color w:val="auto"/>
          <w:sz w:val="32"/>
          <w:szCs w:val="32"/>
          <w:highlight w:val="none"/>
        </w:rPr>
      </w:pPr>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（图3：支出决算结构图）（饼状图）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firstLine="640" w:firstLineChars="200"/>
        <w:jc w:val="both"/>
        <w:textAlignment w:val="auto"/>
        <w:outlineLvl w:val="1"/>
        <w:rPr>
          <w:rFonts w:hint="eastAsia" w:ascii="黑体" w:hAnsi="黑体" w:eastAsia="黑体"/>
          <w:color w:val="auto"/>
          <w:sz w:val="32"/>
          <w:szCs w:val="32"/>
          <w:highlight w:val="none"/>
          <w:lang w:eastAsia="zh-CN"/>
        </w:rPr>
      </w:pPr>
      <w:bookmarkStart w:id="43" w:name="_Toc16935"/>
      <w:bookmarkStart w:id="44" w:name="_Toc15377208"/>
      <w:bookmarkStart w:id="45" w:name="_Toc2113"/>
      <w:bookmarkStart w:id="46" w:name="_Toc15396606"/>
      <w:r>
        <w:rPr>
          <w:rFonts w:hint="eastAsia" w:ascii="黑体" w:hAnsi="黑体" w:eastAsia="黑体"/>
          <w:color w:val="auto"/>
          <w:sz w:val="32"/>
          <w:szCs w:val="32"/>
          <w:highlight w:val="none"/>
          <w:lang w:eastAsia="zh-CN"/>
        </w:rPr>
        <w:t>四、财政拨款收入支出决算总体情况说明</w:t>
      </w:r>
      <w:bookmarkEnd w:id="43"/>
      <w:bookmarkEnd w:id="44"/>
      <w:bookmarkEnd w:id="45"/>
      <w:bookmarkEnd w:id="46"/>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年财政拨款收、支总计</w:t>
      </w:r>
      <w:r>
        <w:rPr>
          <w:rFonts w:hint="eastAsia" w:ascii="仿宋_GB2312" w:hAnsi="仿宋_GB2312" w:eastAsia="仿宋_GB2312" w:cs="仿宋_GB2312"/>
          <w:color w:val="auto"/>
          <w:sz w:val="32"/>
          <w:szCs w:val="32"/>
          <w:highlight w:val="none"/>
          <w:lang w:val="en-US" w:eastAsia="zh-CN"/>
        </w:rPr>
        <w:t>9934.05</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年相比，财政拨款收、支总计</w:t>
      </w:r>
      <w:r>
        <w:rPr>
          <w:rFonts w:hint="eastAsia" w:ascii="仿宋_GB2312" w:hAnsi="仿宋_GB2312" w:eastAsia="仿宋_GB2312" w:cs="仿宋_GB2312"/>
          <w:color w:val="auto"/>
          <w:sz w:val="32"/>
          <w:szCs w:val="32"/>
          <w:highlight w:val="none"/>
          <w:lang w:val="en-US" w:eastAsia="zh-CN"/>
        </w:rPr>
        <w:t>增加4905.63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增长97.56</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val="en-US" w:eastAsia="zh-CN"/>
        </w:rPr>
        <w:t>本年度基金预算拨款增加。</w:t>
      </w:r>
    </w:p>
    <w:p>
      <w:pPr>
        <w:pStyle w:val="6"/>
        <w:rPr>
          <w:rFonts w:hint="default"/>
          <w:lang w:val="en-US" w:eastAsia="zh-CN"/>
        </w:rPr>
      </w:pPr>
      <w:r>
        <w:drawing>
          <wp:inline distT="0" distB="0" distL="114300" distR="114300">
            <wp:extent cx="4826000" cy="2743200"/>
            <wp:effectExtent l="4445" t="4445" r="8255" b="14605"/>
            <wp:docPr id="1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bidi w:val="0"/>
        <w:snapToGrid/>
        <w:spacing w:line="576" w:lineRule="exact"/>
        <w:ind w:left="0" w:right="0" w:firstLine="640" w:firstLineChars="200"/>
        <w:jc w:val="both"/>
        <w:textAlignment w:val="auto"/>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keepNext w:val="0"/>
        <w:keepLines w:val="0"/>
        <w:pageBreakBefore w:val="0"/>
        <w:widowControl w:val="0"/>
        <w:kinsoku/>
        <w:wordWrap/>
        <w:overflowPunct/>
        <w:topLinePunct w:val="0"/>
        <w:bidi w:val="0"/>
        <w:snapToGrid/>
        <w:spacing w:line="576" w:lineRule="exact"/>
        <w:ind w:left="0" w:right="0" w:firstLine="640" w:firstLineChars="200"/>
        <w:jc w:val="both"/>
        <w:textAlignment w:val="auto"/>
        <w:outlineLvl w:val="1"/>
        <w:rPr>
          <w:rStyle w:val="18"/>
          <w:rFonts w:ascii="黑体" w:hAnsi="黑体" w:eastAsia="黑体"/>
          <w:b w:val="0"/>
          <w:color w:val="auto"/>
          <w:highlight w:val="none"/>
        </w:rPr>
      </w:pPr>
      <w:bookmarkStart w:id="47" w:name="_Toc15106"/>
      <w:bookmarkStart w:id="48" w:name="_Toc15377209"/>
      <w:bookmarkStart w:id="49" w:name="_Toc15396607"/>
      <w:bookmarkStart w:id="50" w:name="_Toc26216"/>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8"/>
          <w:rFonts w:hint="eastAsia" w:ascii="黑体" w:hAnsi="黑体" w:eastAsia="黑体"/>
          <w:b w:val="0"/>
          <w:color w:val="auto"/>
          <w:highlight w:val="none"/>
        </w:rPr>
        <w:t>般公共预算财政拨款支出决算情况说明</w:t>
      </w:r>
      <w:bookmarkEnd w:id="47"/>
      <w:bookmarkEnd w:id="48"/>
      <w:bookmarkEnd w:id="49"/>
      <w:bookmarkEnd w:id="50"/>
    </w:p>
    <w:p>
      <w:pPr>
        <w:keepNext w:val="0"/>
        <w:keepLines w:val="0"/>
        <w:pageBreakBefore w:val="0"/>
        <w:widowControl w:val="0"/>
        <w:kinsoku/>
        <w:wordWrap/>
        <w:overflowPunct/>
        <w:topLinePunct w:val="0"/>
        <w:bidi w:val="0"/>
        <w:snapToGrid/>
        <w:spacing w:line="576" w:lineRule="exact"/>
        <w:ind w:left="0" w:right="0" w:firstLine="642" w:firstLineChars="200"/>
        <w:jc w:val="both"/>
        <w:textAlignment w:val="auto"/>
        <w:outlineLvl w:val="2"/>
        <w:rPr>
          <w:rFonts w:ascii="仿宋" w:hAnsi="仿宋" w:eastAsia="仿宋"/>
          <w:b/>
          <w:color w:val="auto"/>
          <w:sz w:val="32"/>
          <w:szCs w:val="32"/>
          <w:highlight w:val="none"/>
        </w:rPr>
      </w:pPr>
      <w:bookmarkStart w:id="51" w:name="_Toc15377210"/>
      <w:bookmarkStart w:id="52" w:name="_Toc21666"/>
      <w:r>
        <w:rPr>
          <w:rFonts w:hint="eastAsia" w:ascii="仿宋" w:hAnsi="仿宋" w:eastAsia="仿宋"/>
          <w:b/>
          <w:color w:val="auto"/>
          <w:sz w:val="32"/>
          <w:szCs w:val="32"/>
          <w:highlight w:val="none"/>
        </w:rPr>
        <w:t>（一）一般公共预算财政拨款支出决算总体情况</w:t>
      </w:r>
      <w:bookmarkEnd w:id="51"/>
      <w:bookmarkEnd w:id="52"/>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2211.99</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22.27</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w:t>
      </w:r>
      <w:r>
        <w:rPr>
          <w:rFonts w:hint="eastAsia" w:ascii="仿宋_GB2312" w:hAnsi="仿宋_GB2312" w:eastAsia="仿宋_GB2312" w:cs="仿宋_GB2312"/>
          <w:color w:val="auto"/>
          <w:sz w:val="32"/>
          <w:szCs w:val="32"/>
          <w:highlight w:val="none"/>
          <w:lang w:val="en-US" w:eastAsia="zh-CN"/>
        </w:rPr>
        <w:t>加333.15</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17.73</w:t>
      </w:r>
      <w:r>
        <w:rPr>
          <w:rFonts w:hint="eastAsia" w:ascii="仿宋_GB2312" w:hAnsi="仿宋_GB2312" w:eastAsia="仿宋_GB2312" w:cs="仿宋_GB2312"/>
          <w:color w:val="auto"/>
          <w:sz w:val="32"/>
          <w:szCs w:val="32"/>
          <w:highlight w:val="none"/>
        </w:rPr>
        <w:t>%。主要变动原因</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auto"/>
          <w:sz w:val="32"/>
          <w:szCs w:val="32"/>
          <w:highlight w:val="none"/>
          <w:lang w:val="en-US" w:eastAsia="zh-CN"/>
        </w:rPr>
        <w:t>2023年度基础绩效奖的五险两金纳入预决算；二是增加硅基专班和民宿推介项目工作经费。</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仿宋" w:hAnsi="仿宋" w:eastAsia="仿宋"/>
          <w:color w:val="auto"/>
          <w:sz w:val="32"/>
          <w:szCs w:val="32"/>
          <w:highlight w:val="none"/>
        </w:rPr>
      </w:pPr>
      <w:r>
        <w:drawing>
          <wp:inline distT="0" distB="0" distL="114300" distR="114300">
            <wp:extent cx="4826000" cy="2689860"/>
            <wp:effectExtent l="4445" t="4445" r="8255" b="10795"/>
            <wp:docPr id="1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bidi w:val="0"/>
        <w:snapToGrid/>
        <w:spacing w:line="576" w:lineRule="exact"/>
        <w:ind w:left="0" w:right="0" w:firstLine="640" w:firstLineChars="200"/>
        <w:jc w:val="both"/>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keepNext w:val="0"/>
        <w:keepLines w:val="0"/>
        <w:pageBreakBefore w:val="0"/>
        <w:widowControl w:val="0"/>
        <w:kinsoku/>
        <w:wordWrap/>
        <w:overflowPunct/>
        <w:topLinePunct w:val="0"/>
        <w:bidi w:val="0"/>
        <w:snapToGrid/>
        <w:spacing w:line="576" w:lineRule="exact"/>
        <w:ind w:left="0" w:right="0" w:firstLine="642" w:firstLineChars="200"/>
        <w:jc w:val="both"/>
        <w:textAlignment w:val="auto"/>
        <w:outlineLvl w:val="2"/>
        <w:rPr>
          <w:rFonts w:ascii="仿宋" w:hAnsi="仿宋" w:eastAsia="仿宋"/>
          <w:b/>
          <w:color w:val="auto"/>
          <w:sz w:val="32"/>
          <w:szCs w:val="32"/>
          <w:highlight w:val="none"/>
        </w:rPr>
      </w:pPr>
      <w:bookmarkStart w:id="53" w:name="_Toc213"/>
      <w:bookmarkStart w:id="54" w:name="_Toc15377211"/>
      <w:r>
        <w:rPr>
          <w:rFonts w:hint="eastAsia" w:ascii="仿宋" w:hAnsi="仿宋" w:eastAsia="仿宋"/>
          <w:b/>
          <w:color w:val="auto"/>
          <w:sz w:val="32"/>
          <w:szCs w:val="32"/>
          <w:highlight w:val="none"/>
        </w:rPr>
        <w:t>（二）一般公共预算财政拨款支出决算结构情况</w:t>
      </w:r>
      <w:bookmarkEnd w:id="53"/>
      <w:bookmarkEnd w:id="54"/>
    </w:p>
    <w:p>
      <w:pPr>
        <w:keepNext w:val="0"/>
        <w:keepLines w:val="0"/>
        <w:pageBreakBefore w:val="0"/>
        <w:widowControl w:val="0"/>
        <w:kinsoku/>
        <w:wordWrap/>
        <w:overflowPunct/>
        <w:topLinePunct w:val="0"/>
        <w:bidi w:val="0"/>
        <w:snapToGrid/>
        <w:spacing w:line="576" w:lineRule="exact"/>
        <w:ind w:left="0" w:right="0" w:firstLine="64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2211.99</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color w:val="auto"/>
          <w:sz w:val="32"/>
          <w:szCs w:val="32"/>
          <w:highlight w:val="none"/>
        </w:rPr>
        <w:t>社会保障和就业</w:t>
      </w:r>
      <w:r>
        <w:rPr>
          <w:rFonts w:hint="eastAsia" w:ascii="仿宋_GB2312" w:hAnsi="仿宋_GB2312" w:eastAsia="仿宋_GB2312" w:cs="仿宋_GB2312"/>
          <w:b/>
          <w:bCs/>
          <w:color w:val="auto"/>
          <w:sz w:val="32"/>
          <w:szCs w:val="32"/>
          <w:highlight w:val="none"/>
        </w:rPr>
        <w:t>支出</w:t>
      </w:r>
      <w:r>
        <w:rPr>
          <w:rFonts w:hint="eastAsia" w:ascii="仿宋_GB2312" w:hAnsi="仿宋_GB2312" w:eastAsia="仿宋_GB2312" w:cs="仿宋_GB2312"/>
          <w:b/>
          <w:bCs/>
          <w:color w:val="auto"/>
          <w:sz w:val="32"/>
          <w:szCs w:val="32"/>
          <w:highlight w:val="none"/>
          <w:lang w:val="en-US" w:eastAsia="zh-CN"/>
        </w:rPr>
        <w:t>277.28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12.54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eastAsia="仿宋_GB2312" w:cs="仿宋_GB2312"/>
          <w:b/>
          <w:bCs/>
          <w:color w:val="auto"/>
          <w:sz w:val="32"/>
          <w:szCs w:val="32"/>
          <w:highlight w:val="none"/>
          <w:lang w:val="en-US" w:eastAsia="zh-CN"/>
        </w:rPr>
        <w:t>55.28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节能环保支出13.73</w:t>
      </w:r>
      <w:r>
        <w:rPr>
          <w:rFonts w:hint="eastAsia" w:ascii="仿宋_GB2312" w:hAnsi="仿宋_GB2312" w:eastAsia="仿宋_GB2312" w:cs="仿宋_GB2312"/>
          <w:color w:val="auto"/>
          <w:sz w:val="32"/>
          <w:szCs w:val="32"/>
          <w:highlight w:val="none"/>
          <w:lang w:val="en-US" w:eastAsia="zh-CN"/>
        </w:rPr>
        <w:t>万元，占0.62%；</w:t>
      </w:r>
      <w:r>
        <w:rPr>
          <w:rFonts w:hint="eastAsia" w:ascii="仿宋_GB2312" w:hAnsi="仿宋_GB2312" w:eastAsia="仿宋_GB2312" w:cs="仿宋_GB2312"/>
          <w:b/>
          <w:color w:val="auto"/>
          <w:sz w:val="32"/>
          <w:szCs w:val="32"/>
          <w:highlight w:val="none"/>
          <w:lang w:val="en-US" w:eastAsia="zh-CN"/>
        </w:rPr>
        <w:t>自</w:t>
      </w:r>
      <w:r>
        <w:rPr>
          <w:rFonts w:hint="eastAsia" w:ascii="仿宋_GB2312" w:hAnsi="仿宋_GB2312" w:eastAsia="仿宋_GB2312" w:cs="仿宋_GB2312"/>
          <w:b/>
          <w:bCs/>
          <w:color w:val="auto"/>
          <w:sz w:val="32"/>
          <w:szCs w:val="32"/>
          <w:highlight w:val="none"/>
          <w:lang w:val="en-US" w:eastAsia="zh-CN"/>
        </w:rPr>
        <w:t>然资源海洋气象等支出1745.29</w:t>
      </w:r>
      <w:r>
        <w:rPr>
          <w:rFonts w:hint="eastAsia" w:ascii="仿宋_GB2312" w:hAnsi="仿宋_GB2312" w:eastAsia="仿宋_GB2312" w:cs="仿宋_GB2312"/>
          <w:color w:val="auto"/>
          <w:sz w:val="32"/>
          <w:szCs w:val="32"/>
          <w:highlight w:val="none"/>
          <w:lang w:val="en-US" w:eastAsia="zh-CN"/>
        </w:rPr>
        <w:t>万元，占78.9%；</w:t>
      </w:r>
      <w:r>
        <w:rPr>
          <w:rFonts w:hint="eastAsia" w:ascii="仿宋_GB2312" w:hAnsi="仿宋_GB2312" w:eastAsia="仿宋_GB2312" w:cs="仿宋_GB2312"/>
          <w:b/>
          <w:bCs/>
          <w:color w:val="auto"/>
          <w:sz w:val="32"/>
          <w:szCs w:val="32"/>
          <w:highlight w:val="none"/>
        </w:rPr>
        <w:t>住房保障支出</w:t>
      </w:r>
      <w:r>
        <w:rPr>
          <w:rFonts w:hint="eastAsia" w:ascii="仿宋_GB2312" w:hAnsi="仿宋_GB2312" w:eastAsia="仿宋_GB2312" w:cs="仿宋_GB2312"/>
          <w:b/>
          <w:bCs/>
          <w:color w:val="auto"/>
          <w:sz w:val="32"/>
          <w:szCs w:val="32"/>
          <w:highlight w:val="none"/>
          <w:lang w:val="en-US" w:eastAsia="zh-CN"/>
        </w:rPr>
        <w:t>120.41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5.44</w:t>
      </w:r>
      <w:r>
        <w:rPr>
          <w:rFonts w:hint="eastAsia" w:ascii="仿宋_GB2312" w:hAnsi="仿宋_GB2312" w:eastAsia="仿宋_GB2312" w:cs="仿宋_GB2312"/>
          <w:color w:val="auto"/>
          <w:sz w:val="32"/>
          <w:szCs w:val="32"/>
          <w:highlight w:val="none"/>
        </w:rPr>
        <w:t>%。</w:t>
      </w:r>
    </w:p>
    <w:p>
      <w:pPr>
        <w:pStyle w:val="6"/>
        <w:rPr>
          <w:rFonts w:hint="eastAsia"/>
        </w:rPr>
      </w:pPr>
      <w:r>
        <w:drawing>
          <wp:inline distT="0" distB="0" distL="114300" distR="114300">
            <wp:extent cx="4828540" cy="2830195"/>
            <wp:effectExtent l="4445" t="4445" r="5715" b="22860"/>
            <wp:docPr id="16"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bidi w:val="0"/>
        <w:snapToGrid/>
        <w:spacing w:line="576"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（图6：一般公共预算财政拨款支出决算结构）（饼状图）</w:t>
      </w:r>
    </w:p>
    <w:p>
      <w:pPr>
        <w:keepNext w:val="0"/>
        <w:keepLines w:val="0"/>
        <w:pageBreakBefore w:val="0"/>
        <w:widowControl w:val="0"/>
        <w:kinsoku/>
        <w:wordWrap/>
        <w:overflowPunct/>
        <w:topLinePunct w:val="0"/>
        <w:bidi w:val="0"/>
        <w:snapToGrid/>
        <w:spacing w:line="576" w:lineRule="exact"/>
        <w:ind w:left="0" w:right="0" w:firstLine="642" w:firstLineChars="200"/>
        <w:jc w:val="both"/>
        <w:textAlignment w:val="auto"/>
        <w:outlineLvl w:val="2"/>
        <w:rPr>
          <w:rFonts w:hint="eastAsia" w:ascii="楷体_GB2312" w:hAnsi="楷体_GB2312" w:eastAsia="楷体_GB2312" w:cs="楷体_GB2312"/>
          <w:b/>
          <w:bCs w:val="0"/>
          <w:color w:val="auto"/>
          <w:sz w:val="32"/>
          <w:szCs w:val="32"/>
          <w:highlight w:val="none"/>
        </w:rPr>
      </w:pPr>
      <w:bookmarkStart w:id="55" w:name="_Toc15377212"/>
      <w:bookmarkStart w:id="56" w:name="_Toc9416"/>
      <w:r>
        <w:rPr>
          <w:rFonts w:hint="eastAsia" w:ascii="楷体_GB2312" w:hAnsi="楷体_GB2312" w:eastAsia="楷体_GB2312" w:cs="楷体_GB2312"/>
          <w:b/>
          <w:bCs w:val="0"/>
          <w:color w:val="auto"/>
          <w:sz w:val="32"/>
          <w:szCs w:val="32"/>
          <w:highlight w:val="none"/>
        </w:rPr>
        <w:t>（三）一般公共预算财政拨款支出决算具体情况</w:t>
      </w:r>
      <w:bookmarkEnd w:id="55"/>
      <w:bookmarkEnd w:id="56"/>
    </w:p>
    <w:p>
      <w:pPr>
        <w:keepNext w:val="0"/>
        <w:keepLines w:val="0"/>
        <w:pageBreakBefore w:val="0"/>
        <w:widowControl w:val="0"/>
        <w:kinsoku/>
        <w:wordWrap/>
        <w:overflowPunct/>
        <w:topLinePunct w:val="0"/>
        <w:bidi w:val="0"/>
        <w:snapToGrid/>
        <w:spacing w:line="576" w:lineRule="exact"/>
        <w:ind w:left="0" w:right="0" w:firstLine="642" w:firstLineChars="200"/>
        <w:jc w:val="both"/>
        <w:textAlignment w:val="auto"/>
        <w:outlineLvl w:val="1"/>
        <w:rPr>
          <w:rStyle w:val="15"/>
          <w:rFonts w:hint="eastAsia" w:ascii="仿宋_GB2312" w:hAnsi="仿宋_GB2312" w:eastAsia="仿宋_GB2312" w:cs="仿宋_GB2312"/>
          <w:bCs/>
          <w:color w:val="auto"/>
          <w:sz w:val="32"/>
          <w:szCs w:val="32"/>
          <w:highlight w:val="none"/>
        </w:rPr>
      </w:pPr>
      <w:bookmarkStart w:id="57" w:name="_Toc22459"/>
      <w:bookmarkStart w:id="58" w:name="_Toc15378460"/>
      <w:bookmarkStart w:id="59" w:name="_Toc6700"/>
      <w:bookmarkStart w:id="60" w:name="_Toc15377444"/>
      <w:bookmarkStart w:id="61" w:name="_Toc15377213"/>
      <w:r>
        <w:rPr>
          <w:rFonts w:hint="eastAsia" w:ascii="仿宋_GB2312" w:hAnsi="仿宋_GB2312" w:eastAsia="仿宋_GB2312" w:cs="仿宋_GB2312"/>
          <w:b/>
          <w:color w:val="auto"/>
          <w:sz w:val="32"/>
          <w:szCs w:val="32"/>
          <w:highlight w:val="none"/>
        </w:rPr>
        <w:t>20</w:t>
      </w:r>
      <w:r>
        <w:rPr>
          <w:rFonts w:hint="eastAsia" w:ascii="仿宋_GB2312" w:hAnsi="仿宋_GB2312" w:eastAsia="仿宋_GB2312" w:cs="仿宋_GB2312"/>
          <w:b/>
          <w:color w:val="auto"/>
          <w:sz w:val="32"/>
          <w:szCs w:val="32"/>
          <w:highlight w:val="none"/>
          <w:lang w:val="en-US" w:eastAsia="zh-CN"/>
        </w:rPr>
        <w:t>23</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eastAsia="仿宋_GB2312" w:cs="仿宋_GB2312"/>
          <w:b/>
          <w:color w:val="auto"/>
          <w:sz w:val="32"/>
          <w:szCs w:val="32"/>
          <w:highlight w:val="none"/>
          <w:lang w:val="en-US" w:eastAsia="zh-CN"/>
        </w:rPr>
        <w:t>2211.99万元</w:t>
      </w:r>
      <w:r>
        <w:rPr>
          <w:rFonts w:hint="eastAsia" w:ascii="仿宋_GB2312" w:hAnsi="仿宋_GB2312" w:eastAsia="仿宋_GB2312" w:cs="仿宋_GB2312"/>
          <w:color w:val="auto"/>
          <w:sz w:val="32"/>
          <w:szCs w:val="32"/>
          <w:highlight w:val="none"/>
        </w:rPr>
        <w:t>，</w:t>
      </w:r>
      <w:r>
        <w:rPr>
          <w:rStyle w:val="15"/>
          <w:rFonts w:hint="eastAsia" w:ascii="仿宋_GB2312" w:hAnsi="仿宋_GB2312" w:eastAsia="仿宋_GB2312" w:cs="仿宋_GB2312"/>
          <w:bCs/>
          <w:color w:val="auto"/>
          <w:sz w:val="32"/>
          <w:szCs w:val="32"/>
          <w:highlight w:val="none"/>
        </w:rPr>
        <w:t>完成预算</w:t>
      </w:r>
      <w:r>
        <w:rPr>
          <w:rStyle w:val="15"/>
          <w:rFonts w:hint="eastAsia" w:ascii="仿宋_GB2312" w:hAnsi="仿宋_GB2312" w:eastAsia="仿宋_GB2312" w:cs="仿宋_GB2312"/>
          <w:bCs/>
          <w:color w:val="auto"/>
          <w:sz w:val="32"/>
          <w:szCs w:val="32"/>
          <w:highlight w:val="none"/>
          <w:lang w:val="en-US" w:eastAsia="zh-CN"/>
        </w:rPr>
        <w:t>100</w:t>
      </w:r>
      <w:r>
        <w:rPr>
          <w:rStyle w:val="15"/>
          <w:rFonts w:hint="eastAsia" w:ascii="仿宋_GB2312" w:hAnsi="仿宋_GB2312" w:eastAsia="仿宋_GB2312" w:cs="仿宋_GB2312"/>
          <w:bCs/>
          <w:color w:val="auto"/>
          <w:sz w:val="32"/>
          <w:szCs w:val="32"/>
          <w:highlight w:val="none"/>
        </w:rPr>
        <w:t>%。其中：</w:t>
      </w:r>
      <w:bookmarkEnd w:id="57"/>
      <w:bookmarkEnd w:id="58"/>
      <w:bookmarkEnd w:id="59"/>
      <w:bookmarkEnd w:id="60"/>
      <w:bookmarkEnd w:id="61"/>
    </w:p>
    <w:p>
      <w:pPr>
        <w:keepNext w:val="0"/>
        <w:keepLines w:val="0"/>
        <w:pageBreakBefore w:val="0"/>
        <w:widowControl w:val="0"/>
        <w:shd w:val="clear"/>
        <w:kinsoku/>
        <w:wordWrap/>
        <w:overflowPunct/>
        <w:topLinePunct w:val="0"/>
        <w:bidi w:val="0"/>
        <w:snapToGrid/>
        <w:spacing w:line="576" w:lineRule="exact"/>
        <w:ind w:left="0" w:leftChars="0" w:right="0" w:firstLine="642" w:firstLineChars="200"/>
        <w:jc w:val="both"/>
        <w:textAlignment w:val="auto"/>
        <w:rPr>
          <w:rFonts w:hint="eastAsia" w:ascii="仿宋_GB2312" w:hAnsi="仿宋_GB2312" w:eastAsia="仿宋_GB2312" w:cs="仿宋_GB2312"/>
          <w:b/>
          <w:color w:val="auto"/>
          <w:sz w:val="32"/>
          <w:szCs w:val="32"/>
          <w:highlight w:val="none"/>
          <w:lang w:eastAsia="zh-CN"/>
        </w:rPr>
      </w:pPr>
      <w:r>
        <w:rPr>
          <w:rStyle w:val="15"/>
          <w:rFonts w:hint="eastAsia" w:ascii="仿宋_GB2312" w:hAnsi="仿宋_GB2312" w:eastAsia="仿宋_GB2312" w:cs="仿宋_GB2312"/>
          <w:bCs/>
          <w:color w:val="auto"/>
          <w:sz w:val="32"/>
          <w:szCs w:val="32"/>
          <w:highlight w:val="none"/>
        </w:rPr>
        <w:t>1.</w:t>
      </w:r>
      <w:r>
        <w:rPr>
          <w:rStyle w:val="15"/>
          <w:rFonts w:hint="eastAsia" w:ascii="仿宋_GB2312" w:hAnsi="仿宋_GB2312" w:eastAsia="仿宋_GB2312" w:cs="仿宋_GB2312"/>
          <w:bCs/>
          <w:color w:val="auto"/>
          <w:sz w:val="32"/>
          <w:szCs w:val="32"/>
          <w:highlight w:val="none"/>
          <w:lang w:val="en-US" w:eastAsia="zh-CN"/>
        </w:rPr>
        <w:t>社会保障和就业支出</w:t>
      </w:r>
      <w:r>
        <w:rPr>
          <w:rStyle w:val="15"/>
          <w:rFonts w:hint="eastAsia" w:ascii="仿宋_GB2312" w:hAnsi="仿宋_GB2312" w:eastAsia="仿宋_GB2312" w:cs="仿宋_GB2312"/>
          <w:bCs/>
          <w:color w:val="auto"/>
          <w:sz w:val="32"/>
          <w:szCs w:val="32"/>
          <w:highlight w:val="none"/>
        </w:rPr>
        <w:t>（类）</w:t>
      </w:r>
      <w:r>
        <w:rPr>
          <w:rStyle w:val="15"/>
          <w:rFonts w:hint="eastAsia" w:ascii="仿宋_GB2312" w:hAnsi="仿宋_GB2312" w:eastAsia="仿宋_GB2312" w:cs="仿宋_GB2312"/>
          <w:bCs/>
          <w:color w:val="auto"/>
          <w:sz w:val="32"/>
          <w:szCs w:val="32"/>
          <w:highlight w:val="none"/>
          <w:lang w:val="en-US" w:eastAsia="zh-CN"/>
        </w:rPr>
        <w:t>人力资源和社会保障管理事务</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val="en-US" w:eastAsia="zh-CN"/>
        </w:rPr>
        <w:t>引进人才费用</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32.85</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p>
    <w:p>
      <w:pPr>
        <w:pStyle w:val="6"/>
        <w:rPr>
          <w:rFonts w:hint="eastAsia"/>
        </w:rPr>
      </w:pPr>
    </w:p>
    <w:p>
      <w:pPr>
        <w:keepNext w:val="0"/>
        <w:keepLines w:val="0"/>
        <w:pageBreakBefore w:val="0"/>
        <w:widowControl w:val="0"/>
        <w:shd w:val="clear"/>
        <w:kinsoku/>
        <w:wordWrap/>
        <w:overflowPunct/>
        <w:topLinePunct w:val="0"/>
        <w:bidi w:val="0"/>
        <w:snapToGrid/>
        <w:spacing w:line="576" w:lineRule="exact"/>
        <w:ind w:left="0" w:leftChars="0" w:right="0" w:firstLine="642" w:firstLineChars="200"/>
        <w:jc w:val="both"/>
        <w:textAlignment w:val="auto"/>
        <w:rPr>
          <w:rFonts w:hint="eastAsia" w:ascii="仿宋_GB2312" w:hAnsi="仿宋_GB2312" w:eastAsia="仿宋_GB2312" w:cs="仿宋_GB2312"/>
          <w:b/>
          <w:color w:val="auto"/>
          <w:sz w:val="32"/>
          <w:szCs w:val="32"/>
          <w:highlight w:val="none"/>
          <w:lang w:eastAsia="zh-CN"/>
        </w:rPr>
      </w:pPr>
      <w:r>
        <w:rPr>
          <w:rStyle w:val="15"/>
          <w:rFonts w:hint="eastAsia" w:ascii="仿宋_GB2312" w:hAnsi="仿宋_GB2312" w:eastAsia="仿宋_GB2312" w:cs="仿宋_GB2312"/>
          <w:bCs/>
          <w:color w:val="auto"/>
          <w:sz w:val="32"/>
          <w:szCs w:val="32"/>
          <w:highlight w:val="none"/>
          <w:lang w:val="en-US" w:eastAsia="zh-CN"/>
        </w:rPr>
        <w:t>2</w:t>
      </w:r>
      <w:r>
        <w:rPr>
          <w:rStyle w:val="15"/>
          <w:rFonts w:hint="eastAsia" w:ascii="仿宋_GB2312" w:hAnsi="仿宋_GB2312" w:eastAsia="仿宋_GB2312" w:cs="仿宋_GB2312"/>
          <w:bCs/>
          <w:color w:val="auto"/>
          <w:sz w:val="32"/>
          <w:szCs w:val="32"/>
          <w:highlight w:val="none"/>
        </w:rPr>
        <w:t>.</w:t>
      </w:r>
      <w:r>
        <w:rPr>
          <w:rStyle w:val="15"/>
          <w:rFonts w:hint="eastAsia" w:ascii="仿宋_GB2312" w:hAnsi="仿宋_GB2312" w:eastAsia="仿宋_GB2312" w:cs="仿宋_GB2312"/>
          <w:bCs/>
          <w:color w:val="auto"/>
          <w:sz w:val="32"/>
          <w:szCs w:val="32"/>
          <w:highlight w:val="none"/>
          <w:lang w:val="en-US" w:eastAsia="zh-CN"/>
        </w:rPr>
        <w:t>社会保障和就业支出</w:t>
      </w:r>
      <w:r>
        <w:rPr>
          <w:rStyle w:val="15"/>
          <w:rFonts w:hint="eastAsia" w:ascii="仿宋_GB2312" w:hAnsi="仿宋_GB2312" w:eastAsia="仿宋_GB2312" w:cs="仿宋_GB2312"/>
          <w:bCs/>
          <w:color w:val="auto"/>
          <w:sz w:val="32"/>
          <w:szCs w:val="32"/>
          <w:highlight w:val="none"/>
        </w:rPr>
        <w:t>（类）</w:t>
      </w:r>
      <w:r>
        <w:rPr>
          <w:rStyle w:val="15"/>
          <w:rFonts w:hint="eastAsia" w:ascii="仿宋_GB2312" w:hAnsi="仿宋_GB2312" w:eastAsia="仿宋_GB2312" w:cs="仿宋_GB2312"/>
          <w:bCs/>
          <w:color w:val="auto"/>
          <w:sz w:val="32"/>
          <w:szCs w:val="32"/>
          <w:highlight w:val="none"/>
          <w:lang w:val="en-US" w:eastAsia="zh-CN"/>
        </w:rPr>
        <w:t>人力资源和社会保障管理事务</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val="en-US" w:eastAsia="zh-CN"/>
        </w:rPr>
        <w:t>其他人力资源和社会保障管理事务支出</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15</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shd w:val="clear"/>
        <w:kinsoku/>
        <w:wordWrap/>
        <w:overflowPunct/>
        <w:topLinePunct w:val="0"/>
        <w:bidi w:val="0"/>
        <w:snapToGrid/>
        <w:spacing w:line="576" w:lineRule="exact"/>
        <w:ind w:left="0" w:leftChars="0" w:right="0" w:firstLine="642" w:firstLineChars="200"/>
        <w:jc w:val="both"/>
        <w:textAlignment w:val="auto"/>
        <w:rPr>
          <w:rFonts w:hint="eastAsia" w:ascii="仿宋_GB2312" w:hAnsi="仿宋_GB2312" w:eastAsia="仿宋_GB2312" w:cs="仿宋_GB2312"/>
          <w:b/>
          <w:color w:val="auto"/>
          <w:sz w:val="32"/>
          <w:szCs w:val="32"/>
          <w:highlight w:val="none"/>
        </w:rPr>
      </w:pPr>
      <w:r>
        <w:rPr>
          <w:rStyle w:val="15"/>
          <w:rFonts w:hint="eastAsia" w:ascii="仿宋_GB2312" w:hAnsi="仿宋_GB2312" w:eastAsia="仿宋_GB2312" w:cs="仿宋_GB2312"/>
          <w:bCs/>
          <w:color w:val="auto"/>
          <w:sz w:val="32"/>
          <w:szCs w:val="32"/>
          <w:highlight w:val="none"/>
          <w:lang w:val="en-US" w:eastAsia="zh-CN"/>
        </w:rPr>
        <w:t>3</w:t>
      </w:r>
      <w:r>
        <w:rPr>
          <w:rStyle w:val="15"/>
          <w:rFonts w:hint="eastAsia" w:ascii="仿宋_GB2312" w:hAnsi="仿宋_GB2312" w:eastAsia="仿宋_GB2312" w:cs="仿宋_GB2312"/>
          <w:bCs/>
          <w:color w:val="auto"/>
          <w:sz w:val="32"/>
          <w:szCs w:val="32"/>
          <w:highlight w:val="none"/>
        </w:rPr>
        <w:t>.</w:t>
      </w:r>
      <w:r>
        <w:rPr>
          <w:rStyle w:val="15"/>
          <w:rFonts w:hint="eastAsia" w:ascii="仿宋_GB2312" w:hAnsi="仿宋_GB2312" w:eastAsia="仿宋_GB2312" w:cs="仿宋_GB2312"/>
          <w:bCs/>
          <w:color w:val="auto"/>
          <w:sz w:val="32"/>
          <w:szCs w:val="32"/>
          <w:highlight w:val="none"/>
          <w:lang w:val="en-US" w:eastAsia="zh-CN"/>
        </w:rPr>
        <w:t>社会保障和就业支出</w:t>
      </w:r>
      <w:r>
        <w:rPr>
          <w:rStyle w:val="15"/>
          <w:rFonts w:hint="eastAsia" w:ascii="仿宋_GB2312" w:hAnsi="仿宋_GB2312" w:eastAsia="仿宋_GB2312" w:cs="仿宋_GB2312"/>
          <w:bCs/>
          <w:color w:val="auto"/>
          <w:sz w:val="32"/>
          <w:szCs w:val="32"/>
          <w:highlight w:val="none"/>
        </w:rPr>
        <w:t>（类）</w:t>
      </w:r>
      <w:r>
        <w:rPr>
          <w:rStyle w:val="15"/>
          <w:rFonts w:hint="eastAsia" w:ascii="仿宋_GB2312" w:hAnsi="仿宋_GB2312" w:eastAsia="仿宋_GB2312" w:cs="仿宋_GB2312"/>
          <w:bCs/>
          <w:color w:val="auto"/>
          <w:sz w:val="32"/>
          <w:szCs w:val="32"/>
          <w:highlight w:val="none"/>
          <w:lang w:val="en-US" w:eastAsia="zh-CN"/>
        </w:rPr>
        <w:t>行政事业单位养老支出</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val="en-US" w:eastAsia="zh-CN"/>
        </w:rPr>
        <w:t>行政单位离退休</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75.08</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shd w:val="clear"/>
        <w:kinsoku/>
        <w:wordWrap/>
        <w:overflowPunct/>
        <w:topLinePunct w:val="0"/>
        <w:bidi w:val="0"/>
        <w:snapToGrid/>
        <w:spacing w:line="576" w:lineRule="exact"/>
        <w:ind w:left="0" w:leftChars="0" w:right="0" w:firstLine="642" w:firstLineChars="200"/>
        <w:jc w:val="both"/>
        <w:textAlignment w:val="auto"/>
        <w:rPr>
          <w:rFonts w:hint="eastAsia" w:ascii="仿宋_GB2312" w:hAnsi="仿宋_GB2312" w:eastAsia="仿宋_GB2312" w:cs="仿宋_GB2312"/>
          <w:b/>
          <w:color w:val="auto"/>
          <w:sz w:val="32"/>
          <w:szCs w:val="32"/>
          <w:highlight w:val="none"/>
        </w:rPr>
      </w:pPr>
      <w:r>
        <w:rPr>
          <w:rStyle w:val="15"/>
          <w:rFonts w:hint="eastAsia" w:ascii="仿宋_GB2312" w:hAnsi="仿宋_GB2312" w:eastAsia="仿宋_GB2312" w:cs="仿宋_GB2312"/>
          <w:bCs/>
          <w:color w:val="auto"/>
          <w:sz w:val="32"/>
          <w:szCs w:val="32"/>
          <w:highlight w:val="none"/>
          <w:lang w:val="en-US" w:eastAsia="zh-CN"/>
        </w:rPr>
        <w:t>4</w:t>
      </w:r>
      <w:r>
        <w:rPr>
          <w:rStyle w:val="15"/>
          <w:rFonts w:hint="eastAsia" w:ascii="仿宋_GB2312" w:hAnsi="仿宋_GB2312" w:eastAsia="仿宋_GB2312" w:cs="仿宋_GB2312"/>
          <w:bCs/>
          <w:color w:val="auto"/>
          <w:sz w:val="32"/>
          <w:szCs w:val="32"/>
          <w:highlight w:val="none"/>
        </w:rPr>
        <w:t>.</w:t>
      </w:r>
      <w:r>
        <w:rPr>
          <w:rStyle w:val="15"/>
          <w:rFonts w:hint="eastAsia" w:ascii="仿宋_GB2312" w:hAnsi="仿宋_GB2312" w:eastAsia="仿宋_GB2312" w:cs="仿宋_GB2312"/>
          <w:bCs/>
          <w:color w:val="auto"/>
          <w:sz w:val="32"/>
          <w:szCs w:val="32"/>
          <w:highlight w:val="none"/>
          <w:lang w:val="en-US" w:eastAsia="zh-CN"/>
        </w:rPr>
        <w:t>社会保障和就业支出</w:t>
      </w:r>
      <w:r>
        <w:rPr>
          <w:rStyle w:val="15"/>
          <w:rFonts w:hint="eastAsia" w:ascii="仿宋_GB2312" w:hAnsi="仿宋_GB2312" w:eastAsia="仿宋_GB2312" w:cs="仿宋_GB2312"/>
          <w:bCs/>
          <w:color w:val="auto"/>
          <w:sz w:val="32"/>
          <w:szCs w:val="32"/>
          <w:highlight w:val="none"/>
        </w:rPr>
        <w:t>（类）</w:t>
      </w:r>
      <w:r>
        <w:rPr>
          <w:rStyle w:val="15"/>
          <w:rFonts w:hint="eastAsia" w:ascii="仿宋_GB2312" w:hAnsi="仿宋_GB2312" w:eastAsia="仿宋_GB2312" w:cs="仿宋_GB2312"/>
          <w:bCs/>
          <w:color w:val="auto"/>
          <w:sz w:val="32"/>
          <w:szCs w:val="32"/>
          <w:highlight w:val="none"/>
          <w:lang w:val="en-US" w:eastAsia="zh-CN"/>
        </w:rPr>
        <w:t>行政事业单位养老支出</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val="en-US" w:eastAsia="zh-CN"/>
        </w:rPr>
        <w:t>机关事业单位基本养老保险支出</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138.68</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shd w:val="clear"/>
        <w:kinsoku/>
        <w:wordWrap/>
        <w:overflowPunct/>
        <w:topLinePunct w:val="0"/>
        <w:bidi w:val="0"/>
        <w:snapToGrid/>
        <w:spacing w:line="576" w:lineRule="exact"/>
        <w:ind w:left="0" w:leftChars="0" w:right="0" w:firstLine="642" w:firstLineChars="200"/>
        <w:jc w:val="both"/>
        <w:textAlignment w:val="auto"/>
        <w:rPr>
          <w:rFonts w:hint="eastAsia" w:ascii="仿宋_GB2312" w:hAnsi="仿宋_GB2312" w:eastAsia="仿宋_GB2312" w:cs="仿宋_GB2312"/>
          <w:b/>
          <w:color w:val="auto"/>
          <w:sz w:val="32"/>
          <w:szCs w:val="32"/>
          <w:highlight w:val="none"/>
        </w:rPr>
      </w:pPr>
      <w:r>
        <w:rPr>
          <w:rStyle w:val="15"/>
          <w:rFonts w:hint="eastAsia" w:ascii="仿宋_GB2312" w:hAnsi="仿宋_GB2312" w:eastAsia="仿宋_GB2312" w:cs="仿宋_GB2312"/>
          <w:bCs/>
          <w:color w:val="auto"/>
          <w:sz w:val="32"/>
          <w:szCs w:val="32"/>
          <w:highlight w:val="none"/>
          <w:lang w:val="en-US" w:eastAsia="zh-CN"/>
        </w:rPr>
        <w:t>5</w:t>
      </w:r>
      <w:r>
        <w:rPr>
          <w:rStyle w:val="15"/>
          <w:rFonts w:hint="eastAsia" w:ascii="仿宋_GB2312" w:hAnsi="仿宋_GB2312" w:eastAsia="仿宋_GB2312" w:cs="仿宋_GB2312"/>
          <w:bCs/>
          <w:color w:val="auto"/>
          <w:sz w:val="32"/>
          <w:szCs w:val="32"/>
          <w:highlight w:val="none"/>
        </w:rPr>
        <w:t>.</w:t>
      </w:r>
      <w:r>
        <w:rPr>
          <w:rStyle w:val="15"/>
          <w:rFonts w:hint="eastAsia" w:ascii="仿宋_GB2312" w:hAnsi="仿宋_GB2312" w:eastAsia="仿宋_GB2312" w:cs="仿宋_GB2312"/>
          <w:bCs/>
          <w:color w:val="auto"/>
          <w:sz w:val="32"/>
          <w:szCs w:val="32"/>
          <w:highlight w:val="none"/>
          <w:lang w:val="en-US" w:eastAsia="zh-CN"/>
        </w:rPr>
        <w:t>社会保障和就业支出</w:t>
      </w:r>
      <w:r>
        <w:rPr>
          <w:rStyle w:val="15"/>
          <w:rFonts w:hint="eastAsia" w:ascii="仿宋_GB2312" w:hAnsi="仿宋_GB2312" w:eastAsia="仿宋_GB2312" w:cs="仿宋_GB2312"/>
          <w:bCs/>
          <w:color w:val="auto"/>
          <w:sz w:val="32"/>
          <w:szCs w:val="32"/>
          <w:highlight w:val="none"/>
        </w:rPr>
        <w:t>（类）</w:t>
      </w:r>
      <w:r>
        <w:rPr>
          <w:rStyle w:val="15"/>
          <w:rFonts w:hint="eastAsia" w:ascii="仿宋_GB2312" w:hAnsi="仿宋_GB2312" w:eastAsia="仿宋_GB2312" w:cs="仿宋_GB2312"/>
          <w:bCs/>
          <w:color w:val="auto"/>
          <w:sz w:val="32"/>
          <w:szCs w:val="32"/>
          <w:highlight w:val="none"/>
          <w:lang w:val="en-US" w:eastAsia="zh-CN"/>
        </w:rPr>
        <w:t>行政事业单位养老支出</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val="en-US" w:eastAsia="zh-CN"/>
        </w:rPr>
        <w:t>机关事业单位职业年金缴费支出</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15.67</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shd w:val="clear"/>
        <w:kinsoku/>
        <w:wordWrap/>
        <w:overflowPunct/>
        <w:topLinePunct w:val="0"/>
        <w:bidi w:val="0"/>
        <w:snapToGrid/>
        <w:spacing w:line="576" w:lineRule="exact"/>
        <w:ind w:left="0" w:leftChars="0" w:right="0" w:firstLine="642" w:firstLineChars="200"/>
        <w:jc w:val="both"/>
        <w:textAlignment w:val="auto"/>
        <w:rPr>
          <w:rStyle w:val="15"/>
          <w:rFonts w:hint="eastAsia" w:ascii="仿宋_GB2312" w:hAnsi="仿宋_GB2312" w:eastAsia="仿宋_GB2312" w:cs="仿宋_GB2312"/>
          <w:b w:val="0"/>
          <w:bCs/>
          <w:color w:val="auto"/>
          <w:sz w:val="32"/>
          <w:szCs w:val="32"/>
          <w:highlight w:val="none"/>
          <w:lang w:eastAsia="zh-CN"/>
        </w:rPr>
      </w:pPr>
      <w:r>
        <w:rPr>
          <w:rStyle w:val="15"/>
          <w:rFonts w:hint="eastAsia" w:ascii="仿宋_GB2312" w:hAnsi="仿宋_GB2312" w:eastAsia="仿宋_GB2312" w:cs="仿宋_GB2312"/>
          <w:bCs/>
          <w:color w:val="auto"/>
          <w:sz w:val="32"/>
          <w:szCs w:val="32"/>
          <w:highlight w:val="none"/>
          <w:lang w:val="en-US" w:eastAsia="zh-CN"/>
        </w:rPr>
        <w:t>6</w:t>
      </w:r>
      <w:r>
        <w:rPr>
          <w:rStyle w:val="15"/>
          <w:rFonts w:hint="eastAsia" w:ascii="仿宋_GB2312" w:hAnsi="仿宋_GB2312" w:eastAsia="仿宋_GB2312" w:cs="仿宋_GB2312"/>
          <w:bCs/>
          <w:color w:val="auto"/>
          <w:sz w:val="32"/>
          <w:szCs w:val="32"/>
          <w:highlight w:val="none"/>
        </w:rPr>
        <w:t>.</w:t>
      </w:r>
      <w:r>
        <w:rPr>
          <w:rStyle w:val="15"/>
          <w:rFonts w:hint="eastAsia" w:ascii="仿宋_GB2312" w:hAnsi="仿宋_GB2312" w:eastAsia="仿宋_GB2312" w:cs="仿宋_GB2312"/>
          <w:bCs/>
          <w:color w:val="auto"/>
          <w:sz w:val="32"/>
          <w:szCs w:val="32"/>
          <w:highlight w:val="none"/>
          <w:lang w:val="en-US" w:eastAsia="zh-CN"/>
        </w:rPr>
        <w:t>卫生健康支出</w:t>
      </w:r>
      <w:r>
        <w:rPr>
          <w:rStyle w:val="15"/>
          <w:rFonts w:hint="eastAsia" w:ascii="仿宋_GB2312" w:hAnsi="仿宋_GB2312" w:eastAsia="仿宋_GB2312" w:cs="仿宋_GB2312"/>
          <w:bCs/>
          <w:color w:val="auto"/>
          <w:sz w:val="32"/>
          <w:szCs w:val="32"/>
          <w:highlight w:val="none"/>
        </w:rPr>
        <w:t>（类）</w:t>
      </w:r>
      <w:r>
        <w:rPr>
          <w:rStyle w:val="15"/>
          <w:rFonts w:hint="eastAsia" w:ascii="仿宋_GB2312" w:hAnsi="仿宋_GB2312" w:eastAsia="仿宋_GB2312" w:cs="仿宋_GB2312"/>
          <w:bCs/>
          <w:color w:val="auto"/>
          <w:sz w:val="32"/>
          <w:szCs w:val="32"/>
          <w:highlight w:val="none"/>
          <w:lang w:val="en-US" w:eastAsia="zh-CN"/>
        </w:rPr>
        <w:t>行政事业单位医疗</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val="en-US" w:eastAsia="zh-CN"/>
        </w:rPr>
        <w:t>行政单位医疗</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55.28</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shd w:val="clear"/>
        <w:kinsoku/>
        <w:wordWrap/>
        <w:overflowPunct/>
        <w:topLinePunct w:val="0"/>
        <w:bidi w:val="0"/>
        <w:snapToGrid/>
        <w:spacing w:line="576" w:lineRule="exact"/>
        <w:ind w:left="0" w:leftChars="0" w:right="0" w:firstLine="642" w:firstLineChars="200"/>
        <w:jc w:val="both"/>
        <w:textAlignment w:val="auto"/>
        <w:rPr>
          <w:rStyle w:val="15"/>
          <w:rFonts w:hint="eastAsia" w:ascii="仿宋_GB2312" w:hAnsi="仿宋_GB2312" w:eastAsia="仿宋_GB2312" w:cs="仿宋_GB2312"/>
          <w:b w:val="0"/>
          <w:bCs/>
          <w:color w:val="auto"/>
          <w:sz w:val="32"/>
          <w:szCs w:val="32"/>
          <w:highlight w:val="none"/>
          <w:lang w:eastAsia="zh-CN"/>
        </w:rPr>
      </w:pPr>
      <w:r>
        <w:rPr>
          <w:rStyle w:val="15"/>
          <w:rFonts w:hint="eastAsia" w:ascii="仿宋_GB2312" w:hAnsi="仿宋_GB2312" w:eastAsia="仿宋_GB2312" w:cs="仿宋_GB2312"/>
          <w:bCs/>
          <w:color w:val="auto"/>
          <w:sz w:val="32"/>
          <w:szCs w:val="32"/>
          <w:highlight w:val="none"/>
          <w:lang w:val="en-US" w:eastAsia="zh-CN"/>
        </w:rPr>
        <w:t>7.节能环保支出</w:t>
      </w:r>
      <w:r>
        <w:rPr>
          <w:rStyle w:val="15"/>
          <w:rFonts w:hint="eastAsia" w:ascii="仿宋_GB2312" w:hAnsi="仿宋_GB2312" w:eastAsia="仿宋_GB2312" w:cs="仿宋_GB2312"/>
          <w:bCs/>
          <w:color w:val="auto"/>
          <w:sz w:val="32"/>
          <w:szCs w:val="32"/>
          <w:highlight w:val="none"/>
        </w:rPr>
        <w:t>（类）</w:t>
      </w:r>
      <w:r>
        <w:rPr>
          <w:rStyle w:val="15"/>
          <w:rFonts w:hint="eastAsia" w:ascii="仿宋_GB2312" w:hAnsi="仿宋_GB2312" w:eastAsia="仿宋_GB2312" w:cs="仿宋_GB2312"/>
          <w:bCs/>
          <w:color w:val="auto"/>
          <w:sz w:val="32"/>
          <w:szCs w:val="32"/>
          <w:highlight w:val="none"/>
          <w:lang w:val="en-US" w:eastAsia="zh-CN"/>
        </w:rPr>
        <w:t>自然生态保护</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val="en-US" w:eastAsia="zh-CN"/>
        </w:rPr>
        <w:t>生态保护</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13.73</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50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bidi w:val="0"/>
        <w:snapToGrid/>
        <w:spacing w:line="576" w:lineRule="exact"/>
        <w:ind w:left="0" w:leftChars="0" w:right="0" w:firstLine="642" w:firstLineChars="200"/>
        <w:jc w:val="both"/>
        <w:textAlignment w:val="auto"/>
        <w:rPr>
          <w:rStyle w:val="15"/>
          <w:rFonts w:hint="eastAsia" w:ascii="仿宋_GB2312" w:hAnsi="仿宋_GB2312" w:eastAsia="仿宋_GB2312" w:cs="仿宋_GB2312"/>
          <w:b w:val="0"/>
          <w:bCs/>
          <w:color w:val="auto"/>
          <w:sz w:val="32"/>
          <w:szCs w:val="32"/>
          <w:highlight w:val="none"/>
          <w:lang w:eastAsia="zh-CN"/>
        </w:rPr>
      </w:pPr>
      <w:r>
        <w:rPr>
          <w:rStyle w:val="15"/>
          <w:rFonts w:hint="eastAsia" w:ascii="仿宋_GB2312" w:hAnsi="仿宋_GB2312" w:eastAsia="仿宋_GB2312" w:cs="仿宋_GB2312"/>
          <w:bCs/>
          <w:color w:val="auto"/>
          <w:sz w:val="32"/>
          <w:szCs w:val="32"/>
          <w:highlight w:val="none"/>
          <w:lang w:val="en-US" w:eastAsia="zh-CN"/>
        </w:rPr>
        <w:t>8.自然资源海洋气象等支出</w:t>
      </w:r>
      <w:r>
        <w:rPr>
          <w:rStyle w:val="15"/>
          <w:rFonts w:hint="eastAsia" w:ascii="仿宋_GB2312" w:hAnsi="仿宋_GB2312" w:eastAsia="仿宋_GB2312" w:cs="仿宋_GB2312"/>
          <w:bCs/>
          <w:color w:val="auto"/>
          <w:sz w:val="32"/>
          <w:szCs w:val="32"/>
          <w:highlight w:val="none"/>
        </w:rPr>
        <w:t>（类）</w:t>
      </w:r>
      <w:r>
        <w:rPr>
          <w:rStyle w:val="15"/>
          <w:rFonts w:hint="eastAsia" w:ascii="仿宋_GB2312" w:hAnsi="仿宋_GB2312" w:eastAsia="仿宋_GB2312" w:cs="仿宋_GB2312"/>
          <w:bCs/>
          <w:color w:val="auto"/>
          <w:sz w:val="32"/>
          <w:szCs w:val="32"/>
          <w:highlight w:val="none"/>
          <w:lang w:val="en-US" w:eastAsia="zh-CN"/>
        </w:rPr>
        <w:t>自然资源事务</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val="en-US" w:eastAsia="zh-CN"/>
        </w:rPr>
        <w:t>行政运行</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1153.45</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bidi w:val="0"/>
        <w:snapToGrid/>
        <w:spacing w:line="576" w:lineRule="exact"/>
        <w:ind w:left="0" w:leftChars="0" w:right="0" w:firstLine="642" w:firstLineChars="200"/>
        <w:jc w:val="both"/>
        <w:textAlignment w:val="auto"/>
        <w:rPr>
          <w:rStyle w:val="15"/>
          <w:rFonts w:hint="eastAsia" w:ascii="仿宋_GB2312" w:hAnsi="仿宋_GB2312" w:eastAsia="仿宋_GB2312" w:cs="仿宋_GB2312"/>
          <w:b w:val="0"/>
          <w:bCs/>
          <w:color w:val="auto"/>
          <w:sz w:val="32"/>
          <w:szCs w:val="32"/>
          <w:highlight w:val="none"/>
          <w:lang w:eastAsia="zh-CN"/>
        </w:rPr>
      </w:pPr>
      <w:r>
        <w:rPr>
          <w:rStyle w:val="15"/>
          <w:rFonts w:hint="eastAsia" w:ascii="仿宋_GB2312" w:hAnsi="仿宋_GB2312" w:eastAsia="仿宋_GB2312" w:cs="仿宋_GB2312"/>
          <w:bCs/>
          <w:color w:val="auto"/>
          <w:sz w:val="32"/>
          <w:szCs w:val="32"/>
          <w:highlight w:val="none"/>
          <w:lang w:val="en-US" w:eastAsia="zh-CN"/>
        </w:rPr>
        <w:t>9.自然资源海洋气象等支出</w:t>
      </w:r>
      <w:r>
        <w:rPr>
          <w:rStyle w:val="15"/>
          <w:rFonts w:hint="eastAsia" w:ascii="仿宋_GB2312" w:hAnsi="仿宋_GB2312" w:eastAsia="仿宋_GB2312" w:cs="仿宋_GB2312"/>
          <w:bCs/>
          <w:color w:val="auto"/>
          <w:sz w:val="32"/>
          <w:szCs w:val="32"/>
          <w:highlight w:val="none"/>
        </w:rPr>
        <w:t>（类）</w:t>
      </w:r>
      <w:r>
        <w:rPr>
          <w:rStyle w:val="15"/>
          <w:rFonts w:hint="eastAsia" w:ascii="仿宋_GB2312" w:hAnsi="仿宋_GB2312" w:eastAsia="仿宋_GB2312" w:cs="仿宋_GB2312"/>
          <w:bCs/>
          <w:color w:val="auto"/>
          <w:sz w:val="32"/>
          <w:szCs w:val="32"/>
          <w:highlight w:val="none"/>
          <w:lang w:val="en-US" w:eastAsia="zh-CN"/>
        </w:rPr>
        <w:t>自然资源事务</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val="en-US" w:eastAsia="zh-CN"/>
        </w:rPr>
        <w:t>一般行政管理事务</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125.74</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bidi w:val="0"/>
        <w:snapToGrid/>
        <w:spacing w:line="576" w:lineRule="exact"/>
        <w:ind w:left="0" w:leftChars="0" w:right="0" w:firstLine="642" w:firstLineChars="200"/>
        <w:jc w:val="both"/>
        <w:textAlignment w:val="auto"/>
        <w:rPr>
          <w:rStyle w:val="15"/>
          <w:rFonts w:hint="eastAsia" w:ascii="仿宋_GB2312" w:hAnsi="仿宋_GB2312" w:eastAsia="仿宋_GB2312" w:cs="仿宋_GB2312"/>
          <w:b w:val="0"/>
          <w:bCs/>
          <w:color w:val="auto"/>
          <w:sz w:val="32"/>
          <w:szCs w:val="32"/>
          <w:highlight w:val="none"/>
          <w:lang w:eastAsia="zh-CN"/>
        </w:rPr>
      </w:pPr>
      <w:r>
        <w:rPr>
          <w:rStyle w:val="15"/>
          <w:rFonts w:hint="eastAsia" w:ascii="仿宋_GB2312" w:hAnsi="仿宋_GB2312" w:eastAsia="仿宋_GB2312" w:cs="仿宋_GB2312"/>
          <w:bCs/>
          <w:color w:val="auto"/>
          <w:sz w:val="32"/>
          <w:szCs w:val="32"/>
          <w:highlight w:val="none"/>
          <w:lang w:val="en-US" w:eastAsia="zh-CN"/>
        </w:rPr>
        <w:t>10.自然资源海洋气象等支出</w:t>
      </w:r>
      <w:r>
        <w:rPr>
          <w:rStyle w:val="15"/>
          <w:rFonts w:hint="eastAsia" w:ascii="仿宋_GB2312" w:hAnsi="仿宋_GB2312" w:eastAsia="仿宋_GB2312" w:cs="仿宋_GB2312"/>
          <w:bCs/>
          <w:color w:val="auto"/>
          <w:sz w:val="32"/>
          <w:szCs w:val="32"/>
          <w:highlight w:val="none"/>
        </w:rPr>
        <w:t>（类）</w:t>
      </w:r>
      <w:r>
        <w:rPr>
          <w:rStyle w:val="15"/>
          <w:rFonts w:hint="eastAsia" w:ascii="仿宋_GB2312" w:hAnsi="仿宋_GB2312" w:eastAsia="仿宋_GB2312" w:cs="仿宋_GB2312"/>
          <w:bCs/>
          <w:color w:val="auto"/>
          <w:sz w:val="32"/>
          <w:szCs w:val="32"/>
          <w:highlight w:val="none"/>
          <w:lang w:val="en-US" w:eastAsia="zh-CN"/>
        </w:rPr>
        <w:t>自然资源事务</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val="en-US" w:eastAsia="zh-CN"/>
        </w:rPr>
        <w:t>自然资源行业业务管理</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5</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bidi w:val="0"/>
        <w:snapToGrid/>
        <w:spacing w:line="576" w:lineRule="exact"/>
        <w:ind w:left="0" w:leftChars="0" w:right="0" w:firstLine="642" w:firstLineChars="200"/>
        <w:jc w:val="both"/>
        <w:textAlignment w:val="auto"/>
        <w:rPr>
          <w:rStyle w:val="15"/>
          <w:rFonts w:hint="eastAsia" w:ascii="仿宋_GB2312" w:hAnsi="仿宋_GB2312" w:eastAsia="仿宋_GB2312" w:cs="仿宋_GB2312"/>
          <w:b w:val="0"/>
          <w:bCs/>
          <w:color w:val="auto"/>
          <w:sz w:val="32"/>
          <w:szCs w:val="32"/>
          <w:highlight w:val="none"/>
          <w:lang w:eastAsia="zh-CN"/>
        </w:rPr>
      </w:pPr>
      <w:r>
        <w:rPr>
          <w:rStyle w:val="15"/>
          <w:rFonts w:hint="eastAsia" w:ascii="仿宋_GB2312" w:hAnsi="仿宋_GB2312" w:eastAsia="仿宋_GB2312" w:cs="仿宋_GB2312"/>
          <w:bCs/>
          <w:color w:val="auto"/>
          <w:sz w:val="32"/>
          <w:szCs w:val="32"/>
          <w:highlight w:val="none"/>
          <w:lang w:val="en-US" w:eastAsia="zh-CN"/>
        </w:rPr>
        <w:t>11.自然资源海洋气象等支出</w:t>
      </w:r>
      <w:r>
        <w:rPr>
          <w:rStyle w:val="15"/>
          <w:rFonts w:hint="eastAsia" w:ascii="仿宋_GB2312" w:hAnsi="仿宋_GB2312" w:eastAsia="仿宋_GB2312" w:cs="仿宋_GB2312"/>
          <w:bCs/>
          <w:color w:val="auto"/>
          <w:sz w:val="32"/>
          <w:szCs w:val="32"/>
          <w:highlight w:val="none"/>
        </w:rPr>
        <w:t>（类）</w:t>
      </w:r>
      <w:r>
        <w:rPr>
          <w:rStyle w:val="15"/>
          <w:rFonts w:hint="eastAsia" w:ascii="仿宋_GB2312" w:hAnsi="仿宋_GB2312" w:eastAsia="仿宋_GB2312" w:cs="仿宋_GB2312"/>
          <w:bCs/>
          <w:color w:val="auto"/>
          <w:sz w:val="32"/>
          <w:szCs w:val="32"/>
          <w:highlight w:val="none"/>
          <w:lang w:val="en-US" w:eastAsia="zh-CN"/>
        </w:rPr>
        <w:t>自然资源事务</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val="en-US" w:eastAsia="zh-CN"/>
        </w:rPr>
        <w:t>自然资源调查与确权登记</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15.44</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bidi w:val="0"/>
        <w:snapToGrid/>
        <w:spacing w:line="576" w:lineRule="exact"/>
        <w:ind w:left="0" w:leftChars="0" w:right="0" w:firstLine="642" w:firstLineChars="200"/>
        <w:jc w:val="both"/>
        <w:textAlignment w:val="auto"/>
        <w:rPr>
          <w:rStyle w:val="15"/>
          <w:rFonts w:hint="eastAsia" w:ascii="仿宋_GB2312" w:hAnsi="仿宋_GB2312" w:eastAsia="仿宋_GB2312" w:cs="仿宋_GB2312"/>
          <w:b w:val="0"/>
          <w:bCs/>
          <w:color w:val="auto"/>
          <w:sz w:val="32"/>
          <w:szCs w:val="32"/>
          <w:highlight w:val="none"/>
          <w:lang w:eastAsia="zh-CN"/>
        </w:rPr>
      </w:pPr>
      <w:r>
        <w:rPr>
          <w:rStyle w:val="15"/>
          <w:rFonts w:hint="eastAsia" w:ascii="仿宋_GB2312" w:hAnsi="仿宋_GB2312" w:eastAsia="仿宋_GB2312" w:cs="仿宋_GB2312"/>
          <w:bCs/>
          <w:color w:val="auto"/>
          <w:sz w:val="32"/>
          <w:szCs w:val="32"/>
          <w:highlight w:val="none"/>
          <w:lang w:val="en-US" w:eastAsia="zh-CN"/>
        </w:rPr>
        <w:t>12.自然资源海洋气象等支出</w:t>
      </w:r>
      <w:r>
        <w:rPr>
          <w:rStyle w:val="15"/>
          <w:rFonts w:hint="eastAsia" w:ascii="仿宋_GB2312" w:hAnsi="仿宋_GB2312" w:eastAsia="仿宋_GB2312" w:cs="仿宋_GB2312"/>
          <w:bCs/>
          <w:color w:val="auto"/>
          <w:sz w:val="32"/>
          <w:szCs w:val="32"/>
          <w:highlight w:val="none"/>
        </w:rPr>
        <w:t>（类）</w:t>
      </w:r>
      <w:r>
        <w:rPr>
          <w:rStyle w:val="15"/>
          <w:rFonts w:hint="eastAsia" w:ascii="仿宋_GB2312" w:hAnsi="仿宋_GB2312" w:eastAsia="仿宋_GB2312" w:cs="仿宋_GB2312"/>
          <w:bCs/>
          <w:color w:val="auto"/>
          <w:sz w:val="32"/>
          <w:szCs w:val="32"/>
          <w:highlight w:val="none"/>
          <w:lang w:val="en-US" w:eastAsia="zh-CN"/>
        </w:rPr>
        <w:t>自然资源事务</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val="en-US" w:eastAsia="zh-CN"/>
        </w:rPr>
        <w:t>自然资源储备支出</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40</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numPr>
          <w:ilvl w:val="0"/>
          <w:numId w:val="0"/>
        </w:numPr>
        <w:shd w:val="clear"/>
        <w:kinsoku/>
        <w:wordWrap/>
        <w:overflowPunct/>
        <w:topLinePunct w:val="0"/>
        <w:bidi w:val="0"/>
        <w:snapToGrid/>
        <w:spacing w:line="576" w:lineRule="exact"/>
        <w:ind w:left="0" w:leftChars="0" w:right="0" w:firstLine="642" w:firstLineChars="200"/>
        <w:jc w:val="both"/>
        <w:textAlignment w:val="auto"/>
        <w:rPr>
          <w:rStyle w:val="15"/>
          <w:rFonts w:hint="eastAsia" w:ascii="仿宋_GB2312" w:hAnsi="仿宋_GB2312" w:eastAsia="仿宋_GB2312" w:cs="仿宋_GB2312"/>
          <w:b w:val="0"/>
          <w:bCs/>
          <w:color w:val="auto"/>
          <w:sz w:val="32"/>
          <w:szCs w:val="32"/>
          <w:highlight w:val="none"/>
          <w:lang w:eastAsia="zh-CN"/>
        </w:rPr>
      </w:pPr>
      <w:r>
        <w:rPr>
          <w:rStyle w:val="15"/>
          <w:rFonts w:hint="eastAsia" w:ascii="仿宋_GB2312" w:hAnsi="仿宋_GB2312" w:eastAsia="仿宋_GB2312" w:cs="仿宋_GB2312"/>
          <w:bCs/>
          <w:color w:val="auto"/>
          <w:sz w:val="32"/>
          <w:szCs w:val="32"/>
          <w:highlight w:val="none"/>
          <w:lang w:val="en-US" w:eastAsia="zh-CN"/>
        </w:rPr>
        <w:t>13.自然资源海洋气象等支出</w:t>
      </w:r>
      <w:r>
        <w:rPr>
          <w:rStyle w:val="15"/>
          <w:rFonts w:hint="eastAsia" w:ascii="仿宋_GB2312" w:hAnsi="仿宋_GB2312" w:eastAsia="仿宋_GB2312" w:cs="仿宋_GB2312"/>
          <w:bCs/>
          <w:color w:val="auto"/>
          <w:sz w:val="32"/>
          <w:szCs w:val="32"/>
          <w:highlight w:val="none"/>
        </w:rPr>
        <w:t>（类）</w:t>
      </w:r>
      <w:r>
        <w:rPr>
          <w:rStyle w:val="15"/>
          <w:rFonts w:hint="eastAsia" w:ascii="仿宋_GB2312" w:hAnsi="仿宋_GB2312" w:eastAsia="仿宋_GB2312" w:cs="仿宋_GB2312"/>
          <w:bCs/>
          <w:color w:val="auto"/>
          <w:sz w:val="32"/>
          <w:szCs w:val="32"/>
          <w:highlight w:val="none"/>
          <w:lang w:val="en-US" w:eastAsia="zh-CN"/>
        </w:rPr>
        <w:t>自然资源事务</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val="en-US" w:eastAsia="zh-CN"/>
        </w:rPr>
        <w:t>地质勘察与矿产资源管理</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122.01</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p>
    <w:p>
      <w:pPr>
        <w:keepNext w:val="0"/>
        <w:keepLines w:val="0"/>
        <w:pageBreakBefore w:val="0"/>
        <w:widowControl w:val="0"/>
        <w:shd w:val="clear"/>
        <w:tabs>
          <w:tab w:val="right" w:pos="8306"/>
        </w:tabs>
        <w:kinsoku/>
        <w:wordWrap/>
        <w:overflowPunct/>
        <w:topLinePunct w:val="0"/>
        <w:bidi w:val="0"/>
        <w:snapToGrid/>
        <w:spacing w:line="576" w:lineRule="exact"/>
        <w:ind w:left="0" w:leftChars="0" w:right="0" w:firstLine="642" w:firstLineChars="200"/>
        <w:jc w:val="both"/>
        <w:textAlignment w:val="auto"/>
        <w:outlineLvl w:val="1"/>
        <w:rPr>
          <w:rStyle w:val="15"/>
          <w:rFonts w:hint="eastAsia" w:ascii="仿宋_GB2312" w:hAnsi="仿宋_GB2312" w:eastAsia="仿宋_GB2312" w:cs="仿宋_GB2312"/>
          <w:b w:val="0"/>
          <w:bCs/>
          <w:color w:val="auto"/>
          <w:sz w:val="32"/>
          <w:szCs w:val="32"/>
          <w:highlight w:val="none"/>
          <w:lang w:eastAsia="zh-CN"/>
        </w:rPr>
      </w:pPr>
      <w:bookmarkStart w:id="62" w:name="_Toc1905"/>
      <w:bookmarkStart w:id="63" w:name="_Toc22825"/>
      <w:bookmarkStart w:id="64" w:name="_Toc14391"/>
      <w:r>
        <w:rPr>
          <w:rStyle w:val="15"/>
          <w:rFonts w:hint="eastAsia" w:ascii="仿宋_GB2312" w:hAnsi="仿宋_GB2312" w:eastAsia="仿宋_GB2312" w:cs="仿宋_GB2312"/>
          <w:bCs/>
          <w:color w:val="auto"/>
          <w:sz w:val="32"/>
          <w:szCs w:val="32"/>
          <w:highlight w:val="none"/>
          <w:lang w:val="en-US" w:eastAsia="zh-CN"/>
        </w:rPr>
        <w:t>14.自然资源海洋气象等支出</w:t>
      </w:r>
      <w:r>
        <w:rPr>
          <w:rStyle w:val="15"/>
          <w:rFonts w:hint="eastAsia" w:ascii="仿宋_GB2312" w:hAnsi="仿宋_GB2312" w:eastAsia="仿宋_GB2312" w:cs="仿宋_GB2312"/>
          <w:bCs/>
          <w:color w:val="auto"/>
          <w:sz w:val="32"/>
          <w:szCs w:val="32"/>
          <w:highlight w:val="none"/>
        </w:rPr>
        <w:t>（类）</w:t>
      </w:r>
      <w:r>
        <w:rPr>
          <w:rStyle w:val="15"/>
          <w:rFonts w:hint="eastAsia" w:ascii="仿宋_GB2312" w:hAnsi="仿宋_GB2312" w:eastAsia="仿宋_GB2312" w:cs="仿宋_GB2312"/>
          <w:bCs/>
          <w:color w:val="auto"/>
          <w:sz w:val="32"/>
          <w:szCs w:val="32"/>
          <w:highlight w:val="none"/>
          <w:lang w:val="en-US" w:eastAsia="zh-CN"/>
        </w:rPr>
        <w:t>自然资源事务</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Cs/>
          <w:color w:val="auto"/>
          <w:sz w:val="32"/>
          <w:szCs w:val="32"/>
          <w:highlight w:val="none"/>
          <w:lang w:val="en-US" w:eastAsia="zh-CN"/>
        </w:rPr>
        <w:t>其他自然资源事务支出</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283.65</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bookmarkEnd w:id="62"/>
      <w:bookmarkEnd w:id="63"/>
      <w:bookmarkEnd w:id="64"/>
    </w:p>
    <w:p>
      <w:pPr>
        <w:keepNext w:val="0"/>
        <w:keepLines w:val="0"/>
        <w:pageBreakBefore w:val="0"/>
        <w:widowControl w:val="0"/>
        <w:shd w:val="clear"/>
        <w:tabs>
          <w:tab w:val="right" w:pos="8306"/>
        </w:tabs>
        <w:kinsoku/>
        <w:wordWrap/>
        <w:overflowPunct/>
        <w:topLinePunct w:val="0"/>
        <w:bidi w:val="0"/>
        <w:snapToGrid/>
        <w:spacing w:line="576" w:lineRule="exact"/>
        <w:ind w:left="0" w:leftChars="0" w:right="0" w:firstLine="642" w:firstLineChars="200"/>
        <w:jc w:val="both"/>
        <w:textAlignment w:val="auto"/>
        <w:outlineLvl w:val="1"/>
        <w:rPr>
          <w:rStyle w:val="15"/>
          <w:rFonts w:hint="eastAsia" w:ascii="仿宋_GB2312" w:hAnsi="仿宋_GB2312" w:eastAsia="仿宋_GB2312" w:cs="仿宋_GB2312"/>
          <w:b w:val="0"/>
          <w:bCs/>
          <w:color w:val="auto"/>
          <w:sz w:val="32"/>
          <w:szCs w:val="32"/>
          <w:highlight w:val="none"/>
          <w:lang w:eastAsia="zh-CN"/>
        </w:rPr>
      </w:pPr>
      <w:bookmarkStart w:id="65" w:name="_Toc10117"/>
      <w:bookmarkStart w:id="66" w:name="_Toc25086"/>
      <w:bookmarkStart w:id="67" w:name="_Toc1550"/>
      <w:r>
        <w:rPr>
          <w:rStyle w:val="15"/>
          <w:rFonts w:hint="eastAsia" w:ascii="仿宋_GB2312" w:hAnsi="仿宋_GB2312" w:eastAsia="仿宋_GB2312" w:cs="仿宋_GB2312"/>
          <w:bCs/>
          <w:color w:val="auto"/>
          <w:sz w:val="32"/>
          <w:szCs w:val="32"/>
          <w:highlight w:val="none"/>
          <w:lang w:val="en-US" w:eastAsia="zh-CN"/>
        </w:rPr>
        <w:t>15.住房保障支出</w:t>
      </w:r>
      <w:r>
        <w:rPr>
          <w:rStyle w:val="15"/>
          <w:rFonts w:hint="eastAsia" w:ascii="仿宋_GB2312" w:hAnsi="仿宋_GB2312" w:eastAsia="仿宋_GB2312" w:cs="仿宋_GB2312"/>
          <w:bCs/>
          <w:color w:val="auto"/>
          <w:sz w:val="32"/>
          <w:szCs w:val="32"/>
          <w:highlight w:val="none"/>
        </w:rPr>
        <w:t>（类）</w:t>
      </w:r>
      <w:r>
        <w:rPr>
          <w:rStyle w:val="15"/>
          <w:rFonts w:hint="eastAsia" w:ascii="仿宋_GB2312" w:hAnsi="仿宋_GB2312" w:eastAsia="仿宋_GB2312" w:cs="仿宋_GB2312"/>
          <w:bCs/>
          <w:color w:val="auto"/>
          <w:sz w:val="32"/>
          <w:szCs w:val="32"/>
          <w:highlight w:val="none"/>
          <w:lang w:val="en-US" w:eastAsia="zh-CN"/>
        </w:rPr>
        <w:t>住房改革支出</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Cs/>
          <w:color w:val="auto"/>
          <w:sz w:val="32"/>
          <w:szCs w:val="32"/>
          <w:highlight w:val="none"/>
          <w:lang w:val="en-US" w:eastAsia="zh-CN"/>
        </w:rPr>
        <w:t>住房公积金</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120.41</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bookmarkEnd w:id="65"/>
      <w:bookmarkEnd w:id="66"/>
      <w:bookmarkEnd w:id="67"/>
    </w:p>
    <w:p>
      <w:pPr>
        <w:keepNext w:val="0"/>
        <w:keepLines w:val="0"/>
        <w:pageBreakBefore w:val="0"/>
        <w:widowControl w:val="0"/>
        <w:tabs>
          <w:tab w:val="right" w:pos="8306"/>
        </w:tabs>
        <w:kinsoku/>
        <w:wordWrap/>
        <w:overflowPunct/>
        <w:topLinePunct w:val="0"/>
        <w:bidi w:val="0"/>
        <w:snapToGrid/>
        <w:spacing w:line="576" w:lineRule="exact"/>
        <w:ind w:left="0" w:right="0" w:firstLine="640"/>
        <w:jc w:val="both"/>
        <w:textAlignment w:val="auto"/>
        <w:outlineLvl w:val="1"/>
        <w:rPr>
          <w:rStyle w:val="18"/>
          <w:color w:val="auto"/>
          <w:highlight w:val="none"/>
        </w:rPr>
      </w:pPr>
      <w:bookmarkStart w:id="68" w:name="_Toc15396608"/>
      <w:bookmarkStart w:id="69" w:name="_Toc716"/>
      <w:bookmarkStart w:id="70" w:name="_Toc14904"/>
      <w:bookmarkStart w:id="71"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8"/>
          <w:rFonts w:hint="eastAsia" w:ascii="黑体" w:hAnsi="黑体" w:eastAsia="黑体"/>
          <w:b w:val="0"/>
          <w:color w:val="auto"/>
          <w:highlight w:val="none"/>
        </w:rPr>
        <w:t>般公共预算财政拨款基本支出决算情况说明</w:t>
      </w:r>
      <w:bookmarkEnd w:id="68"/>
      <w:bookmarkEnd w:id="69"/>
      <w:bookmarkEnd w:id="70"/>
      <w:bookmarkEnd w:id="71"/>
      <w:r>
        <w:rPr>
          <w:rStyle w:val="18"/>
          <w:rFonts w:ascii="黑体" w:hAnsi="黑体" w:eastAsia="黑体"/>
          <w:b w:val="0"/>
          <w:color w:val="auto"/>
          <w:highlight w:val="none"/>
        </w:rPr>
        <w:tab/>
      </w:r>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eastAsia="仿宋_GB2312" w:cs="仿宋_GB2312"/>
          <w:color w:val="auto"/>
          <w:sz w:val="32"/>
          <w:szCs w:val="32"/>
          <w:highlight w:val="none"/>
          <w:lang w:val="en-US" w:eastAsia="zh-CN"/>
        </w:rPr>
        <w:t>1606.42</w:t>
      </w:r>
      <w:r>
        <w:rPr>
          <w:rFonts w:hint="eastAsia" w:ascii="仿宋_GB2312" w:hAnsi="仿宋_GB2312" w:eastAsia="仿宋_GB2312" w:cs="仿宋_GB2312"/>
          <w:color w:val="auto"/>
          <w:sz w:val="32"/>
          <w:szCs w:val="32"/>
          <w:highlight w:val="none"/>
        </w:rPr>
        <w:t>万元，其中：</w:t>
      </w:r>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1392.38</w:t>
      </w:r>
      <w:r>
        <w:rPr>
          <w:rFonts w:hint="eastAsia" w:ascii="仿宋_GB2312" w:hAnsi="仿宋_GB2312" w:eastAsia="仿宋_GB2312" w:cs="仿宋_GB2312"/>
          <w:color w:val="auto"/>
          <w:sz w:val="32"/>
          <w:szCs w:val="32"/>
          <w:highlight w:val="none"/>
        </w:rPr>
        <w:t>万元，主要包括：基本工资、津贴补贴、奖金、机关事业单位基本养老保险缴费、职业年金缴费、</w:t>
      </w:r>
      <w:r>
        <w:rPr>
          <w:rFonts w:hint="eastAsia" w:ascii="仿宋_GB2312" w:hAnsi="仿宋_GB2312" w:eastAsia="仿宋_GB2312" w:cs="仿宋_GB2312"/>
          <w:color w:val="auto"/>
          <w:sz w:val="32"/>
          <w:szCs w:val="32"/>
          <w:highlight w:val="none"/>
          <w:lang w:val="en-US" w:eastAsia="zh-CN"/>
        </w:rPr>
        <w:t>职工基本医疗保险缴费、其他社会保障缴费、</w:t>
      </w:r>
      <w:r>
        <w:rPr>
          <w:rFonts w:hint="eastAsia" w:ascii="仿宋_GB2312" w:hAnsi="仿宋_GB2312" w:eastAsia="仿宋_GB2312" w:cs="仿宋_GB2312"/>
          <w:color w:val="auto"/>
          <w:sz w:val="32"/>
          <w:szCs w:val="32"/>
          <w:highlight w:val="none"/>
        </w:rPr>
        <w:t>住房公积金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生活补助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奖励金、其他对个人和家庭的补助</w:t>
      </w:r>
      <w:r>
        <w:rPr>
          <w:rFonts w:hint="eastAsia" w:ascii="仿宋_GB2312" w:hAnsi="仿宋_GB2312" w:eastAsia="仿宋_GB2312" w:cs="仿宋_GB2312"/>
          <w:color w:val="auto"/>
          <w:sz w:val="32"/>
          <w:szCs w:val="32"/>
          <w:highlight w:val="none"/>
        </w:rPr>
        <w:t>。</w:t>
      </w:r>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214.04</w:t>
      </w:r>
      <w:r>
        <w:rPr>
          <w:rFonts w:hint="eastAsia" w:ascii="仿宋_GB2312" w:hAnsi="仿宋_GB2312" w:eastAsia="仿宋_GB2312" w:cs="仿宋_GB2312"/>
          <w:color w:val="auto"/>
          <w:sz w:val="32"/>
          <w:szCs w:val="32"/>
          <w:highlight w:val="none"/>
        </w:rPr>
        <w:t>万元，主要包括：办公费、印刷费、水费、电费、邮电费、物业管理费、差旅费、维修（护）费、会议费、培训费、公务接待费、劳务费、工会经费、福利费、公务用车运行维护费、其他交通费</w:t>
      </w:r>
      <w:r>
        <w:rPr>
          <w:rFonts w:hint="eastAsia" w:ascii="仿宋_GB2312" w:hAnsi="仿宋_GB2312" w:eastAsia="仿宋_GB2312" w:cs="仿宋_GB2312"/>
          <w:color w:val="auto"/>
          <w:sz w:val="32"/>
          <w:szCs w:val="32"/>
          <w:highlight w:val="none"/>
          <w:lang w:val="en-US" w:eastAsia="zh-CN"/>
        </w:rPr>
        <w:t>用</w:t>
      </w:r>
      <w:r>
        <w:rPr>
          <w:rFonts w:hint="eastAsia" w:ascii="仿宋_GB2312" w:hAnsi="仿宋_GB2312" w:eastAsia="仿宋_GB2312" w:cs="仿宋_GB2312"/>
          <w:color w:val="auto"/>
          <w:sz w:val="32"/>
          <w:szCs w:val="32"/>
          <w:highlight w:val="none"/>
        </w:rPr>
        <w:t>、其他商品和服务支出、办公设备购置。</w:t>
      </w:r>
    </w:p>
    <w:p>
      <w:pPr>
        <w:keepNext w:val="0"/>
        <w:keepLines w:val="0"/>
        <w:pageBreakBefore w:val="0"/>
        <w:widowControl w:val="0"/>
        <w:kinsoku/>
        <w:wordWrap/>
        <w:overflowPunct/>
        <w:topLinePunct w:val="0"/>
        <w:bidi w:val="0"/>
        <w:snapToGrid/>
        <w:spacing w:line="576" w:lineRule="exact"/>
        <w:ind w:left="0" w:right="0" w:firstLine="640"/>
        <w:jc w:val="both"/>
        <w:textAlignment w:val="auto"/>
        <w:outlineLvl w:val="1"/>
        <w:rPr>
          <w:rStyle w:val="18"/>
          <w:rFonts w:ascii="黑体" w:hAnsi="黑体" w:eastAsia="黑体"/>
          <w:b w:val="0"/>
          <w:color w:val="auto"/>
          <w:highlight w:val="none"/>
        </w:rPr>
      </w:pPr>
      <w:bookmarkStart w:id="72" w:name="_Toc4979"/>
      <w:bookmarkStart w:id="73" w:name="_Toc30600"/>
      <w:bookmarkStart w:id="74" w:name="_Toc15377215"/>
      <w:bookmarkStart w:id="75" w:name="_Toc15396609"/>
      <w:r>
        <w:rPr>
          <w:rFonts w:hint="eastAsia" w:ascii="黑体" w:eastAsia="黑体"/>
          <w:color w:val="auto"/>
          <w:sz w:val="32"/>
          <w:szCs w:val="32"/>
          <w:highlight w:val="none"/>
        </w:rPr>
        <w:t>七、</w:t>
      </w:r>
      <w:r>
        <w:rPr>
          <w:rStyle w:val="18"/>
          <w:rFonts w:hint="eastAsia" w:ascii="黑体" w:hAnsi="黑体" w:eastAsia="黑体"/>
          <w:b w:val="0"/>
          <w:color w:val="auto"/>
          <w:highlight w:val="none"/>
        </w:rPr>
        <w:t>财政拨款</w:t>
      </w:r>
      <w:r>
        <w:rPr>
          <w:rStyle w:val="18"/>
          <w:rFonts w:hint="eastAsia" w:ascii="黑体" w:hAnsi="黑体" w:eastAsia="黑体"/>
          <w:color w:val="auto"/>
          <w:highlight w:val="none"/>
        </w:rPr>
        <w:t>“</w:t>
      </w:r>
      <w:r>
        <w:rPr>
          <w:rStyle w:val="18"/>
          <w:rFonts w:hint="eastAsia" w:ascii="黑体" w:hAnsi="黑体" w:eastAsia="黑体"/>
          <w:b w:val="0"/>
          <w:color w:val="auto"/>
          <w:highlight w:val="none"/>
        </w:rPr>
        <w:t>三公”经费支出决算情况说明</w:t>
      </w:r>
      <w:bookmarkEnd w:id="72"/>
      <w:bookmarkEnd w:id="73"/>
      <w:bookmarkEnd w:id="74"/>
      <w:bookmarkEnd w:id="75"/>
    </w:p>
    <w:p>
      <w:pPr>
        <w:keepNext w:val="0"/>
        <w:keepLines w:val="0"/>
        <w:pageBreakBefore w:val="0"/>
        <w:widowControl w:val="0"/>
        <w:kinsoku/>
        <w:wordWrap/>
        <w:overflowPunct/>
        <w:topLinePunct w:val="0"/>
        <w:bidi w:val="0"/>
        <w:snapToGrid/>
        <w:spacing w:line="576" w:lineRule="exact"/>
        <w:ind w:left="0" w:right="0" w:firstLine="640"/>
        <w:jc w:val="both"/>
        <w:textAlignment w:val="auto"/>
        <w:outlineLvl w:val="2"/>
        <w:rPr>
          <w:rFonts w:ascii="仿宋" w:hAnsi="仿宋" w:eastAsia="仿宋"/>
          <w:b/>
          <w:color w:val="auto"/>
          <w:sz w:val="32"/>
          <w:szCs w:val="32"/>
          <w:highlight w:val="none"/>
        </w:rPr>
      </w:pPr>
      <w:bookmarkStart w:id="76" w:name="_Toc15377216"/>
      <w:bookmarkStart w:id="77" w:name="_Toc16798"/>
      <w:r>
        <w:rPr>
          <w:rFonts w:hint="eastAsia" w:ascii="仿宋" w:hAnsi="仿宋" w:eastAsia="仿宋"/>
          <w:b/>
          <w:color w:val="auto"/>
          <w:sz w:val="32"/>
          <w:szCs w:val="32"/>
          <w:highlight w:val="none"/>
        </w:rPr>
        <w:t>（一）“三公”经费财政拨款支出决算总体情况说明</w:t>
      </w:r>
      <w:bookmarkEnd w:id="76"/>
      <w:bookmarkEnd w:id="77"/>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eastAsia="仿宋_GB2312" w:cs="仿宋_GB2312"/>
          <w:color w:val="auto"/>
          <w:sz w:val="32"/>
          <w:szCs w:val="32"/>
          <w:highlight w:val="none"/>
          <w:lang w:val="en-US" w:eastAsia="zh-CN"/>
        </w:rPr>
        <w:t>15.5</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w:t>
      </w:r>
      <w:r>
        <w:rPr>
          <w:rFonts w:hint="eastAsia" w:ascii="仿宋_GB2312" w:hAnsi="仿宋_GB2312" w:eastAsia="仿宋_GB2312" w:cs="仿宋_GB2312"/>
          <w:color w:val="auto"/>
          <w:sz w:val="32"/>
          <w:szCs w:val="32"/>
          <w:highlight w:val="none"/>
          <w:lang w:val="en-US" w:eastAsia="zh-CN"/>
        </w:rPr>
        <w:t>增加1.83万元，增长13.38%。增加的主要原因是本年度部、省级督促检查公务接待增加。决算数与预算数持平。</w:t>
      </w:r>
    </w:p>
    <w:p>
      <w:pPr>
        <w:keepNext w:val="0"/>
        <w:keepLines w:val="0"/>
        <w:pageBreakBefore w:val="0"/>
        <w:widowControl w:val="0"/>
        <w:kinsoku/>
        <w:wordWrap/>
        <w:overflowPunct/>
        <w:topLinePunct w:val="0"/>
        <w:bidi w:val="0"/>
        <w:snapToGrid/>
        <w:spacing w:line="576" w:lineRule="exact"/>
        <w:ind w:left="0" w:right="0" w:firstLine="640"/>
        <w:jc w:val="both"/>
        <w:textAlignment w:val="auto"/>
        <w:outlineLvl w:val="2"/>
        <w:rPr>
          <w:rFonts w:ascii="仿宋" w:hAnsi="仿宋" w:eastAsia="仿宋"/>
          <w:b/>
          <w:color w:val="auto"/>
          <w:sz w:val="32"/>
          <w:szCs w:val="32"/>
          <w:highlight w:val="none"/>
        </w:rPr>
      </w:pPr>
      <w:bookmarkStart w:id="78" w:name="_Toc15377217"/>
      <w:bookmarkStart w:id="79" w:name="_Toc22653"/>
      <w:r>
        <w:rPr>
          <w:rFonts w:hint="eastAsia" w:ascii="仿宋" w:hAnsi="仿宋" w:eastAsia="仿宋"/>
          <w:b/>
          <w:color w:val="auto"/>
          <w:sz w:val="32"/>
          <w:szCs w:val="32"/>
          <w:highlight w:val="none"/>
        </w:rPr>
        <w:t>（二）“三公”经费财政拨款支出决算具体情况说明</w:t>
      </w:r>
      <w:bookmarkEnd w:id="78"/>
      <w:bookmarkEnd w:id="79"/>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年“三公”经费财政拨款支出决算中，因公出国（境）费支出决算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64.52</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5.5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35.48</w:t>
      </w:r>
      <w:r>
        <w:rPr>
          <w:rFonts w:hint="eastAsia" w:ascii="仿宋_GB2312" w:hAnsi="仿宋_GB2312" w:eastAsia="仿宋_GB2312" w:cs="仿宋_GB2312"/>
          <w:color w:val="auto"/>
          <w:sz w:val="32"/>
          <w:szCs w:val="32"/>
          <w:highlight w:val="none"/>
        </w:rPr>
        <w:t>%。具体情况如下：</w:t>
      </w:r>
    </w:p>
    <w:p>
      <w:pPr>
        <w:pStyle w:val="6"/>
        <w:rPr>
          <w:rFonts w:hint="eastAsia"/>
        </w:rPr>
      </w:pPr>
      <w:r>
        <w:drawing>
          <wp:inline distT="0" distB="0" distL="114300" distR="114300">
            <wp:extent cx="4826000" cy="2743200"/>
            <wp:effectExtent l="4445" t="4445" r="8255" b="14605"/>
            <wp:docPr id="1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bidi w:val="0"/>
        <w:snapToGrid/>
        <w:spacing w:line="576" w:lineRule="exact"/>
        <w:ind w:left="0" w:right="0" w:firstLine="640"/>
        <w:jc w:val="both"/>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keepNext w:val="0"/>
        <w:keepLines w:val="0"/>
        <w:pageBreakBefore w:val="0"/>
        <w:widowControl w:val="0"/>
        <w:kinsoku/>
        <w:wordWrap/>
        <w:overflowPunct/>
        <w:topLinePunct w:val="0"/>
        <w:bidi w:val="0"/>
        <w:snapToGrid/>
        <w:spacing w:line="576" w:lineRule="exact"/>
        <w:ind w:left="0" w:right="0" w:firstLine="64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color w:val="auto"/>
          <w:sz w:val="32"/>
          <w:szCs w:val="32"/>
          <w:highlight w:val="none"/>
          <w:lang w:val="en-US" w:eastAsia="zh-CN"/>
        </w:rPr>
        <w:t>1.</w:t>
      </w:r>
      <w:r>
        <w:rPr>
          <w:rFonts w:hint="eastAsia" w:ascii="仿宋_GB2312" w:hAnsi="仿宋_GB2312" w:eastAsia="仿宋_GB2312" w:cs="仿宋_GB2312"/>
          <w:b/>
          <w:color w:val="auto"/>
          <w:sz w:val="32"/>
          <w:szCs w:val="32"/>
          <w:highlight w:val="none"/>
        </w:rPr>
        <w:t>因公出国（境）经费支出</w:t>
      </w:r>
      <w:r>
        <w:rPr>
          <w:rFonts w:hint="eastAsia" w:ascii="仿宋_GB2312" w:hAnsi="仿宋_GB2312" w:eastAsia="仿宋_GB2312" w:cs="仿宋_GB2312"/>
          <w:b/>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年初未安排预算。因公出国（境）支出决算较202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年无变化。</w:t>
      </w:r>
    </w:p>
    <w:p>
      <w:pPr>
        <w:keepNext w:val="0"/>
        <w:keepLines w:val="0"/>
        <w:pageBreakBefore w:val="0"/>
        <w:widowControl w:val="0"/>
        <w:kinsoku/>
        <w:wordWrap/>
        <w:overflowPunct/>
        <w:topLinePunct w:val="0"/>
        <w:bidi w:val="0"/>
        <w:snapToGrid/>
        <w:spacing w:line="576" w:lineRule="exact"/>
        <w:ind w:left="0" w:right="0" w:firstLine="640"/>
        <w:jc w:val="both"/>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2.公务用车购置及运行维护费支出</w:t>
      </w:r>
      <w:r>
        <w:rPr>
          <w:rFonts w:hint="eastAsia" w:ascii="仿宋_GB2312" w:hAnsi="仿宋_GB2312" w:eastAsia="仿宋_GB2312" w:cs="仿宋_GB2312"/>
          <w:b/>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较</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持平。</w:t>
      </w:r>
    </w:p>
    <w:p>
      <w:pPr>
        <w:keepNext w:val="0"/>
        <w:keepLines w:val="0"/>
        <w:pageBreakBefore w:val="0"/>
        <w:widowControl w:val="0"/>
        <w:kinsoku/>
        <w:wordWrap/>
        <w:overflowPunct/>
        <w:topLinePunct w:val="0"/>
        <w:bidi w:val="0"/>
        <w:snapToGrid/>
        <w:spacing w:line="576" w:lineRule="exact"/>
        <w:ind w:left="0" w:right="0" w:firstLine="640"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b/>
          <w:color w:val="auto"/>
          <w:sz w:val="32"/>
          <w:szCs w:val="32"/>
          <w:highlight w:val="none"/>
        </w:rPr>
        <w:t>公务用车购置支出</w:t>
      </w:r>
      <w:r>
        <w:rPr>
          <w:rFonts w:hint="eastAsia" w:ascii="仿宋_GB2312" w:hAnsi="仿宋_GB2312" w:eastAsia="仿宋_GB2312" w:cs="仿宋_GB2312"/>
          <w:b/>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，本年度未购置公务用车</w:t>
      </w: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年12月底，单位共有公务用车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辆，其中：越野车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w:t>
      </w:r>
    </w:p>
    <w:p>
      <w:pPr>
        <w:keepNext w:val="0"/>
        <w:keepLines w:val="0"/>
        <w:pageBreakBefore w:val="0"/>
        <w:widowControl w:val="0"/>
        <w:kinsoku/>
        <w:wordWrap/>
        <w:overflowPunct/>
        <w:topLinePunct w:val="0"/>
        <w:bidi w:val="0"/>
        <w:snapToGrid/>
        <w:spacing w:line="576" w:lineRule="exact"/>
        <w:ind w:left="0" w:leftChars="0" w:right="0"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公务用车运行维护费支出</w:t>
      </w:r>
      <w:r>
        <w:rPr>
          <w:rFonts w:hint="eastAsia" w:ascii="仿宋_GB2312" w:hAnsi="仿宋_GB2312" w:eastAsia="仿宋_GB2312" w:cs="仿宋_GB2312"/>
          <w:b/>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color w:val="000000"/>
          <w:sz w:val="32"/>
          <w:szCs w:val="32"/>
        </w:rPr>
        <w:t>开展自然资源管理工作、</w:t>
      </w:r>
      <w:r>
        <w:rPr>
          <w:rFonts w:hint="eastAsia" w:ascii="仿宋_GB2312" w:hAnsi="仿宋_GB2312" w:eastAsia="仿宋_GB2312" w:cs="仿宋_GB2312"/>
          <w:color w:val="000000"/>
          <w:sz w:val="32"/>
          <w:szCs w:val="32"/>
          <w:lang w:val="en-US" w:eastAsia="zh-CN"/>
        </w:rPr>
        <w:t>地质灾害防治、耕地保护、矿业权管理、地籍测绘、土地整理、乡村振兴</w:t>
      </w:r>
      <w:r>
        <w:rPr>
          <w:rFonts w:hint="eastAsia" w:ascii="仿宋_GB2312" w:hAnsi="仿宋_GB2312" w:eastAsia="仿宋_GB2312" w:cs="仿宋_GB2312"/>
          <w:color w:val="000000"/>
          <w:sz w:val="32"/>
          <w:szCs w:val="32"/>
        </w:rPr>
        <w:t>、下乡帮扶等所需的公务用车燃料费、维修费、过路过桥费、保险费等支出。</w:t>
      </w:r>
    </w:p>
    <w:p>
      <w:pPr>
        <w:keepNext w:val="0"/>
        <w:keepLines w:val="0"/>
        <w:pageBreakBefore w:val="0"/>
        <w:widowControl w:val="0"/>
        <w:shd w:val="clear"/>
        <w:kinsoku/>
        <w:wordWrap/>
        <w:overflowPunct/>
        <w:topLinePunct w:val="0"/>
        <w:bidi w:val="0"/>
        <w:snapToGrid/>
        <w:spacing w:line="576" w:lineRule="exact"/>
        <w:ind w:left="0" w:leftChars="0" w:right="0"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3</w:t>
      </w:r>
      <w:r>
        <w:rPr>
          <w:rFonts w:hint="eastAsia" w:ascii="仿宋_GB2312" w:hAnsi="仿宋_GB2312" w:eastAsia="仿宋_GB2312" w:cs="仿宋_GB2312"/>
          <w:b/>
          <w:color w:val="auto"/>
          <w:sz w:val="32"/>
          <w:szCs w:val="32"/>
          <w:highlight w:val="none"/>
        </w:rPr>
        <w:t>.公务接待费支出</w:t>
      </w:r>
      <w:r>
        <w:rPr>
          <w:rFonts w:hint="eastAsia" w:ascii="仿宋_GB2312" w:hAnsi="仿宋_GB2312" w:eastAsia="仿宋_GB2312" w:cs="仿宋_GB2312"/>
          <w:b/>
          <w:color w:val="auto"/>
          <w:sz w:val="32"/>
          <w:szCs w:val="32"/>
          <w:highlight w:val="none"/>
          <w:lang w:val="en-US" w:eastAsia="zh-CN"/>
        </w:rPr>
        <w:t>5.5</w:t>
      </w:r>
      <w:r>
        <w:rPr>
          <w:rFonts w:hint="eastAsia" w:ascii="仿宋_GB2312" w:hAnsi="仿宋_GB2312" w:eastAsia="仿宋_GB2312" w:cs="仿宋_GB2312"/>
          <w:color w:val="auto"/>
          <w:sz w:val="32"/>
          <w:szCs w:val="32"/>
          <w:highlight w:val="none"/>
        </w:rPr>
        <w:t>万元，</w:t>
      </w:r>
      <w:r>
        <w:rPr>
          <w:rStyle w:val="15"/>
          <w:rFonts w:hint="eastAsia" w:ascii="仿宋_GB2312" w:hAnsi="仿宋_GB2312" w:eastAsia="仿宋_GB2312" w:cs="仿宋_GB2312"/>
          <w:b w:val="0"/>
          <w:bCs/>
          <w:color w:val="auto"/>
          <w:sz w:val="32"/>
          <w:szCs w:val="32"/>
          <w:highlight w:val="none"/>
        </w:rPr>
        <w:t>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较</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增加1.83万元，增加的主要原因是</w:t>
      </w:r>
      <w:r>
        <w:rPr>
          <w:rFonts w:hint="eastAsia" w:ascii="仿宋_GB2312" w:hAnsi="仿宋_GB2312" w:eastAsia="仿宋_GB2312" w:cs="仿宋_GB2312"/>
          <w:color w:val="auto"/>
          <w:sz w:val="32"/>
          <w:szCs w:val="32"/>
          <w:highlight w:val="none"/>
        </w:rPr>
        <w:t>省自然资源厅、上级部门及其他市州的各类检查、督查、调研和县区自然资源局来我局交流汇报等执行公务、开展业务活动</w:t>
      </w:r>
      <w:r>
        <w:rPr>
          <w:rFonts w:hint="eastAsia" w:ascii="仿宋_GB2312" w:hAnsi="仿宋_GB2312" w:eastAsia="仿宋_GB2312" w:cs="仿宋_GB2312"/>
          <w:color w:val="auto"/>
          <w:sz w:val="32"/>
          <w:szCs w:val="32"/>
          <w:highlight w:val="none"/>
          <w:lang w:val="en-US" w:eastAsia="zh-CN"/>
        </w:rPr>
        <w:t>增加。</w:t>
      </w:r>
    </w:p>
    <w:p>
      <w:pPr>
        <w:keepNext w:val="0"/>
        <w:keepLines w:val="0"/>
        <w:pageBreakBefore w:val="0"/>
        <w:widowControl w:val="0"/>
        <w:shd w:val="clear"/>
        <w:kinsoku/>
        <w:wordWrap/>
        <w:overflowPunct/>
        <w:topLinePunct w:val="0"/>
        <w:bidi w:val="0"/>
        <w:snapToGrid/>
        <w:spacing w:line="576" w:lineRule="exact"/>
        <w:ind w:left="0" w:leftChars="0" w:right="0"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国内公务接待支出</w:t>
      </w:r>
      <w:r>
        <w:rPr>
          <w:rFonts w:hint="eastAsia" w:ascii="仿宋_GB2312" w:hAnsi="仿宋_GB2312" w:eastAsia="仿宋_GB2312" w:cs="仿宋_GB2312"/>
          <w:b/>
          <w:color w:val="auto"/>
          <w:sz w:val="32"/>
          <w:szCs w:val="32"/>
          <w:highlight w:val="none"/>
          <w:lang w:val="en-US" w:eastAsia="zh-CN"/>
        </w:rPr>
        <w:t>5.5</w:t>
      </w:r>
      <w:r>
        <w:rPr>
          <w:rFonts w:hint="eastAsia" w:ascii="仿宋_GB2312" w:hAnsi="仿宋_GB2312" w:eastAsia="仿宋_GB2312" w:cs="仿宋_GB2312"/>
          <w:color w:val="auto"/>
          <w:sz w:val="32"/>
          <w:szCs w:val="32"/>
          <w:highlight w:val="none"/>
        </w:rPr>
        <w:t>万元，主要用于省自然资源厅、上级部门及其他市州的各类检查、督查、调研和县区自然资源局来我局交流汇报等执行公务、开展业务活动开支的用餐费等。国内公务接待</w:t>
      </w:r>
      <w:r>
        <w:rPr>
          <w:rFonts w:hint="eastAsia" w:ascii="仿宋_GB2312" w:hAnsi="仿宋_GB2312" w:eastAsia="仿宋_GB2312" w:cs="仿宋_GB2312"/>
          <w:color w:val="auto"/>
          <w:sz w:val="32"/>
          <w:szCs w:val="32"/>
          <w:highlight w:val="none"/>
          <w:lang w:val="en-US" w:eastAsia="zh-CN"/>
        </w:rPr>
        <w:t>46</w:t>
      </w:r>
      <w:r>
        <w:rPr>
          <w:rFonts w:hint="eastAsia" w:ascii="仿宋_GB2312" w:hAnsi="仿宋_GB2312" w:eastAsia="仿宋_GB2312" w:cs="仿宋_GB2312"/>
          <w:color w:val="auto"/>
          <w:sz w:val="32"/>
          <w:szCs w:val="32"/>
          <w:highlight w:val="none"/>
        </w:rPr>
        <w:t>批次，</w:t>
      </w:r>
      <w:r>
        <w:rPr>
          <w:rFonts w:hint="eastAsia" w:ascii="仿宋_GB2312" w:hAnsi="仿宋_GB2312" w:eastAsia="仿宋_GB2312" w:cs="仿宋_GB2312"/>
          <w:color w:val="auto"/>
          <w:sz w:val="32"/>
          <w:szCs w:val="32"/>
          <w:highlight w:val="none"/>
          <w:lang w:val="en-US" w:eastAsia="zh-CN"/>
        </w:rPr>
        <w:t>285</w:t>
      </w:r>
      <w:r>
        <w:rPr>
          <w:rFonts w:hint="eastAsia" w:ascii="仿宋_GB2312" w:hAnsi="仿宋_GB2312" w:eastAsia="仿宋_GB2312" w:cs="仿宋_GB2312"/>
          <w:color w:val="auto"/>
          <w:sz w:val="32"/>
          <w:szCs w:val="32"/>
          <w:highlight w:val="none"/>
        </w:rPr>
        <w:t>人次（不包括陪同人员），共计支出</w:t>
      </w:r>
      <w:r>
        <w:rPr>
          <w:rFonts w:hint="eastAsia" w:ascii="仿宋_GB2312" w:hAnsi="仿宋_GB2312" w:eastAsia="仿宋_GB2312" w:cs="仿宋_GB2312"/>
          <w:color w:val="auto"/>
          <w:sz w:val="32"/>
          <w:szCs w:val="32"/>
          <w:highlight w:val="none"/>
          <w:lang w:val="en-US" w:eastAsia="zh-CN"/>
        </w:rPr>
        <w:t>5.5</w:t>
      </w:r>
      <w:r>
        <w:rPr>
          <w:rFonts w:hint="eastAsia" w:ascii="仿宋_GB2312" w:hAnsi="仿宋_GB2312" w:eastAsia="仿宋_GB2312" w:cs="仿宋_GB2312"/>
          <w:color w:val="auto"/>
          <w:sz w:val="32"/>
          <w:szCs w:val="32"/>
          <w:highlight w:val="none"/>
        </w:rPr>
        <w:t>万元，具体内容包括：</w:t>
      </w:r>
      <w:r>
        <w:rPr>
          <w:rFonts w:hint="eastAsia" w:ascii="仿宋_GB2312" w:hAnsi="仿宋_GB2312" w:eastAsia="仿宋_GB2312" w:cs="仿宋_GB2312"/>
          <w:color w:val="auto"/>
          <w:sz w:val="32"/>
          <w:szCs w:val="32"/>
          <w:highlight w:val="none"/>
          <w:lang w:val="en-US" w:eastAsia="zh-CN"/>
        </w:rPr>
        <w:t>自然资源部、省自然资源厅来广督导调研国土空间规划、国土空间生态修复和地质灾害防治、金矿专项整治、普法立法及督察执法等接待费；其他地市州局来广考察交流、县区局来人汇报衔接工作等接待费。</w:t>
      </w:r>
    </w:p>
    <w:p>
      <w:pPr>
        <w:keepNext w:val="0"/>
        <w:keepLines w:val="0"/>
        <w:pageBreakBefore w:val="0"/>
        <w:widowControl w:val="0"/>
        <w:kinsoku/>
        <w:wordWrap/>
        <w:overflowPunct/>
        <w:topLinePunct w:val="0"/>
        <w:bidi w:val="0"/>
        <w:snapToGrid/>
        <w:spacing w:line="576" w:lineRule="exact"/>
        <w:ind w:left="0" w:right="0"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外事接待支出</w:t>
      </w:r>
      <w:r>
        <w:rPr>
          <w:rFonts w:hint="eastAsia" w:ascii="仿宋_GB2312" w:hAnsi="仿宋_GB2312" w:eastAsia="仿宋_GB2312" w:cs="仿宋_GB2312"/>
          <w:b/>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bidi w:val="0"/>
        <w:snapToGrid/>
        <w:spacing w:line="576" w:lineRule="exact"/>
        <w:ind w:left="0" w:right="0" w:firstLine="640"/>
        <w:jc w:val="both"/>
        <w:textAlignment w:val="auto"/>
        <w:outlineLvl w:val="1"/>
        <w:rPr>
          <w:rStyle w:val="18"/>
          <w:rFonts w:ascii="黑体" w:hAnsi="黑体" w:eastAsia="黑体"/>
          <w:color w:val="auto"/>
          <w:highlight w:val="none"/>
        </w:rPr>
      </w:pPr>
      <w:bookmarkStart w:id="80" w:name="_Toc15396610"/>
      <w:bookmarkStart w:id="81" w:name="_Toc748"/>
      <w:bookmarkStart w:id="82" w:name="_Toc15377218"/>
      <w:bookmarkStart w:id="83" w:name="_Toc7450"/>
      <w:r>
        <w:rPr>
          <w:rFonts w:hint="eastAsia" w:ascii="黑体" w:eastAsia="黑体"/>
          <w:color w:val="auto"/>
          <w:sz w:val="32"/>
          <w:szCs w:val="32"/>
          <w:highlight w:val="none"/>
        </w:rPr>
        <w:t>八、</w:t>
      </w:r>
      <w:r>
        <w:rPr>
          <w:rStyle w:val="18"/>
          <w:rFonts w:hint="eastAsia" w:ascii="黑体" w:hAnsi="黑体" w:eastAsia="黑体"/>
          <w:b w:val="0"/>
          <w:color w:val="auto"/>
          <w:highlight w:val="none"/>
        </w:rPr>
        <w:t>政府性基金预算支出决算情况说明</w:t>
      </w:r>
      <w:bookmarkEnd w:id="80"/>
      <w:bookmarkEnd w:id="81"/>
      <w:bookmarkEnd w:id="82"/>
      <w:bookmarkEnd w:id="83"/>
    </w:p>
    <w:p>
      <w:pPr>
        <w:keepNext w:val="0"/>
        <w:keepLines w:val="0"/>
        <w:pageBreakBefore w:val="0"/>
        <w:widowControl w:val="0"/>
        <w:kinsoku/>
        <w:wordWrap/>
        <w:overflowPunct/>
        <w:topLinePunct w:val="0"/>
        <w:bidi w:val="0"/>
        <w:snapToGrid/>
        <w:spacing w:line="576" w:lineRule="exact"/>
        <w:ind w:left="0" w:right="0" w:firstLine="640"/>
        <w:jc w:val="both"/>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7722.07</w:t>
      </w:r>
      <w:r>
        <w:rPr>
          <w:rFonts w:hint="eastAsia" w:ascii="仿宋_GB2312" w:eastAsia="仿宋_GB2312"/>
          <w:color w:val="auto"/>
          <w:sz w:val="32"/>
          <w:szCs w:val="32"/>
          <w:highlight w:val="none"/>
        </w:rPr>
        <w:t>万元。</w:t>
      </w:r>
    </w:p>
    <w:p>
      <w:pPr>
        <w:keepNext w:val="0"/>
        <w:keepLines w:val="0"/>
        <w:pageBreakBefore w:val="0"/>
        <w:widowControl w:val="0"/>
        <w:numPr>
          <w:ilvl w:val="0"/>
          <w:numId w:val="1"/>
        </w:numPr>
        <w:kinsoku/>
        <w:wordWrap/>
        <w:overflowPunct/>
        <w:topLinePunct w:val="0"/>
        <w:bidi w:val="0"/>
        <w:snapToGrid/>
        <w:spacing w:line="576" w:lineRule="exact"/>
        <w:ind w:left="0" w:right="0" w:firstLine="640"/>
        <w:jc w:val="both"/>
        <w:textAlignment w:val="auto"/>
        <w:outlineLvl w:val="1"/>
        <w:rPr>
          <w:rStyle w:val="18"/>
          <w:rFonts w:ascii="黑体" w:hAnsi="黑体" w:eastAsia="黑体"/>
          <w:b w:val="0"/>
          <w:color w:val="auto"/>
          <w:highlight w:val="none"/>
        </w:rPr>
      </w:pPr>
      <w:bookmarkStart w:id="84" w:name="_Toc2856"/>
      <w:bookmarkStart w:id="85" w:name="_Toc15396611"/>
      <w:bookmarkStart w:id="86" w:name="_Toc15377219"/>
      <w:bookmarkStart w:id="87" w:name="_Toc18370"/>
      <w:r>
        <w:rPr>
          <w:rStyle w:val="18"/>
          <w:rFonts w:hint="eastAsia" w:ascii="黑体" w:hAnsi="黑体" w:eastAsia="黑体"/>
          <w:b w:val="0"/>
          <w:color w:val="auto"/>
          <w:highlight w:val="none"/>
        </w:rPr>
        <w:t>国有资本经营预算支出决算情况说明</w:t>
      </w:r>
      <w:bookmarkEnd w:id="84"/>
      <w:bookmarkEnd w:id="85"/>
      <w:bookmarkEnd w:id="86"/>
      <w:bookmarkEnd w:id="87"/>
    </w:p>
    <w:p>
      <w:pPr>
        <w:keepNext w:val="0"/>
        <w:keepLines w:val="0"/>
        <w:pageBreakBefore w:val="0"/>
        <w:widowControl w:val="0"/>
        <w:kinsoku/>
        <w:wordWrap/>
        <w:overflowPunct/>
        <w:topLinePunct w:val="0"/>
        <w:bidi w:val="0"/>
        <w:snapToGrid/>
        <w:spacing w:line="576" w:lineRule="exact"/>
        <w:ind w:left="0" w:right="0" w:firstLine="640"/>
        <w:jc w:val="both"/>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widowControl w:val="0"/>
        <w:numPr>
          <w:ilvl w:val="0"/>
          <w:numId w:val="1"/>
        </w:numPr>
        <w:kinsoku/>
        <w:wordWrap/>
        <w:overflowPunct/>
        <w:topLinePunct w:val="0"/>
        <w:bidi w:val="0"/>
        <w:snapToGrid/>
        <w:spacing w:line="576" w:lineRule="exact"/>
        <w:ind w:left="0" w:right="0" w:firstLine="640"/>
        <w:jc w:val="both"/>
        <w:textAlignment w:val="auto"/>
        <w:outlineLvl w:val="1"/>
        <w:rPr>
          <w:rStyle w:val="18"/>
          <w:rFonts w:hint="eastAsia" w:ascii="黑体" w:hAnsi="黑体" w:eastAsia="黑体"/>
          <w:b w:val="0"/>
          <w:color w:val="auto"/>
          <w:highlight w:val="none"/>
        </w:rPr>
      </w:pPr>
      <w:bookmarkStart w:id="88" w:name="_Toc7628"/>
      <w:bookmarkStart w:id="89" w:name="_Toc15396612"/>
      <w:bookmarkStart w:id="90" w:name="_Toc15377221"/>
      <w:bookmarkStart w:id="91" w:name="_Toc16803"/>
      <w:r>
        <w:rPr>
          <w:rStyle w:val="18"/>
          <w:rFonts w:hint="eastAsia" w:ascii="黑体" w:hAnsi="黑体" w:eastAsia="黑体"/>
          <w:b w:val="0"/>
          <w:color w:val="auto"/>
          <w:highlight w:val="none"/>
        </w:rPr>
        <w:t>其他重要事项的情况说明</w:t>
      </w:r>
      <w:bookmarkEnd w:id="88"/>
      <w:bookmarkEnd w:id="89"/>
      <w:bookmarkEnd w:id="90"/>
      <w:bookmarkEnd w:id="91"/>
    </w:p>
    <w:p>
      <w:pPr>
        <w:keepNext w:val="0"/>
        <w:keepLines w:val="0"/>
        <w:pageBreakBefore w:val="0"/>
        <w:widowControl w:val="0"/>
        <w:kinsoku/>
        <w:wordWrap/>
        <w:overflowPunct/>
        <w:topLinePunct w:val="0"/>
        <w:bidi w:val="0"/>
        <w:snapToGrid/>
        <w:spacing w:line="576" w:lineRule="exact"/>
        <w:ind w:left="0" w:right="0" w:firstLine="642" w:firstLineChars="200"/>
        <w:jc w:val="both"/>
        <w:textAlignment w:val="auto"/>
        <w:outlineLvl w:val="2"/>
        <w:rPr>
          <w:rFonts w:ascii="仿宋" w:hAnsi="仿宋" w:eastAsia="仿宋"/>
          <w:color w:val="auto"/>
          <w:sz w:val="32"/>
          <w:szCs w:val="32"/>
          <w:highlight w:val="none"/>
        </w:rPr>
      </w:pPr>
      <w:bookmarkStart w:id="92" w:name="_Toc24072"/>
      <w:bookmarkStart w:id="93" w:name="_Toc15377222"/>
      <w:r>
        <w:rPr>
          <w:rFonts w:hint="eastAsia" w:ascii="仿宋" w:hAnsi="仿宋" w:eastAsia="仿宋"/>
          <w:b/>
          <w:color w:val="auto"/>
          <w:sz w:val="32"/>
          <w:szCs w:val="32"/>
          <w:highlight w:val="none"/>
        </w:rPr>
        <w:t>（一）机关运行经费支出情况</w:t>
      </w:r>
      <w:bookmarkEnd w:id="92"/>
      <w:bookmarkEnd w:id="93"/>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default" w:ascii="仿宋_GB2312" w:eastAsia="仿宋_GB2312"/>
          <w:color w:val="auto"/>
          <w:sz w:val="32"/>
          <w:szCs w:val="32"/>
          <w:highlight w:val="none"/>
          <w:lang w:val="en-US" w:eastAsia="zh-CN"/>
        </w:rPr>
      </w:pPr>
      <w:bookmarkStart w:id="94" w:name="_Toc15377223"/>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广元市自然资源局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214.4</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减少43.7</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下降16.93</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厉行节约，压缩开支。</w:t>
      </w:r>
    </w:p>
    <w:p>
      <w:pPr>
        <w:keepNext w:val="0"/>
        <w:keepLines w:val="0"/>
        <w:pageBreakBefore w:val="0"/>
        <w:widowControl w:val="0"/>
        <w:kinsoku/>
        <w:wordWrap/>
        <w:overflowPunct/>
        <w:topLinePunct w:val="0"/>
        <w:autoSpaceDE w:val="0"/>
        <w:autoSpaceDN w:val="0"/>
        <w:bidi w:val="0"/>
        <w:adjustRightInd w:val="0"/>
        <w:snapToGrid/>
        <w:spacing w:line="576" w:lineRule="exact"/>
        <w:ind w:left="0" w:right="0" w:firstLine="642" w:firstLineChars="200"/>
        <w:jc w:val="both"/>
        <w:textAlignment w:val="auto"/>
        <w:outlineLvl w:val="2"/>
        <w:rPr>
          <w:rFonts w:ascii="仿宋" w:hAnsi="仿宋" w:eastAsia="仿宋"/>
          <w:b/>
          <w:color w:val="auto"/>
          <w:sz w:val="32"/>
          <w:szCs w:val="32"/>
          <w:highlight w:val="none"/>
        </w:rPr>
      </w:pPr>
      <w:bookmarkStart w:id="95" w:name="_Toc1619"/>
      <w:r>
        <w:rPr>
          <w:rFonts w:hint="eastAsia" w:ascii="仿宋" w:hAnsi="仿宋" w:eastAsia="仿宋"/>
          <w:b/>
          <w:color w:val="auto"/>
          <w:sz w:val="32"/>
          <w:szCs w:val="32"/>
          <w:highlight w:val="none"/>
        </w:rPr>
        <w:t>（二）政府采购支出情况</w:t>
      </w:r>
      <w:bookmarkEnd w:id="94"/>
      <w:bookmarkEnd w:id="95"/>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2023年，广元市自然资源局政府采购支出总额141.64万元,其中：政府采购货物支出9.64万元、政府采购服务支出132万元。政府采购货物主要用于办公电脑、空调及档案柜等办公设备，政府采购货物主要用于矿产资源调查、自然资源视频会议系统升级和广元市园林草分等定级项目技术服务费。授予中小企业合同金额141.64万元，占政府采购支出总额的100%，其中：授予小微企业合同金额141.64万元，占政府采购支出总额的100%。</w:t>
      </w:r>
      <w:bookmarkStart w:id="154" w:name="_GoBack"/>
      <w:bookmarkEnd w:id="154"/>
    </w:p>
    <w:p>
      <w:pPr>
        <w:keepNext w:val="0"/>
        <w:keepLines w:val="0"/>
        <w:pageBreakBefore w:val="0"/>
        <w:widowControl w:val="0"/>
        <w:kinsoku/>
        <w:wordWrap/>
        <w:overflowPunct/>
        <w:topLinePunct w:val="0"/>
        <w:autoSpaceDE w:val="0"/>
        <w:autoSpaceDN w:val="0"/>
        <w:bidi w:val="0"/>
        <w:adjustRightInd w:val="0"/>
        <w:snapToGrid/>
        <w:spacing w:line="576" w:lineRule="exact"/>
        <w:ind w:left="0" w:right="0" w:firstLine="642" w:firstLineChars="200"/>
        <w:jc w:val="both"/>
        <w:textAlignment w:val="auto"/>
        <w:outlineLvl w:val="2"/>
        <w:rPr>
          <w:rFonts w:ascii="仿宋" w:hAnsi="仿宋" w:eastAsia="仿宋"/>
          <w:b/>
          <w:color w:val="auto"/>
          <w:sz w:val="32"/>
          <w:szCs w:val="32"/>
          <w:highlight w:val="none"/>
        </w:rPr>
      </w:pPr>
      <w:bookmarkStart w:id="96" w:name="_Toc15377224"/>
      <w:bookmarkStart w:id="97" w:name="_Toc7716"/>
      <w:r>
        <w:rPr>
          <w:rFonts w:hint="eastAsia" w:ascii="仿宋" w:hAnsi="仿宋" w:eastAsia="仿宋"/>
          <w:b/>
          <w:color w:val="auto"/>
          <w:sz w:val="32"/>
          <w:szCs w:val="32"/>
          <w:highlight w:val="none"/>
        </w:rPr>
        <w:t>（三）国有资产占有使用情况</w:t>
      </w:r>
      <w:bookmarkEnd w:id="96"/>
      <w:bookmarkEnd w:id="97"/>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广元市自然资源局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val="en-US" w:eastAsia="zh-CN"/>
        </w:rPr>
        <w:t>一般公务、业务用车。</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keepNext w:val="0"/>
        <w:keepLines w:val="0"/>
        <w:pageBreakBefore w:val="0"/>
        <w:widowControl w:val="0"/>
        <w:kinsoku/>
        <w:wordWrap/>
        <w:overflowPunct/>
        <w:topLinePunct w:val="0"/>
        <w:autoSpaceDE w:val="0"/>
        <w:autoSpaceDN w:val="0"/>
        <w:bidi w:val="0"/>
        <w:adjustRightInd w:val="0"/>
        <w:snapToGrid/>
        <w:spacing w:line="576" w:lineRule="exact"/>
        <w:ind w:left="0" w:right="0" w:firstLine="642" w:firstLineChars="200"/>
        <w:jc w:val="both"/>
        <w:textAlignment w:val="auto"/>
        <w:outlineLvl w:val="2"/>
        <w:rPr>
          <w:rFonts w:hint="eastAsia" w:ascii="仿宋" w:hAnsi="仿宋" w:eastAsia="仿宋"/>
          <w:b/>
          <w:color w:val="auto"/>
          <w:sz w:val="32"/>
          <w:szCs w:val="32"/>
          <w:highlight w:val="none"/>
          <w:lang w:eastAsia="zh-CN"/>
        </w:rPr>
      </w:pPr>
      <w:bookmarkStart w:id="98" w:name="_Toc393"/>
      <w:r>
        <w:rPr>
          <w:rFonts w:hint="eastAsia" w:ascii="仿宋" w:hAnsi="仿宋" w:eastAsia="仿宋"/>
          <w:b/>
          <w:color w:val="auto"/>
          <w:sz w:val="32"/>
          <w:szCs w:val="32"/>
          <w:highlight w:val="none"/>
        </w:rPr>
        <w:t>（四）预算绩效管理情况</w:t>
      </w:r>
      <w:bookmarkEnd w:id="98"/>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根据预算绩效管理要求，本部门在202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年度预算编制阶段，组织对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地灾防治工作经费”</w:t>
      </w:r>
      <w:r>
        <w:rPr>
          <w:rFonts w:hint="eastAsia" w:ascii="仿宋_GB2312" w:eastAsia="仿宋_GB2312"/>
          <w:color w:val="auto"/>
          <w:sz w:val="32"/>
          <w:szCs w:val="32"/>
          <w:highlight w:val="none"/>
        </w:rPr>
        <w:t>等</w:t>
      </w:r>
      <w:r>
        <w:rPr>
          <w:rFonts w:hint="eastAsia" w:ascii="仿宋_GB2312" w:eastAsia="仿宋_GB2312"/>
          <w:color w:val="auto"/>
          <w:sz w:val="32"/>
          <w:szCs w:val="32"/>
          <w:highlight w:val="none"/>
          <w:lang w:val="en-US" w:eastAsia="zh-CN"/>
        </w:rPr>
        <w:t>32个</w:t>
      </w:r>
      <w:r>
        <w:rPr>
          <w:rFonts w:hint="eastAsia" w:ascii="仿宋_GB2312" w:eastAsia="仿宋_GB2312"/>
          <w:color w:val="auto"/>
          <w:sz w:val="32"/>
          <w:szCs w:val="32"/>
          <w:highlight w:val="none"/>
        </w:rPr>
        <w:t>项目开展了预算事前绩效评估，对</w:t>
      </w:r>
      <w:r>
        <w:rPr>
          <w:rFonts w:hint="eastAsia" w:ascii="仿宋_GB2312" w:eastAsia="仿宋_GB2312"/>
          <w:color w:val="auto"/>
          <w:sz w:val="32"/>
          <w:szCs w:val="32"/>
          <w:highlight w:val="none"/>
          <w:lang w:val="en-US" w:eastAsia="zh-CN"/>
        </w:rPr>
        <w:t>32</w:t>
      </w:r>
      <w:r>
        <w:rPr>
          <w:rFonts w:hint="eastAsia" w:ascii="仿宋_GB2312" w:eastAsia="仿宋_GB2312"/>
          <w:color w:val="auto"/>
          <w:sz w:val="32"/>
          <w:szCs w:val="32"/>
          <w:highlight w:val="none"/>
        </w:rPr>
        <w:t>个项目编制了绩效目标，预算执行过程中，选取</w:t>
      </w:r>
      <w:r>
        <w:rPr>
          <w:rFonts w:hint="eastAsia" w:ascii="仿宋_GB2312" w:eastAsia="仿宋_GB2312"/>
          <w:color w:val="auto"/>
          <w:sz w:val="32"/>
          <w:szCs w:val="32"/>
          <w:highlight w:val="none"/>
          <w:lang w:val="en-US" w:eastAsia="zh-CN"/>
        </w:rPr>
        <w:t>32</w:t>
      </w:r>
      <w:r>
        <w:rPr>
          <w:rFonts w:hint="eastAsia" w:ascii="仿宋_GB2312" w:eastAsia="仿宋_GB2312"/>
          <w:color w:val="auto"/>
          <w:sz w:val="32"/>
          <w:szCs w:val="32"/>
          <w:highlight w:val="none"/>
        </w:rPr>
        <w:t>个项目开展绩效监控。</w:t>
      </w:r>
    </w:p>
    <w:p>
      <w:pPr>
        <w:keepNext w:val="0"/>
        <w:keepLines w:val="0"/>
        <w:pageBreakBefore w:val="0"/>
        <w:widowControl w:val="0"/>
        <w:shd w:val="clear"/>
        <w:kinsoku/>
        <w:wordWrap/>
        <w:overflowPunct/>
        <w:topLinePunct w:val="0"/>
        <w:bidi w:val="0"/>
        <w:snapToGrid/>
        <w:spacing w:line="576" w:lineRule="exact"/>
        <w:ind w:left="0" w:leftChars="0" w:right="0"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组织对202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年度一般公共预算、政府性基金预算等全面开展绩效自评，形成</w:t>
      </w:r>
      <w:r>
        <w:rPr>
          <w:rFonts w:hint="eastAsia" w:ascii="仿宋_GB2312" w:eastAsia="仿宋_GB2312"/>
          <w:color w:val="auto"/>
          <w:sz w:val="32"/>
          <w:szCs w:val="32"/>
          <w:highlight w:val="none"/>
          <w:lang w:val="en-US" w:eastAsia="zh-CN"/>
        </w:rPr>
        <w:t>广元市自然资源局</w:t>
      </w:r>
      <w:r>
        <w:rPr>
          <w:rFonts w:hint="eastAsia" w:ascii="仿宋_GB2312" w:eastAsia="仿宋_GB2312"/>
          <w:color w:val="auto"/>
          <w:sz w:val="32"/>
          <w:szCs w:val="32"/>
          <w:highlight w:val="none"/>
        </w:rPr>
        <w:t>部门整体（含部门预算项目）绩效自评报告</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地灾防治工作经费”</w:t>
      </w:r>
      <w:r>
        <w:rPr>
          <w:rFonts w:hint="eastAsia" w:ascii="仿宋_GB2312" w:eastAsia="仿宋_GB2312"/>
          <w:color w:val="auto"/>
          <w:sz w:val="32"/>
          <w:szCs w:val="32"/>
          <w:highlight w:val="none"/>
        </w:rPr>
        <w:t>等</w:t>
      </w:r>
      <w:r>
        <w:rPr>
          <w:rFonts w:hint="eastAsia" w:ascii="仿宋_GB2312" w:eastAsia="仿宋_GB2312"/>
          <w:color w:val="auto"/>
          <w:sz w:val="32"/>
          <w:szCs w:val="32"/>
          <w:highlight w:val="none"/>
          <w:lang w:val="en-US" w:eastAsia="zh-CN"/>
        </w:rPr>
        <w:t>32个</w:t>
      </w:r>
      <w:r>
        <w:rPr>
          <w:rFonts w:hint="eastAsia" w:ascii="仿宋_GB2312" w:eastAsia="仿宋_GB2312"/>
          <w:color w:val="auto"/>
          <w:sz w:val="32"/>
          <w:szCs w:val="32"/>
          <w:highlight w:val="none"/>
        </w:rPr>
        <w:t>专项预算项目绩效自评报告，绩效自评综述：</w:t>
      </w:r>
      <w:r>
        <w:rPr>
          <w:rFonts w:hint="eastAsia" w:ascii="仿宋_GB2312" w:eastAsia="仿宋_GB2312"/>
          <w:color w:val="auto"/>
          <w:sz w:val="32"/>
          <w:szCs w:val="32"/>
          <w:highlight w:val="none"/>
          <w:lang w:val="en-US" w:eastAsia="zh-CN"/>
        </w:rPr>
        <w:t>2023年，广元市自然资源局制定的目标绩效实现率为100%。一是</w:t>
      </w:r>
      <w:r>
        <w:rPr>
          <w:rFonts w:hint="eastAsia" w:ascii="仿宋_GB2312" w:eastAsia="仿宋_GB2312"/>
          <w:color w:val="auto"/>
          <w:sz w:val="32"/>
          <w:szCs w:val="32"/>
          <w:highlight w:val="none"/>
          <w:lang w:eastAsia="zh-CN"/>
        </w:rPr>
        <w:t>人员经费支出</w:t>
      </w:r>
      <w:r>
        <w:rPr>
          <w:rFonts w:hint="eastAsia" w:ascii="仿宋_GB2312" w:hAnsi="仿宋_GB2312" w:eastAsia="仿宋_GB2312" w:cs="仿宋_GB2312"/>
          <w:color w:val="auto"/>
          <w:sz w:val="32"/>
          <w:szCs w:val="32"/>
          <w:highlight w:val="none"/>
          <w:lang w:val="en-US" w:eastAsia="zh-CN"/>
        </w:rPr>
        <w:t>1392.38</w:t>
      </w:r>
      <w:r>
        <w:rPr>
          <w:rFonts w:hint="eastAsia" w:ascii="仿宋_GB2312" w:eastAsia="仿宋_GB2312"/>
          <w:color w:val="auto"/>
          <w:sz w:val="32"/>
          <w:szCs w:val="32"/>
          <w:highlight w:val="none"/>
          <w:lang w:eastAsia="zh-CN"/>
        </w:rPr>
        <w:t>万元，按时发放职工工资、津补贴、奖金等工资福利，人员经费预算执行率为</w:t>
      </w:r>
      <w:r>
        <w:rPr>
          <w:rFonts w:hint="eastAsia" w:ascii="仿宋_GB2312" w:eastAsia="仿宋_GB2312"/>
          <w:color w:val="auto"/>
          <w:sz w:val="32"/>
          <w:szCs w:val="32"/>
          <w:highlight w:val="none"/>
          <w:lang w:val="en-US" w:eastAsia="zh-CN"/>
        </w:rPr>
        <w:t>100%。二是</w:t>
      </w:r>
      <w:r>
        <w:rPr>
          <w:rFonts w:hint="eastAsia" w:ascii="仿宋_GB2312" w:eastAsia="仿宋_GB2312"/>
          <w:color w:val="auto"/>
          <w:sz w:val="32"/>
          <w:szCs w:val="32"/>
          <w:highlight w:val="none"/>
          <w:lang w:eastAsia="zh-CN"/>
        </w:rPr>
        <w:t>日常公用经费支出</w:t>
      </w:r>
      <w:r>
        <w:rPr>
          <w:rFonts w:hint="eastAsia" w:ascii="仿宋_GB2312" w:hAnsi="仿宋_GB2312" w:eastAsia="仿宋_GB2312" w:cs="仿宋_GB2312"/>
          <w:color w:val="auto"/>
          <w:sz w:val="32"/>
          <w:szCs w:val="32"/>
          <w:highlight w:val="none"/>
          <w:lang w:val="en-US" w:eastAsia="zh-CN"/>
        </w:rPr>
        <w:t>214.04</w:t>
      </w:r>
      <w:r>
        <w:rPr>
          <w:rFonts w:hint="eastAsia" w:ascii="仿宋_GB2312" w:eastAsia="仿宋_GB2312"/>
          <w:color w:val="auto"/>
          <w:sz w:val="32"/>
          <w:szCs w:val="32"/>
          <w:highlight w:val="none"/>
          <w:lang w:eastAsia="zh-CN"/>
        </w:rPr>
        <w:t>万元，主要用于支付开展工作所需的办公费、会议费、印刷费、差旅费等，有效保障了机关日常运转，运转保障率</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lang w:eastAsia="zh-CN"/>
        </w:rPr>
        <w:t>；三是特定项目类支出</w:t>
      </w:r>
      <w:r>
        <w:rPr>
          <w:rFonts w:hint="eastAsia" w:ascii="仿宋_GB2312" w:eastAsia="仿宋_GB2312"/>
          <w:color w:val="auto"/>
          <w:sz w:val="32"/>
          <w:szCs w:val="32"/>
          <w:highlight w:val="none"/>
          <w:lang w:val="en-US" w:eastAsia="zh-CN"/>
        </w:rPr>
        <w:t>8327.63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，包括</w:t>
      </w:r>
      <w:r>
        <w:rPr>
          <w:rFonts w:hint="eastAsia" w:ascii="仿宋_GB2312" w:eastAsia="仿宋_GB2312"/>
          <w:color w:val="auto"/>
          <w:sz w:val="32"/>
          <w:szCs w:val="32"/>
          <w:highlight w:val="none"/>
          <w:lang w:val="en-US" w:eastAsia="zh-CN"/>
        </w:rPr>
        <w:t>地灾防治、耕地保护和土地报征、矿业权管理、信息化建设、空间规划一张图建设等32个特定项目，包括设置的完成指标、效益指标、满意度指标等三个方面共50个三级绩效目标均已实现，完成率95.95%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32个</w:t>
      </w:r>
      <w:r>
        <w:rPr>
          <w:rFonts w:hint="eastAsia" w:ascii="仿宋_GB2312" w:eastAsia="仿宋_GB2312"/>
          <w:color w:val="auto"/>
          <w:sz w:val="32"/>
          <w:szCs w:val="32"/>
          <w:highlight w:val="none"/>
        </w:rPr>
        <w:t>专项预算项目绩效自评得分</w:t>
      </w:r>
      <w:r>
        <w:rPr>
          <w:rFonts w:hint="eastAsia" w:ascii="仿宋_GB2312" w:eastAsia="仿宋_GB2312"/>
          <w:color w:val="auto"/>
          <w:sz w:val="32"/>
          <w:szCs w:val="32"/>
          <w:highlight w:val="none"/>
          <w:lang w:val="en-US" w:eastAsia="zh-CN"/>
        </w:rPr>
        <w:t>平均100</w:t>
      </w:r>
      <w:r>
        <w:rPr>
          <w:rFonts w:hint="eastAsia" w:ascii="仿宋_GB2312" w:eastAsia="仿宋_GB2312"/>
          <w:color w:val="auto"/>
          <w:sz w:val="32"/>
          <w:szCs w:val="32"/>
          <w:highlight w:val="none"/>
        </w:rPr>
        <w:t>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综上所述</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年专项预算绩效目标</w:t>
      </w:r>
      <w:r>
        <w:rPr>
          <w:rFonts w:hint="eastAsia" w:ascii="仿宋_GB2312" w:eastAsia="仿宋_GB2312"/>
          <w:color w:val="auto"/>
          <w:sz w:val="32"/>
          <w:szCs w:val="32"/>
          <w:highlight w:val="none"/>
          <w:lang w:eastAsia="zh-CN"/>
        </w:rPr>
        <w:t>管理工作</w:t>
      </w:r>
      <w:r>
        <w:rPr>
          <w:rFonts w:hint="eastAsia" w:ascii="仿宋_GB2312" w:eastAsia="仿宋_GB2312"/>
          <w:color w:val="auto"/>
          <w:sz w:val="32"/>
          <w:szCs w:val="32"/>
          <w:highlight w:val="none"/>
        </w:rPr>
        <w:t>程序严密、规划合理、分配科学，按进度实施</w:t>
      </w:r>
      <w:r>
        <w:rPr>
          <w:rFonts w:hint="eastAsia" w:ascii="仿宋_GB2312" w:eastAsia="仿宋_GB2312"/>
          <w:color w:val="auto"/>
          <w:sz w:val="32"/>
          <w:szCs w:val="32"/>
          <w:highlight w:val="none"/>
          <w:lang w:eastAsia="zh-CN"/>
        </w:rPr>
        <w:t>完成</w:t>
      </w:r>
      <w:r>
        <w:rPr>
          <w:rFonts w:hint="eastAsia" w:ascii="仿宋_GB2312" w:eastAsia="仿宋_GB2312"/>
          <w:color w:val="auto"/>
          <w:sz w:val="32"/>
          <w:szCs w:val="32"/>
          <w:highlight w:val="none"/>
        </w:rPr>
        <w:t>，执行过程中未发生违规</w:t>
      </w:r>
      <w:r>
        <w:rPr>
          <w:rFonts w:hint="eastAsia" w:ascii="仿宋_GB2312" w:eastAsia="仿宋_GB2312"/>
          <w:color w:val="auto"/>
          <w:sz w:val="32"/>
          <w:szCs w:val="32"/>
          <w:highlight w:val="none"/>
          <w:lang w:eastAsia="zh-CN"/>
        </w:rPr>
        <w:t>行为</w:t>
      </w:r>
      <w:r>
        <w:rPr>
          <w:rFonts w:hint="eastAsia" w:ascii="仿宋_GB2312" w:eastAsia="仿宋_GB2312"/>
          <w:color w:val="auto"/>
          <w:sz w:val="32"/>
          <w:szCs w:val="32"/>
          <w:highlight w:val="none"/>
        </w:rPr>
        <w:t>。绩效自评</w:t>
      </w:r>
      <w:r>
        <w:rPr>
          <w:rFonts w:hint="eastAsia" w:ascii="仿宋_GB2312" w:eastAsia="仿宋_GB2312"/>
          <w:color w:val="auto"/>
          <w:sz w:val="32"/>
          <w:szCs w:val="32"/>
          <w:highlight w:val="none"/>
          <w:lang w:val="en-US" w:eastAsia="zh-CN"/>
        </w:rPr>
        <w:t>表</w:t>
      </w:r>
      <w:r>
        <w:rPr>
          <w:rFonts w:hint="eastAsia" w:ascii="仿宋_GB2312" w:eastAsia="仿宋_GB2312"/>
          <w:color w:val="auto"/>
          <w:sz w:val="32"/>
          <w:szCs w:val="32"/>
          <w:highlight w:val="none"/>
        </w:rPr>
        <w:t>详见附件</w:t>
      </w:r>
      <w:r>
        <w:rPr>
          <w:rFonts w:hint="eastAsia" w:ascii="仿宋_GB2312" w:eastAsia="仿宋_GB2312"/>
          <w:color w:val="auto"/>
          <w:sz w:val="32"/>
          <w:szCs w:val="32"/>
          <w:highlight w:val="none"/>
          <w:lang w:eastAsia="zh-CN"/>
        </w:rPr>
        <w:t>。</w:t>
      </w:r>
    </w:p>
    <w:p>
      <w:pPr>
        <w:pageBreakBefore w:val="0"/>
        <w:widowControl/>
        <w:kinsoku/>
        <w:wordWrap/>
        <w:overflowPunct/>
        <w:topLinePunct w:val="0"/>
        <w:bidi w:val="0"/>
        <w:snapToGrid/>
        <w:spacing w:line="576" w:lineRule="exact"/>
        <w:ind w:left="0" w:right="0"/>
        <w:jc w:val="left"/>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pageBreakBefore w:val="0"/>
        <w:numPr>
          <w:ilvl w:val="0"/>
          <w:numId w:val="2"/>
        </w:numPr>
        <w:kinsoku/>
        <w:wordWrap/>
        <w:overflowPunct/>
        <w:topLinePunct w:val="0"/>
        <w:bidi w:val="0"/>
        <w:snapToGrid/>
        <w:spacing w:line="576" w:lineRule="exact"/>
        <w:ind w:left="0" w:right="0" w:firstLine="660" w:firstLineChars="150"/>
        <w:jc w:val="center"/>
        <w:textAlignment w:val="auto"/>
        <w:outlineLvl w:val="0"/>
        <w:rPr>
          <w:rStyle w:val="17"/>
          <w:rFonts w:ascii="黑体" w:hAnsi="黑体" w:eastAsia="黑体"/>
          <w:b w:val="0"/>
          <w:color w:val="auto"/>
          <w:highlight w:val="none"/>
        </w:rPr>
      </w:pPr>
      <w:bookmarkStart w:id="99" w:name="_Toc13410"/>
      <w:bookmarkStart w:id="100" w:name="_Toc15377225"/>
      <w:bookmarkStart w:id="101" w:name="_Toc32766"/>
      <w:bookmarkStart w:id="102" w:name="_Toc15396613"/>
      <w:r>
        <w:rPr>
          <w:rFonts w:hint="eastAsia" w:ascii="黑体" w:hAnsi="黑体" w:eastAsia="黑体"/>
          <w:color w:val="auto"/>
          <w:sz w:val="44"/>
          <w:szCs w:val="44"/>
          <w:highlight w:val="none"/>
        </w:rPr>
        <w:t>名</w:t>
      </w:r>
      <w:r>
        <w:rPr>
          <w:rStyle w:val="17"/>
          <w:rFonts w:hint="eastAsia" w:ascii="黑体" w:hAnsi="黑体" w:eastAsia="黑体"/>
          <w:b w:val="0"/>
          <w:color w:val="auto"/>
          <w:highlight w:val="none"/>
        </w:rPr>
        <w:t>词解释</w:t>
      </w:r>
      <w:bookmarkEnd w:id="99"/>
      <w:bookmarkEnd w:id="100"/>
      <w:bookmarkEnd w:id="101"/>
      <w:bookmarkEnd w:id="102"/>
    </w:p>
    <w:p>
      <w:pPr>
        <w:pageBreakBefore w:val="0"/>
        <w:kinsoku/>
        <w:wordWrap/>
        <w:overflowPunct/>
        <w:topLinePunct w:val="0"/>
        <w:bidi w:val="0"/>
        <w:snapToGrid/>
        <w:spacing w:line="576" w:lineRule="exact"/>
        <w:ind w:left="0" w:right="0"/>
        <w:jc w:val="left"/>
        <w:textAlignment w:val="auto"/>
        <w:rPr>
          <w:rFonts w:ascii="宋体"/>
          <w:b/>
          <w:color w:val="auto"/>
          <w:sz w:val="44"/>
          <w:szCs w:val="44"/>
          <w:highlight w:val="none"/>
        </w:rPr>
      </w:pP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财政拨款收入：指单位从同级财政部门取得的财政预算资金。</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年初结转和结余：指以前年度尚未完成、结转到本年按有关规定继续使用的资金。</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人力资源和社会保障管理事务</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引进人才费用</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指引进人才的安家补助和生活补助。</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人力资源和社会保障管理事务</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其他人力资源和社会保障管理事务</w:t>
      </w:r>
      <w:r>
        <w:rPr>
          <w:rFonts w:hint="eastAsia" w:ascii="仿宋_GB2312" w:hAnsi="仿宋_GB2312" w:eastAsia="仿宋_GB2312" w:cs="仿宋_GB2312"/>
          <w:color w:val="auto"/>
          <w:sz w:val="32"/>
          <w:szCs w:val="32"/>
          <w:highlight w:val="none"/>
        </w:rPr>
        <w:t>支出（项）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指其他用于人力资源和社会保障管理事务方面的支出。</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（类）行政事业单位</w:t>
      </w:r>
      <w:r>
        <w:rPr>
          <w:rFonts w:hint="eastAsia" w:ascii="仿宋_GB2312" w:hAnsi="仿宋_GB2312" w:eastAsia="仿宋_GB2312" w:cs="仿宋_GB2312"/>
          <w:color w:val="auto"/>
          <w:sz w:val="32"/>
          <w:szCs w:val="32"/>
          <w:highlight w:val="none"/>
          <w:lang w:val="en-US" w:eastAsia="zh-CN"/>
        </w:rPr>
        <w:t>养老支出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行政单位离退休</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w:t>
      </w:r>
      <w:r>
        <w:rPr>
          <w:rFonts w:hint="eastAsia" w:ascii="仿宋_GB2312" w:hAnsi="仿宋_GB2312" w:eastAsia="仿宋_GB2312" w:cs="仿宋_GB2312"/>
          <w:color w:val="auto"/>
          <w:sz w:val="32"/>
          <w:szCs w:val="32"/>
          <w:highlight w:val="none"/>
          <w:lang w:val="en-US" w:eastAsia="zh-CN"/>
        </w:rPr>
        <w:t>行政事业单位退休职工生活补助</w:t>
      </w:r>
      <w:r>
        <w:rPr>
          <w:rFonts w:hint="eastAsia" w:ascii="仿宋_GB2312" w:hAnsi="仿宋_GB2312" w:eastAsia="仿宋_GB2312" w:cs="仿宋_GB2312"/>
          <w:color w:val="auto"/>
          <w:sz w:val="32"/>
          <w:szCs w:val="32"/>
          <w:highlight w:val="none"/>
        </w:rPr>
        <w:t>。</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（类）行政事业单位</w:t>
      </w:r>
      <w:r>
        <w:rPr>
          <w:rFonts w:hint="eastAsia" w:ascii="仿宋_GB2312" w:hAnsi="仿宋_GB2312" w:eastAsia="仿宋_GB2312" w:cs="仿宋_GB2312"/>
          <w:color w:val="auto"/>
          <w:sz w:val="32"/>
          <w:szCs w:val="32"/>
          <w:highlight w:val="none"/>
          <w:lang w:val="en-US" w:eastAsia="zh-CN"/>
        </w:rPr>
        <w:t>养老支出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机关事业单位基本养老保险缴费支出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指机关事业单位实施养老保险制度由单位缴纳的基本养老保险费支出</w:t>
      </w:r>
      <w:r>
        <w:rPr>
          <w:rFonts w:hint="eastAsia" w:ascii="仿宋_GB2312" w:hAnsi="仿宋_GB2312" w:eastAsia="仿宋_GB2312" w:cs="仿宋_GB2312"/>
          <w:color w:val="auto"/>
          <w:sz w:val="32"/>
          <w:szCs w:val="32"/>
          <w:highlight w:val="none"/>
          <w:lang w:eastAsia="zh-CN"/>
        </w:rPr>
        <w:t>。</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（类）行政事业单位</w:t>
      </w:r>
      <w:r>
        <w:rPr>
          <w:rFonts w:hint="eastAsia" w:ascii="仿宋_GB2312" w:hAnsi="仿宋_GB2312" w:eastAsia="仿宋_GB2312" w:cs="仿宋_GB2312"/>
          <w:color w:val="auto"/>
          <w:sz w:val="32"/>
          <w:szCs w:val="32"/>
          <w:highlight w:val="none"/>
          <w:lang w:val="en-US" w:eastAsia="zh-CN"/>
        </w:rPr>
        <w:t>养老支出</w:t>
      </w:r>
      <w:r>
        <w:rPr>
          <w:rFonts w:hint="eastAsia" w:ascii="仿宋_GB2312" w:hAnsi="仿宋_GB2312" w:eastAsia="仿宋_GB2312" w:cs="仿宋_GB2312"/>
          <w:color w:val="auto"/>
          <w:sz w:val="32"/>
          <w:szCs w:val="32"/>
          <w:highlight w:val="none"/>
        </w:rPr>
        <w:t>（款）机关事业单位职业年金缴费支出（项）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指机关事业单位实施养老保险制度由单位实际缴纳的职业年金支出。</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（类）行政事业单位医疗（款）行政单位医疗（项）：指</w:t>
      </w:r>
      <w:r>
        <w:rPr>
          <w:rFonts w:hint="eastAsia" w:ascii="仿宋_GB2312" w:hAnsi="仿宋_GB2312" w:eastAsia="仿宋_GB2312" w:cs="仿宋_GB2312"/>
          <w:color w:val="auto"/>
          <w:sz w:val="32"/>
          <w:szCs w:val="32"/>
          <w:highlight w:val="none"/>
          <w:lang w:val="en-US" w:eastAsia="zh-CN"/>
        </w:rPr>
        <w:t>财政部门安排的行政单位（包括实行公务员管理的事业单位）</w:t>
      </w:r>
      <w:r>
        <w:rPr>
          <w:rFonts w:hint="eastAsia" w:ascii="仿宋_GB2312" w:hAnsi="仿宋_GB2312" w:eastAsia="仿宋_GB2312" w:cs="仿宋_GB2312"/>
          <w:color w:val="auto"/>
          <w:sz w:val="32"/>
          <w:szCs w:val="32"/>
          <w:highlight w:val="none"/>
        </w:rPr>
        <w:t>基本医疗保险</w:t>
      </w:r>
      <w:r>
        <w:rPr>
          <w:rFonts w:hint="eastAsia" w:ascii="仿宋_GB2312" w:hAnsi="仿宋_GB2312" w:eastAsia="仿宋_GB2312" w:cs="仿宋_GB2312"/>
          <w:color w:val="auto"/>
          <w:sz w:val="32"/>
          <w:szCs w:val="32"/>
          <w:highlight w:val="none"/>
          <w:lang w:val="en-US" w:eastAsia="zh-CN"/>
        </w:rPr>
        <w:t>经费</w:t>
      </w:r>
      <w:r>
        <w:rPr>
          <w:rFonts w:hint="eastAsia" w:ascii="仿宋_GB2312" w:hAnsi="仿宋_GB2312" w:eastAsia="仿宋_GB2312" w:cs="仿宋_GB2312"/>
          <w:color w:val="auto"/>
          <w:sz w:val="32"/>
          <w:szCs w:val="32"/>
          <w:highlight w:val="none"/>
        </w:rPr>
        <w:t>。</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节能环保支出（类）自然生态保护（项）生态保护（项）：指用于广元市嘉陵江上游山水林田湖草一体化保护和修复工程项目编制方面的支出。</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城</w:t>
      </w:r>
      <w:r>
        <w:rPr>
          <w:rFonts w:hint="eastAsia" w:ascii="仿宋_GB2312" w:hAnsi="仿宋_GB2312" w:eastAsia="仿宋_GB2312" w:cs="仿宋_GB2312"/>
          <w:color w:val="auto"/>
          <w:sz w:val="32"/>
          <w:szCs w:val="32"/>
          <w:highlight w:val="none"/>
          <w:lang w:val="en-US" w:eastAsia="zh-CN"/>
        </w:rPr>
        <w:t>乡</w:t>
      </w:r>
      <w:r>
        <w:rPr>
          <w:rFonts w:hint="eastAsia" w:ascii="仿宋_GB2312" w:hAnsi="仿宋_GB2312" w:eastAsia="仿宋_GB2312" w:cs="仿宋_GB2312"/>
          <w:color w:val="auto"/>
          <w:sz w:val="32"/>
          <w:szCs w:val="32"/>
          <w:highlight w:val="none"/>
        </w:rPr>
        <w:t>社区</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国有土地使用权出让收入安排的支出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土地开发支出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指用于广元市利州区2023年第5批次建设用地使用林地森林植被恢复费方面的支出。</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城</w:t>
      </w:r>
      <w:r>
        <w:rPr>
          <w:rFonts w:hint="eastAsia" w:ascii="仿宋_GB2312" w:hAnsi="仿宋_GB2312" w:eastAsia="仿宋_GB2312" w:cs="仿宋_GB2312"/>
          <w:color w:val="auto"/>
          <w:sz w:val="32"/>
          <w:szCs w:val="32"/>
          <w:highlight w:val="none"/>
          <w:lang w:val="en-US" w:eastAsia="zh-CN"/>
        </w:rPr>
        <w:t>乡</w:t>
      </w:r>
      <w:r>
        <w:rPr>
          <w:rFonts w:hint="eastAsia" w:ascii="仿宋_GB2312" w:hAnsi="仿宋_GB2312" w:eastAsia="仿宋_GB2312" w:cs="仿宋_GB2312"/>
          <w:color w:val="auto"/>
          <w:sz w:val="32"/>
          <w:szCs w:val="32"/>
          <w:highlight w:val="none"/>
        </w:rPr>
        <w:t>社区</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国有土地使用权出让收入安排的支出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农村基础设施建设支出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指用于元山弃土场及配套工程方面的支出。</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城</w:t>
      </w:r>
      <w:r>
        <w:rPr>
          <w:rFonts w:hint="eastAsia" w:ascii="仿宋_GB2312" w:hAnsi="仿宋_GB2312" w:eastAsia="仿宋_GB2312" w:cs="仿宋_GB2312"/>
          <w:color w:val="auto"/>
          <w:sz w:val="32"/>
          <w:szCs w:val="32"/>
          <w:highlight w:val="none"/>
          <w:lang w:val="en-US" w:eastAsia="zh-CN"/>
        </w:rPr>
        <w:t>乡</w:t>
      </w:r>
      <w:r>
        <w:rPr>
          <w:rFonts w:hint="eastAsia" w:ascii="仿宋_GB2312" w:hAnsi="仿宋_GB2312" w:eastAsia="仿宋_GB2312" w:cs="仿宋_GB2312"/>
          <w:color w:val="auto"/>
          <w:sz w:val="32"/>
          <w:szCs w:val="32"/>
          <w:highlight w:val="none"/>
        </w:rPr>
        <w:t>社区</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国有土地使用权出让收入安排的支出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补助被征地农民支出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指用于广元市利州区第5批次建设用地被征地农民社保资金预存款支出。</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城</w:t>
      </w:r>
      <w:r>
        <w:rPr>
          <w:rFonts w:hint="eastAsia" w:ascii="仿宋_GB2312" w:hAnsi="仿宋_GB2312" w:eastAsia="仿宋_GB2312" w:cs="仿宋_GB2312"/>
          <w:color w:val="auto"/>
          <w:sz w:val="32"/>
          <w:szCs w:val="32"/>
          <w:highlight w:val="none"/>
          <w:lang w:val="en-US" w:eastAsia="zh-CN"/>
        </w:rPr>
        <w:t>乡</w:t>
      </w:r>
      <w:r>
        <w:rPr>
          <w:rFonts w:hint="eastAsia" w:ascii="仿宋_GB2312" w:hAnsi="仿宋_GB2312" w:eastAsia="仿宋_GB2312" w:cs="仿宋_GB2312"/>
          <w:color w:val="auto"/>
          <w:sz w:val="32"/>
          <w:szCs w:val="32"/>
          <w:highlight w:val="none"/>
        </w:rPr>
        <w:t>社区</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val="en-US" w:eastAsia="zh-CN"/>
        </w:rPr>
        <w:t>国有土地使用权出让收入安排的支出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土地出让业务支出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指土地出让收入用于土地</w:t>
      </w:r>
      <w:r>
        <w:rPr>
          <w:rFonts w:hint="eastAsia" w:ascii="仿宋_GB2312" w:hAnsi="仿宋_GB2312" w:eastAsia="仿宋_GB2312" w:cs="仿宋_GB2312"/>
          <w:color w:val="auto"/>
          <w:sz w:val="32"/>
          <w:szCs w:val="32"/>
          <w:highlight w:val="none"/>
        </w:rPr>
        <w:t>出让</w:t>
      </w:r>
      <w:r>
        <w:rPr>
          <w:rFonts w:hint="eastAsia" w:ascii="仿宋_GB2312" w:hAnsi="仿宋_GB2312" w:eastAsia="仿宋_GB2312" w:cs="仿宋_GB2312"/>
          <w:color w:val="auto"/>
          <w:sz w:val="32"/>
          <w:szCs w:val="32"/>
          <w:highlight w:val="none"/>
          <w:lang w:val="en-US" w:eastAsia="zh-CN"/>
        </w:rPr>
        <w:t>业务费用的支出。</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城乡社区支出（类）国有土地使用权出让收入安排的支出（款）农业生产发展支出（项）：指用于城市建设用地增减挂钩省市联合检查方面的支出。</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城乡社区支出（类）国有土地使用权出让收入安排的支出（款）其他国有土地使用权出让收入安排的支出（项）：指用于广元市矿产资源调查方面的支出。</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自然资源海洋气象等</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（类）自然资源事务（款）行政运行（项）：指</w:t>
      </w:r>
      <w:r>
        <w:rPr>
          <w:rFonts w:hint="eastAsia" w:ascii="仿宋_GB2312" w:hAnsi="仿宋_GB2312" w:eastAsia="仿宋_GB2312" w:cs="仿宋_GB2312"/>
          <w:color w:val="auto"/>
          <w:sz w:val="32"/>
          <w:szCs w:val="32"/>
          <w:highlight w:val="none"/>
          <w:lang w:val="en-US" w:eastAsia="zh-CN"/>
        </w:rPr>
        <w:t>用于行政单位（包括实行公务员管理的事业单位）的</w:t>
      </w:r>
      <w:r>
        <w:rPr>
          <w:rFonts w:hint="eastAsia" w:ascii="仿宋_GB2312" w:hAnsi="仿宋_GB2312" w:eastAsia="仿宋_GB2312" w:cs="仿宋_GB2312"/>
          <w:color w:val="auto"/>
          <w:sz w:val="32"/>
          <w:szCs w:val="32"/>
          <w:highlight w:val="none"/>
        </w:rPr>
        <w:t>基本</w:t>
      </w:r>
      <w:r>
        <w:rPr>
          <w:rFonts w:hint="eastAsia" w:ascii="仿宋_GB2312" w:hAnsi="仿宋_GB2312" w:eastAsia="仿宋_GB2312" w:cs="仿宋_GB2312"/>
          <w:color w:val="auto"/>
          <w:sz w:val="32"/>
          <w:szCs w:val="32"/>
          <w:highlight w:val="none"/>
          <w:lang w:val="en-US" w:eastAsia="zh-CN"/>
        </w:rPr>
        <w:t>支出。</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自然资源海洋气象等</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（类）自然资源事务（款）</w:t>
      </w:r>
      <w:r>
        <w:rPr>
          <w:rFonts w:hint="eastAsia" w:ascii="仿宋_GB2312" w:hAnsi="仿宋_GB2312" w:eastAsia="仿宋_GB2312" w:cs="仿宋_GB2312"/>
          <w:color w:val="auto"/>
          <w:sz w:val="32"/>
          <w:szCs w:val="32"/>
          <w:highlight w:val="none"/>
          <w:lang w:val="en-US" w:eastAsia="zh-CN"/>
        </w:rPr>
        <w:t>一般行政管理事务</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指用于硅基专班及民宿推介方面的支出。</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自然资源海洋气象等</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color w:val="auto"/>
          <w:sz w:val="32"/>
          <w:szCs w:val="32"/>
          <w:highlight w:val="none"/>
        </w:rPr>
        <w:t>（类）自然资源事务（款）</w:t>
      </w:r>
      <w:r>
        <w:rPr>
          <w:rFonts w:hint="eastAsia" w:ascii="仿宋_GB2312" w:hAnsi="仿宋_GB2312" w:eastAsia="仿宋_GB2312" w:cs="仿宋_GB2312"/>
          <w:color w:val="auto"/>
          <w:sz w:val="32"/>
          <w:szCs w:val="32"/>
          <w:highlight w:val="none"/>
          <w:lang w:val="en-US" w:eastAsia="zh-CN"/>
        </w:rPr>
        <w:t>自然资源行业业务管理</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val="en-US" w:eastAsia="zh-CN"/>
        </w:rPr>
        <w:t>指用于自然资源行业业务管理经费，包括政策法规、审计监督、队伍建设等方面的支出。</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自然资源海洋气象等支出（类）自然资源事务（款）地质勘察与矿产资源管理（项）：指矿业权管理、矿产资源合理利用和保护方面的支出。</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自然资源海洋气象等支出（类）自然资源事务（款）其他自然资源事务（项）：指</w:t>
      </w:r>
      <w:r>
        <w:rPr>
          <w:rFonts w:hint="eastAsia" w:ascii="仿宋_GB2312" w:hAnsi="仿宋_GB2312" w:eastAsia="仿宋_GB2312" w:cs="仿宋_GB2312"/>
          <w:color w:val="auto"/>
          <w:sz w:val="32"/>
          <w:szCs w:val="32"/>
          <w:highlight w:val="none"/>
          <w:lang w:val="en-US" w:eastAsia="zh-CN"/>
        </w:rPr>
        <w:t>其他用于自然资源事务方面的支出。</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住房保障（类）住房改革支出（款）住房公积金（项）：指按行政事业单位按人力资源部和社会保障部、财政部规定的基本工资和津贴补贴以及规定比例为职工缴纳的住房</w:t>
      </w:r>
      <w:r>
        <w:rPr>
          <w:rFonts w:hint="eastAsia" w:ascii="仿宋_GB2312" w:hAnsi="仿宋_GB2312" w:eastAsia="仿宋_GB2312" w:cs="仿宋_GB2312"/>
          <w:color w:val="auto"/>
          <w:sz w:val="32"/>
          <w:szCs w:val="32"/>
          <w:highlight w:val="none"/>
          <w:lang w:eastAsia="zh-CN"/>
        </w:rPr>
        <w:t>公</w:t>
      </w:r>
      <w:r>
        <w:rPr>
          <w:rFonts w:hint="eastAsia" w:ascii="仿宋_GB2312" w:hAnsi="仿宋_GB2312" w:eastAsia="仿宋_GB2312" w:cs="仿宋_GB2312"/>
          <w:color w:val="auto"/>
          <w:sz w:val="32"/>
          <w:szCs w:val="32"/>
          <w:highlight w:val="none"/>
          <w:lang w:val="en-US" w:eastAsia="zh-CN"/>
        </w:rPr>
        <w:t>积金。</w:t>
      </w:r>
    </w:p>
    <w:p>
      <w:pPr>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基本支出：指为保障机构正常运转、完成日常工作任务而发生的人员支出和公用支出。</w:t>
      </w:r>
    </w:p>
    <w:p>
      <w:pPr>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项目支出：指在基本支出之外为完成特定行政任务和事业发展目标所发生的支出。</w:t>
      </w:r>
    </w:p>
    <w:p>
      <w:pPr>
        <w:pStyle w:val="26"/>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numPr>
          <w:ilvl w:val="0"/>
          <w:numId w:val="3"/>
        </w:numPr>
        <w:shd w:val="clear"/>
        <w:kinsoku/>
        <w:wordWrap/>
        <w:overflowPunct/>
        <w:topLinePunct w:val="0"/>
        <w:bidi w:val="0"/>
        <w:snapToGrid/>
        <w:spacing w:line="576" w:lineRule="exact"/>
        <w:ind w:left="0" w:leftChars="0" w:right="0" w:firstLine="400" w:firstLineChars="0"/>
        <w:jc w:val="both"/>
        <w:textAlignment w:val="auto"/>
        <w:outlineLvl w:val="0"/>
        <w:rPr>
          <w:rFonts w:ascii="仿宋_GB2312" w:eastAsia="仿宋_GB2312"/>
          <w:color w:val="auto"/>
          <w:sz w:val="32"/>
          <w:szCs w:val="32"/>
          <w:highlight w:val="none"/>
        </w:rPr>
      </w:pPr>
      <w:bookmarkStart w:id="103" w:name="_Toc4404"/>
      <w:bookmarkStart w:id="104" w:name="_Toc20253"/>
      <w:bookmarkStart w:id="105" w:name="_Toc31341"/>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103"/>
      <w:bookmarkEnd w:id="104"/>
      <w:bookmarkEnd w:id="105"/>
    </w:p>
    <w:p>
      <w:pPr>
        <w:pStyle w:val="26"/>
        <w:spacing w:line="560" w:lineRule="exact"/>
        <w:ind w:firstLine="640" w:firstLineChars="200"/>
        <w:rPr>
          <w:rFonts w:ascii="仿宋_GB2312" w:eastAsia="仿宋_GB2312" w:cs="黑体"/>
          <w:color w:val="auto"/>
          <w:sz w:val="32"/>
          <w:szCs w:val="32"/>
          <w:highlight w:val="none"/>
        </w:rPr>
      </w:pPr>
    </w:p>
    <w:p>
      <w:pPr>
        <w:ind w:firstLine="642" w:firstLineChars="200"/>
        <w:rPr>
          <w:rFonts w:ascii="仿宋" w:hAnsi="仿宋" w:eastAsia="仿宋"/>
          <w:b/>
          <w:color w:val="auto"/>
          <w:sz w:val="32"/>
          <w:szCs w:val="32"/>
          <w:highlight w:val="none"/>
        </w:rPr>
      </w:pPr>
    </w:p>
    <w:p>
      <w:pPr>
        <w:spacing w:line="600" w:lineRule="exact"/>
        <w:jc w:val="center"/>
        <w:outlineLvl w:val="0"/>
        <w:rPr>
          <w:rStyle w:val="17"/>
          <w:rFonts w:ascii="黑体" w:hAnsi="黑体" w:eastAsia="黑体"/>
          <w:b w:val="0"/>
          <w:color w:val="auto"/>
          <w:highlight w:val="none"/>
        </w:rPr>
      </w:pPr>
      <w:bookmarkStart w:id="106" w:name="_Toc15377226"/>
      <w:r>
        <w:rPr>
          <w:rFonts w:ascii="宋体"/>
          <w:b/>
          <w:color w:val="auto"/>
          <w:sz w:val="44"/>
          <w:szCs w:val="44"/>
          <w:highlight w:val="none"/>
        </w:rPr>
        <w:br w:type="page"/>
      </w:r>
      <w:bookmarkStart w:id="107" w:name="_Toc29946"/>
      <w:bookmarkStart w:id="108" w:name="_Toc15396614"/>
      <w:bookmarkStart w:id="109" w:name="_Toc6396"/>
      <w:r>
        <w:rPr>
          <w:rFonts w:hint="eastAsia" w:ascii="黑体" w:hAnsi="黑体" w:eastAsia="黑体"/>
          <w:color w:val="auto"/>
          <w:sz w:val="44"/>
          <w:szCs w:val="44"/>
          <w:highlight w:val="none"/>
        </w:rPr>
        <w:t>第</w:t>
      </w:r>
      <w:r>
        <w:rPr>
          <w:rStyle w:val="17"/>
          <w:rFonts w:hint="eastAsia" w:ascii="黑体" w:hAnsi="黑体" w:eastAsia="黑体"/>
          <w:b w:val="0"/>
          <w:color w:val="auto"/>
          <w:highlight w:val="none"/>
        </w:rPr>
        <w:t>四部分 附件</w:t>
      </w:r>
      <w:bookmarkEnd w:id="107"/>
      <w:bookmarkEnd w:id="108"/>
      <w:bookmarkEnd w:id="109"/>
    </w:p>
    <w:p>
      <w:pPr>
        <w:keepNext w:val="0"/>
        <w:keepLines w:val="0"/>
        <w:pageBreakBefore w:val="0"/>
        <w:kinsoku/>
        <w:wordWrap/>
        <w:overflowPunct/>
        <w:topLinePunct w:val="0"/>
        <w:autoSpaceDE/>
        <w:autoSpaceDN/>
        <w:bidi w:val="0"/>
        <w:spacing w:line="572" w:lineRule="exact"/>
        <w:jc w:val="left"/>
        <w:textAlignment w:val="auto"/>
        <w:outlineLvl w:val="9"/>
        <w:rPr>
          <w:rFonts w:ascii="仿宋_GB2312" w:hAnsi="仿宋_GB2312" w:eastAsia="仿宋_GB2312" w:cs="仿宋_GB2312"/>
          <w:color w:val="auto"/>
          <w:sz w:val="32"/>
          <w:szCs w:val="32"/>
          <w:highlight w:val="none"/>
        </w:rPr>
      </w:pPr>
    </w:p>
    <w:p>
      <w:pPr>
        <w:spacing w:line="600" w:lineRule="exact"/>
        <w:jc w:val="center"/>
        <w:outlineLvl w:val="1"/>
        <w:rPr>
          <w:rFonts w:hint="eastAsia" w:ascii="宋体" w:hAnsi="宋体" w:eastAsia="宋体" w:cs="宋体"/>
          <w:color w:val="auto"/>
          <w:kern w:val="0"/>
          <w:sz w:val="32"/>
          <w:szCs w:val="32"/>
          <w:highlight w:val="none"/>
          <w:lang w:val="en-US" w:eastAsia="zh-CN" w:bidi="ar-SA"/>
        </w:rPr>
      </w:pPr>
      <w:bookmarkStart w:id="110" w:name="_Toc11931"/>
      <w:bookmarkStart w:id="111" w:name="_Toc12711"/>
      <w:bookmarkStart w:id="112" w:name="_Toc15396618"/>
      <w:r>
        <w:rPr>
          <w:rFonts w:hint="eastAsia" w:ascii="宋体" w:hAnsi="宋体" w:eastAsia="宋体" w:cs="宋体"/>
          <w:color w:val="auto"/>
          <w:kern w:val="0"/>
          <w:sz w:val="32"/>
          <w:szCs w:val="32"/>
          <w:highlight w:val="none"/>
          <w:lang w:val="en-US" w:eastAsia="zh-CN" w:bidi="ar-SA"/>
        </w:rPr>
        <w:t>部门预算项目支出绩效自评表（2022年度）</w:t>
      </w:r>
      <w:bookmarkEnd w:id="110"/>
      <w:bookmarkEnd w:id="111"/>
    </w:p>
    <w:p>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p>
      <w:pPr>
        <w:spacing w:line="600" w:lineRule="exact"/>
        <w:jc w:val="center"/>
        <w:outlineLvl w:val="0"/>
        <w:rPr>
          <w:rFonts w:hint="eastAsia" w:ascii="仿宋" w:hAnsi="仿宋" w:eastAsia="仿宋"/>
          <w:b w:val="0"/>
          <w:color w:val="auto"/>
          <w:highlight w:val="none"/>
        </w:rPr>
      </w:pPr>
      <w:bookmarkStart w:id="113" w:name="_Toc4045"/>
      <w:bookmarkStart w:id="114" w:name="_Toc30980"/>
      <w:r>
        <w:rPr>
          <w:rFonts w:hint="eastAsia" w:ascii="黑体" w:hAnsi="黑体" w:eastAsia="黑体"/>
          <w:color w:val="auto"/>
          <w:sz w:val="44"/>
          <w:szCs w:val="44"/>
          <w:highlight w:val="none"/>
        </w:rPr>
        <w:t>第</w:t>
      </w:r>
      <w:r>
        <w:rPr>
          <w:rStyle w:val="17"/>
          <w:rFonts w:hint="eastAsia" w:ascii="黑体" w:hAnsi="黑体" w:eastAsia="黑体"/>
          <w:b w:val="0"/>
          <w:color w:val="auto"/>
          <w:highlight w:val="none"/>
        </w:rPr>
        <w:t>五部分 附表</w:t>
      </w:r>
      <w:bookmarkEnd w:id="106"/>
      <w:bookmarkEnd w:id="112"/>
      <w:bookmarkEnd w:id="113"/>
      <w:bookmarkEnd w:id="114"/>
      <w:bookmarkStart w:id="115" w:name="_Toc15396619"/>
    </w:p>
    <w:p>
      <w:pPr>
        <w:pStyle w:val="4"/>
        <w:rPr>
          <w:rFonts w:ascii="仿宋" w:hAnsi="仿宋" w:eastAsia="仿宋"/>
          <w:color w:val="auto"/>
          <w:highlight w:val="none"/>
        </w:rPr>
      </w:pPr>
      <w:bookmarkStart w:id="116" w:name="_Toc21041"/>
      <w:bookmarkStart w:id="117" w:name="_Toc19257"/>
      <w:r>
        <w:rPr>
          <w:rFonts w:hint="eastAsia" w:ascii="仿宋" w:hAnsi="仿宋" w:eastAsia="仿宋"/>
          <w:b w:val="0"/>
          <w:color w:val="auto"/>
          <w:highlight w:val="none"/>
        </w:rPr>
        <w:t>一、收</w:t>
      </w:r>
      <w:r>
        <w:rPr>
          <w:rStyle w:val="18"/>
          <w:rFonts w:hint="eastAsia" w:ascii="仿宋" w:hAnsi="仿宋" w:eastAsia="仿宋"/>
          <w:b w:val="0"/>
          <w:bCs w:val="0"/>
          <w:color w:val="auto"/>
          <w:highlight w:val="none"/>
        </w:rPr>
        <w:t>入支出决算总表</w:t>
      </w:r>
      <w:bookmarkEnd w:id="115"/>
      <w:bookmarkEnd w:id="116"/>
      <w:bookmarkEnd w:id="117"/>
    </w:p>
    <w:p>
      <w:pPr>
        <w:pStyle w:val="4"/>
        <w:rPr>
          <w:rFonts w:ascii="仿宋" w:hAnsi="仿宋" w:eastAsia="仿宋"/>
          <w:color w:val="auto"/>
          <w:highlight w:val="none"/>
        </w:rPr>
      </w:pPr>
      <w:bookmarkStart w:id="118" w:name="_Toc15396620"/>
      <w:bookmarkStart w:id="119" w:name="_Toc27744"/>
      <w:bookmarkStart w:id="120" w:name="_Toc647"/>
      <w:r>
        <w:rPr>
          <w:rFonts w:hint="eastAsia" w:ascii="仿宋" w:hAnsi="仿宋" w:eastAsia="仿宋"/>
          <w:b w:val="0"/>
          <w:color w:val="auto"/>
          <w:highlight w:val="none"/>
        </w:rPr>
        <w:t>二、收</w:t>
      </w:r>
      <w:r>
        <w:rPr>
          <w:rStyle w:val="18"/>
          <w:rFonts w:hint="eastAsia" w:ascii="仿宋" w:hAnsi="仿宋" w:eastAsia="仿宋"/>
          <w:b w:val="0"/>
          <w:bCs w:val="0"/>
          <w:color w:val="auto"/>
          <w:highlight w:val="none"/>
        </w:rPr>
        <w:t>入决算表</w:t>
      </w:r>
      <w:bookmarkEnd w:id="118"/>
      <w:bookmarkEnd w:id="119"/>
      <w:bookmarkEnd w:id="120"/>
    </w:p>
    <w:p>
      <w:pPr>
        <w:pStyle w:val="4"/>
        <w:rPr>
          <w:rFonts w:ascii="仿宋" w:hAnsi="仿宋" w:eastAsia="仿宋"/>
          <w:color w:val="auto"/>
          <w:highlight w:val="none"/>
        </w:rPr>
      </w:pPr>
      <w:bookmarkStart w:id="121" w:name="_Toc15396621"/>
      <w:bookmarkStart w:id="122" w:name="_Toc8419"/>
      <w:bookmarkStart w:id="123" w:name="_Toc32086"/>
      <w:r>
        <w:rPr>
          <w:rStyle w:val="1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8"/>
          <w:rFonts w:hint="eastAsia" w:ascii="仿宋" w:hAnsi="仿宋" w:eastAsia="仿宋"/>
          <w:b w:val="0"/>
          <w:bCs w:val="0"/>
          <w:color w:val="auto"/>
          <w:highlight w:val="none"/>
        </w:rPr>
        <w:t>出决算表</w:t>
      </w:r>
      <w:bookmarkEnd w:id="121"/>
      <w:bookmarkEnd w:id="122"/>
      <w:bookmarkEnd w:id="123"/>
    </w:p>
    <w:p>
      <w:pPr>
        <w:pStyle w:val="4"/>
        <w:rPr>
          <w:rFonts w:ascii="仿宋" w:hAnsi="仿宋" w:eastAsia="仿宋"/>
          <w:b w:val="0"/>
          <w:color w:val="auto"/>
          <w:highlight w:val="none"/>
        </w:rPr>
      </w:pPr>
      <w:bookmarkStart w:id="124" w:name="_Toc20201"/>
      <w:bookmarkStart w:id="125" w:name="_Toc15396622"/>
      <w:bookmarkStart w:id="126" w:name="_Toc24863"/>
      <w:r>
        <w:rPr>
          <w:rStyle w:val="1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8"/>
          <w:rFonts w:hint="eastAsia" w:ascii="仿宋" w:hAnsi="仿宋" w:eastAsia="仿宋"/>
          <w:b w:val="0"/>
          <w:bCs w:val="0"/>
          <w:color w:val="auto"/>
          <w:highlight w:val="none"/>
        </w:rPr>
        <w:t>政拨款收入支出决算总表</w:t>
      </w:r>
      <w:bookmarkEnd w:id="124"/>
      <w:bookmarkEnd w:id="125"/>
      <w:bookmarkEnd w:id="126"/>
    </w:p>
    <w:p>
      <w:pPr>
        <w:pStyle w:val="4"/>
        <w:rPr>
          <w:rStyle w:val="18"/>
          <w:rFonts w:ascii="仿宋" w:hAnsi="仿宋" w:eastAsia="仿宋"/>
          <w:b w:val="0"/>
          <w:bCs w:val="0"/>
          <w:color w:val="auto"/>
          <w:highlight w:val="none"/>
        </w:rPr>
      </w:pPr>
      <w:bookmarkStart w:id="127" w:name="_Toc15396623"/>
      <w:bookmarkStart w:id="128" w:name="_Toc9203"/>
      <w:bookmarkStart w:id="129" w:name="_Toc22003"/>
      <w:r>
        <w:rPr>
          <w:rStyle w:val="1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8"/>
          <w:rFonts w:hint="eastAsia" w:ascii="仿宋" w:hAnsi="仿宋" w:eastAsia="仿宋"/>
          <w:b w:val="0"/>
          <w:bCs w:val="0"/>
          <w:color w:val="auto"/>
          <w:highlight w:val="none"/>
        </w:rPr>
        <w:t>政拨款支出决算明细表</w:t>
      </w:r>
      <w:bookmarkEnd w:id="127"/>
      <w:bookmarkEnd w:id="128"/>
      <w:bookmarkEnd w:id="129"/>
      <w:bookmarkStart w:id="130" w:name="_Toc15396624"/>
    </w:p>
    <w:p>
      <w:pPr>
        <w:pStyle w:val="4"/>
        <w:rPr>
          <w:rFonts w:ascii="仿宋" w:hAnsi="仿宋" w:eastAsia="仿宋"/>
          <w:color w:val="auto"/>
          <w:highlight w:val="none"/>
        </w:rPr>
      </w:pPr>
      <w:bookmarkStart w:id="131" w:name="_Toc22578"/>
      <w:bookmarkStart w:id="132" w:name="_Toc10844"/>
      <w:r>
        <w:rPr>
          <w:rStyle w:val="1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般公共预算财政拨款支出决算表</w:t>
      </w:r>
      <w:bookmarkEnd w:id="130"/>
      <w:bookmarkEnd w:id="131"/>
      <w:bookmarkEnd w:id="132"/>
    </w:p>
    <w:p>
      <w:pPr>
        <w:pStyle w:val="4"/>
        <w:rPr>
          <w:rFonts w:ascii="仿宋" w:hAnsi="仿宋" w:eastAsia="仿宋"/>
          <w:color w:val="auto"/>
          <w:highlight w:val="none"/>
        </w:rPr>
      </w:pPr>
      <w:bookmarkStart w:id="133" w:name="_Toc28501"/>
      <w:bookmarkStart w:id="134" w:name="_Toc15396625"/>
      <w:bookmarkStart w:id="135" w:name="_Toc6689"/>
      <w:r>
        <w:rPr>
          <w:rStyle w:val="1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般公共预算财政拨款支出决算明细表</w:t>
      </w:r>
      <w:bookmarkEnd w:id="133"/>
      <w:bookmarkEnd w:id="134"/>
      <w:bookmarkEnd w:id="135"/>
    </w:p>
    <w:p>
      <w:pPr>
        <w:pStyle w:val="4"/>
        <w:rPr>
          <w:rFonts w:ascii="仿宋" w:hAnsi="仿宋" w:eastAsia="仿宋"/>
          <w:color w:val="auto"/>
          <w:highlight w:val="none"/>
        </w:rPr>
      </w:pPr>
      <w:bookmarkStart w:id="136" w:name="_Toc12998"/>
      <w:bookmarkStart w:id="137" w:name="_Toc25725"/>
      <w:bookmarkStart w:id="138" w:name="_Toc15396626"/>
      <w:r>
        <w:rPr>
          <w:rStyle w:val="1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般公共预算财政拨款基本支出决算表</w:t>
      </w:r>
      <w:bookmarkEnd w:id="136"/>
      <w:bookmarkEnd w:id="137"/>
      <w:bookmarkEnd w:id="138"/>
    </w:p>
    <w:p>
      <w:pPr>
        <w:pStyle w:val="4"/>
        <w:rPr>
          <w:rFonts w:ascii="仿宋" w:hAnsi="仿宋" w:eastAsia="仿宋"/>
          <w:color w:val="auto"/>
          <w:highlight w:val="none"/>
        </w:rPr>
      </w:pPr>
      <w:bookmarkStart w:id="139" w:name="_Toc25644"/>
      <w:bookmarkStart w:id="140" w:name="_Toc15396627"/>
      <w:bookmarkStart w:id="141" w:name="_Toc4802"/>
      <w:r>
        <w:rPr>
          <w:rStyle w:val="1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般公共预算财政拨款项目支出决算表</w:t>
      </w:r>
      <w:bookmarkEnd w:id="139"/>
      <w:bookmarkEnd w:id="140"/>
      <w:bookmarkEnd w:id="141"/>
    </w:p>
    <w:p>
      <w:pPr>
        <w:pStyle w:val="4"/>
        <w:rPr>
          <w:rFonts w:ascii="仿宋" w:hAnsi="仿宋" w:eastAsia="仿宋"/>
          <w:color w:val="auto"/>
          <w:highlight w:val="none"/>
        </w:rPr>
      </w:pPr>
      <w:bookmarkStart w:id="142" w:name="_Toc15396628"/>
      <w:bookmarkStart w:id="143" w:name="_Toc26215"/>
      <w:bookmarkStart w:id="144" w:name="_Toc1127"/>
      <w:r>
        <w:rPr>
          <w:rStyle w:val="18"/>
          <w:rFonts w:hint="eastAsia" w:ascii="仿宋" w:hAnsi="仿宋" w:eastAsia="仿宋"/>
          <w:b w:val="0"/>
          <w:bCs w:val="0"/>
          <w:color w:val="auto"/>
          <w:highlight w:val="none"/>
        </w:rPr>
        <w:t>十、</w:t>
      </w:r>
      <w:bookmarkEnd w:id="142"/>
      <w:r>
        <w:rPr>
          <w:rFonts w:hint="eastAsia" w:ascii="仿宋" w:hAnsi="仿宋" w:eastAsia="仿宋"/>
          <w:b w:val="0"/>
          <w:color w:val="auto"/>
          <w:highlight w:val="none"/>
        </w:rPr>
        <w:t>政</w:t>
      </w:r>
      <w:r>
        <w:rPr>
          <w:rStyle w:val="18"/>
          <w:rFonts w:hint="eastAsia" w:ascii="仿宋" w:hAnsi="仿宋" w:eastAsia="仿宋"/>
          <w:b w:val="0"/>
          <w:bCs w:val="0"/>
          <w:color w:val="auto"/>
          <w:highlight w:val="none"/>
        </w:rPr>
        <w:t>府性基金预算财政拨款收入支出决算表</w:t>
      </w:r>
      <w:bookmarkEnd w:id="143"/>
      <w:bookmarkEnd w:id="144"/>
    </w:p>
    <w:p>
      <w:pPr>
        <w:pStyle w:val="4"/>
        <w:rPr>
          <w:rFonts w:ascii="仿宋" w:hAnsi="仿宋" w:eastAsia="仿宋"/>
          <w:color w:val="auto"/>
          <w:highlight w:val="none"/>
        </w:rPr>
      </w:pPr>
      <w:bookmarkStart w:id="145" w:name="_Toc15396629"/>
      <w:bookmarkStart w:id="146" w:name="_Toc30986"/>
      <w:bookmarkStart w:id="147" w:name="_Toc21283"/>
      <w:r>
        <w:rPr>
          <w:rStyle w:val="18"/>
          <w:rFonts w:hint="eastAsia" w:ascii="仿宋" w:hAnsi="仿宋" w:eastAsia="仿宋"/>
          <w:b w:val="0"/>
          <w:bCs w:val="0"/>
          <w:color w:val="auto"/>
          <w:highlight w:val="none"/>
        </w:rPr>
        <w:t>十一、</w:t>
      </w:r>
      <w:bookmarkEnd w:id="145"/>
      <w:r>
        <w:rPr>
          <w:rFonts w:hint="eastAsia" w:ascii="仿宋" w:hAnsi="仿宋" w:eastAsia="仿宋"/>
          <w:b w:val="0"/>
          <w:color w:val="auto"/>
          <w:highlight w:val="none"/>
        </w:rPr>
        <w:t>国</w:t>
      </w:r>
      <w:r>
        <w:rPr>
          <w:rStyle w:val="18"/>
          <w:rFonts w:hint="eastAsia" w:ascii="仿宋" w:hAnsi="仿宋" w:eastAsia="仿宋"/>
          <w:b w:val="0"/>
          <w:bCs w:val="0"/>
          <w:color w:val="auto"/>
          <w:highlight w:val="none"/>
        </w:rPr>
        <w:t>有资本经营预算</w:t>
      </w:r>
      <w:r>
        <w:rPr>
          <w:rStyle w:val="18"/>
          <w:rFonts w:hint="eastAsia" w:ascii="仿宋" w:hAnsi="仿宋" w:eastAsia="仿宋"/>
          <w:b w:val="0"/>
          <w:bCs w:val="0"/>
          <w:color w:val="auto"/>
          <w:highlight w:val="none"/>
          <w:lang w:eastAsia="zh-CN"/>
        </w:rPr>
        <w:t>财政拨款收入</w:t>
      </w:r>
      <w:r>
        <w:rPr>
          <w:rStyle w:val="18"/>
          <w:rFonts w:hint="eastAsia" w:ascii="仿宋" w:hAnsi="仿宋" w:eastAsia="仿宋"/>
          <w:b w:val="0"/>
          <w:bCs w:val="0"/>
          <w:color w:val="auto"/>
          <w:highlight w:val="none"/>
        </w:rPr>
        <w:t>支出决算表</w:t>
      </w:r>
      <w:bookmarkEnd w:id="146"/>
      <w:bookmarkEnd w:id="147"/>
    </w:p>
    <w:p>
      <w:pPr>
        <w:pStyle w:val="4"/>
        <w:rPr>
          <w:rFonts w:ascii="仿宋" w:hAnsi="仿宋" w:eastAsia="仿宋"/>
          <w:color w:val="auto"/>
          <w:highlight w:val="none"/>
        </w:rPr>
      </w:pPr>
      <w:bookmarkStart w:id="148" w:name="_Toc15396630"/>
      <w:bookmarkStart w:id="149" w:name="_Toc12949"/>
      <w:bookmarkStart w:id="150" w:name="_Toc23970"/>
      <w:r>
        <w:rPr>
          <w:rStyle w:val="18"/>
          <w:rFonts w:hint="eastAsia" w:ascii="仿宋" w:hAnsi="仿宋" w:eastAsia="仿宋"/>
          <w:b w:val="0"/>
          <w:bCs w:val="0"/>
          <w:color w:val="auto"/>
          <w:highlight w:val="none"/>
        </w:rPr>
        <w:t>十二、</w:t>
      </w:r>
      <w:bookmarkEnd w:id="148"/>
      <w:r>
        <w:rPr>
          <w:rStyle w:val="18"/>
          <w:rFonts w:hint="eastAsia" w:ascii="仿宋" w:hAnsi="仿宋" w:eastAsia="仿宋"/>
          <w:b w:val="0"/>
          <w:bCs w:val="0"/>
          <w:color w:val="auto"/>
          <w:highlight w:val="none"/>
          <w:lang w:eastAsia="zh-CN"/>
        </w:rPr>
        <w:t>国有资本经营预算财政拨款支出决算表</w:t>
      </w:r>
      <w:bookmarkEnd w:id="149"/>
      <w:bookmarkEnd w:id="150"/>
    </w:p>
    <w:p>
      <w:pPr>
        <w:pStyle w:val="4"/>
        <w:rPr>
          <w:rFonts w:hint="eastAsia" w:eastAsia="仿宋"/>
          <w:color w:val="auto"/>
          <w:highlight w:val="none"/>
          <w:lang w:eastAsia="zh-CN"/>
        </w:rPr>
      </w:pPr>
      <w:bookmarkStart w:id="151" w:name="_Toc15396631"/>
      <w:bookmarkStart w:id="152" w:name="_Toc25467"/>
      <w:bookmarkStart w:id="153" w:name="_Toc19141"/>
      <w:r>
        <w:rPr>
          <w:rStyle w:val="18"/>
          <w:rFonts w:hint="eastAsia" w:ascii="仿宋" w:hAnsi="仿宋" w:eastAsia="仿宋"/>
          <w:b w:val="0"/>
          <w:bCs w:val="0"/>
          <w:color w:val="auto"/>
          <w:highlight w:val="none"/>
        </w:rPr>
        <w:t>十三、</w:t>
      </w:r>
      <w:bookmarkEnd w:id="151"/>
      <w:r>
        <w:rPr>
          <w:rStyle w:val="18"/>
          <w:rFonts w:hint="eastAsia" w:ascii="仿宋" w:hAnsi="仿宋" w:eastAsia="仿宋"/>
          <w:b w:val="0"/>
          <w:bCs w:val="0"/>
          <w:color w:val="auto"/>
          <w:highlight w:val="none"/>
          <w:lang w:eastAsia="zh-CN"/>
        </w:rPr>
        <w:t>财政拨款“三公”经费支出决算表</w:t>
      </w:r>
      <w:bookmarkEnd w:id="152"/>
      <w:bookmarkEnd w:id="153"/>
    </w:p>
    <w:sectPr>
      <w:footerReference r:id="rId5" w:type="first"/>
      <w:footerReference r:id="rId4" w:type="default"/>
      <w:pgSz w:w="11906" w:h="16838"/>
      <w:pgMar w:top="2098" w:right="1474" w:bottom="1984"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E65C3FB3"/>
    <w:multiLevelType w:val="singleLevel"/>
    <w:tmpl w:val="E65C3FB3"/>
    <w:lvl w:ilvl="0" w:tentative="0">
      <w:start w:val="1"/>
      <w:numFmt w:val="decimal"/>
      <w:suff w:val="nothing"/>
      <w:lvlText w:val="%1．"/>
      <w:lvlJc w:val="left"/>
      <w:pPr>
        <w:ind w:left="0" w:firstLine="400"/>
      </w:pPr>
      <w:rPr>
        <w:rFonts w:hint="default" w:ascii="Times New Roman" w:hAnsi="Times New Roman" w:cs="Times New Roman"/>
        <w:b w:val="0"/>
        <w:bCs w:val="0"/>
        <w:sz w:val="32"/>
        <w:szCs w:val="3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75ECF"/>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56C4"/>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507A"/>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0F1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74A"/>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744DE2"/>
    <w:rsid w:val="018C3FFF"/>
    <w:rsid w:val="01987FE8"/>
    <w:rsid w:val="01F9035B"/>
    <w:rsid w:val="02C8548C"/>
    <w:rsid w:val="03326E3F"/>
    <w:rsid w:val="03CB79CE"/>
    <w:rsid w:val="04274A9E"/>
    <w:rsid w:val="045A4A0B"/>
    <w:rsid w:val="04885F77"/>
    <w:rsid w:val="053A62B5"/>
    <w:rsid w:val="05616943"/>
    <w:rsid w:val="068C5C42"/>
    <w:rsid w:val="06EB0BBA"/>
    <w:rsid w:val="072B0FB7"/>
    <w:rsid w:val="073C7CCF"/>
    <w:rsid w:val="088D0825"/>
    <w:rsid w:val="08962DA7"/>
    <w:rsid w:val="08BF0398"/>
    <w:rsid w:val="08C43471"/>
    <w:rsid w:val="09061CDB"/>
    <w:rsid w:val="09063A89"/>
    <w:rsid w:val="094B7AB9"/>
    <w:rsid w:val="09641BEC"/>
    <w:rsid w:val="0A0F0B3D"/>
    <w:rsid w:val="0A2032A3"/>
    <w:rsid w:val="0A2564BB"/>
    <w:rsid w:val="0AB1341B"/>
    <w:rsid w:val="0ABD0ABF"/>
    <w:rsid w:val="0AED3855"/>
    <w:rsid w:val="0B8A37D8"/>
    <w:rsid w:val="0BAA1044"/>
    <w:rsid w:val="0C45520B"/>
    <w:rsid w:val="0C562252"/>
    <w:rsid w:val="0C675DD7"/>
    <w:rsid w:val="0C88413E"/>
    <w:rsid w:val="0CCF61BB"/>
    <w:rsid w:val="0D6151BA"/>
    <w:rsid w:val="0E255E7E"/>
    <w:rsid w:val="0F0E18EA"/>
    <w:rsid w:val="10391A85"/>
    <w:rsid w:val="10793A1C"/>
    <w:rsid w:val="10A83678"/>
    <w:rsid w:val="10B4201D"/>
    <w:rsid w:val="10B90F0B"/>
    <w:rsid w:val="10C055FF"/>
    <w:rsid w:val="10DE52EC"/>
    <w:rsid w:val="10F845FF"/>
    <w:rsid w:val="116E48C1"/>
    <w:rsid w:val="118107EC"/>
    <w:rsid w:val="119360D6"/>
    <w:rsid w:val="11DD6519"/>
    <w:rsid w:val="1248530B"/>
    <w:rsid w:val="129A3494"/>
    <w:rsid w:val="12AA7E4D"/>
    <w:rsid w:val="12CA1FCB"/>
    <w:rsid w:val="12EF1A32"/>
    <w:rsid w:val="13AE5449"/>
    <w:rsid w:val="14184FB8"/>
    <w:rsid w:val="14760E30"/>
    <w:rsid w:val="14812B5E"/>
    <w:rsid w:val="16A70FD3"/>
    <w:rsid w:val="16BB723D"/>
    <w:rsid w:val="1709138D"/>
    <w:rsid w:val="179E57D5"/>
    <w:rsid w:val="18015F3F"/>
    <w:rsid w:val="18610CDC"/>
    <w:rsid w:val="18D106B7"/>
    <w:rsid w:val="18D55226"/>
    <w:rsid w:val="191D28AF"/>
    <w:rsid w:val="192F37A8"/>
    <w:rsid w:val="1A382DB7"/>
    <w:rsid w:val="1A495ECC"/>
    <w:rsid w:val="1A5B19C7"/>
    <w:rsid w:val="1B0D2599"/>
    <w:rsid w:val="1BE8440E"/>
    <w:rsid w:val="1BEF92A9"/>
    <w:rsid w:val="1C220723"/>
    <w:rsid w:val="1D155CEE"/>
    <w:rsid w:val="1D2E158A"/>
    <w:rsid w:val="1DA52AFF"/>
    <w:rsid w:val="1E5906A7"/>
    <w:rsid w:val="1E620258"/>
    <w:rsid w:val="1F5F3C6B"/>
    <w:rsid w:val="1FB77D3E"/>
    <w:rsid w:val="209A7797"/>
    <w:rsid w:val="20E80B7A"/>
    <w:rsid w:val="20F57F95"/>
    <w:rsid w:val="219C4B33"/>
    <w:rsid w:val="21A460DD"/>
    <w:rsid w:val="222E26A7"/>
    <w:rsid w:val="226C18DB"/>
    <w:rsid w:val="2303386E"/>
    <w:rsid w:val="236E24FF"/>
    <w:rsid w:val="240371BF"/>
    <w:rsid w:val="246758CC"/>
    <w:rsid w:val="24C02917"/>
    <w:rsid w:val="24DB5972"/>
    <w:rsid w:val="251D1FD7"/>
    <w:rsid w:val="256911D0"/>
    <w:rsid w:val="25711CC6"/>
    <w:rsid w:val="25864F36"/>
    <w:rsid w:val="258C4EBE"/>
    <w:rsid w:val="25C741E6"/>
    <w:rsid w:val="25D845A8"/>
    <w:rsid w:val="25FA62CC"/>
    <w:rsid w:val="26102FB1"/>
    <w:rsid w:val="26650482"/>
    <w:rsid w:val="2687315B"/>
    <w:rsid w:val="26993D37"/>
    <w:rsid w:val="27307261"/>
    <w:rsid w:val="273E043A"/>
    <w:rsid w:val="27842671"/>
    <w:rsid w:val="2805257B"/>
    <w:rsid w:val="28496A3C"/>
    <w:rsid w:val="287423F6"/>
    <w:rsid w:val="28744262"/>
    <w:rsid w:val="28D9041B"/>
    <w:rsid w:val="298F2C97"/>
    <w:rsid w:val="299E1C1A"/>
    <w:rsid w:val="29FD04D3"/>
    <w:rsid w:val="2ABE7A3E"/>
    <w:rsid w:val="2ADA0E92"/>
    <w:rsid w:val="2B177920"/>
    <w:rsid w:val="2CA234A8"/>
    <w:rsid w:val="2CD5539D"/>
    <w:rsid w:val="2CD8427D"/>
    <w:rsid w:val="2D895A58"/>
    <w:rsid w:val="2DA059AB"/>
    <w:rsid w:val="2E17733C"/>
    <w:rsid w:val="2E352597"/>
    <w:rsid w:val="2E690493"/>
    <w:rsid w:val="2E870919"/>
    <w:rsid w:val="2E957B6B"/>
    <w:rsid w:val="2ED20B55"/>
    <w:rsid w:val="2EF765CB"/>
    <w:rsid w:val="2EFA178C"/>
    <w:rsid w:val="2F1E302B"/>
    <w:rsid w:val="2F2B3CDF"/>
    <w:rsid w:val="2F5B4A58"/>
    <w:rsid w:val="2F652408"/>
    <w:rsid w:val="2FB876AD"/>
    <w:rsid w:val="309F63EE"/>
    <w:rsid w:val="30B46D73"/>
    <w:rsid w:val="31137E2C"/>
    <w:rsid w:val="3143321D"/>
    <w:rsid w:val="319F7F4E"/>
    <w:rsid w:val="31A90F01"/>
    <w:rsid w:val="31BD5C8C"/>
    <w:rsid w:val="32DB1401"/>
    <w:rsid w:val="330B7D6A"/>
    <w:rsid w:val="33970421"/>
    <w:rsid w:val="3454129D"/>
    <w:rsid w:val="346A286F"/>
    <w:rsid w:val="355A6D87"/>
    <w:rsid w:val="35A62F6D"/>
    <w:rsid w:val="3632560E"/>
    <w:rsid w:val="3676199F"/>
    <w:rsid w:val="36794FEB"/>
    <w:rsid w:val="370E7E29"/>
    <w:rsid w:val="371A4A2B"/>
    <w:rsid w:val="373736C6"/>
    <w:rsid w:val="373C2DF1"/>
    <w:rsid w:val="378A652E"/>
    <w:rsid w:val="37FC5ED4"/>
    <w:rsid w:val="383D272C"/>
    <w:rsid w:val="38C904AC"/>
    <w:rsid w:val="398C3AFD"/>
    <w:rsid w:val="39AE70AB"/>
    <w:rsid w:val="3A0472C2"/>
    <w:rsid w:val="3B184A6D"/>
    <w:rsid w:val="3B99794E"/>
    <w:rsid w:val="3BA90120"/>
    <w:rsid w:val="3BCC3E0F"/>
    <w:rsid w:val="3C0C0783"/>
    <w:rsid w:val="3C0F0B15"/>
    <w:rsid w:val="3C1A2DCC"/>
    <w:rsid w:val="3C826E9E"/>
    <w:rsid w:val="3C8C6BF4"/>
    <w:rsid w:val="3CFB42FE"/>
    <w:rsid w:val="3CFE7CA4"/>
    <w:rsid w:val="3D3201A1"/>
    <w:rsid w:val="3DEC0798"/>
    <w:rsid w:val="3E2B306F"/>
    <w:rsid w:val="3EE83D35"/>
    <w:rsid w:val="3F283A52"/>
    <w:rsid w:val="3F4D763D"/>
    <w:rsid w:val="3F9F3A96"/>
    <w:rsid w:val="3FB96E2D"/>
    <w:rsid w:val="3FE54F91"/>
    <w:rsid w:val="4037529E"/>
    <w:rsid w:val="41085755"/>
    <w:rsid w:val="41750B26"/>
    <w:rsid w:val="41875415"/>
    <w:rsid w:val="422A064E"/>
    <w:rsid w:val="427F22BD"/>
    <w:rsid w:val="42EB272F"/>
    <w:rsid w:val="4338047F"/>
    <w:rsid w:val="44F87A23"/>
    <w:rsid w:val="451C02B6"/>
    <w:rsid w:val="451E56DB"/>
    <w:rsid w:val="454113CA"/>
    <w:rsid w:val="458F482B"/>
    <w:rsid w:val="460E12C5"/>
    <w:rsid w:val="465A0995"/>
    <w:rsid w:val="46736A8C"/>
    <w:rsid w:val="46881E0E"/>
    <w:rsid w:val="472E0DDF"/>
    <w:rsid w:val="47F70466"/>
    <w:rsid w:val="4819662E"/>
    <w:rsid w:val="483E26E9"/>
    <w:rsid w:val="48813F19"/>
    <w:rsid w:val="48981C49"/>
    <w:rsid w:val="48BF60AB"/>
    <w:rsid w:val="49296D45"/>
    <w:rsid w:val="493C27E9"/>
    <w:rsid w:val="493D751D"/>
    <w:rsid w:val="49646C4B"/>
    <w:rsid w:val="496F39ED"/>
    <w:rsid w:val="49B44860"/>
    <w:rsid w:val="49BA174B"/>
    <w:rsid w:val="49D46750"/>
    <w:rsid w:val="49FF41D3"/>
    <w:rsid w:val="4AC00AEC"/>
    <w:rsid w:val="4B3D30C2"/>
    <w:rsid w:val="4BC80E27"/>
    <w:rsid w:val="4BE068DB"/>
    <w:rsid w:val="4BE807F1"/>
    <w:rsid w:val="4BF03B4A"/>
    <w:rsid w:val="4BF6002B"/>
    <w:rsid w:val="4C0D0258"/>
    <w:rsid w:val="4C220E14"/>
    <w:rsid w:val="4C5267A2"/>
    <w:rsid w:val="4CC052CA"/>
    <w:rsid w:val="4D16313C"/>
    <w:rsid w:val="4D33457B"/>
    <w:rsid w:val="4E554123"/>
    <w:rsid w:val="4ECE2238"/>
    <w:rsid w:val="4F6173F8"/>
    <w:rsid w:val="4FA669F9"/>
    <w:rsid w:val="4FA709C3"/>
    <w:rsid w:val="50485F25"/>
    <w:rsid w:val="50967EEF"/>
    <w:rsid w:val="5139564B"/>
    <w:rsid w:val="51D44D6E"/>
    <w:rsid w:val="51DB4B86"/>
    <w:rsid w:val="52076CD8"/>
    <w:rsid w:val="523F4EE3"/>
    <w:rsid w:val="52630BD1"/>
    <w:rsid w:val="52FB705C"/>
    <w:rsid w:val="53A127FC"/>
    <w:rsid w:val="5472206D"/>
    <w:rsid w:val="54743BFD"/>
    <w:rsid w:val="54853303"/>
    <w:rsid w:val="54AD6A7C"/>
    <w:rsid w:val="54B669EE"/>
    <w:rsid w:val="55333C3E"/>
    <w:rsid w:val="55434CEA"/>
    <w:rsid w:val="55D65846"/>
    <w:rsid w:val="56760FF5"/>
    <w:rsid w:val="568B06F7"/>
    <w:rsid w:val="56A812A9"/>
    <w:rsid w:val="56C1236A"/>
    <w:rsid w:val="56DC0F52"/>
    <w:rsid w:val="56E83D9B"/>
    <w:rsid w:val="5A37500B"/>
    <w:rsid w:val="5A671F24"/>
    <w:rsid w:val="5AAE2C06"/>
    <w:rsid w:val="5B57504B"/>
    <w:rsid w:val="5B5F7F9D"/>
    <w:rsid w:val="5C8049B5"/>
    <w:rsid w:val="5CD12B1F"/>
    <w:rsid w:val="5D7E7207"/>
    <w:rsid w:val="5D846348"/>
    <w:rsid w:val="5D9A3915"/>
    <w:rsid w:val="5DDB016E"/>
    <w:rsid w:val="5E387777"/>
    <w:rsid w:val="5EF534F9"/>
    <w:rsid w:val="5F431FB4"/>
    <w:rsid w:val="5F864151"/>
    <w:rsid w:val="5FFF5CB2"/>
    <w:rsid w:val="604A33D1"/>
    <w:rsid w:val="6051650D"/>
    <w:rsid w:val="6155777B"/>
    <w:rsid w:val="61AB60F1"/>
    <w:rsid w:val="62127F1E"/>
    <w:rsid w:val="625E6DAC"/>
    <w:rsid w:val="63414F5F"/>
    <w:rsid w:val="638F4A0F"/>
    <w:rsid w:val="63FE0083"/>
    <w:rsid w:val="64186253"/>
    <w:rsid w:val="642301C1"/>
    <w:rsid w:val="6456440F"/>
    <w:rsid w:val="649B244D"/>
    <w:rsid w:val="64CA39A1"/>
    <w:rsid w:val="64E668C8"/>
    <w:rsid w:val="65456D8F"/>
    <w:rsid w:val="6568782F"/>
    <w:rsid w:val="6587477F"/>
    <w:rsid w:val="65BE177E"/>
    <w:rsid w:val="65E10333"/>
    <w:rsid w:val="663F505A"/>
    <w:rsid w:val="670401BF"/>
    <w:rsid w:val="6753700F"/>
    <w:rsid w:val="684C5785"/>
    <w:rsid w:val="6897117D"/>
    <w:rsid w:val="68CA77A4"/>
    <w:rsid w:val="68F216FE"/>
    <w:rsid w:val="69006D22"/>
    <w:rsid w:val="694A2693"/>
    <w:rsid w:val="695A25BD"/>
    <w:rsid w:val="69630ADE"/>
    <w:rsid w:val="6974326C"/>
    <w:rsid w:val="69C87021"/>
    <w:rsid w:val="69DB7170"/>
    <w:rsid w:val="6A0D28BD"/>
    <w:rsid w:val="6B8754D9"/>
    <w:rsid w:val="6C3E7AC5"/>
    <w:rsid w:val="6C4A05C8"/>
    <w:rsid w:val="6C4F76B0"/>
    <w:rsid w:val="6C640390"/>
    <w:rsid w:val="6CE27825"/>
    <w:rsid w:val="6D013069"/>
    <w:rsid w:val="6D3B1A89"/>
    <w:rsid w:val="6D97577B"/>
    <w:rsid w:val="6E421B8B"/>
    <w:rsid w:val="6E7C32EF"/>
    <w:rsid w:val="6F2A6A6D"/>
    <w:rsid w:val="6FAA6B8E"/>
    <w:rsid w:val="70116DD2"/>
    <w:rsid w:val="711D243B"/>
    <w:rsid w:val="71BF4EC2"/>
    <w:rsid w:val="72734D90"/>
    <w:rsid w:val="728F66B3"/>
    <w:rsid w:val="72A46970"/>
    <w:rsid w:val="72E90827"/>
    <w:rsid w:val="72FD7534"/>
    <w:rsid w:val="73450902"/>
    <w:rsid w:val="73A813FF"/>
    <w:rsid w:val="73D94061"/>
    <w:rsid w:val="7412278C"/>
    <w:rsid w:val="747405C4"/>
    <w:rsid w:val="74D6137A"/>
    <w:rsid w:val="75256FF4"/>
    <w:rsid w:val="75736ACE"/>
    <w:rsid w:val="763D2B25"/>
    <w:rsid w:val="76404C02"/>
    <w:rsid w:val="768216BE"/>
    <w:rsid w:val="76B37BEF"/>
    <w:rsid w:val="76DA32A9"/>
    <w:rsid w:val="773A78A3"/>
    <w:rsid w:val="777367DE"/>
    <w:rsid w:val="78397270"/>
    <w:rsid w:val="788326F6"/>
    <w:rsid w:val="78917997"/>
    <w:rsid w:val="78CE247C"/>
    <w:rsid w:val="7904082E"/>
    <w:rsid w:val="79E4501F"/>
    <w:rsid w:val="79E7B28D"/>
    <w:rsid w:val="7A340F22"/>
    <w:rsid w:val="7A8D641F"/>
    <w:rsid w:val="7B153BB5"/>
    <w:rsid w:val="7BCF3A79"/>
    <w:rsid w:val="7BE91898"/>
    <w:rsid w:val="7C5E5DE2"/>
    <w:rsid w:val="7C625F23"/>
    <w:rsid w:val="7C7A6994"/>
    <w:rsid w:val="7C7E44BF"/>
    <w:rsid w:val="7CE3278B"/>
    <w:rsid w:val="7D356CAF"/>
    <w:rsid w:val="7DBF0B02"/>
    <w:rsid w:val="7E600A3C"/>
    <w:rsid w:val="7EBC3E0F"/>
    <w:rsid w:val="7EE95C34"/>
    <w:rsid w:val="7F173030"/>
    <w:rsid w:val="7F780316"/>
    <w:rsid w:val="7F9B3138"/>
    <w:rsid w:val="7F9F20EE"/>
    <w:rsid w:val="7FDC4446"/>
    <w:rsid w:val="7FDD34C2"/>
    <w:rsid w:val="7FE17456"/>
    <w:rsid w:val="9E3A10E2"/>
    <w:rsid w:val="AFF61D72"/>
    <w:rsid w:val="E7BC1BE3"/>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标题 1 Char"/>
    <w:basedOn w:val="14"/>
    <w:link w:val="3"/>
    <w:qFormat/>
    <w:uiPriority w:val="9"/>
    <w:rPr>
      <w:rFonts w:ascii="Times New Roman" w:hAnsi="Times New Roman"/>
      <w:b/>
      <w:bCs/>
      <w:kern w:val="44"/>
      <w:sz w:val="44"/>
      <w:szCs w:val="44"/>
    </w:rPr>
  </w:style>
  <w:style w:type="character" w:customStyle="1" w:styleId="18">
    <w:name w:val="标题 2 Char"/>
    <w:basedOn w:val="14"/>
    <w:link w:val="4"/>
    <w:qFormat/>
    <w:uiPriority w:val="9"/>
    <w:rPr>
      <w:rFonts w:asciiTheme="majorHAnsi" w:hAnsiTheme="majorHAnsi" w:eastAsiaTheme="majorEastAsia" w:cstheme="majorBidi"/>
      <w:b/>
      <w:bCs/>
      <w:kern w:val="2"/>
      <w:sz w:val="32"/>
      <w:szCs w:val="32"/>
    </w:rPr>
  </w:style>
  <w:style w:type="character" w:customStyle="1" w:styleId="19">
    <w:name w:val="标题 3 Char"/>
    <w:basedOn w:val="14"/>
    <w:link w:val="5"/>
    <w:qFormat/>
    <w:uiPriority w:val="9"/>
    <w:rPr>
      <w:rFonts w:ascii="Times New Roman" w:hAnsi="Times New Roman"/>
      <w:b/>
      <w:bCs/>
      <w:kern w:val="2"/>
      <w:sz w:val="32"/>
      <w:szCs w:val="32"/>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paragraph" w:customStyle="1" w:styleId="33">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收、支决算总计变动情况图（单位：万元）</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[工作簿1]Sheet1!$C$5:$D$5</c:f>
              <c:strCache>
                <c:ptCount val="2"/>
                <c:pt idx="0">
                  <c:v>2023年度收、支总计</c:v>
                </c:pt>
                <c:pt idx="1">
                  <c:v>2022年收、支总计</c:v>
                </c:pt>
              </c:strCache>
            </c:strRef>
          </c:cat>
          <c:val>
            <c:numRef>
              <c:f>[工作簿1]Sheet1!$C$6:$D$6</c:f>
              <c:numCache>
                <c:formatCode>General</c:formatCode>
                <c:ptCount val="2"/>
                <c:pt idx="0">
                  <c:v>9934.05</c:v>
                </c:pt>
                <c:pt idx="1">
                  <c:v>5149.23</c:v>
                </c:pt>
              </c:numCache>
            </c:numRef>
          </c:val>
        </c:ser>
        <c:dLbls>
          <c:showLegendKey val="false"/>
          <c:showVal val="true"/>
          <c:showCatName val="false"/>
          <c:showSerName val="false"/>
          <c:showPercent val="false"/>
          <c:showBubbleSize val="false"/>
        </c:dLbls>
        <c:gapWidth val="246"/>
        <c:overlap val="-28"/>
        <c:axId val="457292370"/>
        <c:axId val="62094964"/>
      </c:barChart>
      <c:catAx>
        <c:axId val="45729237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2094964"/>
        <c:crosses val="autoZero"/>
        <c:auto val="true"/>
        <c:lblAlgn val="ctr"/>
        <c:lblOffset val="100"/>
        <c:noMultiLvlLbl val="false"/>
      </c:catAx>
      <c:valAx>
        <c:axId val="62094964"/>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5729237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2</a:t>
                    </a:r>
                    <a:r>
                      <a:rPr lang="en-US" altLang="zh-CN"/>
                      <a:t>1.83</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78</a:t>
                    </a:r>
                    <a:r>
                      <a:rPr lang="en-US" altLang="zh-CN"/>
                      <a:t>.17</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[工作簿1]Sheet1!$B$39:$C$39</c:f>
              <c:strCache>
                <c:ptCount val="2"/>
                <c:pt idx="0">
                  <c:v>一般公共预算财政拨款收入2156.55万元</c:v>
                </c:pt>
                <c:pt idx="1">
                  <c:v>政府性基金预算财政拨款收入7722.07万元</c:v>
                </c:pt>
              </c:strCache>
            </c:strRef>
          </c:cat>
          <c:val>
            <c:numRef>
              <c:f>[工作簿1]Sheet1!$B$40:$C$40</c:f>
              <c:numCache>
                <c:formatCode>0.00%</c:formatCode>
                <c:ptCount val="2"/>
                <c:pt idx="0">
                  <c:v>0.2183</c:v>
                </c:pt>
                <c:pt idx="1">
                  <c:v>0.7817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16</a:t>
                    </a:r>
                    <a:r>
                      <a:rPr lang="en-US" altLang="zh-CN"/>
                      <a:t>.17</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8</a:t>
                    </a:r>
                    <a:r>
                      <a:rPr lang="en-US" altLang="zh-CN"/>
                      <a:t>3.83</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[工作簿1]Sheet1!$B$49:$C$49</c:f>
              <c:strCache>
                <c:ptCount val="2"/>
                <c:pt idx="0">
                  <c:v>基本支出1606.42万元</c:v>
                </c:pt>
                <c:pt idx="1">
                  <c:v>项目支出8327.63万元</c:v>
                </c:pt>
              </c:strCache>
            </c:strRef>
          </c:cat>
          <c:val>
            <c:numRef>
              <c:f>[工作簿1]Sheet1!$B$50:$C$50</c:f>
              <c:numCache>
                <c:formatCode>0.00%</c:formatCode>
                <c:ptCount val="2"/>
                <c:pt idx="0">
                  <c:v>0.1617</c:v>
                </c:pt>
                <c:pt idx="1">
                  <c:v>0.8383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财政拨款收、支决算总计变动情况（万元）</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[工作簿1]Sheet1!$J$6:$K$6</c:f>
              <c:strCache>
                <c:ptCount val="2"/>
                <c:pt idx="0">
                  <c:v>2023年收、支总计</c:v>
                </c:pt>
                <c:pt idx="1">
                  <c:v>2022年收、支总计</c:v>
                </c:pt>
              </c:strCache>
            </c:strRef>
          </c:cat>
          <c:val>
            <c:numRef>
              <c:f>[工作簿1]Sheet1!$J$7:$K$7</c:f>
              <c:numCache>
                <c:formatCode>General</c:formatCode>
                <c:ptCount val="2"/>
                <c:pt idx="0">
                  <c:v>9934.05</c:v>
                </c:pt>
                <c:pt idx="1">
                  <c:v>5028.42</c:v>
                </c:pt>
              </c:numCache>
            </c:numRef>
          </c:val>
        </c:ser>
        <c:dLbls>
          <c:showLegendKey val="false"/>
          <c:showVal val="true"/>
          <c:showCatName val="false"/>
          <c:showSerName val="false"/>
          <c:showPercent val="false"/>
          <c:showBubbleSize val="false"/>
        </c:dLbls>
        <c:gapWidth val="150"/>
        <c:overlap val="0"/>
        <c:axId val="34056538"/>
        <c:axId val="791746619"/>
      </c:barChart>
      <c:catAx>
        <c:axId val="3405653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91746619"/>
        <c:crosses val="autoZero"/>
        <c:auto val="true"/>
        <c:lblAlgn val="ctr"/>
        <c:lblOffset val="100"/>
        <c:noMultiLvlLbl val="false"/>
      </c:catAx>
      <c:valAx>
        <c:axId val="791746619"/>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405653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一般公共预算财政拨款支出决算变动情况（万元）</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[工作簿1]Sheet1!$P$6:$Q$6</c:f>
              <c:strCache>
                <c:ptCount val="2"/>
                <c:pt idx="0">
                  <c:v>2023年一般公共预算财政拨款支出</c:v>
                </c:pt>
                <c:pt idx="1">
                  <c:v>2022年一般公共预算财政拨款支出</c:v>
                </c:pt>
              </c:strCache>
            </c:strRef>
          </c:cat>
          <c:val>
            <c:numRef>
              <c:f>[工作簿1]Sheet1!$P$7:$Q$7</c:f>
              <c:numCache>
                <c:formatCode>General</c:formatCode>
                <c:ptCount val="2"/>
                <c:pt idx="0">
                  <c:v>2211.99</c:v>
                </c:pt>
                <c:pt idx="1">
                  <c:v>1878.84</c:v>
                </c:pt>
              </c:numCache>
            </c:numRef>
          </c:val>
        </c:ser>
        <c:dLbls>
          <c:showLegendKey val="false"/>
          <c:showVal val="true"/>
          <c:showCatName val="false"/>
          <c:showSerName val="false"/>
          <c:showPercent val="false"/>
          <c:showBubbleSize val="false"/>
        </c:dLbls>
        <c:gapWidth val="246"/>
        <c:overlap val="-28"/>
        <c:axId val="968748642"/>
        <c:axId val="560623827"/>
      </c:barChart>
      <c:catAx>
        <c:axId val="96874864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60623827"/>
        <c:crosses val="autoZero"/>
        <c:auto val="true"/>
        <c:lblAlgn val="ctr"/>
        <c:lblOffset val="100"/>
        <c:noMultiLvlLbl val="false"/>
      </c:catAx>
      <c:valAx>
        <c:axId val="560623827"/>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874864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Pt>
            <c:idx val="4"/>
            <c:bubble3D val="false"/>
            <c:spPr>
              <a:solidFill>
                <a:schemeClr val="accent5"/>
              </a:solidFill>
              <a:ln>
                <a:solidFill>
                  <a:schemeClr val="bg1"/>
                </a:solidFill>
              </a:ln>
              <a:effectLst/>
            </c:spPr>
          </c:dPt>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1</a:t>
                    </a:r>
                    <a:r>
                      <a:rPr lang="en-US" altLang="zh-CN"/>
                      <a:t>2.54</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2</a:t>
                    </a:r>
                    <a:r>
                      <a:rPr lang="en-US" altLang="zh-CN"/>
                      <a:t>.5</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2"/>
              <c:layout>
                <c:manualLayout>
                  <c:x val="-0.0230511749126202"/>
                  <c:y val="0.0457371586452814"/>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0.62</a:t>
                    </a:r>
                    <a:r>
                      <a:t>%</a:t>
                    </a:r>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7</a:t>
                    </a:r>
                    <a:r>
                      <a:rPr lang="en-US" altLang="zh-CN"/>
                      <a:t>8.</a:t>
                    </a:r>
                    <a:r>
                      <a:t>9%</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5</a:t>
                    </a:r>
                    <a:r>
                      <a:rPr lang="en-US" altLang="zh-CN"/>
                      <a:t>.44</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[工作簿1]Sheet1!$J$39:$N$39</c:f>
              <c:strCache>
                <c:ptCount val="5"/>
                <c:pt idx="0">
                  <c:v>社会保障和就业支出277.28万元</c:v>
                </c:pt>
                <c:pt idx="1">
                  <c:v>卫生健康支出55.28万元</c:v>
                </c:pt>
                <c:pt idx="2">
                  <c:v>节能环保支出13.73万元</c:v>
                </c:pt>
                <c:pt idx="3">
                  <c:v>自然资源海洋气象等支出1745.29万元</c:v>
                </c:pt>
                <c:pt idx="4">
                  <c:v>住房保障支出120.41万元</c:v>
                </c:pt>
              </c:strCache>
            </c:strRef>
          </c:cat>
          <c:val>
            <c:numRef>
              <c:f>[工作簿1]Sheet1!$J$40:$N$40</c:f>
              <c:numCache>
                <c:formatCode>0.00%</c:formatCode>
                <c:ptCount val="5"/>
                <c:pt idx="0">
                  <c:v>0.1254</c:v>
                </c:pt>
                <c:pt idx="1">
                  <c:v>0.025</c:v>
                </c:pt>
                <c:pt idx="2">
                  <c:v>0.0062</c:v>
                </c:pt>
                <c:pt idx="3">
                  <c:v>0.789</c:v>
                </c:pt>
                <c:pt idx="4">
                  <c:v>0.0544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“三公”经费财政拨款支出结构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Lbls>
            <c:dLbl>
              <c:idx val="1"/>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6</a:t>
                    </a:r>
                    <a:r>
                      <a:rPr lang="en-US" altLang="zh-CN"/>
                      <a:t>4.52</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35</a:t>
                    </a:r>
                    <a:r>
                      <a:rPr lang="en-US" altLang="zh-CN"/>
                      <a:t>.48</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[工作簿1]Sheet1!$J$62:$L$62</c:f>
              <c:strCache>
                <c:ptCount val="3"/>
                <c:pt idx="0">
                  <c:v>因公出国（境）费支出决算0万元</c:v>
                </c:pt>
                <c:pt idx="1">
                  <c:v>公务用车购置及运行维护费支出决算10万元</c:v>
                </c:pt>
                <c:pt idx="2">
                  <c:v>公务接待费支出决算5.5万元</c:v>
                </c:pt>
              </c:strCache>
            </c:strRef>
          </c:cat>
          <c:val>
            <c:numRef>
              <c:f>[工作簿1]Sheet1!$J$63:$L$63</c:f>
              <c:numCache>
                <c:formatCode>0%</c:formatCode>
                <c:ptCount val="3"/>
                <c:pt idx="0">
                  <c:v>0</c:v>
                </c:pt>
                <c:pt idx="1" c:formatCode="0.00%">
                  <c:v>0.6452</c:v>
                </c:pt>
                <c:pt idx="2" c:formatCode="0.00%">
                  <c:v>0.3548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24</Pages>
  <Words>8135</Words>
  <Characters>8693</Characters>
  <Lines>61</Lines>
  <Paragraphs>17</Paragraphs>
  <TotalTime>1</TotalTime>
  <ScaleCrop>false</ScaleCrop>
  <LinksUpToDate>false</LinksUpToDate>
  <CharactersWithSpaces>8796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 </cp:lastModifiedBy>
  <cp:lastPrinted>2023-08-01T02:35:00Z</cp:lastPrinted>
  <dcterms:modified xsi:type="dcterms:W3CDTF">2024-10-12T11:47:25Z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3B9558BCB15042BEB8520D0442F97B39_13</vt:lpwstr>
  </property>
</Properties>
</file>