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_GBK" w:hAnsi="宋体" w:eastAsia="方正小标宋_GBK"/>
          <w:color w:val="auto"/>
          <w:sz w:val="72"/>
          <w:szCs w:val="72"/>
        </w:rPr>
      </w:pPr>
      <w:bookmarkStart w:id="0" w:name="_Toc15306267"/>
    </w:p>
    <w:p>
      <w:pPr>
        <w:spacing w:line="600" w:lineRule="exact"/>
        <w:jc w:val="center"/>
        <w:outlineLvl w:val="9"/>
        <w:rPr>
          <w:rFonts w:ascii="方正小标宋_GBK" w:hAnsi="宋体" w:eastAsia="方正小标宋_GBK"/>
          <w:color w:val="auto"/>
          <w:sz w:val="72"/>
          <w:szCs w:val="72"/>
        </w:rPr>
      </w:pPr>
    </w:p>
    <w:p>
      <w:pPr>
        <w:spacing w:line="600" w:lineRule="exact"/>
        <w:jc w:val="center"/>
        <w:outlineLvl w:val="9"/>
        <w:rPr>
          <w:rFonts w:ascii="方正小标宋_GBK" w:hAnsi="宋体" w:eastAsia="方正小标宋_GBK"/>
          <w:color w:val="auto"/>
          <w:sz w:val="72"/>
          <w:szCs w:val="72"/>
        </w:rPr>
      </w:pPr>
    </w:p>
    <w:p>
      <w:pPr>
        <w:keepNext w:val="0"/>
        <w:keepLines w:val="0"/>
        <w:pageBreakBefore w:val="0"/>
        <w:widowControl w:val="0"/>
        <w:kinsoku/>
        <w:wordWrap/>
        <w:overflowPunct/>
        <w:topLinePunct w:val="0"/>
        <w:autoSpaceDE/>
        <w:autoSpaceDN/>
        <w:bidi w:val="0"/>
        <w:spacing w:line="800" w:lineRule="exact"/>
        <w:jc w:val="center"/>
        <w:textAlignment w:val="auto"/>
        <w:outlineLvl w:val="0"/>
        <w:rPr>
          <w:rFonts w:hint="eastAsia" w:ascii="方正小标宋简体" w:hAnsi="宋体" w:eastAsia="方正小标宋简体" w:cs="Times New Roman"/>
          <w:color w:val="auto"/>
          <w:kern w:val="2"/>
          <w:sz w:val="44"/>
          <w:szCs w:val="44"/>
          <w:highlight w:val="none"/>
          <w:lang w:val="en-US" w:eastAsia="zh-CN" w:bidi="ar-SA"/>
        </w:rPr>
      </w:pPr>
      <w:bookmarkStart w:id="1" w:name="_Toc357"/>
      <w:r>
        <w:rPr>
          <w:rFonts w:hint="eastAsia" w:ascii="方正小标宋简体" w:hAnsi="宋体" w:eastAsia="方正小标宋简体" w:cs="Times New Roman"/>
          <w:color w:val="auto"/>
          <w:kern w:val="2"/>
          <w:sz w:val="44"/>
          <w:szCs w:val="44"/>
          <w:highlight w:val="none"/>
          <w:lang w:val="en-US" w:eastAsia="zh-CN" w:bidi="ar-SA"/>
        </w:rPr>
        <w:t>广元市地质环境监测站</w:t>
      </w:r>
      <w:bookmarkEnd w:id="1"/>
    </w:p>
    <w:p>
      <w:pPr>
        <w:keepNext w:val="0"/>
        <w:keepLines w:val="0"/>
        <w:pageBreakBefore w:val="0"/>
        <w:widowControl w:val="0"/>
        <w:kinsoku/>
        <w:wordWrap/>
        <w:overflowPunct/>
        <w:topLinePunct w:val="0"/>
        <w:autoSpaceDE/>
        <w:autoSpaceDN/>
        <w:bidi w:val="0"/>
        <w:spacing w:line="800" w:lineRule="exact"/>
        <w:jc w:val="center"/>
        <w:textAlignment w:val="auto"/>
        <w:outlineLvl w:val="9"/>
        <w:rPr>
          <w:rFonts w:ascii="方正小标宋_GBK" w:hAnsi="宋体" w:eastAsia="方正小标宋_GBK"/>
          <w:color w:val="auto"/>
          <w:sz w:val="56"/>
          <w:szCs w:val="56"/>
        </w:rPr>
      </w:pPr>
      <w:r>
        <w:rPr>
          <w:rFonts w:hint="eastAsia" w:ascii="方正小标宋简体" w:hAnsi="宋体" w:eastAsia="方正小标宋简体" w:cs="Times New Roman"/>
          <w:color w:val="auto"/>
          <w:kern w:val="2"/>
          <w:sz w:val="44"/>
          <w:szCs w:val="44"/>
          <w:highlight w:val="none"/>
          <w:lang w:val="en-US" w:eastAsia="zh-CN" w:bidi="ar-SA"/>
        </w:rPr>
        <w:t>2023年</w:t>
      </w:r>
      <w:r>
        <w:rPr>
          <w:rFonts w:hint="eastAsia" w:ascii="方正小标宋简体" w:hAnsi="宋体" w:eastAsia="方正小标宋简体" w:cs="Times New Roman"/>
          <w:color w:val="auto"/>
          <w:kern w:val="2"/>
          <w:sz w:val="44"/>
          <w:szCs w:val="44"/>
          <w:highlight w:val="none"/>
          <w:lang w:val="en" w:eastAsia="zh-CN" w:bidi="ar-SA"/>
        </w:rPr>
        <w:t>单位</w:t>
      </w:r>
      <w:r>
        <w:rPr>
          <w:rFonts w:hint="eastAsia" w:ascii="方正小标宋简体" w:hAnsi="宋体" w:eastAsia="方正小标宋简体" w:cs="Times New Roman"/>
          <w:color w:val="auto"/>
          <w:kern w:val="2"/>
          <w:sz w:val="44"/>
          <w:szCs w:val="44"/>
          <w:highlight w:val="none"/>
          <w:lang w:val="en-US" w:eastAsia="zh-CN" w:bidi="ar-SA"/>
        </w:rPr>
        <w:t>决算公开</w:t>
      </w:r>
    </w:p>
    <w:bookmarkEnd w:id="0"/>
    <w:p>
      <w:pPr>
        <w:pageBreakBefore w:val="0"/>
        <w:widowControl/>
        <w:kinsoku/>
        <w:wordWrap/>
        <w:overflowPunct/>
        <w:topLinePunct w:val="0"/>
        <w:autoSpaceDE/>
        <w:autoSpaceDN/>
        <w:bidi w:val="0"/>
        <w:spacing w:line="576" w:lineRule="exact"/>
        <w:jc w:val="center"/>
        <w:textAlignment w:val="auto"/>
        <w:rPr>
          <w:rFonts w:ascii="黑体" w:hAnsi="黑体" w:eastAsia="黑体" w:cs="Times New Roman"/>
          <w:color w:val="auto"/>
          <w:sz w:val="28"/>
          <w:szCs w:val="28"/>
          <w:highlight w:val="none"/>
        </w:rPr>
      </w:pPr>
      <w:r>
        <w:rPr>
          <w:rFonts w:ascii="方正小标宋_GBK" w:hAnsi="宋体" w:eastAsia="方正小标宋_GBK"/>
          <w:color w:val="auto"/>
          <w:sz w:val="36"/>
          <w:szCs w:val="36"/>
        </w:rPr>
        <w:br w:type="page"/>
      </w: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pStyle w:val="11"/>
        <w:pageBreakBefore w:val="0"/>
        <w:kinsoku/>
        <w:wordWrap/>
        <w:overflowPunct/>
        <w:topLinePunct w:val="0"/>
        <w:autoSpaceDE/>
        <w:autoSpaceDN/>
        <w:bidi w:val="0"/>
        <w:spacing w:before="0" w:line="576"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公开时间：20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p>
    <w:sdt>
      <w:sdtPr>
        <w:rPr>
          <w:rFonts w:hint="eastAsia" w:ascii="仿宋_GB2312" w:hAnsi="仿宋_GB2312" w:eastAsia="仿宋_GB2312" w:cs="仿宋_GB2312"/>
          <w:kern w:val="2"/>
          <w:sz w:val="32"/>
          <w:szCs w:val="32"/>
          <w:lang w:val="en-US" w:eastAsia="zh-CN" w:bidi="ar-SA"/>
        </w:rPr>
        <w:id w:val="147454322"/>
        <w15:color w:val="DBDBDB"/>
        <w:docPartObj>
          <w:docPartGallery w:val="Table of Contents"/>
          <w:docPartUnique/>
        </w:docPartObj>
      </w:sdtPr>
      <w:sdtEndPr>
        <w:rPr>
          <w:rFonts w:hint="eastAsia" w:ascii="仿宋_GB2312" w:hAnsi="仿宋_GB2312" w:eastAsia="仿宋_GB2312" w:cs="仿宋_GB2312"/>
          <w:b/>
          <w:color w:val="auto"/>
          <w:kern w:val="2"/>
          <w:sz w:val="21"/>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33"/>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"1-2"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sz w:val="32"/>
              <w:szCs w:val="32"/>
              <w:highlight w:val="none"/>
            </w:rPr>
            <w:instrText xml:space="preserve"> HYPERLINK \l _Toc14725 </w:instrText>
          </w:r>
          <w:r>
            <w:rPr>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b/>
              <w:sz w:val="32"/>
              <w:szCs w:val="32"/>
              <w:highlight w:val="none"/>
            </w:rPr>
            <w:t xml:space="preserve">第一部分 </w:t>
          </w:r>
          <w:r>
            <w:rPr>
              <w:rFonts w:hint="eastAsia" w:ascii="仿宋_GB2312" w:hAnsi="仿宋_GB2312" w:eastAsia="仿宋_GB2312" w:cs="仿宋_GB2312"/>
              <w:b/>
              <w:sz w:val="32"/>
              <w:szCs w:val="32"/>
              <w:highlight w:val="none"/>
              <w:lang w:eastAsia="zh-CN"/>
            </w:rPr>
            <w:t>单位</w:t>
          </w:r>
          <w:r>
            <w:rPr>
              <w:rFonts w:hint="eastAsia" w:ascii="仿宋_GB2312" w:hAnsi="仿宋_GB2312" w:eastAsia="仿宋_GB2312" w:cs="仿宋_GB2312"/>
              <w:b/>
              <w:sz w:val="32"/>
              <w:szCs w:val="32"/>
              <w:highlight w:val="none"/>
            </w:rPr>
            <w:t>概况</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_Toc14725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Cs w:val="0"/>
              <w:sz w:val="32"/>
              <w:szCs w:val="32"/>
              <w:highlight w:val="none"/>
              <w:lang w:eastAsia="zh-CN"/>
            </w:rPr>
            <w:t>主要职责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_Toc20090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i w:val="0"/>
              <w:iCs w:val="0"/>
              <w:caps w:val="0"/>
              <w:spacing w:val="0"/>
              <w:kern w:val="2"/>
              <w:sz w:val="32"/>
              <w:szCs w:val="32"/>
              <w:lang w:val="en-US" w:eastAsia="zh-CN" w:bidi="ar-SA"/>
            </w:rPr>
            <w:t>二、</w:t>
          </w:r>
          <w:r>
            <w:rPr>
              <w:rFonts w:hint="eastAsia" w:ascii="仿宋_GB2312" w:hAnsi="仿宋_GB2312" w:eastAsia="仿宋_GB2312" w:cs="仿宋_GB2312"/>
              <w:bCs w:val="0"/>
              <w:i w:val="0"/>
              <w:iCs w:val="0"/>
              <w:caps w:val="0"/>
              <w:spacing w:val="0"/>
              <w:sz w:val="32"/>
              <w:szCs w:val="32"/>
              <w:highlight w:val="none"/>
            </w:rPr>
            <w:t>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3"/>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sz w:val="32"/>
              <w:szCs w:val="32"/>
              <w:highlight w:val="none"/>
            </w:rPr>
            <w:instrText xml:space="preserve"> HYPERLINK \l _Toc12133 </w:instrText>
          </w:r>
          <w:r>
            <w:rPr>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b/>
              <w:sz w:val="32"/>
              <w:szCs w:val="32"/>
              <w:highlight w:val="none"/>
            </w:rPr>
            <w:t xml:space="preserve">第二部分 </w:t>
          </w:r>
          <w:r>
            <w:rPr>
              <w:rFonts w:hint="eastAsia" w:ascii="仿宋_GB2312" w:hAnsi="仿宋_GB2312" w:eastAsia="仿宋_GB2312" w:cs="仿宋_GB2312"/>
              <w:b/>
              <w:sz w:val="32"/>
              <w:szCs w:val="32"/>
              <w:highlight w:val="none"/>
              <w:lang w:val="en-US" w:eastAsia="zh-CN"/>
            </w:rPr>
            <w:t>2023年度</w:t>
          </w:r>
          <w:r>
            <w:rPr>
              <w:rFonts w:hint="eastAsia" w:ascii="仿宋_GB2312" w:hAnsi="仿宋_GB2312" w:eastAsia="仿宋_GB2312" w:cs="仿宋_GB2312"/>
              <w:b/>
              <w:sz w:val="32"/>
              <w:szCs w:val="32"/>
              <w:highlight w:val="none"/>
              <w:lang w:eastAsia="zh-CN"/>
            </w:rPr>
            <w:t>单位</w:t>
          </w:r>
          <w:r>
            <w:rPr>
              <w:rFonts w:hint="eastAsia" w:ascii="仿宋_GB2312" w:hAnsi="仿宋_GB2312" w:eastAsia="仿宋_GB2312" w:cs="仿宋_GB2312"/>
              <w:b/>
              <w:sz w:val="32"/>
              <w:szCs w:val="32"/>
              <w:highlight w:val="none"/>
            </w:rPr>
            <w:t>决算情况说明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_Toc12133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_Toc20799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一、收入支出决算总体情况说明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_Toc17555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三、支出决算情况说明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_Toc25356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_Toc9530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七、</w:t>
          </w:r>
          <w:r>
            <w:rPr>
              <w:rFonts w:hint="eastAsia" w:ascii="仿宋_GB2312" w:hAnsi="仿宋_GB2312" w:eastAsia="仿宋_GB2312" w:cs="仿宋_GB2312"/>
              <w:bCs w:val="0"/>
              <w:sz w:val="32"/>
              <w:szCs w:val="32"/>
              <w:highlight w:val="none"/>
            </w:rPr>
            <w:t>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_Toc12816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九、国有资本经营预算支出决算情况说明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_Toc30711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十、</w:t>
          </w:r>
          <w:r>
            <w:rPr>
              <w:rFonts w:hint="eastAsia" w:ascii="仿宋_GB2312" w:hAnsi="仿宋_GB2312" w:eastAsia="仿宋_GB2312" w:cs="仿宋_GB2312"/>
              <w:bCs w:val="0"/>
              <w:sz w:val="32"/>
              <w:szCs w:val="32"/>
              <w:highlight w:val="none"/>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_Toc30711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highlight w:val="none"/>
            </w:rPr>
            <w:fldChar w:fldCharType="end"/>
          </w:r>
        </w:p>
        <w:p>
          <w:pPr>
            <w:pStyle w:val="33"/>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sz w:val="32"/>
              <w:szCs w:val="32"/>
              <w:highlight w:val="none"/>
            </w:rPr>
            <w:instrText xml:space="preserve"> HYPERLINK \l _Toc26702 </w:instrText>
          </w:r>
          <w:r>
            <w:rPr>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b/>
              <w:sz w:val="32"/>
              <w:szCs w:val="32"/>
              <w:highlight w:val="none"/>
              <w:lang w:eastAsia="zh-CN"/>
            </w:rPr>
            <w:t>第三部分</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名词解释</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_Toc26702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highlight w:val="none"/>
            </w:rPr>
            <w:fldChar w:fldCharType="end"/>
          </w:r>
        </w:p>
        <w:p>
          <w:pPr>
            <w:pStyle w:val="33"/>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sz w:val="32"/>
              <w:szCs w:val="32"/>
              <w:highlight w:val="none"/>
            </w:rPr>
            <w:instrText xml:space="preserve"> HYPERLINK \l _Toc19326 </w:instrText>
          </w:r>
          <w:r>
            <w:rPr>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b/>
              <w:bCs/>
              <w:kern w:val="44"/>
              <w:sz w:val="32"/>
              <w:szCs w:val="32"/>
              <w:highlight w:val="none"/>
              <w:lang w:val="en-US" w:eastAsia="zh-CN" w:bidi="ar-SA"/>
            </w:rPr>
            <w:t>第四</w:t>
          </w:r>
          <w:r>
            <w:rPr>
              <w:rFonts w:hint="eastAsia" w:ascii="仿宋_GB2312" w:hAnsi="仿宋_GB2312" w:eastAsia="仿宋_GB2312" w:cs="仿宋_GB2312"/>
              <w:b/>
              <w:sz w:val="32"/>
              <w:szCs w:val="32"/>
              <w:highlight w:val="none"/>
              <w:lang w:val="en-US" w:eastAsia="zh-CN"/>
            </w:rPr>
            <w:t xml:space="preserve">部分  </w:t>
          </w:r>
          <w:r>
            <w:rPr>
              <w:rFonts w:hint="eastAsia" w:ascii="仿宋_GB2312" w:hAnsi="仿宋_GB2312" w:eastAsia="仿宋_GB2312" w:cs="仿宋_GB2312"/>
              <w:b/>
              <w:bCs/>
              <w:kern w:val="44"/>
              <w:sz w:val="32"/>
              <w:szCs w:val="32"/>
              <w:highlight w:val="none"/>
              <w:lang w:val="en-US" w:eastAsia="zh-CN" w:bidi="ar-SA"/>
            </w:rPr>
            <w:t>附件</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_Toc19326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13</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highlight w:val="none"/>
            </w:rPr>
            <w:fldChar w:fldCharType="end"/>
          </w:r>
        </w:p>
        <w:p>
          <w:pPr>
            <w:pStyle w:val="33"/>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sz w:val="32"/>
              <w:szCs w:val="32"/>
              <w:highlight w:val="none"/>
            </w:rPr>
            <w:instrText xml:space="preserve"> HYPERLINK \l _Toc20963 </w:instrText>
          </w:r>
          <w:r>
            <w:rPr>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b/>
              <w:sz w:val="32"/>
              <w:szCs w:val="32"/>
              <w:highlight w:val="none"/>
              <w:lang w:val="en-US" w:eastAsia="zh-CN"/>
            </w:rPr>
            <w:t>第五部分  附表</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_Toc20963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14</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highlight w:val="none"/>
            </w:rPr>
            <w:fldChar w:fldCharType="end"/>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_Toc17628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一、收入支出决算总表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_Toc19811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二、收入决算表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_Toc18347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三、支出决算表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_Toc13479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四、财政拨款收入支出决算总表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_Toc21483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五、财政拨款支出决算明细表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_Toc5734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六、一般公共预算财政拨款支出决算表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_Toc13646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七、一般公共预算财政拨款支出决算明细表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_Toc4094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八、一般公共预算财政拨款基本支出决算表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_Toc23140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九、一般公共预算财政拨款项目支出决算表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_Toc10687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十、政府性基金预算财政拨款收入支出决算表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十一、国有资本经营预算财政拨款收入支出决算表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_Toc20111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十二、国有资本经营预算财政拨款支出决算表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pStyle w:val="34"/>
            <w:keepNext w:val="0"/>
            <w:keepLines w:val="0"/>
            <w:pageBreakBefore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_Toc997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lang w:val="en-US" w:eastAsia="zh-CN" w:bidi="ar-SA"/>
            </w:rPr>
            <w:t>十三、财政拨款“三公”经费支出决算表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14</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color w:val="auto"/>
              <w:kern w:val="2"/>
              <w:sz w:val="21"/>
              <w:szCs w:val="32"/>
              <w:highlight w:val="none"/>
              <w:lang w:val="en-US" w:eastAsia="zh-CN" w:bidi="ar-SA"/>
            </w:rPr>
          </w:pPr>
          <w:r>
            <w:rPr>
              <w:rFonts w:hint="eastAsia" w:ascii="仿宋_GB2312" w:hAnsi="仿宋_GB2312" w:eastAsia="仿宋_GB2312" w:cs="仿宋_GB2312"/>
              <w:b/>
              <w:color w:val="auto"/>
              <w:sz w:val="32"/>
              <w:szCs w:val="32"/>
              <w:highlight w:val="none"/>
            </w:rPr>
            <w:fldChar w:fldCharType="end"/>
          </w:r>
        </w:p>
      </w:sdtContent>
    </w:sdt>
    <w:p>
      <w:pPr>
        <w:pStyle w:val="2"/>
        <w:rPr>
          <w:rFonts w:hint="eastAsia"/>
        </w:rPr>
      </w:pPr>
    </w:p>
    <w:p>
      <w:pPr>
        <w:pageBreakBefore w:val="0"/>
        <w:kinsoku/>
        <w:wordWrap/>
        <w:overflowPunct/>
        <w:topLinePunct w:val="0"/>
        <w:autoSpaceDE/>
        <w:autoSpaceDN/>
        <w:bidi w:val="0"/>
        <w:spacing w:line="576"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sectPr>
          <w:headerReference r:id="rId3" w:type="default"/>
          <w:pgSz w:w="11906" w:h="16838"/>
          <w:pgMar w:top="2098" w:right="1474" w:bottom="1984" w:left="1587" w:header="851" w:footer="992" w:gutter="0"/>
          <w:pgNumType w:fmt="decimal" w:start="1"/>
          <w:cols w:space="0" w:num="1"/>
          <w:rtlGutter w:val="0"/>
          <w:docGrid w:type="lines" w:linePitch="312" w:charSpace="0"/>
        </w:sectPr>
      </w:pPr>
      <w:r>
        <w:rPr>
          <w:rFonts w:hint="eastAsia" w:ascii="仿宋_GB2312" w:hAnsi="仿宋_GB2312" w:eastAsia="仿宋_GB2312" w:cs="仿宋_GB2312"/>
          <w:b/>
          <w:color w:val="auto"/>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color w:val="auto"/>
          <w:highlight w:val="none"/>
        </w:rPr>
      </w:pPr>
      <w:bookmarkStart w:id="2" w:name="_Toc14725"/>
      <w:r>
        <w:rPr>
          <w:rFonts w:hint="eastAsia" w:ascii="方正小标宋_GBK" w:hAnsi="方正小标宋_GBK" w:eastAsia="方正小标宋_GBK" w:cs="方正小标宋_GBK"/>
          <w:b w:val="0"/>
          <w:color w:val="auto"/>
          <w:highlight w:val="none"/>
        </w:rPr>
        <w:t xml:space="preserve">第一部分 </w:t>
      </w:r>
      <w:r>
        <w:rPr>
          <w:rFonts w:hint="eastAsia" w:ascii="方正小标宋_GBK" w:hAnsi="方正小标宋_GBK" w:eastAsia="方正小标宋_GBK" w:cs="方正小标宋_GBK"/>
          <w:b w:val="0"/>
          <w:color w:val="auto"/>
          <w:highlight w:val="none"/>
          <w:lang w:eastAsia="zh-CN"/>
        </w:rPr>
        <w:t>单位</w:t>
      </w:r>
      <w:r>
        <w:rPr>
          <w:rFonts w:hint="eastAsia" w:ascii="方正小标宋_GBK" w:hAnsi="方正小标宋_GBK" w:eastAsia="方正小标宋_GBK" w:cs="方正小标宋_GBK"/>
          <w:b w:val="0"/>
          <w:color w:val="auto"/>
          <w:highlight w:val="none"/>
        </w:rPr>
        <w:t>概况</w:t>
      </w:r>
      <w:bookmarkEnd w:id="2"/>
    </w:p>
    <w:p>
      <w:pPr>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4"/>
        <w:pageBreakBefore w:val="0"/>
        <w:kinsoku/>
        <w:wordWrap/>
        <w:overflowPunct/>
        <w:topLinePunct w:val="0"/>
        <w:autoSpaceDE/>
        <w:autoSpaceDN/>
        <w:bidi w:val="0"/>
        <w:adjustRightInd/>
        <w:snapToGrid/>
        <w:spacing w:before="0" w:after="0" w:line="540" w:lineRule="exact"/>
        <w:ind w:left="0" w:leftChars="0" w:firstLine="642" w:firstLineChars="200"/>
        <w:jc w:val="both"/>
        <w:textAlignment w:val="auto"/>
        <w:rPr>
          <w:rFonts w:hint="eastAsia"/>
          <w:lang w:eastAsia="zh-CN"/>
        </w:rPr>
      </w:pPr>
      <w:bookmarkStart w:id="3" w:name="_Toc13503"/>
      <w:bookmarkStart w:id="4" w:name="_Toc945"/>
      <w:bookmarkStart w:id="5" w:name="_Toc15377197"/>
      <w:bookmarkStart w:id="6" w:name="_Toc15396600"/>
      <w:r>
        <w:rPr>
          <w:rFonts w:hint="eastAsia"/>
          <w:lang w:val="en-US" w:eastAsia="zh-CN"/>
        </w:rPr>
        <w:t>一、</w:t>
      </w:r>
      <w:bookmarkEnd w:id="3"/>
      <w:r>
        <w:rPr>
          <w:rStyle w:val="20"/>
          <w:rFonts w:hint="eastAsia" w:ascii="黑体" w:hAnsi="黑体" w:eastAsia="黑体"/>
          <w:b w:val="0"/>
          <w:bCs w:val="0"/>
          <w:color w:val="auto"/>
          <w:highlight w:val="none"/>
          <w:lang w:eastAsia="zh-CN"/>
        </w:rPr>
        <w:t>主要职责</w:t>
      </w:r>
      <w:bookmarkEnd w:id="4"/>
    </w:p>
    <w:p>
      <w:pPr>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1.组织编制和实施全市地质环境监测工作规划、计划；参与编制地质灾害环境资源规划；对各县（区、事务中心）地质环境监测站（股）进行业务指导。</w:t>
      </w:r>
    </w:p>
    <w:p>
      <w:pPr>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2.负责提出地质灾害预警工程项目的设置建议，承担重大地质灾害的监测、调查研究、评价和防治工作；开展地质灾害预测预报工作，推进和建立全市地质灾害“群测群防、群专结合”的监测网络体系。</w:t>
      </w:r>
    </w:p>
    <w:p>
      <w:pPr>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3.提供地质环境监测管理对策建议；编制地质环境、地质灾害、地质遗迹、地下水资源的年报、通报和公报；建立和完善全市突发性地质灾害的速报制度。</w:t>
      </w:r>
    </w:p>
    <w:p>
      <w:pPr>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4.承担全市地质环境监测数据和资料的接收、汇总、分析和处理以及全市地质环境信息系统的建设、管理，向广元自然资源局及省国土空间生态修复及地质灾害防治研究院提交各类监测成果。</w:t>
      </w:r>
    </w:p>
    <w:p>
      <w:pPr>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5.开展地质环境监测的技术培训、交流与合作。</w:t>
      </w:r>
    </w:p>
    <w:p>
      <w:pPr>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default"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6.承办广元市自然资源局及省自然资源厅、省国土空间生态修复及地质灾害防治研究院交办的其他事项。</w:t>
      </w:r>
      <w:bookmarkEnd w:id="5"/>
      <w:bookmarkEnd w:id="6"/>
      <w:bookmarkStart w:id="7" w:name="_Toc15377204"/>
      <w:bookmarkStart w:id="8" w:name="_Toc15396602"/>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ascii="黑体" w:hAnsi="宋体" w:eastAsia="黑体" w:cs="黑体"/>
          <w:b w:val="0"/>
          <w:bCs w:val="0"/>
          <w:i w:val="0"/>
          <w:iCs w:val="0"/>
          <w:caps w:val="0"/>
          <w:color w:val="000000"/>
          <w:spacing w:val="0"/>
          <w:sz w:val="32"/>
          <w:szCs w:val="32"/>
          <w:highlight w:val="none"/>
        </w:rPr>
      </w:pPr>
      <w:bookmarkStart w:id="9" w:name="_Toc8332"/>
      <w:bookmarkStart w:id="10" w:name="_Toc20090"/>
      <w:r>
        <w:rPr>
          <w:rFonts w:hint="eastAsia" w:ascii="黑体" w:hAnsi="宋体" w:eastAsia="黑体" w:cs="黑体"/>
          <w:b w:val="0"/>
          <w:bCs w:val="0"/>
          <w:i w:val="0"/>
          <w:iCs w:val="0"/>
          <w:caps w:val="0"/>
          <w:color w:val="000000"/>
          <w:spacing w:val="0"/>
          <w:kern w:val="2"/>
          <w:sz w:val="32"/>
          <w:szCs w:val="32"/>
          <w:lang w:val="en-US" w:eastAsia="zh-CN" w:bidi="ar-SA"/>
        </w:rPr>
        <w:t>二、</w:t>
      </w:r>
      <w:r>
        <w:rPr>
          <w:rFonts w:ascii="黑体" w:hAnsi="宋体" w:eastAsia="黑体" w:cs="黑体"/>
          <w:b w:val="0"/>
          <w:bCs w:val="0"/>
          <w:i w:val="0"/>
          <w:iCs w:val="0"/>
          <w:caps w:val="0"/>
          <w:color w:val="000000"/>
          <w:spacing w:val="0"/>
          <w:sz w:val="32"/>
          <w:szCs w:val="32"/>
          <w:highlight w:val="none"/>
        </w:rPr>
        <w:t>机构设置</w:t>
      </w:r>
      <w:bookmarkEnd w:id="9"/>
      <w:bookmarkEnd w:id="10"/>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我单位为</w:t>
      </w:r>
      <w:r>
        <w:rPr>
          <w:rFonts w:hint="eastAsia" w:ascii="仿宋_GB2312" w:hAnsi="仿宋_GB2312" w:eastAsia="仿宋_GB2312" w:cs="仿宋_GB2312"/>
          <w:b w:val="0"/>
          <w:color w:val="auto"/>
          <w:sz w:val="32"/>
          <w:szCs w:val="32"/>
          <w:lang w:val="en-US" w:eastAsia="zh-CN"/>
        </w:rPr>
        <w:t>广元市自然资源局</w:t>
      </w:r>
      <w:r>
        <w:rPr>
          <w:rFonts w:hint="eastAsia" w:ascii="仿宋_GB2312" w:hAnsi="仿宋_GB2312" w:eastAsia="仿宋_GB2312" w:cs="仿宋_GB2312"/>
          <w:sz w:val="32"/>
          <w:szCs w:val="32"/>
          <w:lang w:val="en-US" w:eastAsia="zh-CN"/>
        </w:rPr>
        <w:t>下属二级预算单位，本单位无下属机构，设有内设机构</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个。</w:t>
      </w:r>
    </w:p>
    <w:bookmarkEnd w:id="7"/>
    <w:bookmarkEnd w:id="8"/>
    <w:p>
      <w:pPr>
        <w:pageBreakBefore w:val="0"/>
        <w:kinsoku/>
        <w:wordWrap/>
        <w:overflowPunct/>
        <w:topLinePunct w:val="0"/>
        <w:autoSpaceDE/>
        <w:autoSpaceDN/>
        <w:bidi w:val="0"/>
        <w:spacing w:line="576" w:lineRule="exact"/>
        <w:ind w:left="0" w:leftChars="0" w:firstLine="420" w:firstLineChars="200"/>
        <w:jc w:val="both"/>
        <w:textAlignment w:val="auto"/>
        <w:rPr>
          <w:rFonts w:hint="eastAsia" w:ascii="黑体" w:hAnsi="黑体" w:eastAsia="黑体"/>
          <w:b w:val="0"/>
          <w:bCs/>
          <w:color w:val="auto"/>
          <w:highlight w:val="none"/>
        </w:rPr>
      </w:pPr>
      <w:r>
        <w:rPr>
          <w:rFonts w:hint="eastAsia" w:ascii="黑体" w:hAnsi="黑体" w:eastAsia="黑体"/>
          <w:b w:val="0"/>
          <w:bCs/>
          <w:color w:val="auto"/>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color w:val="auto"/>
          <w:highlight w:val="none"/>
        </w:rPr>
      </w:pPr>
      <w:bookmarkStart w:id="11" w:name="_Toc12133"/>
      <w:r>
        <w:rPr>
          <w:rFonts w:hint="eastAsia" w:ascii="方正小标宋_GBK" w:hAnsi="方正小标宋_GBK" w:eastAsia="方正小标宋_GBK" w:cs="方正小标宋_GBK"/>
          <w:b w:val="0"/>
          <w:color w:val="auto"/>
          <w:highlight w:val="none"/>
        </w:rPr>
        <w:t xml:space="preserve">第二部分 </w:t>
      </w:r>
      <w:r>
        <w:rPr>
          <w:rFonts w:hint="eastAsia" w:ascii="方正小标宋_GBK" w:hAnsi="方正小标宋_GBK" w:eastAsia="方正小标宋_GBK" w:cs="方正小标宋_GBK"/>
          <w:b w:val="0"/>
          <w:color w:val="auto"/>
          <w:highlight w:val="none"/>
          <w:lang w:val="en-US" w:eastAsia="zh-CN"/>
        </w:rPr>
        <w:t>2023年度</w:t>
      </w:r>
      <w:r>
        <w:rPr>
          <w:rFonts w:hint="eastAsia" w:ascii="方正小标宋_GBK" w:hAnsi="方正小标宋_GBK" w:eastAsia="方正小标宋_GBK" w:cs="方正小标宋_GBK"/>
          <w:b w:val="0"/>
          <w:color w:val="auto"/>
          <w:highlight w:val="none"/>
          <w:lang w:eastAsia="zh-CN"/>
        </w:rPr>
        <w:t>单位</w:t>
      </w:r>
      <w:r>
        <w:rPr>
          <w:rFonts w:hint="eastAsia" w:ascii="方正小标宋_GBK" w:hAnsi="方正小标宋_GBK" w:eastAsia="方正小标宋_GBK" w:cs="方正小标宋_GBK"/>
          <w:b w:val="0"/>
          <w:color w:val="auto"/>
          <w:highlight w:val="none"/>
        </w:rPr>
        <w:t>决算情况说明</w:t>
      </w:r>
      <w:bookmarkEnd w:id="11"/>
    </w:p>
    <w:p>
      <w:pPr>
        <w:pageBreakBefore w:val="0"/>
        <w:widowControl w:val="0"/>
        <w:kinsoku/>
        <w:wordWrap/>
        <w:overflowPunct/>
        <w:topLinePunct w:val="0"/>
        <w:bidi w:val="0"/>
        <w:spacing w:line="576" w:lineRule="exact"/>
        <w:ind w:left="0" w:right="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12" w:name="_Toc15377205"/>
      <w:bookmarkStart w:id="13" w:name="_Toc20799"/>
      <w:bookmarkStart w:id="14" w:name="_Toc15396603"/>
      <w:bookmarkStart w:id="15" w:name="_Toc18582"/>
      <w:r>
        <w:rPr>
          <w:rFonts w:hint="eastAsia" w:ascii="黑体" w:hAnsi="黑体" w:eastAsia="黑体" w:cs="黑体"/>
          <w:b w:val="0"/>
          <w:bCs w:val="0"/>
          <w:color w:val="auto"/>
          <w:sz w:val="32"/>
          <w:szCs w:val="32"/>
          <w:highlight w:val="none"/>
          <w:u w:val="none"/>
          <w:lang w:eastAsia="zh-CN"/>
        </w:rPr>
        <w:t>一、收入支出决算总体情况说明</w:t>
      </w:r>
      <w:bookmarkEnd w:id="12"/>
      <w:bookmarkEnd w:id="13"/>
      <w:bookmarkEnd w:id="14"/>
      <w:bookmarkEnd w:id="15"/>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eastAsia="zh-CN"/>
        </w:rPr>
        <w:t>均为</w:t>
      </w:r>
      <w:r>
        <w:rPr>
          <w:rFonts w:hint="default" w:ascii="仿宋_GB2312" w:hAnsi="仿宋_GB2312" w:eastAsia="仿宋_GB2312" w:cs="仿宋_GB2312"/>
          <w:color w:val="auto"/>
          <w:sz w:val="32"/>
          <w:szCs w:val="32"/>
          <w:highlight w:val="none"/>
          <w:lang w:val="en"/>
        </w:rPr>
        <w:t>381.33</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相比，收、支总计各增加</w:t>
      </w:r>
      <w:r>
        <w:rPr>
          <w:rFonts w:hint="default" w:ascii="仿宋_GB2312" w:hAnsi="仿宋_GB2312" w:eastAsia="仿宋_GB2312" w:cs="仿宋_GB2312"/>
          <w:color w:val="auto"/>
          <w:sz w:val="32"/>
          <w:szCs w:val="32"/>
          <w:highlight w:val="none"/>
          <w:lang w:val="en"/>
        </w:rPr>
        <w:t>39.93</w:t>
      </w:r>
      <w:r>
        <w:rPr>
          <w:rFonts w:hint="eastAsia" w:ascii="仿宋_GB2312" w:hAnsi="仿宋_GB2312" w:eastAsia="仿宋_GB2312" w:cs="仿宋_GB2312"/>
          <w:color w:val="auto"/>
          <w:sz w:val="32"/>
          <w:szCs w:val="32"/>
          <w:highlight w:val="none"/>
        </w:rPr>
        <w:t>万元，增长</w:t>
      </w:r>
      <w:r>
        <w:rPr>
          <w:rFonts w:hint="default" w:ascii="仿宋_GB2312" w:hAnsi="仿宋_GB2312" w:eastAsia="仿宋_GB2312" w:cs="仿宋_GB2312"/>
          <w:color w:val="auto"/>
          <w:sz w:val="32"/>
          <w:szCs w:val="32"/>
          <w:highlight w:val="none"/>
          <w:lang w:val="en"/>
        </w:rPr>
        <w:t>11.69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lang w:eastAsia="zh-CN"/>
        </w:rPr>
        <w:t>项目经费支出增加</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22"/>
        <w:keepNext w:val="0"/>
        <w:keepLines w:val="0"/>
        <w:pageBreakBefore w:val="0"/>
        <w:widowControl w:val="0"/>
        <w:kinsoku/>
        <w:wordWrap/>
        <w:overflowPunct/>
        <w:topLinePunct w:val="0"/>
        <w:autoSpaceDE w:val="0"/>
        <w:autoSpaceDN w:val="0"/>
        <w:bidi w:val="0"/>
        <w:adjustRightInd w:val="0"/>
        <w:snapToGrid/>
        <w:spacing w:line="240" w:lineRule="auto"/>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4960620" cy="3139440"/>
            <wp:effectExtent l="4445" t="4445" r="184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bidi w:val="0"/>
        <w:snapToGrid/>
        <w:spacing w:line="576" w:lineRule="exact"/>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（图1：收、支决算总计变动情况图）</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9"/>
        <w:rPr>
          <w:rFonts w:hint="eastAsia" w:ascii="黑体" w:hAnsi="黑体" w:eastAsia="黑体" w:cs="黑体"/>
          <w:b w:val="0"/>
          <w:bCs w:val="0"/>
          <w:color w:val="auto"/>
          <w:sz w:val="32"/>
          <w:szCs w:val="32"/>
          <w:highlight w:val="none"/>
          <w:u w:val="none"/>
          <w:lang w:eastAsia="zh-CN"/>
        </w:rPr>
      </w:pPr>
      <w:bookmarkStart w:id="16" w:name="_Toc19917"/>
      <w:bookmarkStart w:id="17" w:name="_Toc15396604"/>
      <w:bookmarkStart w:id="18" w:name="_Toc15377206"/>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19" w:name="_Toc17555"/>
      <w:r>
        <w:rPr>
          <w:rFonts w:hint="eastAsia" w:ascii="黑体" w:hAnsi="黑体" w:eastAsia="黑体" w:cs="黑体"/>
          <w:b w:val="0"/>
          <w:bCs w:val="0"/>
          <w:color w:val="auto"/>
          <w:sz w:val="32"/>
          <w:szCs w:val="32"/>
          <w:highlight w:val="none"/>
          <w:u w:val="none"/>
          <w:lang w:eastAsia="zh-CN"/>
        </w:rPr>
        <w:t>二、收入决算情况说明</w:t>
      </w:r>
      <w:bookmarkEnd w:id="16"/>
      <w:bookmarkEnd w:id="17"/>
      <w:bookmarkEnd w:id="18"/>
      <w:bookmarkEnd w:id="19"/>
    </w:p>
    <w:p>
      <w:pPr>
        <w:adjustRightInd w:val="0"/>
        <w:snapToGrid w:val="0"/>
        <w:spacing w:beforeLines="0" w:afterLines="0" w:line="576"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2023年度本年收入合计</w:t>
      </w:r>
      <w:r>
        <w:rPr>
          <w:rFonts w:hint="eastAsia" w:ascii="仿宋_GB2312" w:hAnsi="仿宋_GB2312" w:eastAsia="仿宋_GB2312" w:cs="仿宋_GB2312"/>
          <w:color w:val="auto"/>
          <w:sz w:val="32"/>
          <w:szCs w:val="32"/>
          <w:lang w:val="en"/>
        </w:rPr>
        <w:t>287.69</w:t>
      </w:r>
      <w:r>
        <w:rPr>
          <w:rFonts w:hint="eastAsia" w:ascii="仿宋_GB2312" w:hAnsi="仿宋_GB2312" w:eastAsia="仿宋_GB2312" w:cs="仿宋_GB2312"/>
          <w:color w:val="auto"/>
          <w:sz w:val="32"/>
          <w:szCs w:val="32"/>
        </w:rPr>
        <w:t>万元，其中：一般公共预算财政拨款收入287.69万元，占</w:t>
      </w:r>
      <w:r>
        <w:rPr>
          <w:rFonts w:hint="eastAsia" w:ascii="仿宋_GB2312" w:hAnsi="仿宋_GB2312" w:eastAsia="仿宋_GB2312" w:cs="仿宋_GB2312"/>
          <w:color w:val="auto"/>
          <w:sz w:val="32"/>
          <w:szCs w:val="32"/>
          <w:lang w:val="e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w:t>
      </w:r>
    </w:p>
    <w:p>
      <w:pPr>
        <w:pStyle w:val="22"/>
        <w:spacing w:beforeLines="0" w:afterLines="0"/>
        <w:jc w:val="center"/>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drawing>
          <wp:inline distT="0" distB="0" distL="114300" distR="114300">
            <wp:extent cx="4581525" cy="2895600"/>
            <wp:effectExtent l="0" t="0" r="0" b="0"/>
            <wp:docPr id="3" name="图表 4"/>
            <wp:cNvGraphicFramePr>
              <a:graphicFrameLocks xmlns:a="http://schemas.openxmlformats.org/drawingml/2006/main" noGrp="true" noChangeAspect="true"/>
            </wp:cNvGraphicFramePr>
            <a:graphic xmlns:a="http://schemas.openxmlformats.org/drawingml/2006/main">
              <a:graphicData uri="http://schemas.openxmlformats.org/drawingml/2006/picture">
                <pic:pic xmlns:pic="http://schemas.openxmlformats.org/drawingml/2006/picture">
                  <pic:nvPicPr>
                    <pic:cNvPr id="3" name="图表 4"/>
                    <pic:cNvPicPr>
                      <a:picLocks noGrp="true" noChangeAspect="true"/>
                    </pic:cNvPicPr>
                  </pic:nvPicPr>
                  <pic:blipFill>
                    <a:blip r:embed="rId7"/>
                    <a:stretch>
                      <a:fillRect/>
                    </a:stretch>
                  </pic:blipFill>
                  <pic:spPr>
                    <a:xfrm>
                      <a:off x="0" y="0"/>
                      <a:ext cx="4581525" cy="2895600"/>
                    </a:xfrm>
                    <a:prstGeom prst="rect">
                      <a:avLst/>
                    </a:prstGeom>
                    <a:noFill/>
                    <a:ln>
                      <a:noFill/>
                    </a:ln>
                  </pic:spPr>
                </pic:pic>
              </a:graphicData>
            </a:graphic>
          </wp:inline>
        </w:drawing>
      </w:r>
    </w:p>
    <w:p>
      <w:pPr>
        <w:spacing w:beforeLines="0" w:afterLines="0" w:line="576"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（图2：收入决算结构图）</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20" w:name="_Toc9664"/>
      <w:bookmarkStart w:id="21" w:name="_Toc11232"/>
      <w:bookmarkStart w:id="22" w:name="_Toc15377207"/>
      <w:bookmarkStart w:id="23" w:name="_Toc15396605"/>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三、支出决算情况说明</w:t>
      </w:r>
      <w:bookmarkEnd w:id="20"/>
      <w:bookmarkEnd w:id="21"/>
      <w:bookmarkEnd w:id="22"/>
      <w:bookmarkEnd w:id="23"/>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outlineLvl w:val="1"/>
        <w:rPr>
          <w:rFonts w:hint="eastAsia" w:ascii="仿宋_GB2312" w:hAnsi="仿宋_GB2312" w:eastAsia="仿宋_GB2312" w:cs="仿宋_GB2312"/>
          <w:color w:val="auto"/>
          <w:sz w:val="32"/>
          <w:szCs w:val="32"/>
        </w:rPr>
      </w:pPr>
      <w:bookmarkStart w:id="24" w:name="_Toc15361"/>
      <w:bookmarkStart w:id="25" w:name="_Toc30226"/>
      <w:bookmarkStart w:id="26" w:name="_Toc3662"/>
      <w:bookmarkStart w:id="27" w:name="_Toc8949"/>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本年支出合计3</w:t>
      </w:r>
      <w:r>
        <w:rPr>
          <w:rFonts w:hint="eastAsia" w:ascii="仿宋_GB2312" w:hAnsi="仿宋_GB2312" w:eastAsia="仿宋_GB2312" w:cs="仿宋_GB2312"/>
          <w:color w:val="auto"/>
          <w:sz w:val="32"/>
          <w:szCs w:val="32"/>
          <w:lang w:val="en-US" w:eastAsia="zh-CN"/>
        </w:rPr>
        <w:t>81.33</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249.19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65.35</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132.14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34.65</w:t>
      </w:r>
      <w:r>
        <w:rPr>
          <w:rFonts w:hint="eastAsia" w:ascii="仿宋_GB2312" w:hAnsi="仿宋_GB2312" w:eastAsia="仿宋_GB2312" w:cs="仿宋_GB2312"/>
          <w:color w:val="auto"/>
          <w:sz w:val="32"/>
          <w:szCs w:val="32"/>
        </w:rPr>
        <w:t>%。</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bidi w:val="0"/>
        <w:snapToGrid/>
        <w:spacing w:line="576" w:lineRule="exact"/>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（图3：支出决算结构图）</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28" w:name="_Toc15377208"/>
      <w:bookmarkStart w:id="29" w:name="_Toc15396606"/>
      <w:bookmarkStart w:id="30" w:name="_Toc18806"/>
      <w:bookmarkStart w:id="31" w:name="_Toc4043"/>
      <w:r>
        <w:rPr>
          <w:rFonts w:hint="eastAsia" w:ascii="黑体" w:hAnsi="黑体" w:eastAsia="黑体" w:cs="黑体"/>
          <w:b w:val="0"/>
          <w:bCs w:val="0"/>
          <w:color w:val="auto"/>
          <w:sz w:val="32"/>
          <w:szCs w:val="32"/>
          <w:highlight w:val="none"/>
          <w:u w:val="none"/>
          <w:lang w:eastAsia="zh-CN"/>
        </w:rPr>
        <w:t>四、财政拨款收入支出决算总体情况说明</w:t>
      </w:r>
      <w:bookmarkEnd w:id="28"/>
      <w:bookmarkEnd w:id="29"/>
      <w:bookmarkEnd w:id="30"/>
      <w:bookmarkEnd w:id="31"/>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财政拨款收、支总计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lang w:val="en-US" w:eastAsia="zh-CN"/>
        </w:rPr>
        <w:t>381.33</w:t>
      </w:r>
      <w:r>
        <w:rPr>
          <w:rFonts w:hint="eastAsia" w:ascii="仿宋_GB2312" w:hAnsi="仿宋_GB2312" w:eastAsia="仿宋_GB2312" w:cs="仿宋_GB2312"/>
          <w:color w:val="auto"/>
          <w:sz w:val="32"/>
          <w:szCs w:val="32"/>
        </w:rPr>
        <w:t>万元。与202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相比，财政拨款收、支总计</w:t>
      </w:r>
      <w:r>
        <w:rPr>
          <w:rFonts w:hint="eastAsia" w:ascii="仿宋_GB2312" w:hAnsi="仿宋_GB2312" w:eastAsia="仿宋_GB2312" w:cs="仿宋_GB2312"/>
          <w:color w:val="auto"/>
          <w:sz w:val="32"/>
          <w:szCs w:val="32"/>
          <w:lang w:eastAsia="zh-CN"/>
        </w:rPr>
        <w:t>各增加</w:t>
      </w:r>
      <w:r>
        <w:rPr>
          <w:rFonts w:hint="default" w:ascii="仿宋_GB2312" w:hAnsi="仿宋_GB2312" w:eastAsia="仿宋_GB2312" w:cs="仿宋_GB2312"/>
          <w:color w:val="auto"/>
          <w:sz w:val="32"/>
          <w:szCs w:val="32"/>
          <w:highlight w:val="none"/>
          <w:lang w:val="en"/>
        </w:rPr>
        <w:t>39.93</w:t>
      </w:r>
      <w:r>
        <w:rPr>
          <w:rFonts w:hint="eastAsia" w:ascii="仿宋_GB2312" w:hAnsi="仿宋_GB2312" w:eastAsia="仿宋_GB2312" w:cs="仿宋_GB2312"/>
          <w:color w:val="auto"/>
          <w:sz w:val="32"/>
          <w:szCs w:val="32"/>
          <w:highlight w:val="none"/>
        </w:rPr>
        <w:t>万元，增长</w:t>
      </w:r>
      <w:r>
        <w:rPr>
          <w:rFonts w:hint="default" w:ascii="仿宋_GB2312" w:hAnsi="仿宋_GB2312" w:eastAsia="仿宋_GB2312" w:cs="仿宋_GB2312"/>
          <w:color w:val="auto"/>
          <w:sz w:val="32"/>
          <w:szCs w:val="32"/>
          <w:highlight w:val="none"/>
          <w:lang w:val="en"/>
        </w:rPr>
        <w:t>11.69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项目经费支出增加</w:t>
      </w:r>
      <w:r>
        <w:rPr>
          <w:rFonts w:hint="eastAsia" w:ascii="仿宋_GB2312" w:hAnsi="仿宋_GB2312" w:eastAsia="仿宋_GB2312" w:cs="仿宋_GB2312"/>
          <w:color w:val="auto"/>
          <w:sz w:val="32"/>
          <w:szCs w:val="32"/>
        </w:rPr>
        <w:t>。</w:t>
      </w:r>
    </w:p>
    <w:p>
      <w:pPr>
        <w:pStyle w:val="2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332095" cy="2769235"/>
            <wp:effectExtent l="4445" t="4445" r="12700"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bidi w:val="0"/>
        <w:snapToGrid/>
        <w:spacing w:line="576" w:lineRule="exact"/>
        <w:ind w:right="0"/>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9"/>
        <w:rPr>
          <w:rFonts w:hint="eastAsia" w:ascii="黑体" w:hAnsi="黑体" w:eastAsia="黑体" w:cs="黑体"/>
          <w:b w:val="0"/>
          <w:bCs w:val="0"/>
          <w:color w:val="auto"/>
          <w:sz w:val="32"/>
          <w:szCs w:val="32"/>
          <w:highlight w:val="none"/>
          <w:u w:val="none"/>
          <w:lang w:eastAsia="zh-CN"/>
        </w:rPr>
      </w:pPr>
      <w:bookmarkStart w:id="32" w:name="_Toc10498"/>
      <w:bookmarkStart w:id="33" w:name="_Toc15377209"/>
      <w:bookmarkStart w:id="34" w:name="_Toc15396607"/>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35" w:name="_Toc11861"/>
      <w:r>
        <w:rPr>
          <w:rFonts w:hint="eastAsia" w:ascii="黑体" w:hAnsi="黑体" w:eastAsia="黑体" w:cs="黑体"/>
          <w:b w:val="0"/>
          <w:bCs w:val="0"/>
          <w:color w:val="auto"/>
          <w:sz w:val="32"/>
          <w:szCs w:val="32"/>
          <w:highlight w:val="none"/>
          <w:u w:val="none"/>
          <w:lang w:eastAsia="zh-CN"/>
        </w:rPr>
        <w:t>五、一般公共预算财政拨款支出决算情况说明</w:t>
      </w:r>
      <w:bookmarkEnd w:id="32"/>
      <w:bookmarkEnd w:id="33"/>
      <w:bookmarkEnd w:id="34"/>
      <w:bookmarkEnd w:id="35"/>
    </w:p>
    <w:p>
      <w:pPr>
        <w:autoSpaceDE w:val="0"/>
        <w:autoSpaceDN w:val="0"/>
        <w:adjustRightInd w:val="0"/>
        <w:spacing w:line="600" w:lineRule="exact"/>
        <w:ind w:firstLine="642" w:firstLineChars="200"/>
        <w:jc w:val="left"/>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（一）一般公共预算财政拨款支出决算总体情况</w:t>
      </w:r>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一般公共预算财政拨款支出3</w:t>
      </w:r>
      <w:r>
        <w:rPr>
          <w:rFonts w:hint="eastAsia" w:ascii="仿宋_GB2312" w:hAnsi="仿宋_GB2312" w:eastAsia="仿宋_GB2312" w:cs="仿宋_GB2312"/>
          <w:color w:val="auto"/>
          <w:sz w:val="32"/>
          <w:szCs w:val="32"/>
          <w:lang w:val="en-US" w:eastAsia="zh-CN"/>
        </w:rPr>
        <w:t>81.33</w:t>
      </w:r>
      <w:r>
        <w:rPr>
          <w:rFonts w:hint="eastAsia" w:ascii="仿宋_GB2312" w:hAnsi="仿宋_GB2312" w:eastAsia="仿宋_GB2312" w:cs="仿宋_GB2312"/>
          <w:color w:val="auto"/>
          <w:sz w:val="32"/>
          <w:szCs w:val="32"/>
        </w:rPr>
        <w:t>万元，占本年支出合计的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相比，一般公共预算财政拨款支出</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55.88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17.17</w:t>
      </w:r>
      <w:r>
        <w:rPr>
          <w:rFonts w:hint="eastAsia" w:ascii="仿宋_GB2312" w:hAnsi="仿宋_GB2312" w:eastAsia="仿宋_GB2312" w:cs="仿宋_GB2312"/>
          <w:color w:val="auto"/>
          <w:sz w:val="32"/>
          <w:szCs w:val="32"/>
        </w:rPr>
        <w:t>%。主要变动原因是项目经费支出</w:t>
      </w:r>
      <w:r>
        <w:rPr>
          <w:rFonts w:hint="eastAsia" w:ascii="仿宋_GB2312" w:hAnsi="仿宋_GB2312" w:eastAsia="仿宋_GB2312" w:cs="仿宋_GB2312"/>
          <w:color w:val="auto"/>
          <w:sz w:val="32"/>
          <w:szCs w:val="32"/>
          <w:lang w:eastAsia="zh-CN"/>
        </w:rPr>
        <w:t>增加。</w:t>
      </w:r>
    </w:p>
    <w:p>
      <w:pPr>
        <w:pStyle w:val="2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197475" cy="2328545"/>
            <wp:effectExtent l="4445" t="4445" r="10160"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bidi w:val="0"/>
        <w:snapToGrid/>
        <w:spacing w:line="576" w:lineRule="exact"/>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（图5：一般公共预算财政拨款支出决算变动情况）</w:t>
      </w:r>
    </w:p>
    <w:p>
      <w:pPr>
        <w:autoSpaceDE w:val="0"/>
        <w:autoSpaceDN w:val="0"/>
        <w:adjustRightInd w:val="0"/>
        <w:spacing w:line="600" w:lineRule="exact"/>
        <w:ind w:firstLine="642" w:firstLineChars="200"/>
        <w:jc w:val="left"/>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（二）一般公共预算财政拨款支出决算结构情况</w:t>
      </w:r>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一般公共预算财政拨款支出3</w:t>
      </w:r>
      <w:r>
        <w:rPr>
          <w:rFonts w:hint="eastAsia" w:ascii="仿宋_GB2312" w:hAnsi="仿宋_GB2312" w:eastAsia="仿宋_GB2312" w:cs="仿宋_GB2312"/>
          <w:color w:val="auto"/>
          <w:sz w:val="32"/>
          <w:szCs w:val="32"/>
          <w:lang w:val="en-US" w:eastAsia="zh-CN"/>
        </w:rPr>
        <w:t>81.33</w:t>
      </w:r>
      <w:r>
        <w:rPr>
          <w:rFonts w:hint="eastAsia" w:ascii="仿宋_GB2312" w:hAnsi="仿宋_GB2312" w:eastAsia="仿宋_GB2312" w:cs="仿宋_GB2312"/>
          <w:color w:val="auto"/>
          <w:sz w:val="32"/>
          <w:szCs w:val="32"/>
        </w:rPr>
        <w:t>万元，主要用于以下方面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color w:val="auto"/>
          <w:sz w:val="32"/>
          <w:szCs w:val="32"/>
        </w:rPr>
        <w:t>社会保障和就业（类）</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32.36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卫生健康支出</w:t>
      </w:r>
      <w:r>
        <w:rPr>
          <w:rFonts w:hint="eastAsia" w:ascii="仿宋_GB2312" w:hAnsi="仿宋_GB2312" w:eastAsia="仿宋_GB2312" w:cs="仿宋_GB2312"/>
          <w:b/>
          <w:bCs/>
          <w:color w:val="auto"/>
          <w:sz w:val="32"/>
          <w:szCs w:val="32"/>
          <w:lang w:val="en-US" w:eastAsia="zh-CN"/>
        </w:rPr>
        <w:t>7.72</w:t>
      </w:r>
      <w:r>
        <w:rPr>
          <w:rFonts w:hint="eastAsia" w:ascii="仿宋_GB2312" w:hAnsi="仿宋_GB2312" w:eastAsia="仿宋_GB2312" w:cs="仿宋_GB2312"/>
          <w:color w:val="auto"/>
          <w:sz w:val="32"/>
          <w:szCs w:val="32"/>
        </w:rPr>
        <w:t>万元，占2%；</w:t>
      </w:r>
      <w:r>
        <w:rPr>
          <w:rFonts w:hint="eastAsia" w:ascii="仿宋_GB2312" w:hAnsi="仿宋_GB2312" w:eastAsia="仿宋_GB2312" w:cs="仿宋_GB2312"/>
          <w:b/>
          <w:bCs/>
          <w:color w:val="auto"/>
          <w:sz w:val="32"/>
          <w:szCs w:val="32"/>
        </w:rPr>
        <w:t>自然资源海洋气象等</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224.35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58.83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住房保障支出</w:t>
      </w:r>
      <w:r>
        <w:rPr>
          <w:rFonts w:hint="eastAsia" w:ascii="仿宋_GB2312" w:hAnsi="仿宋_GB2312" w:eastAsia="仿宋_GB2312" w:cs="仿宋_GB2312"/>
          <w:color w:val="auto"/>
          <w:sz w:val="32"/>
          <w:szCs w:val="32"/>
          <w:lang w:val="en-US" w:eastAsia="zh-CN"/>
        </w:rPr>
        <w:t>18.77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4.9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灾害防治及应急管理支出</w:t>
      </w:r>
      <w:r>
        <w:rPr>
          <w:rFonts w:hint="eastAsia" w:ascii="仿宋_GB2312" w:hAnsi="仿宋_GB2312" w:eastAsia="仿宋_GB2312" w:cs="仿宋_GB2312"/>
          <w:color w:val="auto"/>
          <w:sz w:val="32"/>
          <w:szCs w:val="32"/>
          <w:lang w:val="en-US" w:eastAsia="zh-CN"/>
        </w:rPr>
        <w:t>98.12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25.73</w:t>
      </w:r>
      <w:r>
        <w:rPr>
          <w:rFonts w:hint="eastAsia" w:ascii="仿宋_GB2312" w:hAnsi="仿宋_GB2312" w:eastAsia="仿宋_GB2312" w:cs="仿宋_GB2312"/>
          <w:color w:val="auto"/>
          <w:sz w:val="32"/>
          <w:szCs w:val="32"/>
        </w:rPr>
        <w:t>%。</w:t>
      </w:r>
    </w:p>
    <w:p>
      <w:pPr>
        <w:pStyle w:val="2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4437380" cy="2493645"/>
            <wp:effectExtent l="4445" t="5080" r="8255" b="1587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bidi w:val="0"/>
        <w:snapToGrid/>
        <w:spacing w:line="576" w:lineRule="exact"/>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（图6：一般公共预算财政拨款支出决算结构）</w:t>
      </w:r>
    </w:p>
    <w:p>
      <w:pPr>
        <w:autoSpaceDE w:val="0"/>
        <w:autoSpaceDN w:val="0"/>
        <w:adjustRightInd w:val="0"/>
        <w:spacing w:line="600" w:lineRule="exact"/>
        <w:ind w:firstLine="642" w:firstLineChars="200"/>
        <w:jc w:val="left"/>
        <w:outlineLvl w:val="2"/>
        <w:rPr>
          <w:rFonts w:hint="eastAsia" w:ascii="楷体_GB2312" w:hAnsi="楷体_GB2312" w:eastAsia="楷体_GB2312" w:cs="楷体_GB2312"/>
          <w:b/>
          <w:bCs w:val="0"/>
          <w:color w:val="auto"/>
          <w:sz w:val="32"/>
          <w:szCs w:val="32"/>
          <w:highlight w:val="none"/>
        </w:rPr>
      </w:pPr>
      <w:bookmarkStart w:id="36" w:name="_Toc16406"/>
      <w:bookmarkStart w:id="37" w:name="_Toc15377444"/>
      <w:bookmarkStart w:id="38" w:name="_Toc15377213"/>
      <w:bookmarkStart w:id="39" w:name="_Toc15378460"/>
      <w:bookmarkStart w:id="40" w:name="_Toc22244"/>
      <w:bookmarkStart w:id="41" w:name="_Toc18099"/>
      <w:r>
        <w:rPr>
          <w:rFonts w:hint="eastAsia" w:ascii="楷体_GB2312" w:hAnsi="楷体_GB2312" w:eastAsia="楷体_GB2312" w:cs="楷体_GB2312"/>
          <w:b/>
          <w:bCs w:val="0"/>
          <w:color w:val="auto"/>
          <w:sz w:val="32"/>
          <w:szCs w:val="32"/>
          <w:highlight w:val="none"/>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2" w:firstLineChars="200"/>
        <w:jc w:val="both"/>
        <w:textAlignment w:val="auto"/>
        <w:outlineLvl w:val="1"/>
        <w:rPr>
          <w:rFonts w:hint="eastAsia" w:ascii="仿宋_GB2312" w:hAnsi="仿宋_GB2312" w:eastAsia="仿宋_GB2312" w:cs="仿宋_GB2312"/>
          <w:b/>
          <w:color w:val="auto"/>
          <w:sz w:val="32"/>
          <w:szCs w:val="32"/>
        </w:rPr>
      </w:pPr>
      <w:bookmarkStart w:id="42" w:name="_Toc17320"/>
      <w:r>
        <w:rPr>
          <w:rFonts w:hint="eastAsia" w:ascii="仿宋_GB2312" w:hAnsi="仿宋_GB2312" w:eastAsia="仿宋_GB2312" w:cs="仿宋_GB2312"/>
          <w:b/>
          <w:color w:val="auto"/>
          <w:sz w:val="32"/>
          <w:szCs w:val="32"/>
        </w:rPr>
        <w:t>202</w:t>
      </w: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eastAsia="zh-CN"/>
        </w:rPr>
        <w:t>度</w:t>
      </w:r>
      <w:r>
        <w:rPr>
          <w:rFonts w:hint="eastAsia" w:ascii="仿宋_GB2312" w:hAnsi="仿宋_GB2312" w:eastAsia="仿宋_GB2312" w:cs="仿宋_GB2312"/>
          <w:b/>
          <w:color w:val="auto"/>
          <w:sz w:val="32"/>
          <w:szCs w:val="32"/>
        </w:rPr>
        <w:t>一般公共预算支出决算数为3</w:t>
      </w:r>
      <w:r>
        <w:rPr>
          <w:rFonts w:hint="eastAsia" w:ascii="仿宋_GB2312" w:hAnsi="仿宋_GB2312" w:eastAsia="仿宋_GB2312" w:cs="仿宋_GB2312"/>
          <w:b/>
          <w:color w:val="auto"/>
          <w:sz w:val="32"/>
          <w:szCs w:val="32"/>
          <w:lang w:val="en-US" w:eastAsia="zh-CN"/>
        </w:rPr>
        <w:t>81.33</w:t>
      </w:r>
      <w:r>
        <w:rPr>
          <w:rFonts w:hint="eastAsia" w:ascii="仿宋_GB2312" w:hAnsi="仿宋_GB2312" w:eastAsia="仿宋_GB2312" w:cs="仿宋_GB2312"/>
          <w:b/>
          <w:color w:val="auto"/>
          <w:sz w:val="32"/>
          <w:szCs w:val="32"/>
        </w:rPr>
        <w:t>万元</w:t>
      </w:r>
      <w:r>
        <w:rPr>
          <w:rFonts w:hint="eastAsia" w:ascii="仿宋_GB2312" w:hAnsi="仿宋_GB2312" w:eastAsia="仿宋_GB2312" w:cs="仿宋_GB2312"/>
          <w:color w:val="auto"/>
          <w:sz w:val="32"/>
          <w:szCs w:val="32"/>
        </w:rPr>
        <w:t>，</w:t>
      </w:r>
      <w:r>
        <w:rPr>
          <w:rStyle w:val="17"/>
          <w:rFonts w:hint="eastAsia" w:ascii="仿宋_GB2312" w:hAnsi="仿宋_GB2312" w:eastAsia="仿宋_GB2312" w:cs="仿宋_GB2312"/>
          <w:bCs/>
          <w:color w:val="auto"/>
          <w:sz w:val="32"/>
          <w:szCs w:val="32"/>
        </w:rPr>
        <w:t>完成预算</w:t>
      </w:r>
      <w:r>
        <w:rPr>
          <w:rStyle w:val="17"/>
          <w:rFonts w:hint="eastAsia" w:ascii="仿宋_GB2312" w:hAnsi="仿宋_GB2312" w:eastAsia="仿宋_GB2312" w:cs="仿宋_GB2312"/>
          <w:bCs/>
          <w:color w:val="auto"/>
          <w:sz w:val="32"/>
          <w:szCs w:val="32"/>
          <w:lang w:val="en-US" w:eastAsia="zh-CN"/>
        </w:rPr>
        <w:t>100</w:t>
      </w:r>
      <w:r>
        <w:rPr>
          <w:rStyle w:val="17"/>
          <w:rFonts w:hint="eastAsia" w:ascii="仿宋_GB2312" w:hAnsi="仿宋_GB2312" w:eastAsia="仿宋_GB2312" w:cs="仿宋_GB2312"/>
          <w:bCs/>
          <w:color w:val="auto"/>
          <w:sz w:val="32"/>
          <w:szCs w:val="32"/>
        </w:rPr>
        <w:t>%。其中：</w:t>
      </w:r>
      <w:bookmarkEnd w:id="36"/>
      <w:bookmarkEnd w:id="37"/>
      <w:bookmarkEnd w:id="38"/>
      <w:bookmarkEnd w:id="39"/>
      <w:bookmarkEnd w:id="40"/>
      <w:bookmarkEnd w:id="41"/>
      <w:bookmarkEnd w:id="42"/>
    </w:p>
    <w:p>
      <w:pPr>
        <w:numPr>
          <w:ilvl w:val="0"/>
          <w:numId w:val="1"/>
        </w:numPr>
        <w:spacing w:beforeLines="0" w:afterLines="0" w:line="600" w:lineRule="exact"/>
        <w:ind w:left="0" w:leftChars="0" w:firstLine="400" w:firstLineChars="0"/>
        <w:rPr>
          <w:rStyle w:val="17"/>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rPr>
        <w:t>社会保障和就业（类）行政事业单位</w:t>
      </w:r>
      <w:r>
        <w:rPr>
          <w:rFonts w:hint="eastAsia" w:ascii="仿宋_GB2312" w:hAnsi="仿宋_GB2312" w:eastAsia="仿宋_GB2312" w:cs="仿宋_GB2312"/>
          <w:b/>
          <w:bCs/>
          <w:color w:val="auto"/>
          <w:sz w:val="32"/>
          <w:szCs w:val="32"/>
          <w:lang w:eastAsia="zh-CN"/>
        </w:rPr>
        <w:t>养老支出</w:t>
      </w:r>
      <w:r>
        <w:rPr>
          <w:rFonts w:hint="eastAsia" w:ascii="仿宋_GB2312" w:hAnsi="仿宋_GB2312" w:eastAsia="仿宋_GB2312" w:cs="仿宋_GB2312"/>
          <w:b/>
          <w:bCs/>
          <w:color w:val="auto"/>
          <w:sz w:val="32"/>
          <w:szCs w:val="32"/>
        </w:rPr>
        <w:t>（款）事业单位离退休（项）</w:t>
      </w:r>
      <w:r>
        <w:rPr>
          <w:rFonts w:hint="eastAsia" w:ascii="仿宋_GB2312" w:hAnsi="仿宋_GB2312" w:eastAsia="仿宋_GB2312" w:cs="仿宋_GB2312"/>
          <w:b/>
          <w:bCs/>
          <w:color w:val="auto"/>
          <w:sz w:val="32"/>
          <w:szCs w:val="32"/>
          <w:lang w:eastAsia="zh-CN"/>
        </w:rPr>
        <w:t>：</w:t>
      </w:r>
      <w:r>
        <w:rPr>
          <w:rStyle w:val="17"/>
          <w:rFonts w:hint="eastAsia" w:ascii="仿宋_GB2312" w:hAnsi="仿宋_GB2312" w:eastAsia="仿宋_GB2312" w:cs="仿宋_GB2312"/>
          <w:b w:val="0"/>
          <w:bCs/>
          <w:color w:val="auto"/>
          <w:sz w:val="32"/>
          <w:szCs w:val="32"/>
        </w:rPr>
        <w:t>支出决算为</w:t>
      </w:r>
      <w:r>
        <w:rPr>
          <w:rStyle w:val="17"/>
          <w:rFonts w:hint="eastAsia" w:ascii="仿宋_GB2312" w:hAnsi="仿宋_GB2312" w:eastAsia="仿宋_GB2312" w:cs="仿宋_GB2312"/>
          <w:b w:val="0"/>
          <w:bCs/>
          <w:color w:val="auto"/>
          <w:sz w:val="32"/>
          <w:szCs w:val="32"/>
          <w:lang w:val="en-US" w:eastAsia="zh-CN"/>
        </w:rPr>
        <w:t>2.57</w:t>
      </w:r>
      <w:r>
        <w:rPr>
          <w:rStyle w:val="17"/>
          <w:rFonts w:hint="eastAsia" w:ascii="仿宋_GB2312" w:hAnsi="仿宋_GB2312" w:eastAsia="仿宋_GB2312" w:cs="仿宋_GB2312"/>
          <w:b w:val="0"/>
          <w:bCs/>
          <w:color w:val="auto"/>
          <w:sz w:val="32"/>
          <w:szCs w:val="32"/>
        </w:rPr>
        <w:t>万元，完成预算100%，</w:t>
      </w:r>
      <w:r>
        <w:rPr>
          <w:rFonts w:hint="eastAsia" w:ascii="仿宋_GB2312" w:hAnsi="仿宋_GB2312" w:eastAsia="仿宋_GB2312" w:cs="仿宋_GB2312"/>
          <w:color w:val="auto"/>
          <w:sz w:val="32"/>
          <w:szCs w:val="32"/>
        </w:rPr>
        <w:t>决算数与预算数基本持平</w:t>
      </w:r>
      <w:r>
        <w:rPr>
          <w:rStyle w:val="17"/>
          <w:rFonts w:hint="eastAsia" w:ascii="仿宋_GB2312" w:hAnsi="仿宋_GB2312" w:eastAsia="仿宋_GB2312" w:cs="仿宋_GB2312"/>
          <w:b w:val="0"/>
          <w:bCs/>
          <w:color w:val="auto"/>
          <w:sz w:val="32"/>
          <w:szCs w:val="32"/>
        </w:rPr>
        <w:t>。</w:t>
      </w:r>
    </w:p>
    <w:p>
      <w:pPr>
        <w:numPr>
          <w:ilvl w:val="0"/>
          <w:numId w:val="1"/>
        </w:numPr>
        <w:spacing w:beforeLines="0" w:afterLines="0" w:line="600" w:lineRule="exact"/>
        <w:ind w:left="0" w:leftChars="0" w:firstLine="40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社会保障和就业（类）行政事业单位养老支出（款）机关事业单位基本养老保险缴费支出（项）</w:t>
      </w:r>
      <w:r>
        <w:rPr>
          <w:rFonts w:hint="eastAsia" w:ascii="仿宋_GB2312" w:hAnsi="仿宋_GB2312" w:eastAsia="仿宋_GB2312" w:cs="仿宋_GB2312"/>
          <w:b/>
          <w:color w:val="auto"/>
          <w:sz w:val="32"/>
          <w:szCs w:val="32"/>
          <w:lang w:eastAsia="zh-CN"/>
        </w:rPr>
        <w:t>：</w:t>
      </w:r>
      <w:r>
        <w:rPr>
          <w:rStyle w:val="17"/>
          <w:rFonts w:hint="eastAsia" w:ascii="仿宋_GB2312" w:hAnsi="仿宋_GB2312" w:eastAsia="仿宋_GB2312" w:cs="仿宋_GB2312"/>
          <w:b w:val="0"/>
          <w:color w:val="auto"/>
          <w:sz w:val="32"/>
          <w:szCs w:val="32"/>
        </w:rPr>
        <w:t>支出决算为</w:t>
      </w:r>
      <w:r>
        <w:rPr>
          <w:rStyle w:val="17"/>
          <w:rFonts w:hint="eastAsia" w:ascii="仿宋_GB2312" w:hAnsi="仿宋_GB2312" w:eastAsia="仿宋_GB2312" w:cs="仿宋_GB2312"/>
          <w:b w:val="0"/>
          <w:color w:val="auto"/>
          <w:sz w:val="32"/>
          <w:szCs w:val="32"/>
          <w:lang w:val="en-US" w:eastAsia="zh-CN"/>
        </w:rPr>
        <w:t>22.07</w:t>
      </w:r>
      <w:r>
        <w:rPr>
          <w:rStyle w:val="17"/>
          <w:rFonts w:hint="eastAsia" w:ascii="仿宋_GB2312" w:hAnsi="仿宋_GB2312" w:eastAsia="仿宋_GB2312" w:cs="仿宋_GB2312"/>
          <w:b w:val="0"/>
          <w:color w:val="auto"/>
          <w:sz w:val="32"/>
          <w:szCs w:val="32"/>
        </w:rPr>
        <w:t>万元，完成预算100%，</w:t>
      </w:r>
      <w:r>
        <w:rPr>
          <w:rFonts w:hint="eastAsia" w:ascii="仿宋_GB2312" w:hAnsi="仿宋_GB2312" w:eastAsia="仿宋_GB2312" w:cs="仿宋_GB2312"/>
          <w:color w:val="auto"/>
          <w:sz w:val="32"/>
          <w:szCs w:val="32"/>
        </w:rPr>
        <w:t>决算数与预算数基本持平</w:t>
      </w:r>
      <w:r>
        <w:rPr>
          <w:rStyle w:val="17"/>
          <w:rFonts w:hint="eastAsia" w:ascii="仿宋_GB2312" w:hAnsi="仿宋_GB2312" w:eastAsia="仿宋_GB2312" w:cs="仿宋_GB2312"/>
          <w:b w:val="0"/>
          <w:color w:val="auto"/>
          <w:sz w:val="32"/>
          <w:szCs w:val="32"/>
        </w:rPr>
        <w:t>。</w:t>
      </w:r>
    </w:p>
    <w:p>
      <w:pPr>
        <w:numPr>
          <w:ilvl w:val="0"/>
          <w:numId w:val="1"/>
        </w:numPr>
        <w:spacing w:line="600" w:lineRule="exact"/>
        <w:ind w:left="0" w:leftChars="0" w:firstLine="40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社会保障和就业（类）行政事业单位养老支出（款）机关事业单位职业年金缴费支出（项）</w:t>
      </w:r>
      <w:r>
        <w:rPr>
          <w:rFonts w:hint="eastAsia" w:ascii="仿宋_GB2312" w:hAnsi="仿宋_GB2312" w:eastAsia="仿宋_GB2312" w:cs="仿宋_GB2312"/>
          <w:b/>
          <w:color w:val="auto"/>
          <w:sz w:val="32"/>
          <w:szCs w:val="32"/>
          <w:lang w:eastAsia="zh-CN"/>
        </w:rPr>
        <w:t>：</w:t>
      </w:r>
      <w:r>
        <w:rPr>
          <w:rStyle w:val="17"/>
          <w:rFonts w:hint="eastAsia" w:ascii="仿宋_GB2312" w:hAnsi="仿宋_GB2312" w:eastAsia="仿宋_GB2312" w:cs="仿宋_GB2312"/>
          <w:b w:val="0"/>
          <w:color w:val="auto"/>
          <w:sz w:val="32"/>
          <w:szCs w:val="32"/>
        </w:rPr>
        <w:t>支出决算为</w:t>
      </w:r>
      <w:r>
        <w:rPr>
          <w:rStyle w:val="17"/>
          <w:rFonts w:hint="eastAsia" w:ascii="仿宋_GB2312" w:hAnsi="仿宋_GB2312" w:eastAsia="仿宋_GB2312" w:cs="仿宋_GB2312"/>
          <w:b w:val="0"/>
          <w:color w:val="auto"/>
          <w:sz w:val="32"/>
          <w:szCs w:val="32"/>
          <w:lang w:val="en-US" w:eastAsia="zh-CN"/>
        </w:rPr>
        <w:t>7.72</w:t>
      </w:r>
      <w:r>
        <w:rPr>
          <w:rStyle w:val="17"/>
          <w:rFonts w:hint="eastAsia" w:ascii="仿宋_GB2312" w:hAnsi="仿宋_GB2312" w:eastAsia="仿宋_GB2312" w:cs="仿宋_GB2312"/>
          <w:b w:val="0"/>
          <w:color w:val="auto"/>
          <w:sz w:val="32"/>
          <w:szCs w:val="32"/>
        </w:rPr>
        <w:t>万元，完成预算100%，</w:t>
      </w:r>
      <w:r>
        <w:rPr>
          <w:rFonts w:hint="eastAsia" w:ascii="仿宋_GB2312" w:hAnsi="仿宋_GB2312" w:eastAsia="仿宋_GB2312" w:cs="仿宋_GB2312"/>
          <w:color w:val="auto"/>
          <w:sz w:val="32"/>
          <w:szCs w:val="32"/>
        </w:rPr>
        <w:t>决算数与预算数基本持平</w:t>
      </w:r>
      <w:r>
        <w:rPr>
          <w:rStyle w:val="17"/>
          <w:rFonts w:hint="eastAsia" w:ascii="仿宋_GB2312" w:hAnsi="仿宋_GB2312" w:eastAsia="仿宋_GB2312" w:cs="仿宋_GB2312"/>
          <w:b w:val="0"/>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400" w:firstLineChars="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卫生健康（类）行政事业单位医疗（款）事业单位医疗（项）</w:t>
      </w:r>
      <w:r>
        <w:rPr>
          <w:rFonts w:hint="eastAsia" w:ascii="仿宋_GB2312" w:hAnsi="仿宋_GB2312" w:eastAsia="仿宋_GB2312" w:cs="仿宋_GB2312"/>
          <w:b/>
          <w:bCs/>
          <w:color w:val="auto"/>
          <w:sz w:val="32"/>
          <w:szCs w:val="32"/>
          <w:lang w:eastAsia="zh-CN"/>
        </w:rPr>
        <w:t>：</w:t>
      </w:r>
      <w:r>
        <w:rPr>
          <w:rStyle w:val="17"/>
          <w:rFonts w:hint="eastAsia" w:ascii="仿宋_GB2312" w:hAnsi="仿宋_GB2312" w:eastAsia="仿宋_GB2312" w:cs="仿宋_GB2312"/>
          <w:b w:val="0"/>
          <w:bCs/>
          <w:color w:val="auto"/>
          <w:sz w:val="32"/>
          <w:szCs w:val="32"/>
        </w:rPr>
        <w:t>支出决算为</w:t>
      </w:r>
      <w:r>
        <w:rPr>
          <w:rStyle w:val="17"/>
          <w:rFonts w:hint="eastAsia" w:ascii="仿宋_GB2312" w:hAnsi="仿宋_GB2312" w:eastAsia="仿宋_GB2312" w:cs="仿宋_GB2312"/>
          <w:b w:val="0"/>
          <w:bCs/>
          <w:color w:val="auto"/>
          <w:sz w:val="32"/>
          <w:szCs w:val="32"/>
          <w:lang w:val="en-US" w:eastAsia="zh-CN"/>
        </w:rPr>
        <w:t>7.72</w:t>
      </w:r>
      <w:r>
        <w:rPr>
          <w:rStyle w:val="17"/>
          <w:rFonts w:hint="eastAsia" w:ascii="仿宋_GB2312" w:hAnsi="仿宋_GB2312" w:eastAsia="仿宋_GB2312" w:cs="仿宋_GB2312"/>
          <w:b w:val="0"/>
          <w:bCs/>
          <w:color w:val="auto"/>
          <w:sz w:val="32"/>
          <w:szCs w:val="32"/>
        </w:rPr>
        <w:t>万元，完成预算100%，</w:t>
      </w:r>
      <w:r>
        <w:rPr>
          <w:rFonts w:hint="eastAsia" w:ascii="仿宋_GB2312" w:hAnsi="仿宋_GB2312" w:eastAsia="仿宋_GB2312" w:cs="仿宋_GB2312"/>
          <w:color w:val="auto"/>
          <w:sz w:val="32"/>
          <w:szCs w:val="32"/>
        </w:rPr>
        <w:t>决算数与预算数持平</w:t>
      </w:r>
      <w:r>
        <w:rPr>
          <w:rStyle w:val="17"/>
          <w:rFonts w:hint="eastAsia" w:ascii="仿宋_GB2312" w:hAnsi="仿宋_GB2312" w:eastAsia="仿宋_GB2312" w:cs="仿宋_GB2312"/>
          <w:b w:val="0"/>
          <w:bCs/>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40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自然资源海洋气象等支出（类）自然资源事务（款）事业运行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项）：</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190.34</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决算数与预算数持平。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自然资源海洋气象等支出（类）自然资源事务（款）其他自然资源事务（项）：</w:t>
      </w:r>
      <w:r>
        <w:rPr>
          <w:rFonts w:hint="eastAsia" w:ascii="仿宋_GB2312" w:hAnsi="仿宋_GB2312" w:eastAsia="仿宋_GB2312" w:cs="仿宋_GB2312"/>
          <w:color w:val="auto"/>
          <w:sz w:val="32"/>
          <w:szCs w:val="32"/>
          <w:highlight w:val="none"/>
        </w:rPr>
        <w:t>支出决算数</w:t>
      </w:r>
      <w:r>
        <w:rPr>
          <w:rFonts w:hint="eastAsia" w:ascii="仿宋_GB2312" w:hAnsi="仿宋_GB2312" w:eastAsia="仿宋_GB2312" w:cs="仿宋_GB2312"/>
          <w:color w:val="auto"/>
          <w:sz w:val="32"/>
          <w:szCs w:val="32"/>
          <w:highlight w:val="none"/>
          <w:lang w:val="en-US" w:eastAsia="zh-CN"/>
        </w:rPr>
        <w:t>34.01</w:t>
      </w:r>
      <w:r>
        <w:rPr>
          <w:rFonts w:hint="eastAsia" w:ascii="仿宋_GB2312" w:hAnsi="仿宋_GB2312" w:eastAsia="仿宋_GB2312" w:cs="仿宋_GB2312"/>
          <w:color w:val="auto"/>
          <w:sz w:val="32"/>
          <w:szCs w:val="32"/>
          <w:highlight w:val="none"/>
        </w:rPr>
        <w:t>万元，完成预算100%，决算数与预算数持平。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40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住房保障（类）住房改革（款）住房公积金（项）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支出决算为1</w:t>
      </w:r>
      <w:r>
        <w:rPr>
          <w:rFonts w:hint="eastAsia" w:ascii="仿宋_GB2312" w:hAnsi="仿宋_GB2312" w:eastAsia="仿宋_GB2312" w:cs="仿宋_GB2312"/>
          <w:color w:val="auto"/>
          <w:sz w:val="32"/>
          <w:szCs w:val="32"/>
          <w:lang w:val="en-US" w:eastAsia="zh-CN"/>
        </w:rPr>
        <w:t>8.77</w:t>
      </w:r>
      <w:r>
        <w:rPr>
          <w:rFonts w:hint="eastAsia" w:ascii="仿宋_GB2312" w:hAnsi="仿宋_GB2312" w:eastAsia="仿宋_GB2312" w:cs="仿宋_GB2312"/>
          <w:color w:val="auto"/>
          <w:sz w:val="32"/>
          <w:szCs w:val="32"/>
        </w:rPr>
        <w:t>万元，完成预算100%，决算数与预算数基本持平。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400" w:firstLineChars="0"/>
        <w:jc w:val="both"/>
        <w:textAlignment w:val="auto"/>
        <w:rPr>
          <w:rFonts w:hint="eastAsia" w:ascii="黑体" w:hAnsi="黑体" w:eastAsia="黑体" w:cs="黑体"/>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rPr>
        <w:t>灾害防治及应急管理（类）自然灾害防治（款）地质灾害防治（项）：</w:t>
      </w:r>
      <w:r>
        <w:rPr>
          <w:rFonts w:hint="eastAsia" w:ascii="仿宋_GB2312" w:hAnsi="仿宋_GB2312" w:eastAsia="仿宋_GB2312" w:cs="仿宋_GB2312"/>
          <w:color w:val="auto"/>
          <w:sz w:val="32"/>
          <w:szCs w:val="32"/>
          <w:highlight w:val="none"/>
        </w:rPr>
        <w:t>支出决算数</w:t>
      </w:r>
      <w:r>
        <w:rPr>
          <w:rFonts w:hint="eastAsia" w:ascii="仿宋_GB2312" w:hAnsi="仿宋_GB2312" w:eastAsia="仿宋_GB2312" w:cs="仿宋_GB2312"/>
          <w:color w:val="auto"/>
          <w:sz w:val="32"/>
          <w:szCs w:val="32"/>
          <w:highlight w:val="none"/>
          <w:lang w:val="en-US" w:eastAsia="zh-CN"/>
        </w:rPr>
        <w:t>98.12</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rPr>
        <w:t>与预算数基本持平。</w:t>
      </w:r>
      <w:bookmarkStart w:id="43" w:name="_Toc15396608"/>
      <w:bookmarkStart w:id="44" w:name="_Toc15377214"/>
      <w:bookmarkStart w:id="45" w:name="_Toc6814"/>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46" w:name="_Toc25356"/>
      <w:r>
        <w:rPr>
          <w:rFonts w:hint="eastAsia" w:ascii="黑体" w:hAnsi="黑体" w:eastAsia="黑体" w:cs="黑体"/>
          <w:b w:val="0"/>
          <w:bCs w:val="0"/>
          <w:color w:val="auto"/>
          <w:sz w:val="32"/>
          <w:szCs w:val="32"/>
          <w:highlight w:val="none"/>
          <w:u w:val="none"/>
          <w:lang w:eastAsia="zh-CN"/>
        </w:rPr>
        <w:t>六、一般公共预算财政拨款基本支出决算情况说明</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一般公共预算财政拨款基本支出</w:t>
      </w:r>
      <w:r>
        <w:rPr>
          <w:rFonts w:hint="eastAsia" w:ascii="仿宋_GB2312" w:hAnsi="仿宋_GB2312" w:eastAsia="仿宋_GB2312" w:cs="仿宋_GB2312"/>
          <w:color w:val="auto"/>
          <w:sz w:val="32"/>
          <w:szCs w:val="32"/>
          <w:lang w:val="en-US" w:eastAsia="zh-CN"/>
        </w:rPr>
        <w:t>249.19</w:t>
      </w:r>
      <w:r>
        <w:rPr>
          <w:rFonts w:hint="eastAsia" w:ascii="仿宋_GB2312" w:hAnsi="仿宋_GB2312" w:eastAsia="仿宋_GB2312" w:cs="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222.36</w:t>
      </w:r>
      <w:r>
        <w:rPr>
          <w:rFonts w:hint="eastAsia" w:ascii="仿宋_GB2312" w:hAnsi="仿宋_GB2312" w:eastAsia="仿宋_GB2312" w:cs="仿宋_GB2312"/>
          <w:color w:val="auto"/>
          <w:sz w:val="32"/>
          <w:szCs w:val="32"/>
        </w:rPr>
        <w:t>万元，主要包括：基本工资、津贴补贴、奖金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绩效工资、机关事业单位基本养老保险缴费、</w:t>
      </w:r>
      <w:r>
        <w:rPr>
          <w:rFonts w:hint="eastAsia" w:ascii="仿宋_GB2312" w:hAnsi="仿宋_GB2312" w:eastAsia="仿宋_GB2312" w:cs="仿宋_GB2312"/>
          <w:color w:val="auto"/>
          <w:sz w:val="32"/>
          <w:szCs w:val="32"/>
          <w:lang w:eastAsia="zh-CN"/>
        </w:rPr>
        <w:t>职业年金缴费、</w:t>
      </w:r>
      <w:r>
        <w:rPr>
          <w:rFonts w:hint="eastAsia" w:ascii="仿宋_GB2312" w:hAnsi="仿宋_GB2312" w:eastAsia="仿宋_GB2312" w:cs="仿宋_GB2312"/>
          <w:color w:val="auto"/>
          <w:sz w:val="32"/>
          <w:szCs w:val="32"/>
        </w:rPr>
        <w:t>职工基本医疗保险缴费、其他社会保障缴费、住房公积金</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b w:val="0"/>
          <w:bCs w:val="0"/>
          <w:color w:val="auto"/>
          <w:sz w:val="32"/>
          <w:szCs w:val="32"/>
          <w:highlight w:val="none"/>
          <w:u w:val="none"/>
          <w:lang w:eastAsia="zh-CN"/>
        </w:rPr>
      </w:pPr>
      <w:r>
        <w:rPr>
          <w:rFonts w:hint="eastAsia" w:ascii="仿宋_GB2312" w:hAnsi="仿宋_GB2312" w:eastAsia="仿宋_GB2312" w:cs="仿宋_GB2312"/>
          <w:color w:val="auto"/>
          <w:sz w:val="32"/>
          <w:szCs w:val="32"/>
        </w:rPr>
        <w:t>公用经费1</w:t>
      </w:r>
      <w:r>
        <w:rPr>
          <w:rFonts w:hint="eastAsia" w:ascii="仿宋_GB2312" w:hAnsi="仿宋_GB2312" w:eastAsia="仿宋_GB2312" w:cs="仿宋_GB2312"/>
          <w:color w:val="auto"/>
          <w:sz w:val="32"/>
          <w:szCs w:val="32"/>
          <w:lang w:val="en-US" w:eastAsia="zh-CN"/>
        </w:rPr>
        <w:t>9.23</w:t>
      </w:r>
      <w:r>
        <w:rPr>
          <w:rFonts w:hint="eastAsia" w:ascii="仿宋_GB2312" w:hAnsi="仿宋_GB2312" w:eastAsia="仿宋_GB2312" w:cs="仿宋_GB2312"/>
          <w:color w:val="auto"/>
          <w:sz w:val="32"/>
          <w:szCs w:val="32"/>
        </w:rPr>
        <w:t>万元，主要包括：办公费、印刷费、邮电费、物业管理费、差旅费、公务接待费、劳务费、工会经费、福利费、公务用车运行维护费、其他商品和服务支出。</w:t>
      </w:r>
      <w:bookmarkStart w:id="47" w:name="_Toc15377215"/>
      <w:bookmarkStart w:id="48" w:name="_Toc31105"/>
      <w:bookmarkStart w:id="49" w:name="_Toc15396609"/>
    </w:p>
    <w:p>
      <w:pPr>
        <w:pStyle w:val="4"/>
        <w:pageBreakBefore w:val="0"/>
        <w:widowControl w:val="0"/>
        <w:shd w:val="clear"/>
        <w:kinsoku/>
        <w:wordWrap/>
        <w:overflowPunct/>
        <w:topLinePunct w:val="0"/>
        <w:autoSpaceDE/>
        <w:autoSpaceDN/>
        <w:bidi w:val="0"/>
        <w:adjustRightInd/>
        <w:spacing w:before="0" w:after="0" w:line="576" w:lineRule="exact"/>
        <w:ind w:firstLine="640" w:firstLineChars="200"/>
        <w:textAlignment w:val="auto"/>
        <w:rPr>
          <w:rFonts w:hint="eastAsia" w:ascii="黑体" w:hAnsi="黑体" w:eastAsia="黑体" w:cs="黑体"/>
          <w:b w:val="0"/>
          <w:bCs w:val="0"/>
          <w:color w:val="auto"/>
          <w:sz w:val="32"/>
          <w:szCs w:val="32"/>
        </w:rPr>
      </w:pPr>
      <w:bookmarkStart w:id="50" w:name="_Toc9530"/>
      <w:r>
        <w:rPr>
          <w:rFonts w:hint="eastAsia" w:ascii="黑体" w:hAnsi="黑体" w:eastAsia="黑体" w:cs="黑体"/>
          <w:b w:val="0"/>
          <w:bCs w:val="0"/>
          <w:color w:val="auto"/>
          <w:sz w:val="32"/>
          <w:szCs w:val="32"/>
          <w:highlight w:val="none"/>
          <w:u w:val="none"/>
          <w:lang w:eastAsia="zh-CN"/>
        </w:rPr>
        <w:t>七、</w:t>
      </w:r>
      <w:bookmarkEnd w:id="47"/>
      <w:bookmarkEnd w:id="48"/>
      <w:bookmarkEnd w:id="49"/>
      <w:r>
        <w:rPr>
          <w:rStyle w:val="20"/>
          <w:rFonts w:hint="eastAsia" w:ascii="黑体" w:hAnsi="黑体" w:eastAsia="黑体"/>
          <w:b w:val="0"/>
          <w:bCs w:val="0"/>
          <w:color w:val="auto"/>
          <w:highlight w:val="none"/>
        </w:rPr>
        <w:t>财政拨款“三公”经费支出决算情况说明</w:t>
      </w:r>
      <w:bookmarkEnd w:id="50"/>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（一）“三公”经费财政拨款支出决算总体情况说明</w:t>
      </w:r>
    </w:p>
    <w:p>
      <w:pPr>
        <w:spacing w:line="600" w:lineRule="exact"/>
        <w:ind w:firstLine="640"/>
        <w:rPr>
          <w:rFonts w:hint="eastAsia"/>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“三公”经费财政拨款支出决算为</w:t>
      </w:r>
      <w:r>
        <w:rPr>
          <w:rFonts w:hint="eastAsia" w:ascii="仿宋_GB2312" w:hAnsi="仿宋_GB2312" w:eastAsia="仿宋_GB2312" w:cs="仿宋_GB2312"/>
          <w:color w:val="auto"/>
          <w:sz w:val="32"/>
          <w:szCs w:val="32"/>
          <w:highlight w:val="none"/>
          <w:lang w:val="en-US" w:eastAsia="zh-CN"/>
        </w:rPr>
        <w:t>8.29</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94.2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较上年度增加</w:t>
      </w:r>
      <w:r>
        <w:rPr>
          <w:rFonts w:hint="eastAsia" w:ascii="仿宋_GB2312" w:hAnsi="仿宋_GB2312" w:eastAsia="仿宋_GB2312" w:cs="仿宋_GB2312"/>
          <w:color w:val="auto"/>
          <w:sz w:val="32"/>
          <w:szCs w:val="32"/>
          <w:highlight w:val="none"/>
          <w:lang w:val="en-US" w:eastAsia="zh-CN"/>
        </w:rPr>
        <w:t>3.42万元，增长41.25%。</w:t>
      </w:r>
      <w:r>
        <w:rPr>
          <w:rFonts w:hint="eastAsia" w:ascii="仿宋_GB2312" w:hAnsi="仿宋_GB2312" w:eastAsia="仿宋_GB2312" w:cs="仿宋_GB2312"/>
          <w:color w:val="auto"/>
          <w:sz w:val="32"/>
          <w:szCs w:val="32"/>
          <w:highlight w:val="none"/>
        </w:rPr>
        <w:t>决算数小于预算数的主要原因是</w:t>
      </w:r>
      <w:r>
        <w:rPr>
          <w:rFonts w:hint="eastAsia" w:ascii="仿宋_GB2312" w:hAnsi="仿宋_GB2312" w:eastAsia="仿宋_GB2312" w:cs="仿宋_GB2312"/>
          <w:color w:val="auto"/>
          <w:sz w:val="32"/>
          <w:szCs w:val="32"/>
          <w:lang w:eastAsia="zh-CN"/>
        </w:rPr>
        <w:t>公务接待活动开展较年初预算批次少</w:t>
      </w:r>
      <w:r>
        <w:rPr>
          <w:rFonts w:hint="eastAsia" w:ascii="仿宋_GB2312" w:hAnsi="仿宋_GB2312" w:eastAsia="仿宋_GB2312" w:cs="仿宋_GB2312"/>
          <w:color w:val="auto"/>
          <w:sz w:val="32"/>
          <w:szCs w:val="32"/>
          <w:highlight w:val="none"/>
        </w:rPr>
        <w:t>。</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年“三公”经费财政拨款支出决算中，因公出国（境）费支出决算0万元，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；公务用车购置及运行维护费支出决算</w:t>
      </w:r>
      <w:r>
        <w:rPr>
          <w:rFonts w:hint="eastAsia" w:ascii="仿宋_GB2312" w:hAnsi="仿宋_GB2312" w:eastAsia="仿宋_GB2312" w:cs="仿宋_GB2312"/>
          <w:color w:val="auto"/>
          <w:sz w:val="32"/>
          <w:szCs w:val="32"/>
          <w:lang w:val="en-US" w:eastAsia="zh-CN"/>
        </w:rPr>
        <w:t>6.81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82.15</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1.48</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17.85</w:t>
      </w:r>
      <w:r>
        <w:rPr>
          <w:rFonts w:hint="eastAsia" w:ascii="仿宋_GB2312" w:hAnsi="仿宋_GB2312" w:eastAsia="仿宋_GB2312" w:cs="仿宋_GB2312"/>
          <w:color w:val="auto"/>
          <w:sz w:val="32"/>
          <w:szCs w:val="32"/>
        </w:rPr>
        <w:t>%。具体情况如下：</w:t>
      </w:r>
    </w:p>
    <w:p>
      <w:pPr>
        <w:pStyle w:val="2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4166870" cy="2873375"/>
            <wp:effectExtent l="4445" t="4445" r="19685" b="177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bidi w:val="0"/>
        <w:snapToGrid/>
        <w:spacing w:line="576" w:lineRule="exact"/>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（图7：“三公”经费财政拨款支出结构）</w:t>
      </w:r>
    </w:p>
    <w:p>
      <w:pPr>
        <w:keepNext w:val="0"/>
        <w:keepLines w:val="0"/>
        <w:pageBreakBefore w:val="0"/>
        <w:widowControl w:val="0"/>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1.因公出国（境）经费支出0</w:t>
      </w:r>
      <w:r>
        <w:rPr>
          <w:rFonts w:hint="eastAsia" w:ascii="仿宋_GB2312" w:hAnsi="仿宋_GB2312" w:eastAsia="仿宋_GB2312" w:cs="仿宋_GB2312"/>
          <w:color w:val="auto"/>
          <w:sz w:val="32"/>
          <w:szCs w:val="32"/>
        </w:rPr>
        <w:t>万元，</w:t>
      </w:r>
      <w:r>
        <w:rPr>
          <w:rStyle w:val="17"/>
          <w:rFonts w:hint="eastAsia" w:ascii="仿宋_GB2312" w:hAnsi="仿宋_GB2312" w:eastAsia="仿宋_GB2312" w:cs="仿宋_GB2312"/>
          <w:b w:val="0"/>
          <w:bCs/>
          <w:color w:val="auto"/>
          <w:sz w:val="32"/>
          <w:szCs w:val="32"/>
        </w:rPr>
        <w:t>年初未安排预算</w:t>
      </w:r>
      <w:r>
        <w:rPr>
          <w:rStyle w:val="17"/>
          <w:rFonts w:hint="eastAsia" w:ascii="仿宋_GB2312" w:hAnsi="仿宋_GB2312" w:eastAsia="仿宋_GB2312" w:cs="仿宋_GB2312"/>
          <w:b w:val="0"/>
          <w:bCs/>
          <w:color w:val="auto"/>
          <w:sz w:val="32"/>
          <w:szCs w:val="32"/>
          <w:lang w:eastAsia="zh-CN"/>
        </w:rPr>
        <w:t>，较上年无变化</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leftChars="0" w:right="0" w:firstLine="642" w:firstLineChars="200"/>
        <w:jc w:val="both"/>
        <w:textAlignment w:val="auto"/>
        <w:rPr>
          <w:rFonts w:hint="eastAsia" w:ascii="仿宋_GB2312" w:hAnsi="仿宋_GB2312" w:eastAsia="仿宋_GB2312" w:cs="仿宋_GB2312"/>
          <w:b/>
          <w:color w:val="auto"/>
          <w:sz w:val="32"/>
          <w:szCs w:val="32"/>
          <w:highlight w:val="yellow"/>
        </w:rPr>
      </w:pPr>
      <w:r>
        <w:rPr>
          <w:rFonts w:hint="eastAsia" w:ascii="仿宋_GB2312" w:hAnsi="仿宋_GB2312" w:eastAsia="仿宋_GB2312" w:cs="仿宋_GB2312"/>
          <w:b/>
          <w:color w:val="auto"/>
          <w:sz w:val="32"/>
          <w:szCs w:val="32"/>
        </w:rPr>
        <w:t>2.公务用车购置及运行维护费支出</w:t>
      </w:r>
      <w:r>
        <w:rPr>
          <w:rFonts w:hint="eastAsia" w:ascii="仿宋_GB2312" w:hAnsi="仿宋_GB2312" w:eastAsia="仿宋_GB2312" w:cs="仿宋_GB2312"/>
          <w:color w:val="auto"/>
          <w:sz w:val="32"/>
          <w:szCs w:val="32"/>
          <w:lang w:val="en-US" w:eastAsia="zh-CN"/>
        </w:rPr>
        <w:t>6.81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Style w:val="17"/>
          <w:rFonts w:hint="eastAsia" w:ascii="仿宋_GB2312" w:hAnsi="仿宋_GB2312" w:eastAsia="仿宋_GB2312" w:cs="仿宋_GB2312"/>
          <w:b w:val="0"/>
          <w:bCs/>
          <w:color w:val="auto"/>
          <w:sz w:val="32"/>
          <w:szCs w:val="32"/>
        </w:rPr>
        <w:t>完成预算</w:t>
      </w:r>
      <w:r>
        <w:rPr>
          <w:rStyle w:val="17"/>
          <w:rFonts w:hint="eastAsia" w:ascii="仿宋_GB2312" w:hAnsi="仿宋_GB2312" w:eastAsia="仿宋_GB2312" w:cs="仿宋_GB2312"/>
          <w:b w:val="0"/>
          <w:bCs/>
          <w:color w:val="auto"/>
          <w:sz w:val="32"/>
          <w:szCs w:val="32"/>
          <w:lang w:val="en-US" w:eastAsia="zh-CN"/>
        </w:rPr>
        <w:t>97.28</w:t>
      </w:r>
      <w:r>
        <w:rPr>
          <w:rStyle w:val="17"/>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公务用车购置及运行维护费支出决算比202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2.54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59.48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w:t>
      </w:r>
      <w:r>
        <w:rPr>
          <w:rFonts w:ascii="仿宋_GB2312" w:hAnsi="Times New Roman" w:eastAsia="仿宋_GB2312" w:cs="仿宋_GB2312"/>
          <w:i w:val="0"/>
          <w:iCs w:val="0"/>
          <w:caps w:val="0"/>
          <w:color w:val="000000"/>
          <w:spacing w:val="0"/>
          <w:kern w:val="0"/>
          <w:sz w:val="32"/>
          <w:szCs w:val="32"/>
          <w:highlight w:val="none"/>
          <w:lang w:val="en-US" w:eastAsia="zh-CN" w:bidi="ar"/>
        </w:rPr>
        <w:t>主要原因是</w:t>
      </w:r>
      <w:r>
        <w:rPr>
          <w:rFonts w:hint="eastAsia" w:ascii="仿宋_GB2312" w:eastAsia="仿宋_GB2312" w:cs="仿宋_GB2312"/>
          <w:i w:val="0"/>
          <w:iCs w:val="0"/>
          <w:caps w:val="0"/>
          <w:color w:val="000000"/>
          <w:spacing w:val="0"/>
          <w:kern w:val="0"/>
          <w:sz w:val="32"/>
          <w:szCs w:val="32"/>
          <w:highlight w:val="none"/>
          <w:lang w:val="en-US" w:eastAsia="zh-CN" w:bidi="ar"/>
        </w:rPr>
        <w:t>本年度公务用车次数增加。</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color w:val="auto"/>
          <w:sz w:val="32"/>
          <w:szCs w:val="32"/>
        </w:rPr>
        <w:t>公务用车购置支出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万元。全年按规定更新购置公务用车0辆。截至2023年12月底，单位共有公务用车2辆。</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highlight w:val="none"/>
        </w:rPr>
        <w:t>中：轿车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辆、越野车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p>
    <w:p>
      <w:pPr>
        <w:keepNext w:val="0"/>
        <w:keepLines w:val="0"/>
        <w:pageBreakBefore w:val="0"/>
        <w:widowControl w:val="0"/>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b/>
          <w:color w:val="auto"/>
          <w:sz w:val="32"/>
          <w:szCs w:val="32"/>
        </w:rPr>
      </w:pPr>
      <w:bookmarkStart w:id="108" w:name="_GoBack"/>
      <w:bookmarkEnd w:id="108"/>
    </w:p>
    <w:p>
      <w:pPr>
        <w:keepNext w:val="0"/>
        <w:keepLines w:val="0"/>
        <w:pageBreakBefore w:val="0"/>
        <w:widowControl w:val="0"/>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公务用车运行维护费支出</w:t>
      </w:r>
      <w:r>
        <w:rPr>
          <w:rFonts w:hint="eastAsia" w:ascii="仿宋_GB2312" w:hAnsi="仿宋_GB2312" w:eastAsia="仿宋_GB2312" w:cs="仿宋_GB2312"/>
          <w:color w:val="auto"/>
          <w:sz w:val="32"/>
          <w:szCs w:val="32"/>
          <w:lang w:val="en-US" w:eastAsia="zh-CN"/>
        </w:rPr>
        <w:t>6.81</w:t>
      </w:r>
      <w:r>
        <w:rPr>
          <w:rFonts w:hint="eastAsia" w:ascii="仿宋_GB2312" w:hAnsi="仿宋_GB2312" w:eastAsia="仿宋_GB2312" w:cs="仿宋_GB2312"/>
          <w:color w:val="auto"/>
          <w:sz w:val="32"/>
          <w:szCs w:val="32"/>
        </w:rPr>
        <w:t>万元。主要用于全市地质灾害防治项目督导检查、汛期巡查等所需的公务用车燃料费、维修费、过路过桥费、保险费等支出。</w:t>
      </w:r>
    </w:p>
    <w:p>
      <w:pPr>
        <w:keepNext w:val="0"/>
        <w:keepLines w:val="0"/>
        <w:pageBreakBefore w:val="0"/>
        <w:widowControl w:val="0"/>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3.公务接待费支出</w:t>
      </w:r>
      <w:r>
        <w:rPr>
          <w:rFonts w:hint="eastAsia" w:ascii="仿宋_GB2312" w:hAnsi="仿宋_GB2312" w:eastAsia="仿宋_GB2312" w:cs="仿宋_GB2312"/>
          <w:color w:val="auto"/>
          <w:sz w:val="32"/>
          <w:szCs w:val="32"/>
          <w:lang w:val="en-US" w:eastAsia="zh-CN"/>
        </w:rPr>
        <w:t>1.48</w:t>
      </w:r>
      <w:r>
        <w:rPr>
          <w:rFonts w:hint="eastAsia" w:ascii="仿宋_GB2312" w:hAnsi="仿宋_GB2312" w:eastAsia="仿宋_GB2312" w:cs="仿宋_GB2312"/>
          <w:color w:val="auto"/>
          <w:sz w:val="32"/>
          <w:szCs w:val="32"/>
        </w:rPr>
        <w:t>万元，</w:t>
      </w:r>
      <w:r>
        <w:rPr>
          <w:rStyle w:val="17"/>
          <w:rFonts w:hint="eastAsia" w:ascii="仿宋_GB2312" w:hAnsi="仿宋_GB2312" w:eastAsia="仿宋_GB2312" w:cs="仿宋_GB2312"/>
          <w:b w:val="0"/>
          <w:bCs/>
          <w:color w:val="auto"/>
          <w:sz w:val="32"/>
          <w:szCs w:val="32"/>
        </w:rPr>
        <w:t>完成预算</w:t>
      </w:r>
      <w:r>
        <w:rPr>
          <w:rStyle w:val="17"/>
          <w:rFonts w:hint="eastAsia" w:ascii="仿宋_GB2312" w:hAnsi="仿宋_GB2312" w:eastAsia="仿宋_GB2312" w:cs="仿宋_GB2312"/>
          <w:b w:val="0"/>
          <w:bCs/>
          <w:color w:val="auto"/>
          <w:sz w:val="32"/>
          <w:szCs w:val="32"/>
          <w:lang w:val="en-US" w:eastAsia="zh-CN"/>
        </w:rPr>
        <w:t>82.22</w:t>
      </w:r>
      <w:r>
        <w:rPr>
          <w:rStyle w:val="17"/>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公务接待费支出决算比202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88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59.5</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公务接待次数增加</w:t>
      </w:r>
      <w:r>
        <w:rPr>
          <w:rFonts w:hint="eastAsia" w:ascii="仿宋_GB2312" w:hAnsi="仿宋_GB2312" w:eastAsia="仿宋_GB2312" w:cs="仿宋_GB2312"/>
          <w:color w:val="auto"/>
          <w:sz w:val="32"/>
          <w:szCs w:val="32"/>
        </w:rPr>
        <w:t>。其中：</w:t>
      </w:r>
    </w:p>
    <w:p>
      <w:pPr>
        <w:keepNext w:val="0"/>
        <w:keepLines w:val="0"/>
        <w:pageBreakBefore w:val="0"/>
        <w:widowControl w:val="0"/>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rPr>
        <w:t>国内公务接待支出</w:t>
      </w:r>
      <w:r>
        <w:rPr>
          <w:rFonts w:hint="eastAsia" w:ascii="仿宋_GB2312" w:hAnsi="仿宋_GB2312" w:eastAsia="仿宋_GB2312" w:cs="仿宋_GB2312"/>
          <w:color w:val="auto"/>
          <w:sz w:val="32"/>
          <w:szCs w:val="32"/>
          <w:lang w:val="en-US" w:eastAsia="zh-CN"/>
        </w:rPr>
        <w:t>1.48</w:t>
      </w:r>
      <w:r>
        <w:rPr>
          <w:rFonts w:hint="eastAsia" w:ascii="仿宋_GB2312" w:hAnsi="仿宋_GB2312" w:eastAsia="仿宋_GB2312" w:cs="仿宋_GB2312"/>
          <w:color w:val="auto"/>
          <w:sz w:val="32"/>
          <w:szCs w:val="32"/>
        </w:rPr>
        <w:t>万元，主要用于执行公务、开展业务活动开支的用餐费等。国内公务接待</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人次（不包括陪同人员），共计支出</w:t>
      </w:r>
      <w:r>
        <w:rPr>
          <w:rFonts w:hint="eastAsia" w:ascii="仿宋_GB2312" w:hAnsi="仿宋_GB2312" w:eastAsia="仿宋_GB2312" w:cs="仿宋_GB2312"/>
          <w:color w:val="auto"/>
          <w:sz w:val="32"/>
          <w:szCs w:val="32"/>
          <w:lang w:val="en-US" w:eastAsia="zh-CN"/>
        </w:rPr>
        <w:t>1.48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rPr>
        <w:t>具体内容包括：接待各县区</w:t>
      </w:r>
      <w:r>
        <w:rPr>
          <w:rFonts w:hint="eastAsia" w:ascii="仿宋_GB2312" w:hAnsi="仿宋_GB2312" w:eastAsia="仿宋_GB2312" w:cs="仿宋_GB2312"/>
          <w:color w:val="auto"/>
          <w:sz w:val="32"/>
          <w:szCs w:val="32"/>
          <w:highlight w:val="none"/>
          <w:lang w:eastAsia="zh-CN"/>
        </w:rPr>
        <w:t>汇报地质灾害治理项目督查整改推进情况</w:t>
      </w:r>
      <w:r>
        <w:rPr>
          <w:rFonts w:hint="eastAsia" w:ascii="仿宋_GB2312" w:hAnsi="仿宋_GB2312" w:eastAsia="仿宋_GB2312" w:cs="仿宋_GB2312"/>
          <w:color w:val="auto"/>
          <w:sz w:val="32"/>
          <w:szCs w:val="32"/>
          <w:highlight w:val="none"/>
        </w:rPr>
        <w:t>接待费0.</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，接待省国土空间生态修复与地质灾害防治研究所地质灾害治理项目信用评价检查、地质灾害防治工作督导检查等接待费</w:t>
      </w:r>
      <w:r>
        <w:rPr>
          <w:rFonts w:hint="eastAsia" w:ascii="仿宋_GB2312" w:hAnsi="仿宋_GB2312" w:eastAsia="仿宋_GB2312" w:cs="仿宋_GB2312"/>
          <w:color w:val="auto"/>
          <w:sz w:val="32"/>
          <w:szCs w:val="32"/>
          <w:highlight w:val="none"/>
          <w:lang w:val="en-US" w:eastAsia="zh-CN"/>
        </w:rPr>
        <w:t>0.68万元</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外事接待支出</w:t>
      </w:r>
      <w:r>
        <w:rPr>
          <w:rFonts w:hint="eastAsia" w:ascii="仿宋_GB2312" w:hAnsi="仿宋_GB2312" w:eastAsia="仿宋_GB2312" w:cs="仿宋_GB2312"/>
          <w:color w:val="auto"/>
          <w:sz w:val="32"/>
          <w:szCs w:val="32"/>
        </w:rPr>
        <w:t>0万元。</w:t>
      </w:r>
      <w:bookmarkStart w:id="51" w:name="_Toc15377218"/>
      <w:bookmarkStart w:id="52" w:name="_Toc15396610"/>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9"/>
        <w:rPr>
          <w:rFonts w:hint="eastAsia" w:ascii="黑体" w:hAnsi="黑体" w:eastAsia="黑体" w:cs="黑体"/>
          <w:b w:val="0"/>
          <w:bCs w:val="0"/>
          <w:color w:val="auto"/>
          <w:sz w:val="32"/>
          <w:szCs w:val="32"/>
          <w:highlight w:val="none"/>
          <w:u w:val="none"/>
          <w:lang w:eastAsia="zh-CN"/>
        </w:rPr>
      </w:pPr>
      <w:bookmarkStart w:id="53" w:name="_Toc26637"/>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54" w:name="_Toc594"/>
      <w:r>
        <w:rPr>
          <w:rFonts w:hint="eastAsia" w:ascii="黑体" w:hAnsi="黑体" w:eastAsia="黑体" w:cs="黑体"/>
          <w:b w:val="0"/>
          <w:bCs w:val="0"/>
          <w:color w:val="auto"/>
          <w:sz w:val="32"/>
          <w:szCs w:val="32"/>
          <w:highlight w:val="none"/>
          <w:u w:val="none"/>
          <w:lang w:eastAsia="zh-CN"/>
        </w:rPr>
        <w:t>八、政府性基金预算支出决算情况说明</w:t>
      </w:r>
      <w:bookmarkEnd w:id="51"/>
      <w:bookmarkEnd w:id="52"/>
      <w:bookmarkEnd w:id="53"/>
      <w:bookmarkEnd w:id="54"/>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政府性基金预算财政拨款支出0万元。</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9"/>
        <w:rPr>
          <w:rFonts w:hint="eastAsia" w:ascii="黑体" w:hAnsi="黑体" w:eastAsia="黑体" w:cs="黑体"/>
          <w:b w:val="0"/>
          <w:bCs w:val="0"/>
          <w:color w:val="auto"/>
          <w:sz w:val="32"/>
          <w:szCs w:val="32"/>
          <w:highlight w:val="none"/>
          <w:u w:val="none"/>
          <w:lang w:eastAsia="zh-CN"/>
        </w:rPr>
      </w:pPr>
      <w:bookmarkStart w:id="55" w:name="_Toc15396611"/>
      <w:bookmarkStart w:id="56" w:name="_Toc15377219"/>
      <w:bookmarkStart w:id="57" w:name="_Toc7802"/>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lang w:eastAsia="zh-CN"/>
        </w:rPr>
      </w:pPr>
      <w:bookmarkStart w:id="58" w:name="_Toc12816"/>
      <w:r>
        <w:rPr>
          <w:rFonts w:hint="eastAsia" w:ascii="黑体" w:hAnsi="黑体" w:eastAsia="黑体" w:cs="黑体"/>
          <w:b w:val="0"/>
          <w:bCs w:val="0"/>
          <w:color w:val="auto"/>
          <w:sz w:val="32"/>
          <w:szCs w:val="32"/>
          <w:highlight w:val="none"/>
          <w:u w:val="none"/>
          <w:lang w:eastAsia="zh-CN"/>
        </w:rPr>
        <w:t>九、国有资本经营预算支出决算情况说明</w:t>
      </w:r>
      <w:bookmarkEnd w:id="55"/>
      <w:bookmarkEnd w:id="56"/>
      <w:bookmarkEnd w:id="57"/>
      <w:bookmarkEnd w:id="58"/>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国有资本经营预算财政拨款支出0万元。</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9"/>
        <w:rPr>
          <w:rFonts w:hint="eastAsia" w:ascii="黑体" w:hAnsi="黑体" w:eastAsia="黑体" w:cs="黑体"/>
          <w:b w:val="0"/>
          <w:bCs w:val="0"/>
          <w:color w:val="auto"/>
          <w:sz w:val="32"/>
          <w:szCs w:val="32"/>
          <w:highlight w:val="none"/>
          <w:u w:val="none"/>
          <w:lang w:eastAsia="zh-CN"/>
        </w:rPr>
      </w:pPr>
      <w:bookmarkStart w:id="59" w:name="_Toc15377221"/>
      <w:bookmarkStart w:id="60" w:name="_Toc18931"/>
      <w:bookmarkStart w:id="61" w:name="_Toc15396612"/>
      <w:bookmarkStart w:id="62" w:name="_Toc25840"/>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jc w:val="both"/>
        <w:textAlignment w:val="auto"/>
        <w:outlineLvl w:val="1"/>
        <w:rPr>
          <w:rFonts w:hint="eastAsia" w:ascii="黑体" w:hAnsi="黑体" w:eastAsia="黑体" w:cs="黑体"/>
          <w:b w:val="0"/>
          <w:bCs w:val="0"/>
          <w:color w:val="auto"/>
          <w:sz w:val="32"/>
          <w:szCs w:val="32"/>
          <w:highlight w:val="none"/>
          <w:u w:val="none"/>
        </w:rPr>
      </w:pPr>
      <w:bookmarkStart w:id="63" w:name="_Toc30711"/>
      <w:r>
        <w:rPr>
          <w:rFonts w:hint="eastAsia" w:ascii="黑体" w:hAnsi="黑体" w:eastAsia="黑体" w:cs="黑体"/>
          <w:b w:val="0"/>
          <w:bCs w:val="0"/>
          <w:color w:val="auto"/>
          <w:sz w:val="32"/>
          <w:szCs w:val="32"/>
          <w:highlight w:val="none"/>
          <w:u w:val="none"/>
          <w:lang w:eastAsia="zh-CN"/>
        </w:rPr>
        <w:t>十、</w:t>
      </w:r>
      <w:r>
        <w:rPr>
          <w:rFonts w:hint="eastAsia" w:ascii="黑体" w:hAnsi="黑体" w:eastAsia="黑体" w:cs="黑体"/>
          <w:b w:val="0"/>
          <w:bCs w:val="0"/>
          <w:color w:val="auto"/>
          <w:sz w:val="32"/>
          <w:szCs w:val="32"/>
          <w:highlight w:val="none"/>
          <w:u w:val="none"/>
        </w:rPr>
        <w:t>其他重要事项的情况说明</w:t>
      </w:r>
      <w:bookmarkEnd w:id="59"/>
      <w:bookmarkEnd w:id="60"/>
      <w:bookmarkEnd w:id="61"/>
      <w:bookmarkEnd w:id="62"/>
      <w:bookmarkEnd w:id="63"/>
    </w:p>
    <w:p>
      <w:pPr>
        <w:spacing w:line="600" w:lineRule="exact"/>
        <w:ind w:firstLine="642"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未发生机关运行经费，与202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决算数持平</w:t>
      </w:r>
      <w:r>
        <w:rPr>
          <w:rFonts w:hint="eastAsia" w:ascii="仿宋_GB2312" w:hAnsi="仿宋_GB2312" w:eastAsia="仿宋_GB2312" w:cs="仿宋_GB2312"/>
          <w:color w:val="auto"/>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，广元市地质环境监测站政府采购支出总额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年12月31日，广元市地质环境监测站共有车辆2辆，其中：其他用车2辆，其他用车主要是用于一般公务、业务用车。单价50万元以上通用设备4台（套），单价100万元以上专用设备0台（套）。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ageBreakBefore w:val="0"/>
        <w:widowControl w:val="0"/>
        <w:kinsoku/>
        <w:wordWrap/>
        <w:overflowPunct/>
        <w:topLinePunct w:val="0"/>
        <w:bidi w:val="0"/>
        <w:spacing w:line="576" w:lineRule="exact"/>
        <w:ind w:left="0" w:right="0"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预算编制阶段，组织对地质灾害驻守服务支撑等</w:t>
      </w:r>
      <w:r>
        <w:rPr>
          <w:rFonts w:hint="eastAsia" w:ascii="仿宋_GB2312" w:hAnsi="Times New Roman" w:eastAsia="仿宋_GB2312" w:cs="Times New Roman"/>
          <w:color w:val="auto"/>
          <w:sz w:val="32"/>
          <w:szCs w:val="32"/>
          <w:highlight w:val="none"/>
          <w:lang w:val="en-US" w:eastAsia="zh-CN"/>
        </w:rPr>
        <w:t>13个项目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hAnsi="Times New Roman" w:eastAsia="仿宋_GB2312" w:cs="Times New Roman"/>
          <w:color w:val="auto"/>
          <w:sz w:val="32"/>
          <w:szCs w:val="32"/>
          <w:highlight w:val="none"/>
          <w:lang w:val="en-US" w:eastAsia="zh-CN"/>
        </w:rPr>
        <w:t>13</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13</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13个项目开展绩效自评，绩效自评表详见第四部分附件。</w:t>
      </w:r>
      <w:r>
        <w:rPr>
          <w:rFonts w:hint="eastAsia" w:ascii="仿宋_GB2312" w:hAnsi="仿宋_GB2312" w:eastAsia="仿宋_GB2312" w:cs="仿宋_GB2312"/>
          <w:b/>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color w:val="auto"/>
          <w:highlight w:val="none"/>
        </w:rPr>
      </w:pPr>
      <w:bookmarkStart w:id="64" w:name="_Toc7293"/>
      <w:bookmarkStart w:id="65" w:name="_Toc15377225"/>
      <w:bookmarkStart w:id="66" w:name="_Toc26702"/>
      <w:bookmarkStart w:id="67" w:name="_Toc15396613"/>
      <w:r>
        <w:rPr>
          <w:rFonts w:hint="eastAsia" w:ascii="方正小标宋_GBK" w:hAnsi="方正小标宋_GBK" w:eastAsia="方正小标宋_GBK" w:cs="方正小标宋_GBK"/>
          <w:b w:val="0"/>
          <w:color w:val="auto"/>
          <w:highlight w:val="none"/>
          <w:lang w:eastAsia="zh-CN"/>
        </w:rPr>
        <w:t>第三部分</w:t>
      </w:r>
      <w:r>
        <w:rPr>
          <w:rFonts w:hint="eastAsia" w:ascii="方正小标宋_GBK" w:hAnsi="方正小标宋_GBK" w:eastAsia="方正小标宋_GBK" w:cs="方正小标宋_GBK"/>
          <w:b w:val="0"/>
          <w:color w:val="auto"/>
          <w:highlight w:val="none"/>
          <w:lang w:val="en-US" w:eastAsia="zh-CN"/>
        </w:rPr>
        <w:t xml:space="preserve">  </w:t>
      </w:r>
      <w:r>
        <w:rPr>
          <w:rFonts w:hint="eastAsia" w:ascii="方正小标宋_GBK" w:hAnsi="方正小标宋_GBK" w:eastAsia="方正小标宋_GBK" w:cs="方正小标宋_GBK"/>
          <w:b w:val="0"/>
          <w:color w:val="auto"/>
          <w:highlight w:val="none"/>
        </w:rPr>
        <w:t>名词解释</w:t>
      </w:r>
      <w:bookmarkEnd w:id="64"/>
      <w:bookmarkEnd w:id="65"/>
      <w:bookmarkEnd w:id="66"/>
      <w:bookmarkEnd w:id="67"/>
    </w:p>
    <w:p>
      <w:pPr>
        <w:pageBreakBefore w:val="0"/>
        <w:widowControl w:val="0"/>
        <w:kinsoku/>
        <w:wordWrap/>
        <w:overflowPunct/>
        <w:topLinePunct w:val="0"/>
        <w:bidi w:val="0"/>
        <w:spacing w:line="576" w:lineRule="exact"/>
        <w:ind w:left="0" w:right="0" w:firstLine="0" w:firstLineChars="0"/>
        <w:jc w:val="both"/>
        <w:textAlignment w:val="auto"/>
        <w:rPr>
          <w:rFonts w:hint="eastAsia" w:ascii="仿宋_GB2312" w:hAnsi="仿宋_GB2312" w:eastAsia="仿宋_GB2312" w:cs="仿宋_GB2312"/>
          <w:b/>
          <w:color w:val="auto"/>
          <w:sz w:val="32"/>
          <w:szCs w:val="32"/>
        </w:rPr>
      </w:pPr>
    </w:p>
    <w:p>
      <w:pPr>
        <w:pStyle w:val="22"/>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outlineLvl w:val="1"/>
        <w:rPr>
          <w:rFonts w:hint="eastAsia" w:ascii="仿宋_GB2312" w:hAnsi="仿宋_GB2312" w:eastAsia="仿宋_GB2312" w:cs="仿宋_GB2312"/>
          <w:b w:val="0"/>
          <w:bCs w:val="0"/>
          <w:color w:val="auto"/>
          <w:sz w:val="32"/>
          <w:szCs w:val="32"/>
        </w:rPr>
      </w:pPr>
      <w:bookmarkStart w:id="68" w:name="_Toc8816"/>
      <w:bookmarkStart w:id="69" w:name="_Toc19672"/>
      <w:bookmarkStart w:id="70" w:name="_Toc15377226"/>
      <w:r>
        <w:rPr>
          <w:rFonts w:hint="eastAsia" w:ascii="仿宋_GB2312" w:hAnsi="仿宋_GB2312" w:eastAsia="仿宋_GB2312" w:cs="仿宋_GB2312"/>
          <w:b w:val="0"/>
          <w:bCs w:val="0"/>
          <w:color w:val="auto"/>
          <w:sz w:val="32"/>
          <w:szCs w:val="32"/>
        </w:rPr>
        <w:t>财政拨款收入：指单位从同级财政部门取得的财政预算资金。</w:t>
      </w:r>
      <w:bookmarkEnd w:id="68"/>
      <w:bookmarkEnd w:id="69"/>
    </w:p>
    <w:p>
      <w:pPr>
        <w:pStyle w:val="22"/>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rPr>
      </w:pPr>
      <w:r>
        <w:rPr>
          <w:rFonts w:hint="eastAsia" w:ascii="仿宋_GB2312" w:hAnsi="仿宋_GB2312" w:eastAsia="仿宋_GB2312" w:cs="仿宋_GB2312"/>
          <w:b w:val="0"/>
          <w:bCs w:val="0"/>
          <w:color w:val="auto"/>
          <w:sz w:val="32"/>
          <w:szCs w:val="32"/>
        </w:rPr>
        <w:t>年初结转和结余：指以前年度尚未完成、结转到本年按有关规定继续使用的资金。</w:t>
      </w:r>
    </w:p>
    <w:p>
      <w:pPr>
        <w:pStyle w:val="22"/>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rPr>
      </w:pPr>
      <w:r>
        <w:rPr>
          <w:rFonts w:hint="eastAsia" w:ascii="仿宋_GB2312" w:hAnsi="仿宋_GB2312" w:eastAsia="仿宋_GB2312" w:cs="仿宋_GB2312"/>
          <w:b w:val="0"/>
          <w:bCs w:val="0"/>
          <w:color w:val="auto"/>
          <w:sz w:val="32"/>
          <w:szCs w:val="32"/>
        </w:rPr>
        <w:t>社会保障和就业支出（类）行政事业单位养老支出（款）事业单位离退休（项）：指事业单位退休职工生活补助。</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Style w:val="17"/>
          <w:rFonts w:hint="eastAsia" w:ascii="仿宋_GB2312" w:hAnsi="仿宋_GB2312" w:eastAsia="仿宋_GB2312" w:cs="仿宋_GB2312"/>
          <w:b w:val="0"/>
          <w:bCs w:val="0"/>
          <w:color w:val="auto"/>
          <w:sz w:val="32"/>
          <w:szCs w:val="32"/>
        </w:rPr>
      </w:pPr>
      <w:r>
        <w:rPr>
          <w:rStyle w:val="17"/>
          <w:rFonts w:hint="eastAsia" w:ascii="仿宋_GB2312" w:hAnsi="仿宋_GB2312" w:eastAsia="仿宋_GB2312" w:cs="仿宋_GB2312"/>
          <w:b w:val="0"/>
          <w:bCs w:val="0"/>
          <w:color w:val="auto"/>
          <w:sz w:val="32"/>
          <w:szCs w:val="32"/>
        </w:rPr>
        <w:t>社会保障和就业（类）行政事业单位</w:t>
      </w:r>
      <w:r>
        <w:rPr>
          <w:rStyle w:val="17"/>
          <w:rFonts w:hint="eastAsia" w:ascii="仿宋_GB2312" w:hAnsi="仿宋_GB2312" w:eastAsia="仿宋_GB2312" w:cs="仿宋_GB2312"/>
          <w:b w:val="0"/>
          <w:bCs w:val="0"/>
          <w:color w:val="auto"/>
          <w:sz w:val="32"/>
          <w:szCs w:val="32"/>
          <w:lang w:eastAsia="zh-CN"/>
        </w:rPr>
        <w:t>养老支出</w:t>
      </w:r>
      <w:r>
        <w:rPr>
          <w:rStyle w:val="17"/>
          <w:rFonts w:hint="eastAsia" w:ascii="仿宋_GB2312" w:hAnsi="仿宋_GB2312" w:eastAsia="仿宋_GB2312" w:cs="仿宋_GB2312"/>
          <w:b w:val="0"/>
          <w:bCs w:val="0"/>
          <w:color w:val="auto"/>
          <w:sz w:val="32"/>
          <w:szCs w:val="32"/>
        </w:rPr>
        <w:t>（款）机关事业单位基本养老保险缴费支出（项）</w:t>
      </w:r>
      <w:r>
        <w:rPr>
          <w:rStyle w:val="17"/>
          <w:rFonts w:hint="eastAsia" w:ascii="仿宋_GB2312" w:hAnsi="仿宋_GB2312" w:eastAsia="仿宋_GB2312" w:cs="仿宋_GB2312"/>
          <w:b w:val="0"/>
          <w:bCs w:val="0"/>
          <w:color w:val="auto"/>
          <w:sz w:val="32"/>
          <w:szCs w:val="32"/>
          <w:lang w:eastAsia="zh-CN"/>
        </w:rPr>
        <w:t>：</w:t>
      </w:r>
      <w:r>
        <w:rPr>
          <w:rStyle w:val="17"/>
          <w:rFonts w:hint="eastAsia" w:ascii="仿宋_GB2312" w:hAnsi="仿宋_GB2312" w:eastAsia="仿宋_GB2312" w:cs="仿宋_GB2312"/>
          <w:b w:val="0"/>
          <w:bCs w:val="0"/>
          <w:color w:val="auto"/>
          <w:sz w:val="32"/>
          <w:szCs w:val="32"/>
        </w:rPr>
        <w:t>指机关事业单位实施养老保险制度由单位缴纳的基本养老保险费支出。</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Style w:val="17"/>
          <w:rFonts w:hint="eastAsia" w:ascii="仿宋_GB2312" w:hAnsi="仿宋_GB2312" w:eastAsia="仿宋_GB2312" w:cs="仿宋_GB2312"/>
          <w:b w:val="0"/>
          <w:bCs w:val="0"/>
          <w:color w:val="auto"/>
          <w:sz w:val="32"/>
          <w:szCs w:val="32"/>
        </w:rPr>
      </w:pPr>
      <w:r>
        <w:rPr>
          <w:rStyle w:val="17"/>
          <w:rFonts w:hint="eastAsia" w:ascii="仿宋_GB2312" w:hAnsi="仿宋_GB2312" w:eastAsia="仿宋_GB2312" w:cs="仿宋_GB2312"/>
          <w:b w:val="0"/>
          <w:bCs w:val="0"/>
          <w:color w:val="auto"/>
          <w:sz w:val="32"/>
          <w:szCs w:val="32"/>
        </w:rPr>
        <w:t>社会保障和就业支出（类）行政事业单位养老支出（款）机关事业单位职业年金缴费支出（项）：指机关事业单位实施养老保险制度由单位实际缴纳的职业年金支出。</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Style w:val="17"/>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卫生健康</w:t>
      </w:r>
      <w:r>
        <w:rPr>
          <w:rStyle w:val="17"/>
          <w:rFonts w:hint="eastAsia" w:ascii="仿宋_GB2312" w:hAnsi="仿宋_GB2312" w:eastAsia="仿宋_GB2312" w:cs="仿宋_GB2312"/>
          <w:b w:val="0"/>
          <w:bCs w:val="0"/>
          <w:color w:val="auto"/>
          <w:sz w:val="32"/>
          <w:szCs w:val="32"/>
        </w:rPr>
        <w:t>（类）行政事业单位医疗（款）事业单位医疗（项）</w:t>
      </w:r>
      <w:r>
        <w:rPr>
          <w:rFonts w:hint="eastAsia" w:ascii="仿宋_GB2312" w:hAnsi="仿宋_GB2312" w:eastAsia="仿宋_GB2312" w:cs="仿宋_GB2312"/>
          <w:b w:val="0"/>
          <w:bCs w:val="0"/>
          <w:color w:val="auto"/>
          <w:sz w:val="32"/>
          <w:szCs w:val="32"/>
        </w:rPr>
        <w:t>：</w:t>
      </w:r>
      <w:r>
        <w:rPr>
          <w:rStyle w:val="17"/>
          <w:rFonts w:hint="eastAsia" w:ascii="仿宋_GB2312" w:hAnsi="仿宋_GB2312" w:eastAsia="仿宋_GB2312" w:cs="仿宋_GB2312"/>
          <w:b w:val="0"/>
          <w:bCs w:val="0"/>
          <w:color w:val="auto"/>
          <w:sz w:val="32"/>
          <w:szCs w:val="32"/>
        </w:rPr>
        <w:t>指</w:t>
      </w:r>
      <w:r>
        <w:rPr>
          <w:rFonts w:hint="eastAsia" w:ascii="仿宋_GB2312" w:hAnsi="仿宋_GB2312" w:eastAsia="仿宋_GB2312" w:cs="仿宋_GB2312"/>
          <w:b w:val="0"/>
          <w:bCs w:val="0"/>
          <w:color w:val="auto"/>
          <w:sz w:val="32"/>
          <w:szCs w:val="32"/>
          <w:shd w:val="clear" w:color="auto" w:fill="FFFFFF"/>
        </w:rPr>
        <w:t>事业单位用于缴纳单位基本医疗保险支出。</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rPr>
        <w:t>自然资源海洋气象等（类）自然资源事务（款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事业运行（项）：指</w:t>
      </w:r>
      <w:r>
        <w:rPr>
          <w:rFonts w:hint="eastAsia" w:ascii="仿宋_GB2312" w:hAnsi="仿宋_GB2312" w:eastAsia="仿宋_GB2312" w:cs="仿宋_GB2312"/>
          <w:b w:val="0"/>
          <w:bCs w:val="0"/>
          <w:color w:val="auto"/>
          <w:sz w:val="32"/>
          <w:szCs w:val="32"/>
          <w:shd w:val="clear" w:color="auto" w:fill="FFFFFF"/>
        </w:rPr>
        <w:t>事业单位用于保障机构正常运行、开展日常工作的基本支出。</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ascii="仿宋_GB2312" w:hAnsi="仿宋_GB2312" w:eastAsia="仿宋_GB2312" w:cs="仿宋_GB2312"/>
          <w:b w:val="0"/>
          <w:bCs w:val="0"/>
          <w:color w:val="auto"/>
          <w:sz w:val="32"/>
          <w:szCs w:val="32"/>
        </w:rPr>
      </w:pPr>
      <w:r>
        <w:rPr>
          <w:rStyle w:val="17"/>
          <w:rFonts w:hint="eastAsia" w:ascii="仿宋_GB2312" w:hAnsi="仿宋_GB2312" w:eastAsia="仿宋_GB2312" w:cs="仿宋_GB2312"/>
          <w:b w:val="0"/>
          <w:bCs w:val="0"/>
          <w:color w:val="auto"/>
          <w:sz w:val="32"/>
          <w:szCs w:val="32"/>
        </w:rPr>
        <w:t>自然资源海洋气象等（类）自然资源事务（款）其他自然资源事务（项）：指除财政一般公共预算安排的项目之外的项目支出。</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住房保障（类）住房改革支出（款）住房公积金（项）：指事业单位按行政事业单位按人力资源部和社会保障部、财政部规定的基本工资和津贴补贴以及规定比例为职工缴纳的住房公积金。</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ascii="仿宋_GB2312" w:hAnsi="仿宋_GB2312" w:eastAsia="仿宋_GB2312" w:cs="仿宋_GB2312"/>
          <w:b w:val="0"/>
          <w:bCs w:val="0"/>
          <w:color w:val="auto"/>
          <w:sz w:val="32"/>
          <w:szCs w:val="32"/>
        </w:rPr>
      </w:pPr>
      <w:r>
        <w:rPr>
          <w:rStyle w:val="17"/>
          <w:rFonts w:hint="eastAsia" w:ascii="仿宋_GB2312" w:hAnsi="仿宋_GB2312" w:eastAsia="仿宋_GB2312" w:cs="仿宋_GB2312"/>
          <w:b w:val="0"/>
          <w:bCs w:val="0"/>
          <w:color w:val="auto"/>
          <w:sz w:val="32"/>
          <w:szCs w:val="32"/>
        </w:rPr>
        <w:t>灾害防治及应急管理（类）自然灾害防治（款）地质灾害防治（项）：指用于地质灾害防治方面的支出。</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基本支出：指为保障机构正常运转、完成日常工作任务而发生的人员支出和公用支出。</w:t>
      </w:r>
    </w:p>
    <w:p>
      <w:pPr>
        <w:keepNext w:val="0"/>
        <w:keepLines w:val="0"/>
        <w:pageBreakBefore w:val="0"/>
        <w:widowControl w:val="0"/>
        <w:numPr>
          <w:ilvl w:val="0"/>
          <w:numId w:val="2"/>
        </w:numPr>
        <w:kinsoku/>
        <w:wordWrap/>
        <w:overflowPunct/>
        <w:topLinePunct w:val="0"/>
        <w:bidi w:val="0"/>
        <w:snapToGrid/>
        <w:spacing w:line="560" w:lineRule="exact"/>
        <w:ind w:left="0" w:leftChars="0" w:right="0" w:firstLine="403" w:firstLine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项目支出：指在基本支出之外为完成特定行政任务和事业发展目标所发生的支出。</w:t>
      </w:r>
    </w:p>
    <w:p>
      <w:pPr>
        <w:pStyle w:val="22"/>
        <w:spacing w:line="560" w:lineRule="exact"/>
        <w:ind w:firstLine="320" w:firstLineChars="100"/>
        <w:rPr>
          <w:rFonts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“三公”经费：</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numPr>
          <w:ilvl w:val="0"/>
          <w:numId w:val="0"/>
        </w:numPr>
        <w:kinsoku/>
        <w:wordWrap/>
        <w:overflowPunct/>
        <w:topLinePunct w:val="0"/>
        <w:bidi w:val="0"/>
        <w:snapToGrid/>
        <w:spacing w:line="560" w:lineRule="exact"/>
        <w:ind w:left="403" w:leftChars="0" w:right="0" w:rightChars="0"/>
        <w:jc w:val="both"/>
        <w:textAlignment w:val="auto"/>
        <w:rPr>
          <w:rFonts w:hint="eastAsia" w:ascii="仿宋_GB2312" w:hAnsi="仿宋_GB2312" w:eastAsia="仿宋_GB2312" w:cs="仿宋_GB2312"/>
          <w:b w:val="0"/>
          <w:bCs w:val="0"/>
          <w:color w:val="auto"/>
          <w:sz w:val="32"/>
          <w:szCs w:val="32"/>
        </w:rPr>
      </w:pP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bCs/>
          <w:color w:val="auto"/>
          <w:kern w:val="44"/>
          <w:sz w:val="44"/>
          <w:szCs w:val="44"/>
          <w:highlight w:val="none"/>
          <w:lang w:val="en-US" w:eastAsia="zh-CN" w:bidi="ar-SA"/>
        </w:rPr>
      </w:pPr>
      <w:r>
        <w:rPr>
          <w:rFonts w:hint="eastAsia" w:ascii="仿宋_GB2312" w:hAnsi="仿宋_GB2312" w:eastAsia="仿宋_GB2312" w:cs="仿宋_GB2312"/>
          <w:b w:val="0"/>
          <w:bCs w:val="0"/>
          <w:color w:val="auto"/>
          <w:sz w:val="32"/>
          <w:szCs w:val="32"/>
        </w:rPr>
        <w:br w:type="page"/>
      </w:r>
      <w:bookmarkStart w:id="71" w:name="_Toc19326"/>
      <w:bookmarkStart w:id="72" w:name="_Toc15396614"/>
      <w:bookmarkStart w:id="73" w:name="_Toc25230"/>
      <w:r>
        <w:rPr>
          <w:rFonts w:hint="eastAsia" w:ascii="方正小标宋_GBK" w:hAnsi="方正小标宋_GBK" w:eastAsia="方正小标宋_GBK" w:cs="方正小标宋_GBK"/>
          <w:b w:val="0"/>
          <w:bCs/>
          <w:color w:val="auto"/>
          <w:kern w:val="44"/>
          <w:sz w:val="44"/>
          <w:szCs w:val="44"/>
          <w:highlight w:val="none"/>
          <w:lang w:val="en-US" w:eastAsia="zh-CN" w:bidi="ar-SA"/>
        </w:rPr>
        <w:t>第四</w:t>
      </w:r>
      <w:r>
        <w:rPr>
          <w:rFonts w:hint="eastAsia" w:ascii="方正小标宋_GBK" w:hAnsi="方正小标宋_GBK" w:eastAsia="方正小标宋_GBK" w:cs="方正小标宋_GBK"/>
          <w:b w:val="0"/>
          <w:color w:val="auto"/>
          <w:highlight w:val="none"/>
          <w:lang w:val="en-US" w:eastAsia="zh-CN"/>
        </w:rPr>
        <w:t xml:space="preserve">部分  </w:t>
      </w:r>
      <w:r>
        <w:rPr>
          <w:rFonts w:hint="eastAsia" w:ascii="方正小标宋_GBK" w:hAnsi="方正小标宋_GBK" w:eastAsia="方正小标宋_GBK" w:cs="方正小标宋_GBK"/>
          <w:b w:val="0"/>
          <w:bCs/>
          <w:color w:val="auto"/>
          <w:kern w:val="44"/>
          <w:sz w:val="44"/>
          <w:szCs w:val="44"/>
          <w:highlight w:val="none"/>
          <w:lang w:val="en-US" w:eastAsia="zh-CN" w:bidi="ar-SA"/>
        </w:rPr>
        <w:t>附件</w:t>
      </w:r>
      <w:bookmarkEnd w:id="71"/>
      <w:bookmarkEnd w:id="72"/>
      <w:bookmarkEnd w:id="73"/>
    </w:p>
    <w:p>
      <w:pPr>
        <w:pStyle w:val="2"/>
        <w:pageBreakBefore w:val="0"/>
        <w:widowControl w:val="0"/>
        <w:kinsoku/>
        <w:wordWrap/>
        <w:overflowPunct/>
        <w:topLinePunct w:val="0"/>
        <w:bidi w:val="0"/>
        <w:spacing w:beforeLines="0" w:line="576" w:lineRule="exact"/>
        <w:ind w:left="0" w:right="0" w:firstLine="0" w:firstLineChars="0"/>
        <w:jc w:val="both"/>
        <w:textAlignment w:val="auto"/>
        <w:rPr>
          <w:rFonts w:hint="eastAsia" w:ascii="黑体" w:hAnsi="黑体" w:eastAsia="黑体" w:cs="黑体"/>
          <w:color w:val="auto"/>
          <w:sz w:val="32"/>
          <w:szCs w:val="32"/>
          <w:shd w:val="clear" w:color="auto" w:fill="FFFFFF"/>
          <w:lang w:val="zh-CN"/>
        </w:rPr>
      </w:pPr>
    </w:p>
    <w:p>
      <w:pPr>
        <w:pageBreakBefore w:val="0"/>
        <w:widowControl w:val="0"/>
        <w:kinsoku/>
        <w:wordWrap/>
        <w:overflowPunct/>
        <w:topLinePunct w:val="0"/>
        <w:bidi w:val="0"/>
        <w:spacing w:line="576" w:lineRule="exact"/>
        <w:ind w:left="0" w:right="0" w:firstLine="0" w:firstLineChars="0"/>
        <w:jc w:val="center"/>
        <w:textAlignment w:val="auto"/>
        <w:rPr>
          <w:rFonts w:hint="eastAsia" w:ascii="方正小标宋_GBK" w:hAnsi="方正小标宋_GBK" w:eastAsia="方正小标宋_GBK" w:cs="方正小标宋_GBK"/>
          <w:color w:val="auto"/>
          <w:sz w:val="36"/>
          <w:szCs w:val="36"/>
        </w:rPr>
      </w:pPr>
    </w:p>
    <w:p>
      <w:pPr>
        <w:spacing w:line="600" w:lineRule="exact"/>
        <w:jc w:val="center"/>
        <w:outlineLvl w:val="1"/>
        <w:rPr>
          <w:rFonts w:hint="eastAsia" w:ascii="仿宋_GB2312" w:hAnsi="仿宋_GB2312" w:eastAsia="仿宋_GB2312" w:cs="仿宋_GB2312"/>
          <w:color w:val="auto"/>
          <w:kern w:val="0"/>
          <w:sz w:val="32"/>
          <w:szCs w:val="32"/>
          <w:highlight w:val="none"/>
          <w:lang w:val="en-US" w:eastAsia="zh-CN" w:bidi="ar-SA"/>
        </w:rPr>
      </w:pPr>
      <w:bookmarkStart w:id="74" w:name="_Toc9199"/>
      <w:bookmarkStart w:id="75" w:name="_Toc2928"/>
      <w:bookmarkStart w:id="76" w:name="_Toc3136"/>
      <w:bookmarkStart w:id="77" w:name="_Toc32746"/>
      <w:bookmarkStart w:id="78" w:name="_Toc15396618"/>
      <w:r>
        <w:rPr>
          <w:rFonts w:hint="eastAsia" w:ascii="仿宋_GB2312" w:hAnsi="仿宋_GB2312" w:eastAsia="仿宋_GB2312" w:cs="仿宋_GB2312"/>
          <w:color w:val="auto"/>
          <w:kern w:val="0"/>
          <w:sz w:val="32"/>
          <w:szCs w:val="32"/>
          <w:highlight w:val="none"/>
          <w:lang w:val="en-US" w:eastAsia="zh-CN" w:bidi="ar-SA"/>
        </w:rPr>
        <w:t>部门预算项目支出绩效自评表（2023年度）</w:t>
      </w:r>
      <w:bookmarkEnd w:id="74"/>
      <w:bookmarkEnd w:id="75"/>
      <w:bookmarkEnd w:id="76"/>
      <w:bookmarkEnd w:id="77"/>
    </w:p>
    <w:p>
      <w:pPr>
        <w:spacing w:line="600" w:lineRule="exact"/>
        <w:jc w:val="left"/>
        <w:outlineLvl w:val="9"/>
        <w:rPr>
          <w:rFonts w:hint="eastAsia" w:ascii="仿宋_GB2312" w:hAnsi="仿宋_GB2312" w:eastAsia="仿宋_GB2312" w:cs="仿宋_GB2312"/>
          <w:color w:val="auto"/>
          <w:kern w:val="0"/>
          <w:sz w:val="32"/>
          <w:szCs w:val="32"/>
          <w:highlight w:val="none"/>
          <w:lang w:val="en-US" w:eastAsia="zh-CN" w:bidi="ar-SA"/>
        </w:rPr>
      </w:pPr>
    </w:p>
    <w:p>
      <w:pPr>
        <w:pStyle w:val="2"/>
        <w:rPr>
          <w:rFonts w:hint="eastAsia" w:ascii="仿宋_GB2312" w:hAnsi="仿宋_GB2312" w:eastAsia="仿宋_GB2312" w:cs="仿宋_GB2312"/>
          <w:color w:val="auto"/>
          <w:kern w:val="0"/>
          <w:sz w:val="32"/>
          <w:szCs w:val="32"/>
          <w:highlight w:val="none"/>
          <w:lang w:val="en-US" w:eastAsia="zh-CN" w:bidi="ar-SA"/>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pStyle w:val="9"/>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color w:val="auto"/>
          <w:highlight w:val="none"/>
          <w:lang w:val="en-US" w:eastAsia="zh-CN"/>
        </w:rPr>
      </w:pPr>
      <w:bookmarkStart w:id="79" w:name="_Toc20963"/>
      <w:bookmarkStart w:id="80" w:name="_Toc28988"/>
      <w:r>
        <w:rPr>
          <w:rFonts w:hint="eastAsia" w:ascii="方正小标宋_GBK" w:hAnsi="方正小标宋_GBK" w:eastAsia="方正小标宋_GBK" w:cs="方正小标宋_GBK"/>
          <w:b w:val="0"/>
          <w:color w:val="auto"/>
          <w:highlight w:val="none"/>
          <w:lang w:val="en-US" w:eastAsia="zh-CN"/>
        </w:rPr>
        <w:t>第五部分  附表</w:t>
      </w:r>
      <w:bookmarkEnd w:id="70"/>
      <w:bookmarkEnd w:id="78"/>
      <w:bookmarkEnd w:id="79"/>
      <w:bookmarkEnd w:id="80"/>
      <w:bookmarkStart w:id="81" w:name="_Toc15396619"/>
    </w:p>
    <w:p>
      <w:pPr>
        <w:pStyle w:val="14"/>
        <w:rPr>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82" w:name="_Toc17628"/>
      <w:bookmarkStart w:id="83" w:name="_Toc31620"/>
      <w:r>
        <w:rPr>
          <w:rFonts w:hint="eastAsia" w:ascii="仿宋_GB2312" w:hAnsi="仿宋_GB2312" w:eastAsia="仿宋_GB2312" w:cs="仿宋_GB2312"/>
          <w:color w:val="auto"/>
          <w:kern w:val="0"/>
          <w:sz w:val="32"/>
          <w:szCs w:val="32"/>
          <w:highlight w:val="none"/>
          <w:lang w:val="en-US" w:eastAsia="zh-CN" w:bidi="ar-SA"/>
        </w:rPr>
        <w:t>一、收入支出决算总表</w:t>
      </w:r>
      <w:bookmarkEnd w:id="81"/>
      <w:bookmarkEnd w:id="82"/>
      <w:bookmarkEnd w:id="8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84" w:name="_Toc19811"/>
      <w:bookmarkStart w:id="85" w:name="_Toc21156"/>
      <w:r>
        <w:rPr>
          <w:rFonts w:hint="eastAsia" w:ascii="仿宋_GB2312" w:hAnsi="仿宋_GB2312" w:eastAsia="仿宋_GB2312" w:cs="仿宋_GB2312"/>
          <w:color w:val="auto"/>
          <w:kern w:val="0"/>
          <w:sz w:val="32"/>
          <w:szCs w:val="32"/>
          <w:highlight w:val="none"/>
          <w:lang w:val="en-US" w:eastAsia="zh-CN" w:bidi="ar-SA"/>
        </w:rPr>
        <w:t>二、收入决算表</w:t>
      </w:r>
      <w:bookmarkEnd w:id="84"/>
    </w:p>
    <w:bookmarkEnd w:id="85"/>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86" w:name="_Toc18347"/>
      <w:bookmarkStart w:id="87" w:name="_Toc17992"/>
      <w:r>
        <w:rPr>
          <w:rFonts w:hint="eastAsia" w:ascii="仿宋_GB2312" w:hAnsi="仿宋_GB2312" w:eastAsia="仿宋_GB2312" w:cs="仿宋_GB2312"/>
          <w:color w:val="auto"/>
          <w:kern w:val="0"/>
          <w:sz w:val="32"/>
          <w:szCs w:val="32"/>
          <w:highlight w:val="none"/>
          <w:lang w:val="en-US" w:eastAsia="zh-CN" w:bidi="ar-SA"/>
        </w:rPr>
        <w:t>三、支出决算表</w:t>
      </w:r>
      <w:bookmarkEnd w:id="86"/>
    </w:p>
    <w:bookmarkEnd w:id="87"/>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88" w:name="_Toc13479"/>
      <w:bookmarkStart w:id="89" w:name="_Toc12166"/>
      <w:r>
        <w:rPr>
          <w:rFonts w:hint="eastAsia" w:ascii="仿宋_GB2312" w:hAnsi="仿宋_GB2312" w:eastAsia="仿宋_GB2312" w:cs="仿宋_GB2312"/>
          <w:color w:val="auto"/>
          <w:kern w:val="0"/>
          <w:sz w:val="32"/>
          <w:szCs w:val="32"/>
          <w:highlight w:val="none"/>
          <w:lang w:val="en-US" w:eastAsia="zh-CN" w:bidi="ar-SA"/>
        </w:rPr>
        <w:t>四、财政拨款收入支出决算总表</w:t>
      </w:r>
      <w:bookmarkEnd w:id="88"/>
    </w:p>
    <w:bookmarkEnd w:id="89"/>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90" w:name="_Toc21483"/>
      <w:bookmarkStart w:id="91" w:name="_Toc22974"/>
      <w:r>
        <w:rPr>
          <w:rFonts w:hint="eastAsia" w:ascii="仿宋_GB2312" w:hAnsi="仿宋_GB2312" w:eastAsia="仿宋_GB2312" w:cs="仿宋_GB2312"/>
          <w:color w:val="auto"/>
          <w:kern w:val="0"/>
          <w:sz w:val="32"/>
          <w:szCs w:val="32"/>
          <w:highlight w:val="none"/>
          <w:lang w:val="en-US" w:eastAsia="zh-CN" w:bidi="ar-SA"/>
        </w:rPr>
        <w:t>五、财政拨款支出决算明细表</w:t>
      </w:r>
      <w:bookmarkEnd w:id="90"/>
    </w:p>
    <w:bookmarkEnd w:id="91"/>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92" w:name="_Toc5734"/>
      <w:bookmarkStart w:id="93" w:name="_Toc20975"/>
      <w:r>
        <w:rPr>
          <w:rFonts w:hint="eastAsia" w:ascii="仿宋_GB2312" w:hAnsi="仿宋_GB2312" w:eastAsia="仿宋_GB2312" w:cs="仿宋_GB2312"/>
          <w:color w:val="auto"/>
          <w:kern w:val="0"/>
          <w:sz w:val="32"/>
          <w:szCs w:val="32"/>
          <w:highlight w:val="none"/>
          <w:lang w:val="en-US" w:eastAsia="zh-CN" w:bidi="ar-SA"/>
        </w:rPr>
        <w:t>六、一般公共预算财政拨款支出决算表</w:t>
      </w:r>
      <w:bookmarkEnd w:id="92"/>
    </w:p>
    <w:bookmarkEnd w:id="93"/>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94" w:name="_Toc13646"/>
      <w:bookmarkStart w:id="95" w:name="_Toc19138"/>
      <w:r>
        <w:rPr>
          <w:rFonts w:hint="eastAsia" w:ascii="仿宋_GB2312" w:hAnsi="仿宋_GB2312" w:eastAsia="仿宋_GB2312" w:cs="仿宋_GB2312"/>
          <w:color w:val="auto"/>
          <w:kern w:val="0"/>
          <w:sz w:val="32"/>
          <w:szCs w:val="32"/>
          <w:highlight w:val="none"/>
          <w:lang w:val="en-US" w:eastAsia="zh-CN" w:bidi="ar-SA"/>
        </w:rPr>
        <w:t>七、一般公共预算财政拨款支出决算明细表</w:t>
      </w:r>
      <w:bookmarkEnd w:id="94"/>
    </w:p>
    <w:bookmarkEnd w:id="95"/>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96" w:name="_Toc4094"/>
      <w:bookmarkStart w:id="97" w:name="_Toc10822"/>
      <w:r>
        <w:rPr>
          <w:rFonts w:hint="eastAsia" w:ascii="仿宋_GB2312" w:hAnsi="仿宋_GB2312" w:eastAsia="仿宋_GB2312" w:cs="仿宋_GB2312"/>
          <w:color w:val="auto"/>
          <w:kern w:val="0"/>
          <w:sz w:val="32"/>
          <w:szCs w:val="32"/>
          <w:highlight w:val="none"/>
          <w:lang w:val="en-US" w:eastAsia="zh-CN" w:bidi="ar-SA"/>
        </w:rPr>
        <w:t>八、一般公共预算财政拨款基本支出决算表</w:t>
      </w:r>
      <w:bookmarkEnd w:id="96"/>
    </w:p>
    <w:bookmarkEnd w:id="97"/>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98" w:name="_Toc23140"/>
      <w:bookmarkStart w:id="99" w:name="_Toc9008"/>
      <w:r>
        <w:rPr>
          <w:rFonts w:hint="eastAsia" w:ascii="仿宋_GB2312" w:hAnsi="仿宋_GB2312" w:eastAsia="仿宋_GB2312" w:cs="仿宋_GB2312"/>
          <w:color w:val="auto"/>
          <w:kern w:val="0"/>
          <w:sz w:val="32"/>
          <w:szCs w:val="32"/>
          <w:highlight w:val="none"/>
          <w:lang w:val="en-US" w:eastAsia="zh-CN" w:bidi="ar-SA"/>
        </w:rPr>
        <w:t>九、一般公共预算财政拨款项目支出决算表</w:t>
      </w:r>
      <w:bookmarkEnd w:id="98"/>
    </w:p>
    <w:bookmarkEnd w:id="99"/>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100" w:name="_Toc10687"/>
      <w:bookmarkStart w:id="101" w:name="_Toc20931"/>
      <w:r>
        <w:rPr>
          <w:rFonts w:hint="eastAsia" w:ascii="仿宋_GB2312" w:hAnsi="仿宋_GB2312" w:eastAsia="仿宋_GB2312" w:cs="仿宋_GB2312"/>
          <w:color w:val="auto"/>
          <w:kern w:val="0"/>
          <w:sz w:val="32"/>
          <w:szCs w:val="32"/>
          <w:highlight w:val="none"/>
          <w:lang w:val="en-US" w:eastAsia="zh-CN" w:bidi="ar-SA"/>
        </w:rPr>
        <w:t>十、政府性基金预算财政拨款收入支出决算表</w:t>
      </w:r>
      <w:bookmarkEnd w:id="100"/>
    </w:p>
    <w:bookmarkEnd w:id="101"/>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102" w:name="_Toc13883"/>
      <w:bookmarkStart w:id="103" w:name="_Toc6912"/>
      <w:r>
        <w:rPr>
          <w:rFonts w:hint="eastAsia" w:ascii="仿宋_GB2312" w:hAnsi="仿宋_GB2312" w:eastAsia="仿宋_GB2312" w:cs="仿宋_GB2312"/>
          <w:color w:val="auto"/>
          <w:kern w:val="0"/>
          <w:sz w:val="32"/>
          <w:szCs w:val="32"/>
          <w:highlight w:val="none"/>
          <w:lang w:val="en-US" w:eastAsia="zh-CN" w:bidi="ar-SA"/>
        </w:rPr>
        <w:t>十一、国有资本经营预算财政拨款收入支出决算表</w:t>
      </w:r>
      <w:bookmarkEnd w:id="102"/>
    </w:p>
    <w:bookmarkEnd w:id="103"/>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104" w:name="_Toc20111"/>
      <w:bookmarkStart w:id="105" w:name="_Toc7576"/>
      <w:r>
        <w:rPr>
          <w:rFonts w:hint="eastAsia" w:ascii="仿宋_GB2312" w:hAnsi="仿宋_GB2312" w:eastAsia="仿宋_GB2312" w:cs="仿宋_GB2312"/>
          <w:color w:val="auto"/>
          <w:kern w:val="0"/>
          <w:sz w:val="32"/>
          <w:szCs w:val="32"/>
          <w:highlight w:val="none"/>
          <w:lang w:val="en-US" w:eastAsia="zh-CN" w:bidi="ar-SA"/>
        </w:rPr>
        <w:t>十二、国有资本经营预算财政拨款支出决算表</w:t>
      </w:r>
      <w:bookmarkEnd w:id="104"/>
    </w:p>
    <w:bookmarkEnd w:id="105"/>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SA"/>
        </w:rPr>
      </w:pPr>
      <w:bookmarkStart w:id="106" w:name="_Toc997"/>
      <w:bookmarkStart w:id="107" w:name="_Toc9043"/>
      <w:r>
        <w:rPr>
          <w:rFonts w:hint="eastAsia" w:ascii="仿宋_GB2312" w:hAnsi="仿宋_GB2312" w:eastAsia="仿宋_GB2312" w:cs="仿宋_GB2312"/>
          <w:color w:val="auto"/>
          <w:kern w:val="0"/>
          <w:sz w:val="32"/>
          <w:szCs w:val="32"/>
          <w:highlight w:val="none"/>
          <w:lang w:val="en-US" w:eastAsia="zh-CN" w:bidi="ar-SA"/>
        </w:rPr>
        <w:t>十三、财政拨款“三公”经费支出决算表</w:t>
      </w:r>
      <w:bookmarkEnd w:id="106"/>
    </w:p>
    <w:bookmarkEnd w:id="107"/>
    <w:sectPr>
      <w:footerReference r:id="rId4" w:type="default"/>
      <w:pgSz w:w="11906" w:h="16838"/>
      <w:pgMar w:top="2098" w:right="1474" w:bottom="1984" w:left="1587" w:header="851" w:footer="155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FDA2A"/>
    <w:multiLevelType w:val="singleLevel"/>
    <w:tmpl w:val="A61FDA2A"/>
    <w:lvl w:ilvl="0" w:tentative="0">
      <w:start w:val="1"/>
      <w:numFmt w:val="decimal"/>
      <w:suff w:val="nothing"/>
      <w:lvlText w:val="%1．"/>
      <w:lvlJc w:val="left"/>
      <w:pPr>
        <w:ind w:left="0" w:firstLine="400"/>
      </w:pPr>
      <w:rPr>
        <w:rFonts w:hint="default"/>
      </w:rPr>
    </w:lvl>
  </w:abstractNum>
  <w:abstractNum w:abstractNumId="1">
    <w:nsid w:val="EB89D339"/>
    <w:multiLevelType w:val="singleLevel"/>
    <w:tmpl w:val="EB89D339"/>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222C6"/>
    <w:rsid w:val="0002549F"/>
    <w:rsid w:val="000468DB"/>
    <w:rsid w:val="0006487A"/>
    <w:rsid w:val="00065F8F"/>
    <w:rsid w:val="00070A43"/>
    <w:rsid w:val="000768F2"/>
    <w:rsid w:val="0009184B"/>
    <w:rsid w:val="00094236"/>
    <w:rsid w:val="00095050"/>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0EAF"/>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47E2"/>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436F"/>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58D6"/>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3BB0"/>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CDF"/>
    <w:rsid w:val="00F602DF"/>
    <w:rsid w:val="00F754A1"/>
    <w:rsid w:val="00F81FD9"/>
    <w:rsid w:val="00F841AA"/>
    <w:rsid w:val="00F84A94"/>
    <w:rsid w:val="00F87E96"/>
    <w:rsid w:val="00FA23E8"/>
    <w:rsid w:val="00FD3CC1"/>
    <w:rsid w:val="00FF1E02"/>
    <w:rsid w:val="00FF30B4"/>
    <w:rsid w:val="013E50E2"/>
    <w:rsid w:val="02C46466"/>
    <w:rsid w:val="033308D5"/>
    <w:rsid w:val="03A04752"/>
    <w:rsid w:val="09267C87"/>
    <w:rsid w:val="093A184A"/>
    <w:rsid w:val="0A2032A3"/>
    <w:rsid w:val="0B8A37D8"/>
    <w:rsid w:val="0C5027C1"/>
    <w:rsid w:val="10154878"/>
    <w:rsid w:val="10C055FF"/>
    <w:rsid w:val="118107EC"/>
    <w:rsid w:val="11DD6519"/>
    <w:rsid w:val="128F1FA8"/>
    <w:rsid w:val="16321CA0"/>
    <w:rsid w:val="16BB723D"/>
    <w:rsid w:val="17297CE3"/>
    <w:rsid w:val="18015F3F"/>
    <w:rsid w:val="188F365D"/>
    <w:rsid w:val="197A7DA1"/>
    <w:rsid w:val="1AD33B7B"/>
    <w:rsid w:val="1BA97497"/>
    <w:rsid w:val="1BE8440E"/>
    <w:rsid w:val="1CCE660E"/>
    <w:rsid w:val="1D155CEE"/>
    <w:rsid w:val="1EF40970"/>
    <w:rsid w:val="1F67BB88"/>
    <w:rsid w:val="1FEA3DD3"/>
    <w:rsid w:val="20F57F95"/>
    <w:rsid w:val="240371BF"/>
    <w:rsid w:val="243279D1"/>
    <w:rsid w:val="252E0CE2"/>
    <w:rsid w:val="25770175"/>
    <w:rsid w:val="25C741E6"/>
    <w:rsid w:val="27842671"/>
    <w:rsid w:val="29FD04D3"/>
    <w:rsid w:val="29FD282F"/>
    <w:rsid w:val="2ABE7A3E"/>
    <w:rsid w:val="2B4C0D09"/>
    <w:rsid w:val="2D6009A2"/>
    <w:rsid w:val="2EFA178C"/>
    <w:rsid w:val="30B46D73"/>
    <w:rsid w:val="31322DBE"/>
    <w:rsid w:val="317F000C"/>
    <w:rsid w:val="319F7F4E"/>
    <w:rsid w:val="3434719C"/>
    <w:rsid w:val="35134A0C"/>
    <w:rsid w:val="356B9E1F"/>
    <w:rsid w:val="371FE82E"/>
    <w:rsid w:val="386A72E1"/>
    <w:rsid w:val="399F434D"/>
    <w:rsid w:val="39AE70AB"/>
    <w:rsid w:val="3B0F2544"/>
    <w:rsid w:val="3B586984"/>
    <w:rsid w:val="3C0C0783"/>
    <w:rsid w:val="3F795B0E"/>
    <w:rsid w:val="3F9F3A96"/>
    <w:rsid w:val="401F7E48"/>
    <w:rsid w:val="40350D30"/>
    <w:rsid w:val="41215ADF"/>
    <w:rsid w:val="41876D06"/>
    <w:rsid w:val="425E25FE"/>
    <w:rsid w:val="463D2CCF"/>
    <w:rsid w:val="46A43EC2"/>
    <w:rsid w:val="46DE39E7"/>
    <w:rsid w:val="491C608F"/>
    <w:rsid w:val="493C27E9"/>
    <w:rsid w:val="496F39ED"/>
    <w:rsid w:val="49FF41D3"/>
    <w:rsid w:val="4A185DC8"/>
    <w:rsid w:val="4B295AB3"/>
    <w:rsid w:val="4BE068DB"/>
    <w:rsid w:val="4BF6002B"/>
    <w:rsid w:val="4C7D77B7"/>
    <w:rsid w:val="4ECE2238"/>
    <w:rsid w:val="4F0B3776"/>
    <w:rsid w:val="50903205"/>
    <w:rsid w:val="516F0562"/>
    <w:rsid w:val="5196408D"/>
    <w:rsid w:val="51DB4B86"/>
    <w:rsid w:val="51F55903"/>
    <w:rsid w:val="54406A2F"/>
    <w:rsid w:val="55333C3E"/>
    <w:rsid w:val="56215030"/>
    <w:rsid w:val="56660C21"/>
    <w:rsid w:val="58312DDA"/>
    <w:rsid w:val="591B75C2"/>
    <w:rsid w:val="5AF6E6DD"/>
    <w:rsid w:val="5D1FB36F"/>
    <w:rsid w:val="5DDFA015"/>
    <w:rsid w:val="5EDF6E2A"/>
    <w:rsid w:val="5F59EA40"/>
    <w:rsid w:val="5F7F9A68"/>
    <w:rsid w:val="613746B8"/>
    <w:rsid w:val="61D45C65"/>
    <w:rsid w:val="64622266"/>
    <w:rsid w:val="64CA39A1"/>
    <w:rsid w:val="65052EF2"/>
    <w:rsid w:val="66A1350B"/>
    <w:rsid w:val="68A6351C"/>
    <w:rsid w:val="69AD3941"/>
    <w:rsid w:val="6BE5C713"/>
    <w:rsid w:val="6C4A05C8"/>
    <w:rsid w:val="6D195FA7"/>
    <w:rsid w:val="6D7F8892"/>
    <w:rsid w:val="6F722E40"/>
    <w:rsid w:val="6FCA4990"/>
    <w:rsid w:val="70AD3C34"/>
    <w:rsid w:val="72734D90"/>
    <w:rsid w:val="757FD089"/>
    <w:rsid w:val="75F75951"/>
    <w:rsid w:val="773D4264"/>
    <w:rsid w:val="78FB5F09"/>
    <w:rsid w:val="79AE02B1"/>
    <w:rsid w:val="79E7B28D"/>
    <w:rsid w:val="7A6F97CB"/>
    <w:rsid w:val="7AF7F523"/>
    <w:rsid w:val="7AFA3931"/>
    <w:rsid w:val="7B7B7596"/>
    <w:rsid w:val="7BFC04B5"/>
    <w:rsid w:val="7C775BAB"/>
    <w:rsid w:val="7DE35785"/>
    <w:rsid w:val="7E3B3840"/>
    <w:rsid w:val="7E9F7B57"/>
    <w:rsid w:val="7EF75D58"/>
    <w:rsid w:val="7F9F20EE"/>
    <w:rsid w:val="7FE231CE"/>
    <w:rsid w:val="9E3A10E2"/>
    <w:rsid w:val="A9BA607B"/>
    <w:rsid w:val="A9DFE2C9"/>
    <w:rsid w:val="AD777FEB"/>
    <w:rsid w:val="B9734D1F"/>
    <w:rsid w:val="BEBF9D10"/>
    <w:rsid w:val="BEC98B1D"/>
    <w:rsid w:val="BFFD11B8"/>
    <w:rsid w:val="BFFF9241"/>
    <w:rsid w:val="D7BED59B"/>
    <w:rsid w:val="D7FD5077"/>
    <w:rsid w:val="DFBED8B5"/>
    <w:rsid w:val="EFDFA2D4"/>
    <w:rsid w:val="F2E1F9D4"/>
    <w:rsid w:val="F3D82795"/>
    <w:rsid w:val="F4CF6D64"/>
    <w:rsid w:val="F7880819"/>
    <w:rsid w:val="F7BA3755"/>
    <w:rsid w:val="F7FE2FEB"/>
    <w:rsid w:val="FBCD4D2A"/>
    <w:rsid w:val="FBEF0FB9"/>
    <w:rsid w:val="FC3F751E"/>
    <w:rsid w:val="FF6DF58E"/>
    <w:rsid w:val="FFFFD6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420" w:leftChars="200"/>
    </w:pPr>
    <w:rPr>
      <w:rFonts w:cs="Calibri"/>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6"/>
    <w:next w:val="1"/>
    <w:qFormat/>
    <w:uiPriority w:val="0"/>
    <w:pPr>
      <w:ind w:firstLine="420" w:firstLineChars="200"/>
    </w:pPr>
    <w:rPr>
      <w:rFonts w:cs="Times New Roman"/>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
    <w:basedOn w:val="16"/>
    <w:link w:val="3"/>
    <w:qFormat/>
    <w:uiPriority w:val="9"/>
    <w:rPr>
      <w:rFonts w:ascii="Times New Roman" w:hAnsi="Times New Roman"/>
      <w:b/>
      <w:bCs/>
      <w:kern w:val="44"/>
      <w:sz w:val="44"/>
      <w:szCs w:val="44"/>
    </w:rPr>
  </w:style>
  <w:style w:type="character" w:customStyle="1" w:styleId="20">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21">
    <w:name w:val="标题 3 Char"/>
    <w:basedOn w:val="16"/>
    <w:link w:val="5"/>
    <w:qFormat/>
    <w:uiPriority w:val="9"/>
    <w:rPr>
      <w:rFonts w:ascii="Times New Roman" w:hAnsi="Times New Roman"/>
      <w:b/>
      <w:bCs/>
      <w:kern w:val="2"/>
      <w:sz w:val="32"/>
      <w:szCs w:val="32"/>
    </w:rPr>
  </w:style>
  <w:style w:type="paragraph" w:customStyle="1" w:styleId="22">
    <w:name w:val="Default"/>
    <w:next w:val="1"/>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3">
    <w:name w:val="Header Char"/>
    <w:basedOn w:val="16"/>
    <w:semiHidden/>
    <w:qFormat/>
    <w:uiPriority w:val="99"/>
    <w:rPr>
      <w:rFonts w:ascii="Times New Roman" w:hAnsi="Times New Roman"/>
      <w:sz w:val="18"/>
      <w:szCs w:val="18"/>
    </w:rPr>
  </w:style>
  <w:style w:type="character" w:customStyle="1" w:styleId="24">
    <w:name w:val="页眉 Char"/>
    <w:link w:val="10"/>
    <w:semiHidden/>
    <w:qFormat/>
    <w:locked/>
    <w:uiPriority w:val="99"/>
    <w:rPr>
      <w:sz w:val="18"/>
    </w:rPr>
  </w:style>
  <w:style w:type="character" w:customStyle="1" w:styleId="25">
    <w:name w:val="Footer Char"/>
    <w:basedOn w:val="16"/>
    <w:semiHidden/>
    <w:qFormat/>
    <w:uiPriority w:val="99"/>
    <w:rPr>
      <w:rFonts w:ascii="Times New Roman" w:hAnsi="Times New Roman"/>
      <w:sz w:val="18"/>
      <w:szCs w:val="18"/>
    </w:rPr>
  </w:style>
  <w:style w:type="character" w:customStyle="1" w:styleId="26">
    <w:name w:val="页脚 Char"/>
    <w:link w:val="9"/>
    <w:qFormat/>
    <w:locked/>
    <w:uiPriority w:val="99"/>
    <w:rPr>
      <w:sz w:val="18"/>
    </w:rPr>
  </w:style>
  <w:style w:type="character" w:customStyle="1" w:styleId="27">
    <w:name w:val="Body Text Char"/>
    <w:basedOn w:val="16"/>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32218024824609"/>
          <c:y val="0.1232779587405"/>
          <c:w val="0.85355"/>
          <c:h val="0.709566666666667"/>
        </c:manualLayout>
      </c:layout>
      <c:barChart>
        <c:barDir val="col"/>
        <c:grouping val="clustered"/>
        <c:varyColors val="false"/>
        <c:ser>
          <c:idx val="0"/>
          <c:order val="0"/>
          <c:tx>
            <c:strRef>
              <c:f>Sheet1!$B$1</c:f>
              <c:strCache>
                <c:ptCount val="1"/>
                <c:pt idx="0">
                  <c:v>收、支决算总计变动情况图（单位：万元）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2022年度收、支总计</c:v>
                </c:pt>
                <c:pt idx="1">
                  <c:v>2023年度收、支总计</c:v>
                </c:pt>
              </c:strCache>
            </c:strRef>
          </c:cat>
          <c:val>
            <c:numRef>
              <c:f>Sheet1!$B$2:$B$3</c:f>
              <c:numCache>
                <c:formatCode>General</c:formatCode>
                <c:ptCount val="2"/>
                <c:pt idx="0">
                  <c:v>341.4</c:v>
                </c:pt>
                <c:pt idx="1">
                  <c:v>381.33</c:v>
                </c:pt>
              </c:numCache>
            </c:numRef>
          </c:val>
        </c:ser>
        <c:dLbls>
          <c:showLegendKey val="false"/>
          <c:showVal val="false"/>
          <c:showCatName val="false"/>
          <c:showSerName val="false"/>
          <c:showPercent val="false"/>
          <c:showBubbleSize val="false"/>
        </c:dLbls>
        <c:gapWidth val="219"/>
        <c:overlap val="-27"/>
        <c:axId val="213112008"/>
        <c:axId val="213112400"/>
      </c:barChart>
      <c:catAx>
        <c:axId val="21311200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3112400"/>
        <c:crosses val="autoZero"/>
        <c:auto val="true"/>
        <c:lblAlgn val="ctr"/>
        <c:lblOffset val="100"/>
        <c:noMultiLvlLbl val="false"/>
      </c:catAx>
      <c:valAx>
        <c:axId val="21311240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3112008"/>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249.19</c:v>
                </c:pt>
                <c:pt idx="1">
                  <c:v>132.14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财政拨款收、支决算总计变动情况（单位：万元）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325.45</c:v>
                </c:pt>
                <c:pt idx="1">
                  <c:v>381.33</c:v>
                </c:pt>
              </c:numCache>
            </c:numRef>
          </c:val>
        </c:ser>
        <c:dLbls>
          <c:showLegendKey val="false"/>
          <c:showVal val="false"/>
          <c:showCatName val="false"/>
          <c:showSerName val="false"/>
          <c:showPercent val="false"/>
          <c:showBubbleSize val="false"/>
        </c:dLbls>
        <c:gapWidth val="219"/>
        <c:overlap val="-27"/>
        <c:axId val="294736912"/>
        <c:axId val="294737304"/>
      </c:barChart>
      <c:catAx>
        <c:axId val="2947369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4737304"/>
        <c:crosses val="autoZero"/>
        <c:auto val="true"/>
        <c:lblAlgn val="ctr"/>
        <c:lblOffset val="100"/>
        <c:noMultiLvlLbl val="false"/>
      </c:catAx>
      <c:valAx>
        <c:axId val="29473730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4736912"/>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c:v>
                </c:pt>
                <c:pt idx="1">
                  <c:v>2023年一般公共预算财政拨款支出</c:v>
                </c:pt>
              </c:strCache>
            </c:strRef>
          </c:cat>
          <c:val>
            <c:numRef>
              <c:f>Sheet1!$B$2:$B$3</c:f>
              <c:numCache>
                <c:formatCode>General</c:formatCode>
                <c:ptCount val="2"/>
                <c:pt idx="0">
                  <c:v>325.45</c:v>
                </c:pt>
                <c:pt idx="1">
                  <c:v>381.33</c:v>
                </c:pt>
              </c:numCache>
            </c:numRef>
          </c:val>
        </c:ser>
        <c:dLbls>
          <c:showLegendKey val="false"/>
          <c:showVal val="false"/>
          <c:showCatName val="false"/>
          <c:showSerName val="false"/>
          <c:showPercent val="false"/>
          <c:showBubbleSize val="false"/>
        </c:dLbls>
        <c:gapWidth val="219"/>
        <c:overlap val="-27"/>
        <c:axId val="213090680"/>
        <c:axId val="213091072"/>
      </c:barChart>
      <c:catAx>
        <c:axId val="21309068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3091072"/>
        <c:crosses val="autoZero"/>
        <c:auto val="true"/>
        <c:lblAlgn val="ctr"/>
        <c:lblOffset val="100"/>
        <c:noMultiLvlLbl val="false"/>
      </c:catAx>
      <c:valAx>
        <c:axId val="21309107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3090680"/>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社会保障和就业（类）支出</c:v>
                </c:pt>
                <c:pt idx="1">
                  <c:v>卫生健康支出</c:v>
                </c:pt>
                <c:pt idx="2">
                  <c:v>自然资源海洋气象等支出</c:v>
                </c:pt>
                <c:pt idx="3">
                  <c:v>住房保障支出</c:v>
                </c:pt>
                <c:pt idx="4">
                  <c:v>灾害防治及应急管理支出</c:v>
                </c:pt>
              </c:strCache>
            </c:strRef>
          </c:cat>
          <c:val>
            <c:numRef>
              <c:f>Sheet1!$B$2:$B$6</c:f>
              <c:numCache>
                <c:formatCode>General</c:formatCode>
                <c:ptCount val="5"/>
                <c:pt idx="0">
                  <c:v>32.36</c:v>
                </c:pt>
                <c:pt idx="1">
                  <c:v>7.72</c:v>
                </c:pt>
                <c:pt idx="2">
                  <c:v>225.35</c:v>
                </c:pt>
                <c:pt idx="3">
                  <c:v>18.77</c:v>
                </c:pt>
                <c:pt idx="4">
                  <c:v>98.12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6.81</c:v>
                </c:pt>
                <c:pt idx="2">
                  <c:v>1.48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17</Pages>
  <Words>4387</Words>
  <Characters>4800</Characters>
  <Lines>80</Lines>
  <Paragraphs>22</Paragraphs>
  <TotalTime>0</TotalTime>
  <ScaleCrop>false</ScaleCrop>
  <LinksUpToDate>false</LinksUpToDate>
  <CharactersWithSpaces>4908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 </cp:lastModifiedBy>
  <cp:lastPrinted>2023-10-21T13:41:00Z</cp:lastPrinted>
  <dcterms:modified xsi:type="dcterms:W3CDTF">2024-10-12T11:50:05Z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