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773354">
      <w:pPr>
        <w:pageBreakBefore w:val="0"/>
        <w:widowControl w:val="0"/>
        <w:numPr>
          <w:ilvl w:val="0"/>
          <w:numId w:val="0"/>
        </w:numPr>
        <w:shd w:val="clear"/>
        <w:kinsoku/>
        <w:wordWrap/>
        <w:overflowPunct/>
        <w:topLinePunct w:val="0"/>
        <w:autoSpaceDE/>
        <w:autoSpaceDN/>
        <w:bidi w:val="0"/>
        <w:spacing w:line="240" w:lineRule="auto"/>
        <w:ind w:leftChars="200" w:right="0" w:rightChars="0"/>
        <w:jc w:val="center"/>
        <w:textAlignment w:val="auto"/>
        <w:rPr>
          <w:rFonts w:hint="eastAsia" w:ascii="方正小标宋简体" w:hAnsi="方正小标宋简体" w:eastAsia="方正小标宋简体" w:cs="方正小标宋简体"/>
          <w:color w:val="auto"/>
          <w:sz w:val="52"/>
          <w:szCs w:val="52"/>
          <w:highlight w:val="none"/>
          <w:lang w:val="en-US" w:eastAsia="zh-CN"/>
        </w:rPr>
      </w:pPr>
      <w:bookmarkStart w:id="0" w:name="_Toc15396475"/>
      <w:bookmarkStart w:id="1" w:name="_Toc15396597"/>
      <w:bookmarkStart w:id="2" w:name="_Toc15377425"/>
      <w:bookmarkStart w:id="3" w:name="_Toc15378441"/>
      <w:bookmarkStart w:id="4" w:name="_Toc15377193"/>
      <w:bookmarkStart w:id="5" w:name="_Toc15306267"/>
      <w:r>
        <w:rPr>
          <w:rFonts w:hint="eastAsia" w:ascii="方正小标宋简体" w:hAnsi="方正小标宋简体" w:eastAsia="方正小标宋简体" w:cs="方正小标宋简体"/>
          <w:color w:val="auto"/>
          <w:sz w:val="52"/>
          <w:szCs w:val="52"/>
          <w:highlight w:val="none"/>
          <w:lang w:val="en-US" w:eastAsia="zh-CN"/>
        </w:rPr>
        <w:t>2023年度</w:t>
      </w:r>
      <w:bookmarkEnd w:id="0"/>
      <w:bookmarkEnd w:id="1"/>
      <w:bookmarkEnd w:id="2"/>
      <w:bookmarkEnd w:id="3"/>
      <w:bookmarkEnd w:id="4"/>
    </w:p>
    <w:p w14:paraId="1E5871E9">
      <w:pPr>
        <w:pageBreakBefore w:val="0"/>
        <w:widowControl w:val="0"/>
        <w:numPr>
          <w:ilvl w:val="0"/>
          <w:numId w:val="0"/>
        </w:numPr>
        <w:shd w:val="clear"/>
        <w:kinsoku/>
        <w:wordWrap/>
        <w:overflowPunct/>
        <w:topLinePunct w:val="0"/>
        <w:autoSpaceDE/>
        <w:autoSpaceDN/>
        <w:bidi w:val="0"/>
        <w:spacing w:line="240" w:lineRule="auto"/>
        <w:ind w:leftChars="200" w:right="0" w:rightChars="0"/>
        <w:jc w:val="center"/>
        <w:textAlignment w:val="auto"/>
        <w:outlineLvl w:val="0"/>
        <w:rPr>
          <w:rFonts w:hint="eastAsia" w:ascii="方正小标宋简体" w:hAnsi="方正小标宋简体" w:eastAsia="方正小标宋简体" w:cs="方正小标宋简体"/>
          <w:color w:val="auto"/>
          <w:sz w:val="52"/>
          <w:szCs w:val="52"/>
          <w:highlight w:val="none"/>
        </w:rPr>
      </w:pPr>
      <w:bookmarkStart w:id="6" w:name="_Toc15378442"/>
      <w:bookmarkStart w:id="7" w:name="_Toc15377426"/>
      <w:bookmarkStart w:id="8" w:name="_Toc23926"/>
      <w:bookmarkStart w:id="9" w:name="_Toc15377194"/>
      <w:bookmarkStart w:id="10" w:name="_Toc15396476"/>
      <w:bookmarkStart w:id="11" w:name="_Toc15396598"/>
      <w:r>
        <w:rPr>
          <w:rFonts w:hint="eastAsia" w:ascii="方正小标宋简体" w:hAnsi="方正小标宋简体" w:eastAsia="方正小标宋简体" w:cs="方正小标宋简体"/>
          <w:color w:val="auto"/>
          <w:sz w:val="52"/>
          <w:szCs w:val="52"/>
          <w:highlight w:val="none"/>
          <w:lang w:eastAsia="zh-CN"/>
        </w:rPr>
        <w:t>广元市</w:t>
      </w:r>
      <w:bookmarkEnd w:id="5"/>
      <w:bookmarkStart w:id="12" w:name="_Toc15306268"/>
      <w:r>
        <w:rPr>
          <w:rFonts w:hint="eastAsia" w:ascii="方正小标宋简体" w:hAnsi="方正小标宋简体" w:eastAsia="方正小标宋简体" w:cs="方正小标宋简体"/>
          <w:color w:val="auto"/>
          <w:sz w:val="52"/>
          <w:szCs w:val="52"/>
          <w:highlight w:val="none"/>
          <w:lang w:val="en-US" w:eastAsia="zh-CN"/>
        </w:rPr>
        <w:t>自然资源局</w:t>
      </w:r>
      <w:r>
        <w:rPr>
          <w:rFonts w:hint="eastAsia" w:ascii="方正小标宋简体" w:hAnsi="方正小标宋简体" w:eastAsia="方正小标宋简体" w:cs="方正小标宋简体"/>
          <w:color w:val="auto"/>
          <w:sz w:val="52"/>
          <w:szCs w:val="52"/>
          <w:highlight w:val="none"/>
        </w:rPr>
        <w:t>部门决算</w:t>
      </w:r>
      <w:bookmarkEnd w:id="6"/>
      <w:bookmarkEnd w:id="7"/>
      <w:bookmarkEnd w:id="8"/>
      <w:bookmarkEnd w:id="9"/>
      <w:bookmarkEnd w:id="10"/>
      <w:bookmarkEnd w:id="11"/>
      <w:bookmarkEnd w:id="12"/>
    </w:p>
    <w:p w14:paraId="4F0501A9">
      <w:pPr>
        <w:shd w:val="clear"/>
        <w:rPr>
          <w:rFonts w:hint="eastAsia" w:ascii="方正小标宋简体" w:hAnsi="方正小标宋简体" w:eastAsia="方正小标宋简体" w:cs="方正小标宋简体"/>
          <w:color w:val="auto"/>
          <w:sz w:val="52"/>
          <w:szCs w:val="52"/>
          <w:highlight w:val="none"/>
        </w:rPr>
      </w:pPr>
      <w:r>
        <w:rPr>
          <w:rFonts w:hint="eastAsia" w:ascii="方正小标宋简体" w:hAnsi="方正小标宋简体" w:eastAsia="方正小标宋简体" w:cs="方正小标宋简体"/>
          <w:color w:val="auto"/>
          <w:sz w:val="52"/>
          <w:szCs w:val="52"/>
          <w:highlight w:val="none"/>
        </w:rPr>
        <w:br w:type="page"/>
      </w:r>
    </w:p>
    <w:p w14:paraId="4C603DB8">
      <w:pPr>
        <w:pageBreakBefore w:val="0"/>
        <w:widowControl w:val="0"/>
        <w:numPr>
          <w:ilvl w:val="0"/>
          <w:numId w:val="0"/>
        </w:numPr>
        <w:shd w:val="clear"/>
        <w:kinsoku/>
        <w:wordWrap/>
        <w:overflowPunct/>
        <w:topLinePunct w:val="0"/>
        <w:autoSpaceDE/>
        <w:autoSpaceDN/>
        <w:bidi w:val="0"/>
        <w:spacing w:line="240" w:lineRule="auto"/>
        <w:ind w:leftChars="200" w:right="0" w:rightChars="0"/>
        <w:jc w:val="center"/>
        <w:textAlignment w:val="auto"/>
        <w:rPr>
          <w:rFonts w:hint="eastAsia" w:ascii="仿宋_GB2312" w:hAnsi="仿宋_GB2312" w:eastAsia="仿宋_GB2312" w:cs="仿宋_GB2312"/>
          <w:color w:val="auto"/>
          <w:sz w:val="32"/>
          <w:szCs w:val="32"/>
          <w:highlight w:val="none"/>
        </w:rPr>
      </w:pPr>
      <w:r>
        <w:rPr>
          <w:rFonts w:hint="eastAsia" w:ascii="方正小标宋_GBK" w:hAnsi="方正小标宋_GBK" w:eastAsia="方正小标宋_GBK" w:cs="方正小标宋_GBK"/>
          <w:color w:val="auto"/>
          <w:sz w:val="44"/>
          <w:szCs w:val="44"/>
          <w:highlight w:val="none"/>
        </w:rPr>
        <w:t>目录</w:t>
      </w:r>
    </w:p>
    <w:p w14:paraId="4BF711C8">
      <w:pPr>
        <w:pageBreakBefore w:val="0"/>
        <w:widowControl w:val="0"/>
        <w:numPr>
          <w:ilvl w:val="0"/>
          <w:numId w:val="0"/>
        </w:numPr>
        <w:shd w:val="clear"/>
        <w:kinsoku/>
        <w:wordWrap/>
        <w:overflowPunct/>
        <w:topLinePunct w:val="0"/>
        <w:autoSpaceDE/>
        <w:autoSpaceDN/>
        <w:bidi w:val="0"/>
        <w:spacing w:line="576" w:lineRule="exact"/>
        <w:ind w:right="0" w:rightChars="0"/>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公开时间：20</w:t>
      </w:r>
      <w:r>
        <w:rPr>
          <w:rFonts w:hint="eastAsia" w:ascii="仿宋_GB2312" w:hAnsi="仿宋_GB2312" w:eastAsia="仿宋_GB2312" w:cs="仿宋_GB2312"/>
          <w:color w:val="auto"/>
          <w:sz w:val="32"/>
          <w:szCs w:val="32"/>
          <w:highlight w:val="none"/>
          <w:lang w:val="en-US" w:eastAsia="zh-CN"/>
        </w:rPr>
        <w:t>24</w:t>
      </w:r>
      <w:r>
        <w:rPr>
          <w:rFonts w:hint="eastAsia" w:ascii="仿宋_GB2312" w:hAnsi="仿宋_GB2312" w:eastAsia="仿宋_GB2312" w:cs="仿宋_GB2312"/>
          <w:color w:val="auto"/>
          <w:sz w:val="32"/>
          <w:szCs w:val="32"/>
          <w:highlight w:val="none"/>
        </w:rPr>
        <w:t>年</w:t>
      </w:r>
      <w:r>
        <w:rPr>
          <w:rFonts w:hint="eastAsia" w:ascii="仿宋_GB2312" w:hAnsi="仿宋_GB2312" w:eastAsia="仿宋_GB2312" w:cs="仿宋_GB2312"/>
          <w:color w:val="auto"/>
          <w:sz w:val="32"/>
          <w:szCs w:val="32"/>
          <w:highlight w:val="none"/>
          <w:lang w:val="en-US" w:eastAsia="zh-CN"/>
        </w:rPr>
        <w:t>10</w:t>
      </w:r>
      <w:r>
        <w:rPr>
          <w:rFonts w:hint="eastAsia" w:ascii="仿宋_GB2312" w:hAnsi="仿宋_GB2312" w:eastAsia="仿宋_GB2312" w:cs="仿宋_GB2312"/>
          <w:color w:val="auto"/>
          <w:sz w:val="32"/>
          <w:szCs w:val="32"/>
          <w:highlight w:val="none"/>
        </w:rPr>
        <w:t>月</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日</w:t>
      </w:r>
    </w:p>
    <w:sdt>
      <w:sdtPr>
        <w:rPr>
          <w:rFonts w:ascii="宋体" w:hAnsi="宋体" w:eastAsia="宋体" w:cs="Times New Roman"/>
          <w:color w:val="auto"/>
          <w:kern w:val="2"/>
          <w:sz w:val="21"/>
          <w:szCs w:val="24"/>
          <w:highlight w:val="none"/>
          <w:lang w:val="en-US" w:eastAsia="zh-CN" w:bidi="ar-SA"/>
        </w:rPr>
        <w:id w:val="147461371"/>
        <w15:color w:val="DBDBDB"/>
        <w:docPartObj>
          <w:docPartGallery w:val="Table of Contents"/>
          <w:docPartUnique/>
        </w:docPartObj>
      </w:sdtPr>
      <w:sdtEndPr>
        <w:rPr>
          <w:rFonts w:hint="eastAsia" w:ascii="Calibri" w:hAnsi="Calibri" w:eastAsia="宋体" w:cs="Times New Roman"/>
          <w:b/>
          <w:color w:val="auto"/>
          <w:kern w:val="2"/>
          <w:sz w:val="21"/>
          <w:szCs w:val="24"/>
          <w:highlight w:val="none"/>
          <w:lang w:val="en-US" w:eastAsia="zh-CN" w:bidi="ar-SA"/>
        </w:rPr>
      </w:sdtEndPr>
      <w:sdtContent>
        <w:p w14:paraId="19269E16">
          <w:pPr>
            <w:shd w:val="clear"/>
            <w:spacing w:before="0" w:beforeLines="0" w:after="0" w:afterLines="0" w:line="240" w:lineRule="auto"/>
            <w:ind w:left="0" w:leftChars="0" w:right="0" w:rightChars="0" w:firstLine="0" w:firstLineChars="0"/>
            <w:jc w:val="center"/>
            <w:rPr>
              <w:color w:val="auto"/>
              <w:highlight w:val="none"/>
            </w:rPr>
          </w:pPr>
        </w:p>
        <w:p w14:paraId="6EA075AE">
          <w:pPr>
            <w:pStyle w:val="38"/>
            <w:keepNext w:val="0"/>
            <w:keepLines w:val="0"/>
            <w:pageBreakBefore w:val="0"/>
            <w:shd w:val="clear"/>
            <w:tabs>
              <w:tab w:val="right" w:leader="dot" w:pos="8845"/>
            </w:tabs>
            <w:kinsoku/>
            <w:wordWrap/>
            <w:overflowPunct/>
            <w:topLinePunct w:val="0"/>
            <w:autoSpaceDE/>
            <w:autoSpaceDN/>
            <w:bidi w:val="0"/>
            <w:adjustRightInd/>
            <w:snapToGrid/>
            <w:spacing w:line="340" w:lineRule="exact"/>
            <w:textAlignment w:val="auto"/>
            <w:rPr>
              <w:b/>
              <w:color w:val="auto"/>
              <w:highlight w:val="none"/>
            </w:rPr>
          </w:pPr>
          <w:r>
            <w:rPr>
              <w:rFonts w:hint="eastAsia"/>
              <w:color w:val="auto"/>
              <w:highlight w:val="none"/>
            </w:rPr>
            <w:fldChar w:fldCharType="begin"/>
          </w:r>
          <w:r>
            <w:rPr>
              <w:rFonts w:hint="eastAsia"/>
              <w:color w:val="auto"/>
              <w:highlight w:val="none"/>
            </w:rPr>
            <w:instrText xml:space="preserve">TOC \o "1-2" \h \u </w:instrText>
          </w:r>
          <w:r>
            <w:rPr>
              <w:rFonts w:hint="eastAsia"/>
              <w:color w:val="auto"/>
              <w:highlight w:val="none"/>
            </w:rPr>
            <w:fldChar w:fldCharType="separate"/>
          </w:r>
          <w:r>
            <w:rPr>
              <w:rFonts w:hint="eastAsia"/>
              <w:b/>
              <w:color w:val="auto"/>
              <w:highlight w:val="none"/>
            </w:rPr>
            <w:fldChar w:fldCharType="begin"/>
          </w:r>
          <w:r>
            <w:rPr>
              <w:rFonts w:hint="eastAsia"/>
              <w:b/>
              <w:color w:val="auto"/>
              <w:highlight w:val="none"/>
            </w:rPr>
            <w:instrText xml:space="preserve"> HYPERLINK \l _Toc30764 </w:instrText>
          </w:r>
          <w:r>
            <w:rPr>
              <w:rFonts w:hint="eastAsia"/>
              <w:b/>
              <w:color w:val="auto"/>
              <w:highlight w:val="none"/>
            </w:rPr>
            <w:fldChar w:fldCharType="separate"/>
          </w:r>
          <w:r>
            <w:rPr>
              <w:rFonts w:hint="eastAsia" w:ascii="黑体" w:hAnsi="黑体" w:eastAsia="黑体" w:cstheme="minorBidi"/>
              <w:b/>
              <w:bCs w:val="0"/>
              <w:color w:val="auto"/>
              <w:highlight w:val="none"/>
            </w:rPr>
            <w:t>第一部分部门概况</w:t>
          </w:r>
          <w:r>
            <w:rPr>
              <w:b/>
              <w:color w:val="auto"/>
              <w:highlight w:val="none"/>
            </w:rPr>
            <w:tab/>
          </w:r>
          <w:r>
            <w:rPr>
              <w:b/>
              <w:color w:val="auto"/>
              <w:highlight w:val="none"/>
            </w:rPr>
            <w:fldChar w:fldCharType="begin"/>
          </w:r>
          <w:r>
            <w:rPr>
              <w:b/>
              <w:color w:val="auto"/>
              <w:highlight w:val="none"/>
            </w:rPr>
            <w:instrText xml:space="preserve"> PAGEREF _Toc30764 \h </w:instrText>
          </w:r>
          <w:r>
            <w:rPr>
              <w:b/>
              <w:color w:val="auto"/>
              <w:highlight w:val="none"/>
            </w:rPr>
            <w:fldChar w:fldCharType="separate"/>
          </w:r>
          <w:r>
            <w:rPr>
              <w:b/>
              <w:color w:val="auto"/>
              <w:highlight w:val="none"/>
            </w:rPr>
            <w:t>1</w:t>
          </w:r>
          <w:r>
            <w:rPr>
              <w:b/>
              <w:color w:val="auto"/>
              <w:highlight w:val="none"/>
            </w:rPr>
            <w:fldChar w:fldCharType="end"/>
          </w:r>
          <w:r>
            <w:rPr>
              <w:rFonts w:hint="eastAsia"/>
              <w:b/>
              <w:color w:val="auto"/>
              <w:highlight w:val="none"/>
            </w:rPr>
            <w:fldChar w:fldCharType="end"/>
          </w:r>
        </w:p>
        <w:p w14:paraId="75D3BE0A">
          <w:pPr>
            <w:pStyle w:val="39"/>
            <w:keepNext w:val="0"/>
            <w:keepLines w:val="0"/>
            <w:pageBreakBefore w:val="0"/>
            <w:shd w:val="clear"/>
            <w:tabs>
              <w:tab w:val="right" w:leader="dot" w:pos="8845"/>
            </w:tabs>
            <w:kinsoku/>
            <w:wordWrap/>
            <w:overflowPunct/>
            <w:topLinePunct w:val="0"/>
            <w:autoSpaceDE/>
            <w:autoSpaceDN/>
            <w:bidi w:val="0"/>
            <w:adjustRightInd/>
            <w:snapToGrid/>
            <w:spacing w:line="340" w:lineRule="exact"/>
            <w:textAlignment w:val="auto"/>
            <w:rPr>
              <w:color w:val="auto"/>
              <w:highlight w:val="none"/>
            </w:rPr>
          </w:pPr>
          <w:r>
            <w:rPr>
              <w:rFonts w:hint="eastAsia"/>
              <w:color w:val="auto"/>
              <w:highlight w:val="none"/>
            </w:rPr>
            <w:fldChar w:fldCharType="begin"/>
          </w:r>
          <w:r>
            <w:rPr>
              <w:rFonts w:hint="eastAsia"/>
              <w:color w:val="auto"/>
              <w:highlight w:val="none"/>
            </w:rPr>
            <w:instrText xml:space="preserve"> HYPERLINK \l _Toc27201 </w:instrText>
          </w:r>
          <w:r>
            <w:rPr>
              <w:rFonts w:hint="eastAsia"/>
              <w:color w:val="auto"/>
              <w:highlight w:val="none"/>
            </w:rPr>
            <w:fldChar w:fldCharType="separate"/>
          </w:r>
          <w:r>
            <w:rPr>
              <w:rFonts w:hint="eastAsia" w:ascii="黑体" w:hAnsi="黑体" w:eastAsia="黑体" w:cs="黑体"/>
              <w:color w:val="auto"/>
              <w:szCs w:val="32"/>
              <w:highlight w:val="none"/>
              <w:lang w:val="en-US" w:eastAsia="zh-CN"/>
            </w:rPr>
            <w:t>一、部门职责</w:t>
          </w:r>
          <w:r>
            <w:rPr>
              <w:color w:val="auto"/>
              <w:highlight w:val="none"/>
            </w:rPr>
            <w:tab/>
          </w:r>
          <w:r>
            <w:rPr>
              <w:color w:val="auto"/>
              <w:highlight w:val="none"/>
            </w:rPr>
            <w:fldChar w:fldCharType="begin"/>
          </w:r>
          <w:r>
            <w:rPr>
              <w:color w:val="auto"/>
              <w:highlight w:val="none"/>
            </w:rPr>
            <w:instrText xml:space="preserve"> PAGEREF _Toc27201 \h </w:instrText>
          </w:r>
          <w:r>
            <w:rPr>
              <w:color w:val="auto"/>
              <w:highlight w:val="none"/>
            </w:rPr>
            <w:fldChar w:fldCharType="separate"/>
          </w:r>
          <w:r>
            <w:rPr>
              <w:color w:val="auto"/>
              <w:highlight w:val="none"/>
            </w:rPr>
            <w:t>1</w:t>
          </w:r>
          <w:r>
            <w:rPr>
              <w:color w:val="auto"/>
              <w:highlight w:val="none"/>
            </w:rPr>
            <w:fldChar w:fldCharType="end"/>
          </w:r>
          <w:r>
            <w:rPr>
              <w:rFonts w:hint="eastAsia"/>
              <w:color w:val="auto"/>
              <w:highlight w:val="none"/>
            </w:rPr>
            <w:fldChar w:fldCharType="end"/>
          </w:r>
        </w:p>
        <w:p w14:paraId="14ECA488">
          <w:pPr>
            <w:pStyle w:val="39"/>
            <w:keepNext w:val="0"/>
            <w:keepLines w:val="0"/>
            <w:pageBreakBefore w:val="0"/>
            <w:shd w:val="clear"/>
            <w:tabs>
              <w:tab w:val="right" w:leader="dot" w:pos="8845"/>
            </w:tabs>
            <w:kinsoku/>
            <w:wordWrap/>
            <w:overflowPunct/>
            <w:topLinePunct w:val="0"/>
            <w:autoSpaceDE/>
            <w:autoSpaceDN/>
            <w:bidi w:val="0"/>
            <w:adjustRightInd/>
            <w:snapToGrid/>
            <w:spacing w:line="340" w:lineRule="exact"/>
            <w:textAlignment w:val="auto"/>
            <w:rPr>
              <w:color w:val="auto"/>
              <w:highlight w:val="none"/>
            </w:rPr>
          </w:pPr>
          <w:r>
            <w:rPr>
              <w:rFonts w:hint="eastAsia"/>
              <w:color w:val="auto"/>
              <w:highlight w:val="none"/>
            </w:rPr>
            <w:fldChar w:fldCharType="begin"/>
          </w:r>
          <w:r>
            <w:rPr>
              <w:rFonts w:hint="eastAsia"/>
              <w:color w:val="auto"/>
              <w:highlight w:val="none"/>
            </w:rPr>
            <w:instrText xml:space="preserve"> HYPERLINK \l _Toc21914 </w:instrText>
          </w:r>
          <w:r>
            <w:rPr>
              <w:rFonts w:hint="eastAsia"/>
              <w:color w:val="auto"/>
              <w:highlight w:val="none"/>
            </w:rPr>
            <w:fldChar w:fldCharType="separate"/>
          </w:r>
          <w:r>
            <w:rPr>
              <w:rFonts w:hint="eastAsia" w:ascii="黑体" w:hAnsi="黑体" w:eastAsia="黑体" w:cs="黑体"/>
              <w:color w:val="auto"/>
              <w:szCs w:val="32"/>
              <w:highlight w:val="none"/>
            </w:rPr>
            <w:t>二、机</w:t>
          </w:r>
          <w:r>
            <w:rPr>
              <w:rFonts w:hint="eastAsia" w:ascii="黑体" w:hAnsi="黑体" w:eastAsia="黑体" w:cs="黑体"/>
              <w:bCs w:val="0"/>
              <w:color w:val="auto"/>
              <w:szCs w:val="32"/>
              <w:highlight w:val="none"/>
            </w:rPr>
            <w:t>构设置</w:t>
          </w:r>
          <w:r>
            <w:rPr>
              <w:color w:val="auto"/>
              <w:highlight w:val="none"/>
            </w:rPr>
            <w:tab/>
          </w:r>
          <w:r>
            <w:rPr>
              <w:color w:val="auto"/>
              <w:highlight w:val="none"/>
            </w:rPr>
            <w:fldChar w:fldCharType="begin"/>
          </w:r>
          <w:r>
            <w:rPr>
              <w:color w:val="auto"/>
              <w:highlight w:val="none"/>
            </w:rPr>
            <w:instrText xml:space="preserve"> PAGEREF _Toc21914 \h </w:instrText>
          </w:r>
          <w:r>
            <w:rPr>
              <w:color w:val="auto"/>
              <w:highlight w:val="none"/>
            </w:rPr>
            <w:fldChar w:fldCharType="separate"/>
          </w:r>
          <w:r>
            <w:rPr>
              <w:color w:val="auto"/>
              <w:highlight w:val="none"/>
            </w:rPr>
            <w:t>5</w:t>
          </w:r>
          <w:r>
            <w:rPr>
              <w:color w:val="auto"/>
              <w:highlight w:val="none"/>
            </w:rPr>
            <w:fldChar w:fldCharType="end"/>
          </w:r>
          <w:r>
            <w:rPr>
              <w:rFonts w:hint="eastAsia"/>
              <w:color w:val="auto"/>
              <w:highlight w:val="none"/>
            </w:rPr>
            <w:fldChar w:fldCharType="end"/>
          </w:r>
        </w:p>
        <w:p w14:paraId="1CE0B066">
          <w:pPr>
            <w:pStyle w:val="38"/>
            <w:keepNext w:val="0"/>
            <w:keepLines w:val="0"/>
            <w:pageBreakBefore w:val="0"/>
            <w:shd w:val="clear"/>
            <w:tabs>
              <w:tab w:val="right" w:leader="dot" w:pos="8845"/>
            </w:tabs>
            <w:kinsoku/>
            <w:wordWrap/>
            <w:overflowPunct/>
            <w:topLinePunct w:val="0"/>
            <w:autoSpaceDE/>
            <w:autoSpaceDN/>
            <w:bidi w:val="0"/>
            <w:adjustRightInd/>
            <w:snapToGrid/>
            <w:spacing w:line="340" w:lineRule="exact"/>
            <w:textAlignment w:val="auto"/>
            <w:rPr>
              <w:b/>
              <w:color w:val="auto"/>
              <w:highlight w:val="none"/>
            </w:rPr>
          </w:pPr>
          <w:r>
            <w:rPr>
              <w:rFonts w:hint="eastAsia"/>
              <w:b/>
              <w:color w:val="auto"/>
              <w:highlight w:val="none"/>
            </w:rPr>
            <w:fldChar w:fldCharType="begin"/>
          </w:r>
          <w:r>
            <w:rPr>
              <w:rFonts w:hint="eastAsia"/>
              <w:b/>
              <w:color w:val="auto"/>
              <w:highlight w:val="none"/>
            </w:rPr>
            <w:instrText xml:space="preserve"> HYPERLINK \l _Toc627 </w:instrText>
          </w:r>
          <w:r>
            <w:rPr>
              <w:rFonts w:hint="eastAsia"/>
              <w:b/>
              <w:color w:val="auto"/>
              <w:highlight w:val="none"/>
            </w:rPr>
            <w:fldChar w:fldCharType="separate"/>
          </w:r>
          <w:r>
            <w:rPr>
              <w:rFonts w:hint="eastAsia" w:ascii="黑体" w:hAnsi="黑体" w:eastAsia="黑体" w:cstheme="minorBidi"/>
              <w:b/>
              <w:bCs/>
              <w:color w:val="auto"/>
              <w:highlight w:val="none"/>
            </w:rPr>
            <w:t>第二部分</w:t>
          </w:r>
          <w:r>
            <w:rPr>
              <w:rFonts w:hint="eastAsia" w:ascii="黑体" w:hAnsi="黑体" w:eastAsia="黑体" w:cstheme="minorBidi"/>
              <w:b/>
              <w:bCs/>
              <w:color w:val="auto"/>
              <w:highlight w:val="none"/>
              <w:lang w:val="en-US" w:eastAsia="zh-CN"/>
            </w:rPr>
            <w:t>2022年度</w:t>
          </w:r>
          <w:r>
            <w:rPr>
              <w:rFonts w:hint="eastAsia" w:ascii="黑体" w:hAnsi="黑体" w:eastAsia="黑体" w:cstheme="minorBidi"/>
              <w:b/>
              <w:bCs/>
              <w:color w:val="auto"/>
              <w:highlight w:val="none"/>
            </w:rPr>
            <w:t>部门决算情况说明</w:t>
          </w:r>
          <w:r>
            <w:rPr>
              <w:b/>
              <w:color w:val="auto"/>
              <w:highlight w:val="none"/>
            </w:rPr>
            <w:tab/>
          </w:r>
          <w:r>
            <w:rPr>
              <w:b/>
              <w:color w:val="auto"/>
              <w:highlight w:val="none"/>
            </w:rPr>
            <w:fldChar w:fldCharType="begin"/>
          </w:r>
          <w:r>
            <w:rPr>
              <w:b/>
              <w:color w:val="auto"/>
              <w:highlight w:val="none"/>
            </w:rPr>
            <w:instrText xml:space="preserve"> PAGEREF _Toc627 \h </w:instrText>
          </w:r>
          <w:r>
            <w:rPr>
              <w:b/>
              <w:color w:val="auto"/>
              <w:highlight w:val="none"/>
            </w:rPr>
            <w:fldChar w:fldCharType="separate"/>
          </w:r>
          <w:r>
            <w:rPr>
              <w:b/>
              <w:color w:val="auto"/>
              <w:highlight w:val="none"/>
            </w:rPr>
            <w:t>6</w:t>
          </w:r>
          <w:r>
            <w:rPr>
              <w:b/>
              <w:color w:val="auto"/>
              <w:highlight w:val="none"/>
            </w:rPr>
            <w:fldChar w:fldCharType="end"/>
          </w:r>
          <w:r>
            <w:rPr>
              <w:rFonts w:hint="eastAsia"/>
              <w:b/>
              <w:color w:val="auto"/>
              <w:highlight w:val="none"/>
            </w:rPr>
            <w:fldChar w:fldCharType="end"/>
          </w:r>
        </w:p>
        <w:p w14:paraId="040F5D4B">
          <w:pPr>
            <w:pStyle w:val="39"/>
            <w:keepNext w:val="0"/>
            <w:keepLines w:val="0"/>
            <w:pageBreakBefore w:val="0"/>
            <w:shd w:val="clear"/>
            <w:tabs>
              <w:tab w:val="right" w:leader="dot" w:pos="8845"/>
            </w:tabs>
            <w:kinsoku/>
            <w:wordWrap/>
            <w:overflowPunct/>
            <w:topLinePunct w:val="0"/>
            <w:autoSpaceDE/>
            <w:autoSpaceDN/>
            <w:bidi w:val="0"/>
            <w:adjustRightInd/>
            <w:snapToGrid/>
            <w:spacing w:line="340" w:lineRule="exact"/>
            <w:textAlignment w:val="auto"/>
            <w:rPr>
              <w:color w:val="auto"/>
              <w:highlight w:val="none"/>
            </w:rPr>
          </w:pPr>
          <w:r>
            <w:rPr>
              <w:rFonts w:hint="eastAsia"/>
              <w:color w:val="auto"/>
              <w:highlight w:val="none"/>
            </w:rPr>
            <w:fldChar w:fldCharType="begin"/>
          </w:r>
          <w:r>
            <w:rPr>
              <w:rFonts w:hint="eastAsia"/>
              <w:color w:val="auto"/>
              <w:highlight w:val="none"/>
            </w:rPr>
            <w:instrText xml:space="preserve"> HYPERLINK \l _Toc21546 </w:instrText>
          </w:r>
          <w:r>
            <w:rPr>
              <w:rFonts w:hint="eastAsia"/>
              <w:color w:val="auto"/>
              <w:highlight w:val="none"/>
            </w:rPr>
            <w:fldChar w:fldCharType="separate"/>
          </w:r>
          <w:r>
            <w:rPr>
              <w:rFonts w:hint="eastAsia" w:ascii="黑体" w:hAnsi="黑体" w:eastAsia="黑体"/>
              <w:color w:val="auto"/>
              <w:szCs w:val="32"/>
              <w:highlight w:val="none"/>
              <w:lang w:eastAsia="zh-CN"/>
            </w:rPr>
            <w:t>一、</w:t>
          </w:r>
          <w:r>
            <w:rPr>
              <w:rFonts w:hint="eastAsia" w:ascii="黑体" w:hAnsi="黑体" w:eastAsia="黑体"/>
              <w:color w:val="auto"/>
              <w:szCs w:val="32"/>
              <w:highlight w:val="none"/>
            </w:rPr>
            <w:t>收</w:t>
          </w:r>
          <w:r>
            <w:rPr>
              <w:rFonts w:hint="eastAsia" w:ascii="黑体" w:hAnsi="黑体" w:eastAsia="黑体"/>
              <w:color w:val="auto"/>
              <w:highlight w:val="none"/>
            </w:rPr>
            <w:t>入支出决算总体情况说明</w:t>
          </w:r>
          <w:r>
            <w:rPr>
              <w:color w:val="auto"/>
              <w:highlight w:val="none"/>
            </w:rPr>
            <w:tab/>
          </w:r>
          <w:r>
            <w:rPr>
              <w:color w:val="auto"/>
              <w:highlight w:val="none"/>
            </w:rPr>
            <w:fldChar w:fldCharType="begin"/>
          </w:r>
          <w:r>
            <w:rPr>
              <w:color w:val="auto"/>
              <w:highlight w:val="none"/>
            </w:rPr>
            <w:instrText xml:space="preserve"> PAGEREF _Toc21546 \h </w:instrText>
          </w:r>
          <w:r>
            <w:rPr>
              <w:color w:val="auto"/>
              <w:highlight w:val="none"/>
            </w:rPr>
            <w:fldChar w:fldCharType="separate"/>
          </w:r>
          <w:r>
            <w:rPr>
              <w:color w:val="auto"/>
              <w:highlight w:val="none"/>
            </w:rPr>
            <w:t>6</w:t>
          </w:r>
          <w:r>
            <w:rPr>
              <w:color w:val="auto"/>
              <w:highlight w:val="none"/>
            </w:rPr>
            <w:fldChar w:fldCharType="end"/>
          </w:r>
          <w:r>
            <w:rPr>
              <w:rFonts w:hint="eastAsia"/>
              <w:color w:val="auto"/>
              <w:highlight w:val="none"/>
            </w:rPr>
            <w:fldChar w:fldCharType="end"/>
          </w:r>
        </w:p>
        <w:p w14:paraId="39F691B1">
          <w:pPr>
            <w:pStyle w:val="39"/>
            <w:keepNext w:val="0"/>
            <w:keepLines w:val="0"/>
            <w:pageBreakBefore w:val="0"/>
            <w:shd w:val="clear"/>
            <w:tabs>
              <w:tab w:val="right" w:leader="dot" w:pos="8845"/>
            </w:tabs>
            <w:kinsoku/>
            <w:wordWrap/>
            <w:overflowPunct/>
            <w:topLinePunct w:val="0"/>
            <w:autoSpaceDE/>
            <w:autoSpaceDN/>
            <w:bidi w:val="0"/>
            <w:adjustRightInd/>
            <w:snapToGrid/>
            <w:spacing w:line="340" w:lineRule="exact"/>
            <w:textAlignment w:val="auto"/>
            <w:rPr>
              <w:color w:val="auto"/>
              <w:highlight w:val="none"/>
            </w:rPr>
          </w:pPr>
          <w:r>
            <w:rPr>
              <w:rFonts w:hint="eastAsia"/>
              <w:color w:val="auto"/>
              <w:highlight w:val="none"/>
            </w:rPr>
            <w:fldChar w:fldCharType="begin"/>
          </w:r>
          <w:r>
            <w:rPr>
              <w:rFonts w:hint="eastAsia"/>
              <w:color w:val="auto"/>
              <w:highlight w:val="none"/>
            </w:rPr>
            <w:instrText xml:space="preserve"> HYPERLINK \l _Toc8410 </w:instrText>
          </w:r>
          <w:r>
            <w:rPr>
              <w:rFonts w:hint="eastAsia"/>
              <w:color w:val="auto"/>
              <w:highlight w:val="none"/>
            </w:rPr>
            <w:fldChar w:fldCharType="separate"/>
          </w:r>
          <w:r>
            <w:rPr>
              <w:rFonts w:hint="eastAsia" w:ascii="黑体" w:hAnsi="黑体" w:eastAsia="黑体"/>
              <w:color w:val="auto"/>
              <w:szCs w:val="32"/>
              <w:highlight w:val="none"/>
              <w:lang w:eastAsia="zh-CN"/>
            </w:rPr>
            <w:t>二、</w:t>
          </w:r>
          <w:r>
            <w:rPr>
              <w:rFonts w:hint="eastAsia" w:ascii="黑体" w:hAnsi="黑体" w:eastAsia="黑体"/>
              <w:color w:val="auto"/>
              <w:szCs w:val="32"/>
              <w:highlight w:val="none"/>
            </w:rPr>
            <w:t>收</w:t>
          </w:r>
          <w:r>
            <w:rPr>
              <w:rFonts w:hint="eastAsia" w:ascii="黑体" w:hAnsi="黑体" w:eastAsia="黑体"/>
              <w:color w:val="auto"/>
              <w:highlight w:val="none"/>
            </w:rPr>
            <w:t>入决算情况说明</w:t>
          </w:r>
          <w:r>
            <w:rPr>
              <w:color w:val="auto"/>
              <w:highlight w:val="none"/>
            </w:rPr>
            <w:tab/>
          </w:r>
          <w:r>
            <w:rPr>
              <w:color w:val="auto"/>
              <w:highlight w:val="none"/>
            </w:rPr>
            <w:fldChar w:fldCharType="begin"/>
          </w:r>
          <w:r>
            <w:rPr>
              <w:color w:val="auto"/>
              <w:highlight w:val="none"/>
            </w:rPr>
            <w:instrText xml:space="preserve"> PAGEREF _Toc8410 \h </w:instrText>
          </w:r>
          <w:r>
            <w:rPr>
              <w:color w:val="auto"/>
              <w:highlight w:val="none"/>
            </w:rPr>
            <w:fldChar w:fldCharType="separate"/>
          </w:r>
          <w:r>
            <w:rPr>
              <w:color w:val="auto"/>
              <w:highlight w:val="none"/>
            </w:rPr>
            <w:t>6</w:t>
          </w:r>
          <w:r>
            <w:rPr>
              <w:color w:val="auto"/>
              <w:highlight w:val="none"/>
            </w:rPr>
            <w:fldChar w:fldCharType="end"/>
          </w:r>
          <w:r>
            <w:rPr>
              <w:rFonts w:hint="eastAsia"/>
              <w:color w:val="auto"/>
              <w:highlight w:val="none"/>
            </w:rPr>
            <w:fldChar w:fldCharType="end"/>
          </w:r>
        </w:p>
        <w:p w14:paraId="44B2B37D">
          <w:pPr>
            <w:pStyle w:val="39"/>
            <w:keepNext w:val="0"/>
            <w:keepLines w:val="0"/>
            <w:pageBreakBefore w:val="0"/>
            <w:shd w:val="clear"/>
            <w:tabs>
              <w:tab w:val="right" w:leader="dot" w:pos="8845"/>
            </w:tabs>
            <w:kinsoku/>
            <w:wordWrap/>
            <w:overflowPunct/>
            <w:topLinePunct w:val="0"/>
            <w:autoSpaceDE/>
            <w:autoSpaceDN/>
            <w:bidi w:val="0"/>
            <w:adjustRightInd/>
            <w:snapToGrid/>
            <w:spacing w:line="340" w:lineRule="exact"/>
            <w:textAlignment w:val="auto"/>
            <w:rPr>
              <w:color w:val="auto"/>
              <w:highlight w:val="none"/>
            </w:rPr>
          </w:pPr>
          <w:r>
            <w:rPr>
              <w:rFonts w:hint="eastAsia"/>
              <w:color w:val="auto"/>
              <w:highlight w:val="none"/>
            </w:rPr>
            <w:fldChar w:fldCharType="begin"/>
          </w:r>
          <w:r>
            <w:rPr>
              <w:rFonts w:hint="eastAsia"/>
              <w:color w:val="auto"/>
              <w:highlight w:val="none"/>
            </w:rPr>
            <w:instrText xml:space="preserve"> HYPERLINK \l _Toc630 </w:instrText>
          </w:r>
          <w:r>
            <w:rPr>
              <w:rFonts w:hint="eastAsia"/>
              <w:color w:val="auto"/>
              <w:highlight w:val="none"/>
            </w:rPr>
            <w:fldChar w:fldCharType="separate"/>
          </w:r>
          <w:r>
            <w:rPr>
              <w:rFonts w:hint="eastAsia" w:ascii="黑体" w:hAnsi="黑体" w:eastAsia="黑体"/>
              <w:color w:val="auto"/>
              <w:szCs w:val="32"/>
              <w:highlight w:val="none"/>
              <w:lang w:eastAsia="zh-CN"/>
            </w:rPr>
            <w:t>三、</w:t>
          </w:r>
          <w:r>
            <w:rPr>
              <w:rFonts w:hint="eastAsia" w:ascii="黑体" w:hAnsi="黑体" w:eastAsia="黑体"/>
              <w:color w:val="auto"/>
              <w:szCs w:val="32"/>
              <w:highlight w:val="none"/>
            </w:rPr>
            <w:t>支</w:t>
          </w:r>
          <w:r>
            <w:rPr>
              <w:rFonts w:hint="eastAsia" w:ascii="黑体" w:hAnsi="黑体" w:eastAsia="黑体"/>
              <w:color w:val="auto"/>
              <w:highlight w:val="none"/>
            </w:rPr>
            <w:t>出决算情况说明</w:t>
          </w:r>
          <w:r>
            <w:rPr>
              <w:color w:val="auto"/>
              <w:highlight w:val="none"/>
            </w:rPr>
            <w:tab/>
          </w:r>
          <w:r>
            <w:rPr>
              <w:color w:val="auto"/>
              <w:highlight w:val="none"/>
            </w:rPr>
            <w:fldChar w:fldCharType="begin"/>
          </w:r>
          <w:r>
            <w:rPr>
              <w:color w:val="auto"/>
              <w:highlight w:val="none"/>
            </w:rPr>
            <w:instrText xml:space="preserve"> PAGEREF _Toc630 \h </w:instrText>
          </w:r>
          <w:r>
            <w:rPr>
              <w:color w:val="auto"/>
              <w:highlight w:val="none"/>
            </w:rPr>
            <w:fldChar w:fldCharType="separate"/>
          </w:r>
          <w:r>
            <w:rPr>
              <w:color w:val="auto"/>
              <w:highlight w:val="none"/>
            </w:rPr>
            <w:t>7</w:t>
          </w:r>
          <w:r>
            <w:rPr>
              <w:color w:val="auto"/>
              <w:highlight w:val="none"/>
            </w:rPr>
            <w:fldChar w:fldCharType="end"/>
          </w:r>
          <w:r>
            <w:rPr>
              <w:rFonts w:hint="eastAsia"/>
              <w:color w:val="auto"/>
              <w:highlight w:val="none"/>
            </w:rPr>
            <w:fldChar w:fldCharType="end"/>
          </w:r>
        </w:p>
        <w:p w14:paraId="22A0F93A">
          <w:pPr>
            <w:pStyle w:val="39"/>
            <w:keepNext w:val="0"/>
            <w:keepLines w:val="0"/>
            <w:pageBreakBefore w:val="0"/>
            <w:shd w:val="clear"/>
            <w:tabs>
              <w:tab w:val="right" w:leader="dot" w:pos="8845"/>
            </w:tabs>
            <w:kinsoku/>
            <w:wordWrap/>
            <w:overflowPunct/>
            <w:topLinePunct w:val="0"/>
            <w:autoSpaceDE/>
            <w:autoSpaceDN/>
            <w:bidi w:val="0"/>
            <w:adjustRightInd/>
            <w:snapToGrid/>
            <w:spacing w:line="340" w:lineRule="exact"/>
            <w:textAlignment w:val="auto"/>
            <w:rPr>
              <w:color w:val="auto"/>
              <w:highlight w:val="none"/>
            </w:rPr>
          </w:pPr>
          <w:r>
            <w:rPr>
              <w:rFonts w:hint="eastAsia"/>
              <w:color w:val="auto"/>
              <w:highlight w:val="none"/>
            </w:rPr>
            <w:fldChar w:fldCharType="begin"/>
          </w:r>
          <w:r>
            <w:rPr>
              <w:rFonts w:hint="eastAsia"/>
              <w:color w:val="auto"/>
              <w:highlight w:val="none"/>
            </w:rPr>
            <w:instrText xml:space="preserve"> HYPERLINK \l _Toc17959 </w:instrText>
          </w:r>
          <w:r>
            <w:rPr>
              <w:rFonts w:hint="eastAsia"/>
              <w:color w:val="auto"/>
              <w:highlight w:val="none"/>
            </w:rPr>
            <w:fldChar w:fldCharType="separate"/>
          </w:r>
          <w:r>
            <w:rPr>
              <w:rFonts w:hint="eastAsia" w:ascii="黑体" w:hAnsi="黑体" w:eastAsia="黑体"/>
              <w:color w:val="auto"/>
              <w:szCs w:val="32"/>
              <w:highlight w:val="none"/>
            </w:rPr>
            <w:t>四、财</w:t>
          </w:r>
          <w:r>
            <w:rPr>
              <w:rFonts w:hint="eastAsia" w:ascii="黑体" w:hAnsi="黑体" w:eastAsia="黑体"/>
              <w:color w:val="auto"/>
              <w:highlight w:val="none"/>
            </w:rPr>
            <w:t>政拨款收入支出决算总体情况说明</w:t>
          </w:r>
          <w:r>
            <w:rPr>
              <w:color w:val="auto"/>
              <w:highlight w:val="none"/>
            </w:rPr>
            <w:tab/>
          </w:r>
          <w:r>
            <w:rPr>
              <w:color w:val="auto"/>
              <w:highlight w:val="none"/>
            </w:rPr>
            <w:fldChar w:fldCharType="begin"/>
          </w:r>
          <w:r>
            <w:rPr>
              <w:color w:val="auto"/>
              <w:highlight w:val="none"/>
            </w:rPr>
            <w:instrText xml:space="preserve"> PAGEREF _Toc17959 \h </w:instrText>
          </w:r>
          <w:r>
            <w:rPr>
              <w:color w:val="auto"/>
              <w:highlight w:val="none"/>
            </w:rPr>
            <w:fldChar w:fldCharType="separate"/>
          </w:r>
          <w:r>
            <w:rPr>
              <w:color w:val="auto"/>
              <w:highlight w:val="none"/>
            </w:rPr>
            <w:t>8</w:t>
          </w:r>
          <w:r>
            <w:rPr>
              <w:color w:val="auto"/>
              <w:highlight w:val="none"/>
            </w:rPr>
            <w:fldChar w:fldCharType="end"/>
          </w:r>
          <w:r>
            <w:rPr>
              <w:rFonts w:hint="eastAsia"/>
              <w:color w:val="auto"/>
              <w:highlight w:val="none"/>
            </w:rPr>
            <w:fldChar w:fldCharType="end"/>
          </w:r>
        </w:p>
        <w:p w14:paraId="7F8A2668">
          <w:pPr>
            <w:pStyle w:val="39"/>
            <w:keepNext w:val="0"/>
            <w:keepLines w:val="0"/>
            <w:pageBreakBefore w:val="0"/>
            <w:shd w:val="clear"/>
            <w:tabs>
              <w:tab w:val="right" w:leader="dot" w:pos="8845"/>
            </w:tabs>
            <w:kinsoku/>
            <w:wordWrap/>
            <w:overflowPunct/>
            <w:topLinePunct w:val="0"/>
            <w:autoSpaceDE/>
            <w:autoSpaceDN/>
            <w:bidi w:val="0"/>
            <w:adjustRightInd/>
            <w:snapToGrid/>
            <w:spacing w:line="340" w:lineRule="exact"/>
            <w:textAlignment w:val="auto"/>
            <w:rPr>
              <w:color w:val="auto"/>
              <w:highlight w:val="none"/>
            </w:rPr>
          </w:pPr>
          <w:r>
            <w:rPr>
              <w:rFonts w:hint="eastAsia"/>
              <w:color w:val="auto"/>
              <w:highlight w:val="none"/>
            </w:rPr>
            <w:fldChar w:fldCharType="begin"/>
          </w:r>
          <w:r>
            <w:rPr>
              <w:rFonts w:hint="eastAsia"/>
              <w:color w:val="auto"/>
              <w:highlight w:val="none"/>
            </w:rPr>
            <w:instrText xml:space="preserve"> HYPERLINK \l _Toc19150 </w:instrText>
          </w:r>
          <w:r>
            <w:rPr>
              <w:rFonts w:hint="eastAsia"/>
              <w:color w:val="auto"/>
              <w:highlight w:val="none"/>
            </w:rPr>
            <w:fldChar w:fldCharType="separate"/>
          </w:r>
          <w:r>
            <w:rPr>
              <w:rFonts w:hint="eastAsia" w:ascii="黑体" w:hAnsi="黑体" w:eastAsia="黑体"/>
              <w:color w:val="auto"/>
              <w:szCs w:val="32"/>
              <w:highlight w:val="none"/>
            </w:rPr>
            <w:t>五、一</w:t>
          </w:r>
          <w:r>
            <w:rPr>
              <w:rFonts w:hint="eastAsia" w:ascii="黑体" w:hAnsi="黑体" w:eastAsia="黑体"/>
              <w:color w:val="auto"/>
              <w:highlight w:val="none"/>
            </w:rPr>
            <w:t>般公共预算财政拨款支出决算情况说明</w:t>
          </w:r>
          <w:r>
            <w:rPr>
              <w:color w:val="auto"/>
              <w:highlight w:val="none"/>
            </w:rPr>
            <w:tab/>
          </w:r>
          <w:r>
            <w:rPr>
              <w:color w:val="auto"/>
              <w:highlight w:val="none"/>
            </w:rPr>
            <w:fldChar w:fldCharType="begin"/>
          </w:r>
          <w:r>
            <w:rPr>
              <w:color w:val="auto"/>
              <w:highlight w:val="none"/>
            </w:rPr>
            <w:instrText xml:space="preserve"> PAGEREF _Toc19150 \h </w:instrText>
          </w:r>
          <w:r>
            <w:rPr>
              <w:color w:val="auto"/>
              <w:highlight w:val="none"/>
            </w:rPr>
            <w:fldChar w:fldCharType="separate"/>
          </w:r>
          <w:r>
            <w:rPr>
              <w:color w:val="auto"/>
              <w:highlight w:val="none"/>
            </w:rPr>
            <w:t>8</w:t>
          </w:r>
          <w:r>
            <w:rPr>
              <w:color w:val="auto"/>
              <w:highlight w:val="none"/>
            </w:rPr>
            <w:fldChar w:fldCharType="end"/>
          </w:r>
          <w:r>
            <w:rPr>
              <w:rFonts w:hint="eastAsia"/>
              <w:color w:val="auto"/>
              <w:highlight w:val="none"/>
            </w:rPr>
            <w:fldChar w:fldCharType="end"/>
          </w:r>
        </w:p>
        <w:p w14:paraId="71756CC9">
          <w:pPr>
            <w:pStyle w:val="39"/>
            <w:keepNext w:val="0"/>
            <w:keepLines w:val="0"/>
            <w:pageBreakBefore w:val="0"/>
            <w:shd w:val="clear"/>
            <w:tabs>
              <w:tab w:val="right" w:leader="dot" w:pos="8845"/>
            </w:tabs>
            <w:kinsoku/>
            <w:wordWrap/>
            <w:overflowPunct/>
            <w:topLinePunct w:val="0"/>
            <w:autoSpaceDE/>
            <w:autoSpaceDN/>
            <w:bidi w:val="0"/>
            <w:adjustRightInd/>
            <w:snapToGrid/>
            <w:spacing w:line="340" w:lineRule="exact"/>
            <w:textAlignment w:val="auto"/>
            <w:rPr>
              <w:color w:val="auto"/>
              <w:highlight w:val="none"/>
            </w:rPr>
          </w:pPr>
          <w:r>
            <w:rPr>
              <w:rFonts w:hint="eastAsia"/>
              <w:color w:val="auto"/>
              <w:highlight w:val="none"/>
            </w:rPr>
            <w:fldChar w:fldCharType="begin"/>
          </w:r>
          <w:r>
            <w:rPr>
              <w:rFonts w:hint="eastAsia"/>
              <w:color w:val="auto"/>
              <w:highlight w:val="none"/>
            </w:rPr>
            <w:instrText xml:space="preserve"> HYPERLINK \l _Toc23181 </w:instrText>
          </w:r>
          <w:r>
            <w:rPr>
              <w:rFonts w:hint="eastAsia"/>
              <w:color w:val="auto"/>
              <w:highlight w:val="none"/>
            </w:rPr>
            <w:fldChar w:fldCharType="separate"/>
          </w:r>
          <w:r>
            <w:rPr>
              <w:rFonts w:hint="eastAsia" w:ascii="黑体" w:eastAsia="黑体"/>
              <w:color w:val="auto"/>
              <w:szCs w:val="32"/>
              <w:highlight w:val="none"/>
            </w:rPr>
            <w:t>六、</w:t>
          </w:r>
          <w:r>
            <w:rPr>
              <w:rFonts w:hint="eastAsia" w:ascii="黑体" w:hAnsi="黑体" w:eastAsia="黑体"/>
              <w:color w:val="auto"/>
              <w:szCs w:val="32"/>
              <w:highlight w:val="none"/>
            </w:rPr>
            <w:t>一</w:t>
          </w:r>
          <w:r>
            <w:rPr>
              <w:rFonts w:hint="eastAsia" w:ascii="黑体" w:hAnsi="黑体" w:eastAsia="黑体"/>
              <w:color w:val="auto"/>
              <w:highlight w:val="none"/>
            </w:rPr>
            <w:t>般公共预算财政拨款基本支出决算情况说明</w:t>
          </w:r>
          <w:r>
            <w:rPr>
              <w:color w:val="auto"/>
              <w:highlight w:val="none"/>
            </w:rPr>
            <w:tab/>
          </w:r>
          <w:r>
            <w:rPr>
              <w:color w:val="auto"/>
              <w:highlight w:val="none"/>
            </w:rPr>
            <w:fldChar w:fldCharType="begin"/>
          </w:r>
          <w:r>
            <w:rPr>
              <w:color w:val="auto"/>
              <w:highlight w:val="none"/>
            </w:rPr>
            <w:instrText xml:space="preserve"> PAGEREF _Toc23181 \h </w:instrText>
          </w:r>
          <w:r>
            <w:rPr>
              <w:color w:val="auto"/>
              <w:highlight w:val="none"/>
            </w:rPr>
            <w:fldChar w:fldCharType="separate"/>
          </w:r>
          <w:r>
            <w:rPr>
              <w:color w:val="auto"/>
              <w:highlight w:val="none"/>
            </w:rPr>
            <w:t>13</w:t>
          </w:r>
          <w:r>
            <w:rPr>
              <w:color w:val="auto"/>
              <w:highlight w:val="none"/>
            </w:rPr>
            <w:fldChar w:fldCharType="end"/>
          </w:r>
          <w:r>
            <w:rPr>
              <w:rFonts w:hint="eastAsia"/>
              <w:color w:val="auto"/>
              <w:highlight w:val="none"/>
            </w:rPr>
            <w:fldChar w:fldCharType="end"/>
          </w:r>
        </w:p>
        <w:p w14:paraId="175EC960">
          <w:pPr>
            <w:pStyle w:val="39"/>
            <w:keepNext w:val="0"/>
            <w:keepLines w:val="0"/>
            <w:pageBreakBefore w:val="0"/>
            <w:shd w:val="clear"/>
            <w:tabs>
              <w:tab w:val="right" w:leader="dot" w:pos="8845"/>
            </w:tabs>
            <w:kinsoku/>
            <w:wordWrap/>
            <w:overflowPunct/>
            <w:topLinePunct w:val="0"/>
            <w:autoSpaceDE/>
            <w:autoSpaceDN/>
            <w:bidi w:val="0"/>
            <w:adjustRightInd/>
            <w:snapToGrid/>
            <w:spacing w:line="340" w:lineRule="exact"/>
            <w:textAlignment w:val="auto"/>
            <w:rPr>
              <w:color w:val="auto"/>
              <w:highlight w:val="none"/>
            </w:rPr>
          </w:pPr>
          <w:r>
            <w:rPr>
              <w:rFonts w:hint="eastAsia"/>
              <w:color w:val="auto"/>
              <w:highlight w:val="none"/>
            </w:rPr>
            <w:fldChar w:fldCharType="begin"/>
          </w:r>
          <w:r>
            <w:rPr>
              <w:rFonts w:hint="eastAsia"/>
              <w:color w:val="auto"/>
              <w:highlight w:val="none"/>
            </w:rPr>
            <w:instrText xml:space="preserve"> HYPERLINK \l _Toc25735 </w:instrText>
          </w:r>
          <w:r>
            <w:rPr>
              <w:rFonts w:hint="eastAsia"/>
              <w:color w:val="auto"/>
              <w:highlight w:val="none"/>
            </w:rPr>
            <w:fldChar w:fldCharType="separate"/>
          </w:r>
          <w:r>
            <w:rPr>
              <w:rFonts w:hint="eastAsia" w:ascii="黑体" w:eastAsia="黑体"/>
              <w:color w:val="auto"/>
              <w:szCs w:val="32"/>
              <w:highlight w:val="none"/>
            </w:rPr>
            <w:t>七、</w:t>
          </w:r>
          <w:r>
            <w:rPr>
              <w:rFonts w:hint="eastAsia" w:ascii="黑体" w:hAnsi="黑体" w:eastAsia="黑体"/>
              <w:color w:val="auto"/>
              <w:highlight w:val="none"/>
            </w:rPr>
            <w:t>财政拨款“三公”经费支出决算情况说明</w:t>
          </w:r>
          <w:r>
            <w:rPr>
              <w:color w:val="auto"/>
              <w:highlight w:val="none"/>
            </w:rPr>
            <w:tab/>
          </w:r>
          <w:r>
            <w:rPr>
              <w:color w:val="auto"/>
              <w:highlight w:val="none"/>
            </w:rPr>
            <w:fldChar w:fldCharType="begin"/>
          </w:r>
          <w:r>
            <w:rPr>
              <w:color w:val="auto"/>
              <w:highlight w:val="none"/>
            </w:rPr>
            <w:instrText xml:space="preserve"> PAGEREF _Toc25735 \h </w:instrText>
          </w:r>
          <w:r>
            <w:rPr>
              <w:color w:val="auto"/>
              <w:highlight w:val="none"/>
            </w:rPr>
            <w:fldChar w:fldCharType="separate"/>
          </w:r>
          <w:r>
            <w:rPr>
              <w:color w:val="auto"/>
              <w:highlight w:val="none"/>
            </w:rPr>
            <w:t>13</w:t>
          </w:r>
          <w:r>
            <w:rPr>
              <w:color w:val="auto"/>
              <w:highlight w:val="none"/>
            </w:rPr>
            <w:fldChar w:fldCharType="end"/>
          </w:r>
          <w:r>
            <w:rPr>
              <w:rFonts w:hint="eastAsia"/>
              <w:color w:val="auto"/>
              <w:highlight w:val="none"/>
            </w:rPr>
            <w:fldChar w:fldCharType="end"/>
          </w:r>
        </w:p>
        <w:p w14:paraId="2E174D77">
          <w:pPr>
            <w:pStyle w:val="39"/>
            <w:keepNext w:val="0"/>
            <w:keepLines w:val="0"/>
            <w:pageBreakBefore w:val="0"/>
            <w:shd w:val="clear"/>
            <w:tabs>
              <w:tab w:val="right" w:leader="dot" w:pos="8845"/>
            </w:tabs>
            <w:kinsoku/>
            <w:wordWrap/>
            <w:overflowPunct/>
            <w:topLinePunct w:val="0"/>
            <w:autoSpaceDE/>
            <w:autoSpaceDN/>
            <w:bidi w:val="0"/>
            <w:adjustRightInd/>
            <w:snapToGrid/>
            <w:spacing w:line="340" w:lineRule="exact"/>
            <w:textAlignment w:val="auto"/>
            <w:rPr>
              <w:color w:val="auto"/>
              <w:highlight w:val="none"/>
            </w:rPr>
          </w:pPr>
          <w:r>
            <w:rPr>
              <w:rFonts w:hint="eastAsia"/>
              <w:color w:val="auto"/>
              <w:highlight w:val="none"/>
            </w:rPr>
            <w:fldChar w:fldCharType="begin"/>
          </w:r>
          <w:r>
            <w:rPr>
              <w:rFonts w:hint="eastAsia"/>
              <w:color w:val="auto"/>
              <w:highlight w:val="none"/>
            </w:rPr>
            <w:instrText xml:space="preserve"> HYPERLINK \l _Toc24925 </w:instrText>
          </w:r>
          <w:r>
            <w:rPr>
              <w:rFonts w:hint="eastAsia"/>
              <w:color w:val="auto"/>
              <w:highlight w:val="none"/>
            </w:rPr>
            <w:fldChar w:fldCharType="separate"/>
          </w:r>
          <w:r>
            <w:rPr>
              <w:rFonts w:hint="eastAsia" w:ascii="黑体" w:eastAsia="黑体"/>
              <w:color w:val="auto"/>
              <w:szCs w:val="32"/>
              <w:highlight w:val="none"/>
            </w:rPr>
            <w:t>八、</w:t>
          </w:r>
          <w:r>
            <w:rPr>
              <w:rFonts w:hint="eastAsia" w:ascii="黑体" w:hAnsi="黑体" w:eastAsia="黑体"/>
              <w:color w:val="auto"/>
              <w:highlight w:val="none"/>
            </w:rPr>
            <w:t>政府性基金预算支出决算情况说明</w:t>
          </w:r>
          <w:r>
            <w:rPr>
              <w:color w:val="auto"/>
              <w:highlight w:val="none"/>
            </w:rPr>
            <w:tab/>
          </w:r>
          <w:r>
            <w:rPr>
              <w:color w:val="auto"/>
              <w:highlight w:val="none"/>
            </w:rPr>
            <w:fldChar w:fldCharType="begin"/>
          </w:r>
          <w:r>
            <w:rPr>
              <w:color w:val="auto"/>
              <w:highlight w:val="none"/>
            </w:rPr>
            <w:instrText xml:space="preserve"> PAGEREF _Toc24925 \h </w:instrText>
          </w:r>
          <w:r>
            <w:rPr>
              <w:color w:val="auto"/>
              <w:highlight w:val="none"/>
            </w:rPr>
            <w:fldChar w:fldCharType="separate"/>
          </w:r>
          <w:r>
            <w:rPr>
              <w:color w:val="auto"/>
              <w:highlight w:val="none"/>
            </w:rPr>
            <w:t>15</w:t>
          </w:r>
          <w:r>
            <w:rPr>
              <w:color w:val="auto"/>
              <w:highlight w:val="none"/>
            </w:rPr>
            <w:fldChar w:fldCharType="end"/>
          </w:r>
          <w:r>
            <w:rPr>
              <w:rFonts w:hint="eastAsia"/>
              <w:color w:val="auto"/>
              <w:highlight w:val="none"/>
            </w:rPr>
            <w:fldChar w:fldCharType="end"/>
          </w:r>
        </w:p>
        <w:p w14:paraId="5C0B68CD">
          <w:pPr>
            <w:pStyle w:val="39"/>
            <w:keepNext w:val="0"/>
            <w:keepLines w:val="0"/>
            <w:pageBreakBefore w:val="0"/>
            <w:shd w:val="clear"/>
            <w:tabs>
              <w:tab w:val="right" w:leader="dot" w:pos="8845"/>
            </w:tabs>
            <w:kinsoku/>
            <w:wordWrap/>
            <w:overflowPunct/>
            <w:topLinePunct w:val="0"/>
            <w:autoSpaceDE/>
            <w:autoSpaceDN/>
            <w:bidi w:val="0"/>
            <w:adjustRightInd/>
            <w:snapToGrid/>
            <w:spacing w:line="340" w:lineRule="exact"/>
            <w:textAlignment w:val="auto"/>
            <w:rPr>
              <w:color w:val="auto"/>
              <w:highlight w:val="none"/>
            </w:rPr>
          </w:pPr>
          <w:r>
            <w:rPr>
              <w:rFonts w:hint="eastAsia"/>
              <w:color w:val="auto"/>
              <w:highlight w:val="none"/>
            </w:rPr>
            <w:fldChar w:fldCharType="begin"/>
          </w:r>
          <w:r>
            <w:rPr>
              <w:rFonts w:hint="eastAsia"/>
              <w:color w:val="auto"/>
              <w:highlight w:val="none"/>
            </w:rPr>
            <w:instrText xml:space="preserve"> HYPERLINK \l _Toc4864 </w:instrText>
          </w:r>
          <w:r>
            <w:rPr>
              <w:rFonts w:hint="eastAsia"/>
              <w:color w:val="auto"/>
              <w:highlight w:val="none"/>
            </w:rPr>
            <w:fldChar w:fldCharType="separate"/>
          </w:r>
          <w:r>
            <w:rPr>
              <w:rFonts w:hint="eastAsia" w:ascii="黑体" w:hAnsi="黑体" w:eastAsia="黑体"/>
              <w:color w:val="auto"/>
              <w:highlight w:val="none"/>
            </w:rPr>
            <w:t>九、国有资本经营预算支出决算情况说明</w:t>
          </w:r>
          <w:r>
            <w:rPr>
              <w:color w:val="auto"/>
              <w:highlight w:val="none"/>
            </w:rPr>
            <w:tab/>
          </w:r>
          <w:r>
            <w:rPr>
              <w:color w:val="auto"/>
              <w:highlight w:val="none"/>
            </w:rPr>
            <w:fldChar w:fldCharType="begin"/>
          </w:r>
          <w:r>
            <w:rPr>
              <w:color w:val="auto"/>
              <w:highlight w:val="none"/>
            </w:rPr>
            <w:instrText xml:space="preserve"> PAGEREF _Toc4864 \h </w:instrText>
          </w:r>
          <w:r>
            <w:rPr>
              <w:color w:val="auto"/>
              <w:highlight w:val="none"/>
            </w:rPr>
            <w:fldChar w:fldCharType="separate"/>
          </w:r>
          <w:r>
            <w:rPr>
              <w:color w:val="auto"/>
              <w:highlight w:val="none"/>
            </w:rPr>
            <w:t>15</w:t>
          </w:r>
          <w:r>
            <w:rPr>
              <w:color w:val="auto"/>
              <w:highlight w:val="none"/>
            </w:rPr>
            <w:fldChar w:fldCharType="end"/>
          </w:r>
          <w:r>
            <w:rPr>
              <w:rFonts w:hint="eastAsia"/>
              <w:color w:val="auto"/>
              <w:highlight w:val="none"/>
            </w:rPr>
            <w:fldChar w:fldCharType="end"/>
          </w:r>
        </w:p>
        <w:p w14:paraId="2576FC2F">
          <w:pPr>
            <w:pStyle w:val="39"/>
            <w:keepNext w:val="0"/>
            <w:keepLines w:val="0"/>
            <w:pageBreakBefore w:val="0"/>
            <w:shd w:val="clear"/>
            <w:tabs>
              <w:tab w:val="right" w:leader="dot" w:pos="8845"/>
            </w:tabs>
            <w:kinsoku/>
            <w:wordWrap/>
            <w:overflowPunct/>
            <w:topLinePunct w:val="0"/>
            <w:autoSpaceDE/>
            <w:autoSpaceDN/>
            <w:bidi w:val="0"/>
            <w:adjustRightInd/>
            <w:snapToGrid/>
            <w:spacing w:line="340" w:lineRule="exact"/>
            <w:textAlignment w:val="auto"/>
            <w:rPr>
              <w:color w:val="auto"/>
              <w:highlight w:val="none"/>
            </w:rPr>
          </w:pPr>
          <w:r>
            <w:rPr>
              <w:rFonts w:hint="eastAsia"/>
              <w:color w:val="auto"/>
              <w:highlight w:val="none"/>
            </w:rPr>
            <w:fldChar w:fldCharType="begin"/>
          </w:r>
          <w:r>
            <w:rPr>
              <w:rFonts w:hint="eastAsia"/>
              <w:color w:val="auto"/>
              <w:highlight w:val="none"/>
            </w:rPr>
            <w:instrText xml:space="preserve"> HYPERLINK \l _Toc23636 </w:instrText>
          </w:r>
          <w:r>
            <w:rPr>
              <w:rFonts w:hint="eastAsia"/>
              <w:color w:val="auto"/>
              <w:highlight w:val="none"/>
            </w:rPr>
            <w:fldChar w:fldCharType="separate"/>
          </w:r>
          <w:r>
            <w:rPr>
              <w:rFonts w:hint="eastAsia" w:ascii="黑体" w:hAnsi="黑体" w:eastAsia="黑体"/>
              <w:color w:val="auto"/>
              <w:highlight w:val="none"/>
            </w:rPr>
            <w:t>十、其他重要事项的情况说明</w:t>
          </w:r>
          <w:r>
            <w:rPr>
              <w:color w:val="auto"/>
              <w:highlight w:val="none"/>
            </w:rPr>
            <w:tab/>
          </w:r>
          <w:r>
            <w:rPr>
              <w:color w:val="auto"/>
              <w:highlight w:val="none"/>
            </w:rPr>
            <w:fldChar w:fldCharType="begin"/>
          </w:r>
          <w:r>
            <w:rPr>
              <w:color w:val="auto"/>
              <w:highlight w:val="none"/>
            </w:rPr>
            <w:instrText xml:space="preserve"> PAGEREF _Toc23636 \h </w:instrText>
          </w:r>
          <w:r>
            <w:rPr>
              <w:color w:val="auto"/>
              <w:highlight w:val="none"/>
            </w:rPr>
            <w:fldChar w:fldCharType="separate"/>
          </w:r>
          <w:r>
            <w:rPr>
              <w:color w:val="auto"/>
              <w:highlight w:val="none"/>
            </w:rPr>
            <w:t>15</w:t>
          </w:r>
          <w:r>
            <w:rPr>
              <w:color w:val="auto"/>
              <w:highlight w:val="none"/>
            </w:rPr>
            <w:fldChar w:fldCharType="end"/>
          </w:r>
          <w:r>
            <w:rPr>
              <w:rFonts w:hint="eastAsia"/>
              <w:color w:val="auto"/>
              <w:highlight w:val="none"/>
            </w:rPr>
            <w:fldChar w:fldCharType="end"/>
          </w:r>
        </w:p>
        <w:p w14:paraId="2F23775D">
          <w:pPr>
            <w:pStyle w:val="38"/>
            <w:keepNext w:val="0"/>
            <w:keepLines w:val="0"/>
            <w:pageBreakBefore w:val="0"/>
            <w:shd w:val="clear"/>
            <w:tabs>
              <w:tab w:val="right" w:leader="dot" w:pos="8845"/>
            </w:tabs>
            <w:kinsoku/>
            <w:wordWrap/>
            <w:overflowPunct/>
            <w:topLinePunct w:val="0"/>
            <w:autoSpaceDE/>
            <w:autoSpaceDN/>
            <w:bidi w:val="0"/>
            <w:adjustRightInd/>
            <w:snapToGrid/>
            <w:spacing w:line="340" w:lineRule="exact"/>
            <w:textAlignment w:val="auto"/>
            <w:rPr>
              <w:b/>
              <w:color w:val="auto"/>
              <w:highlight w:val="none"/>
            </w:rPr>
          </w:pPr>
          <w:r>
            <w:rPr>
              <w:rFonts w:hint="eastAsia"/>
              <w:b/>
              <w:color w:val="auto"/>
              <w:highlight w:val="none"/>
            </w:rPr>
            <w:fldChar w:fldCharType="begin"/>
          </w:r>
          <w:r>
            <w:rPr>
              <w:rFonts w:hint="eastAsia"/>
              <w:b/>
              <w:color w:val="auto"/>
              <w:highlight w:val="none"/>
            </w:rPr>
            <w:instrText xml:space="preserve"> HYPERLINK \l _Toc8591 </w:instrText>
          </w:r>
          <w:r>
            <w:rPr>
              <w:rFonts w:hint="eastAsia"/>
              <w:b/>
              <w:color w:val="auto"/>
              <w:highlight w:val="none"/>
            </w:rPr>
            <w:fldChar w:fldCharType="separate"/>
          </w:r>
          <w:r>
            <w:rPr>
              <w:rFonts w:hint="eastAsia" w:ascii="黑体" w:hAnsi="黑体" w:eastAsia="黑体"/>
              <w:b/>
              <w:color w:val="auto"/>
              <w:szCs w:val="44"/>
              <w:highlight w:val="none"/>
              <w:lang w:eastAsia="zh-CN"/>
            </w:rPr>
            <w:t>第三部分</w:t>
          </w:r>
          <w:r>
            <w:rPr>
              <w:rFonts w:hint="eastAsia" w:ascii="黑体" w:hAnsi="黑体" w:eastAsia="黑体"/>
              <w:b/>
              <w:color w:val="auto"/>
              <w:szCs w:val="44"/>
              <w:highlight w:val="none"/>
            </w:rPr>
            <w:t>名</w:t>
          </w:r>
          <w:r>
            <w:rPr>
              <w:rFonts w:hint="eastAsia" w:ascii="黑体" w:hAnsi="黑体" w:eastAsia="黑体"/>
              <w:b/>
              <w:color w:val="auto"/>
              <w:highlight w:val="none"/>
            </w:rPr>
            <w:t>词解释</w:t>
          </w:r>
          <w:r>
            <w:rPr>
              <w:b/>
              <w:color w:val="auto"/>
              <w:highlight w:val="none"/>
            </w:rPr>
            <w:tab/>
          </w:r>
          <w:r>
            <w:rPr>
              <w:b/>
              <w:color w:val="auto"/>
              <w:highlight w:val="none"/>
            </w:rPr>
            <w:fldChar w:fldCharType="begin"/>
          </w:r>
          <w:r>
            <w:rPr>
              <w:b/>
              <w:color w:val="auto"/>
              <w:highlight w:val="none"/>
            </w:rPr>
            <w:instrText xml:space="preserve"> PAGEREF _Toc8591 \h </w:instrText>
          </w:r>
          <w:r>
            <w:rPr>
              <w:b/>
              <w:color w:val="auto"/>
              <w:highlight w:val="none"/>
            </w:rPr>
            <w:fldChar w:fldCharType="separate"/>
          </w:r>
          <w:r>
            <w:rPr>
              <w:b/>
              <w:color w:val="auto"/>
              <w:highlight w:val="none"/>
            </w:rPr>
            <w:t>18</w:t>
          </w:r>
          <w:r>
            <w:rPr>
              <w:b/>
              <w:color w:val="auto"/>
              <w:highlight w:val="none"/>
            </w:rPr>
            <w:fldChar w:fldCharType="end"/>
          </w:r>
          <w:r>
            <w:rPr>
              <w:rFonts w:hint="eastAsia"/>
              <w:b/>
              <w:color w:val="auto"/>
              <w:highlight w:val="none"/>
            </w:rPr>
            <w:fldChar w:fldCharType="end"/>
          </w:r>
        </w:p>
        <w:p w14:paraId="4A9281E6">
          <w:pPr>
            <w:pStyle w:val="38"/>
            <w:keepNext w:val="0"/>
            <w:keepLines w:val="0"/>
            <w:pageBreakBefore w:val="0"/>
            <w:shd w:val="clear"/>
            <w:tabs>
              <w:tab w:val="right" w:leader="dot" w:pos="8845"/>
            </w:tabs>
            <w:kinsoku/>
            <w:wordWrap/>
            <w:overflowPunct/>
            <w:topLinePunct w:val="0"/>
            <w:autoSpaceDE/>
            <w:autoSpaceDN/>
            <w:bidi w:val="0"/>
            <w:adjustRightInd/>
            <w:snapToGrid/>
            <w:spacing w:line="340" w:lineRule="exact"/>
            <w:textAlignment w:val="auto"/>
            <w:rPr>
              <w:b/>
              <w:color w:val="auto"/>
              <w:highlight w:val="none"/>
            </w:rPr>
          </w:pPr>
          <w:r>
            <w:rPr>
              <w:rFonts w:hint="eastAsia"/>
              <w:b/>
              <w:color w:val="auto"/>
              <w:highlight w:val="none"/>
            </w:rPr>
            <w:fldChar w:fldCharType="begin"/>
          </w:r>
          <w:r>
            <w:rPr>
              <w:rFonts w:hint="eastAsia"/>
              <w:b/>
              <w:color w:val="auto"/>
              <w:highlight w:val="none"/>
            </w:rPr>
            <w:instrText xml:space="preserve"> HYPERLINK \l _Toc4498 </w:instrText>
          </w:r>
          <w:r>
            <w:rPr>
              <w:rFonts w:hint="eastAsia"/>
              <w:b/>
              <w:color w:val="auto"/>
              <w:highlight w:val="none"/>
            </w:rPr>
            <w:fldChar w:fldCharType="separate"/>
          </w:r>
          <w:r>
            <w:rPr>
              <w:rFonts w:hint="eastAsia" w:ascii="黑体" w:hAnsi="黑体" w:eastAsia="黑体"/>
              <w:b/>
              <w:color w:val="auto"/>
              <w:szCs w:val="44"/>
              <w:highlight w:val="none"/>
            </w:rPr>
            <w:t>第</w:t>
          </w:r>
          <w:r>
            <w:rPr>
              <w:rFonts w:hint="eastAsia" w:ascii="黑体" w:hAnsi="黑体" w:eastAsia="黑体"/>
              <w:b/>
              <w:color w:val="auto"/>
              <w:highlight w:val="none"/>
            </w:rPr>
            <w:t>四部分附件</w:t>
          </w:r>
          <w:r>
            <w:rPr>
              <w:b/>
              <w:color w:val="auto"/>
              <w:highlight w:val="none"/>
            </w:rPr>
            <w:tab/>
          </w:r>
          <w:r>
            <w:rPr>
              <w:b/>
              <w:color w:val="auto"/>
              <w:highlight w:val="none"/>
            </w:rPr>
            <w:fldChar w:fldCharType="begin"/>
          </w:r>
          <w:r>
            <w:rPr>
              <w:b/>
              <w:color w:val="auto"/>
              <w:highlight w:val="none"/>
            </w:rPr>
            <w:instrText xml:space="preserve"> PAGEREF _Toc4498 \h </w:instrText>
          </w:r>
          <w:r>
            <w:rPr>
              <w:b/>
              <w:color w:val="auto"/>
              <w:highlight w:val="none"/>
            </w:rPr>
            <w:fldChar w:fldCharType="separate"/>
          </w:r>
          <w:r>
            <w:rPr>
              <w:b/>
              <w:color w:val="auto"/>
              <w:highlight w:val="none"/>
            </w:rPr>
            <w:t>23</w:t>
          </w:r>
          <w:r>
            <w:rPr>
              <w:b/>
              <w:color w:val="auto"/>
              <w:highlight w:val="none"/>
            </w:rPr>
            <w:fldChar w:fldCharType="end"/>
          </w:r>
          <w:r>
            <w:rPr>
              <w:rFonts w:hint="eastAsia"/>
              <w:b/>
              <w:color w:val="auto"/>
              <w:highlight w:val="none"/>
            </w:rPr>
            <w:fldChar w:fldCharType="end"/>
          </w:r>
        </w:p>
        <w:p w14:paraId="4D800F0E">
          <w:pPr>
            <w:pStyle w:val="38"/>
            <w:keepNext w:val="0"/>
            <w:keepLines w:val="0"/>
            <w:pageBreakBefore w:val="0"/>
            <w:shd w:val="clear"/>
            <w:tabs>
              <w:tab w:val="right" w:leader="dot" w:pos="8845"/>
            </w:tabs>
            <w:kinsoku/>
            <w:wordWrap/>
            <w:overflowPunct/>
            <w:topLinePunct w:val="0"/>
            <w:autoSpaceDE/>
            <w:autoSpaceDN/>
            <w:bidi w:val="0"/>
            <w:adjustRightInd/>
            <w:snapToGrid/>
            <w:spacing w:line="340" w:lineRule="exact"/>
            <w:textAlignment w:val="auto"/>
            <w:rPr>
              <w:b/>
              <w:color w:val="auto"/>
              <w:highlight w:val="none"/>
            </w:rPr>
          </w:pPr>
          <w:r>
            <w:rPr>
              <w:rFonts w:hint="eastAsia"/>
              <w:b/>
              <w:color w:val="auto"/>
              <w:highlight w:val="none"/>
            </w:rPr>
            <w:fldChar w:fldCharType="begin"/>
          </w:r>
          <w:r>
            <w:rPr>
              <w:rFonts w:hint="eastAsia"/>
              <w:b/>
              <w:color w:val="auto"/>
              <w:highlight w:val="none"/>
            </w:rPr>
            <w:instrText xml:space="preserve"> HYPERLINK \l _Toc21652 </w:instrText>
          </w:r>
          <w:r>
            <w:rPr>
              <w:rFonts w:hint="eastAsia"/>
              <w:b/>
              <w:color w:val="auto"/>
              <w:highlight w:val="none"/>
            </w:rPr>
            <w:fldChar w:fldCharType="separate"/>
          </w:r>
          <w:r>
            <w:rPr>
              <w:rFonts w:hint="eastAsia" w:ascii="黑体" w:hAnsi="黑体" w:eastAsia="黑体"/>
              <w:b/>
              <w:color w:val="auto"/>
              <w:szCs w:val="44"/>
              <w:highlight w:val="none"/>
            </w:rPr>
            <w:t>第</w:t>
          </w:r>
          <w:r>
            <w:rPr>
              <w:rFonts w:hint="eastAsia" w:ascii="黑体" w:hAnsi="黑体" w:eastAsia="黑体"/>
              <w:b/>
              <w:color w:val="auto"/>
              <w:highlight w:val="none"/>
            </w:rPr>
            <w:t>五部分附表</w:t>
          </w:r>
          <w:r>
            <w:rPr>
              <w:b/>
              <w:color w:val="auto"/>
              <w:highlight w:val="none"/>
            </w:rPr>
            <w:tab/>
          </w:r>
          <w:r>
            <w:rPr>
              <w:b/>
              <w:color w:val="auto"/>
              <w:highlight w:val="none"/>
            </w:rPr>
            <w:fldChar w:fldCharType="begin"/>
          </w:r>
          <w:r>
            <w:rPr>
              <w:b/>
              <w:color w:val="auto"/>
              <w:highlight w:val="none"/>
            </w:rPr>
            <w:instrText xml:space="preserve"> PAGEREF _Toc21652 \h </w:instrText>
          </w:r>
          <w:r>
            <w:rPr>
              <w:b/>
              <w:color w:val="auto"/>
              <w:highlight w:val="none"/>
            </w:rPr>
            <w:fldChar w:fldCharType="separate"/>
          </w:r>
          <w:r>
            <w:rPr>
              <w:b/>
              <w:color w:val="auto"/>
              <w:highlight w:val="none"/>
            </w:rPr>
            <w:t>25</w:t>
          </w:r>
          <w:r>
            <w:rPr>
              <w:b/>
              <w:color w:val="auto"/>
              <w:highlight w:val="none"/>
            </w:rPr>
            <w:fldChar w:fldCharType="end"/>
          </w:r>
          <w:r>
            <w:rPr>
              <w:rFonts w:hint="eastAsia"/>
              <w:b/>
              <w:color w:val="auto"/>
              <w:highlight w:val="none"/>
            </w:rPr>
            <w:fldChar w:fldCharType="end"/>
          </w:r>
        </w:p>
        <w:p w14:paraId="06D51311">
          <w:pPr>
            <w:pStyle w:val="39"/>
            <w:keepNext w:val="0"/>
            <w:keepLines w:val="0"/>
            <w:pageBreakBefore w:val="0"/>
            <w:shd w:val="clear"/>
            <w:tabs>
              <w:tab w:val="right" w:leader="dot" w:pos="8845"/>
            </w:tabs>
            <w:kinsoku/>
            <w:wordWrap/>
            <w:overflowPunct/>
            <w:topLinePunct w:val="0"/>
            <w:autoSpaceDE/>
            <w:autoSpaceDN/>
            <w:bidi w:val="0"/>
            <w:adjustRightInd/>
            <w:snapToGrid/>
            <w:spacing w:line="340" w:lineRule="exact"/>
            <w:textAlignment w:val="auto"/>
            <w:rPr>
              <w:color w:val="auto"/>
              <w:highlight w:val="none"/>
            </w:rPr>
          </w:pPr>
          <w:r>
            <w:rPr>
              <w:rFonts w:hint="eastAsia"/>
              <w:color w:val="auto"/>
              <w:highlight w:val="none"/>
            </w:rPr>
            <w:fldChar w:fldCharType="begin"/>
          </w:r>
          <w:r>
            <w:rPr>
              <w:rFonts w:hint="eastAsia"/>
              <w:color w:val="auto"/>
              <w:highlight w:val="none"/>
            </w:rPr>
            <w:instrText xml:space="preserve"> HYPERLINK \l _Toc26924 </w:instrText>
          </w:r>
          <w:r>
            <w:rPr>
              <w:rFonts w:hint="eastAsia"/>
              <w:color w:val="auto"/>
              <w:highlight w:val="none"/>
            </w:rPr>
            <w:fldChar w:fldCharType="separate"/>
          </w:r>
          <w:r>
            <w:rPr>
              <w:rFonts w:hint="eastAsia" w:ascii="仿宋_GB2312" w:hAnsi="仿宋_GB2312" w:eastAsia="仿宋_GB2312" w:cs="仿宋_GB2312"/>
              <w:color w:val="auto"/>
              <w:highlight w:val="none"/>
            </w:rPr>
            <w:t>一、收</w:t>
          </w:r>
          <w:r>
            <w:rPr>
              <w:rFonts w:hint="eastAsia" w:ascii="仿宋_GB2312" w:hAnsi="仿宋_GB2312" w:eastAsia="仿宋_GB2312" w:cs="仿宋_GB2312"/>
              <w:bCs w:val="0"/>
              <w:color w:val="auto"/>
              <w:highlight w:val="none"/>
            </w:rPr>
            <w:t>入支出决算总表</w:t>
          </w:r>
          <w:r>
            <w:rPr>
              <w:color w:val="auto"/>
              <w:highlight w:val="none"/>
            </w:rPr>
            <w:tab/>
          </w:r>
          <w:r>
            <w:rPr>
              <w:color w:val="auto"/>
              <w:highlight w:val="none"/>
            </w:rPr>
            <w:fldChar w:fldCharType="begin"/>
          </w:r>
          <w:r>
            <w:rPr>
              <w:color w:val="auto"/>
              <w:highlight w:val="none"/>
            </w:rPr>
            <w:instrText xml:space="preserve"> PAGEREF _Toc26924 \h </w:instrText>
          </w:r>
          <w:r>
            <w:rPr>
              <w:color w:val="auto"/>
              <w:highlight w:val="none"/>
            </w:rPr>
            <w:fldChar w:fldCharType="separate"/>
          </w:r>
          <w:r>
            <w:rPr>
              <w:color w:val="auto"/>
              <w:highlight w:val="none"/>
            </w:rPr>
            <w:t>25</w:t>
          </w:r>
          <w:r>
            <w:rPr>
              <w:color w:val="auto"/>
              <w:highlight w:val="none"/>
            </w:rPr>
            <w:fldChar w:fldCharType="end"/>
          </w:r>
          <w:r>
            <w:rPr>
              <w:rFonts w:hint="eastAsia"/>
              <w:color w:val="auto"/>
              <w:highlight w:val="none"/>
            </w:rPr>
            <w:fldChar w:fldCharType="end"/>
          </w:r>
        </w:p>
        <w:p w14:paraId="0B261DDA">
          <w:pPr>
            <w:pStyle w:val="39"/>
            <w:keepNext w:val="0"/>
            <w:keepLines w:val="0"/>
            <w:pageBreakBefore w:val="0"/>
            <w:shd w:val="clear"/>
            <w:tabs>
              <w:tab w:val="right" w:leader="dot" w:pos="8845"/>
            </w:tabs>
            <w:kinsoku/>
            <w:wordWrap/>
            <w:overflowPunct/>
            <w:topLinePunct w:val="0"/>
            <w:autoSpaceDE/>
            <w:autoSpaceDN/>
            <w:bidi w:val="0"/>
            <w:adjustRightInd/>
            <w:snapToGrid/>
            <w:spacing w:line="340" w:lineRule="exact"/>
            <w:textAlignment w:val="auto"/>
            <w:rPr>
              <w:color w:val="auto"/>
              <w:highlight w:val="none"/>
            </w:rPr>
          </w:pPr>
          <w:r>
            <w:rPr>
              <w:rFonts w:hint="eastAsia"/>
              <w:color w:val="auto"/>
              <w:highlight w:val="none"/>
            </w:rPr>
            <w:fldChar w:fldCharType="begin"/>
          </w:r>
          <w:r>
            <w:rPr>
              <w:rFonts w:hint="eastAsia"/>
              <w:color w:val="auto"/>
              <w:highlight w:val="none"/>
            </w:rPr>
            <w:instrText xml:space="preserve"> HYPERLINK \l _Toc28094 </w:instrText>
          </w:r>
          <w:r>
            <w:rPr>
              <w:rFonts w:hint="eastAsia"/>
              <w:color w:val="auto"/>
              <w:highlight w:val="none"/>
            </w:rPr>
            <w:fldChar w:fldCharType="separate"/>
          </w:r>
          <w:r>
            <w:rPr>
              <w:rFonts w:hint="eastAsia" w:ascii="仿宋_GB2312" w:hAnsi="仿宋_GB2312" w:eastAsia="仿宋_GB2312" w:cs="仿宋_GB2312"/>
              <w:color w:val="auto"/>
              <w:highlight w:val="none"/>
            </w:rPr>
            <w:t>二、收</w:t>
          </w:r>
          <w:r>
            <w:rPr>
              <w:rFonts w:hint="eastAsia" w:ascii="仿宋_GB2312" w:hAnsi="仿宋_GB2312" w:eastAsia="仿宋_GB2312" w:cs="仿宋_GB2312"/>
              <w:bCs w:val="0"/>
              <w:color w:val="auto"/>
              <w:highlight w:val="none"/>
            </w:rPr>
            <w:t>入决算表</w:t>
          </w:r>
          <w:r>
            <w:rPr>
              <w:color w:val="auto"/>
              <w:highlight w:val="none"/>
            </w:rPr>
            <w:tab/>
          </w:r>
          <w:r>
            <w:rPr>
              <w:color w:val="auto"/>
              <w:highlight w:val="none"/>
            </w:rPr>
            <w:fldChar w:fldCharType="begin"/>
          </w:r>
          <w:r>
            <w:rPr>
              <w:color w:val="auto"/>
              <w:highlight w:val="none"/>
            </w:rPr>
            <w:instrText xml:space="preserve"> PAGEREF _Toc28094 \h </w:instrText>
          </w:r>
          <w:r>
            <w:rPr>
              <w:color w:val="auto"/>
              <w:highlight w:val="none"/>
            </w:rPr>
            <w:fldChar w:fldCharType="separate"/>
          </w:r>
          <w:r>
            <w:rPr>
              <w:color w:val="auto"/>
              <w:highlight w:val="none"/>
            </w:rPr>
            <w:t>25</w:t>
          </w:r>
          <w:r>
            <w:rPr>
              <w:color w:val="auto"/>
              <w:highlight w:val="none"/>
            </w:rPr>
            <w:fldChar w:fldCharType="end"/>
          </w:r>
          <w:r>
            <w:rPr>
              <w:rFonts w:hint="eastAsia"/>
              <w:color w:val="auto"/>
              <w:highlight w:val="none"/>
            </w:rPr>
            <w:fldChar w:fldCharType="end"/>
          </w:r>
        </w:p>
        <w:p w14:paraId="5FD6E8BA">
          <w:pPr>
            <w:pStyle w:val="39"/>
            <w:keepNext w:val="0"/>
            <w:keepLines w:val="0"/>
            <w:pageBreakBefore w:val="0"/>
            <w:shd w:val="clear"/>
            <w:tabs>
              <w:tab w:val="right" w:leader="dot" w:pos="8845"/>
            </w:tabs>
            <w:kinsoku/>
            <w:wordWrap/>
            <w:overflowPunct/>
            <w:topLinePunct w:val="0"/>
            <w:autoSpaceDE/>
            <w:autoSpaceDN/>
            <w:bidi w:val="0"/>
            <w:adjustRightInd/>
            <w:snapToGrid/>
            <w:spacing w:line="340" w:lineRule="exact"/>
            <w:textAlignment w:val="auto"/>
            <w:rPr>
              <w:color w:val="auto"/>
              <w:highlight w:val="none"/>
            </w:rPr>
          </w:pPr>
          <w:r>
            <w:rPr>
              <w:rFonts w:hint="eastAsia"/>
              <w:color w:val="auto"/>
              <w:highlight w:val="none"/>
            </w:rPr>
            <w:fldChar w:fldCharType="begin"/>
          </w:r>
          <w:r>
            <w:rPr>
              <w:rFonts w:hint="eastAsia"/>
              <w:color w:val="auto"/>
              <w:highlight w:val="none"/>
            </w:rPr>
            <w:instrText xml:space="preserve"> HYPERLINK \l _Toc18285 </w:instrText>
          </w:r>
          <w:r>
            <w:rPr>
              <w:rFonts w:hint="eastAsia"/>
              <w:color w:val="auto"/>
              <w:highlight w:val="none"/>
            </w:rPr>
            <w:fldChar w:fldCharType="separate"/>
          </w:r>
          <w:r>
            <w:rPr>
              <w:rFonts w:hint="eastAsia" w:ascii="仿宋_GB2312" w:hAnsi="仿宋_GB2312" w:eastAsia="仿宋_GB2312" w:cs="仿宋_GB2312"/>
              <w:bCs w:val="0"/>
              <w:color w:val="auto"/>
              <w:highlight w:val="none"/>
            </w:rPr>
            <w:t>三、</w:t>
          </w:r>
          <w:r>
            <w:rPr>
              <w:rFonts w:hint="eastAsia" w:ascii="仿宋_GB2312" w:hAnsi="仿宋_GB2312" w:eastAsia="仿宋_GB2312" w:cs="仿宋_GB2312"/>
              <w:color w:val="auto"/>
              <w:highlight w:val="none"/>
            </w:rPr>
            <w:t>支</w:t>
          </w:r>
          <w:r>
            <w:rPr>
              <w:rFonts w:hint="eastAsia" w:ascii="仿宋_GB2312" w:hAnsi="仿宋_GB2312" w:eastAsia="仿宋_GB2312" w:cs="仿宋_GB2312"/>
              <w:bCs w:val="0"/>
              <w:color w:val="auto"/>
              <w:highlight w:val="none"/>
            </w:rPr>
            <w:t>出决算表</w:t>
          </w:r>
          <w:r>
            <w:rPr>
              <w:color w:val="auto"/>
              <w:highlight w:val="none"/>
            </w:rPr>
            <w:tab/>
          </w:r>
          <w:r>
            <w:rPr>
              <w:color w:val="auto"/>
              <w:highlight w:val="none"/>
            </w:rPr>
            <w:fldChar w:fldCharType="begin"/>
          </w:r>
          <w:r>
            <w:rPr>
              <w:color w:val="auto"/>
              <w:highlight w:val="none"/>
            </w:rPr>
            <w:instrText xml:space="preserve"> PAGEREF _Toc18285 \h </w:instrText>
          </w:r>
          <w:r>
            <w:rPr>
              <w:color w:val="auto"/>
              <w:highlight w:val="none"/>
            </w:rPr>
            <w:fldChar w:fldCharType="separate"/>
          </w:r>
          <w:r>
            <w:rPr>
              <w:color w:val="auto"/>
              <w:highlight w:val="none"/>
            </w:rPr>
            <w:t>25</w:t>
          </w:r>
          <w:r>
            <w:rPr>
              <w:color w:val="auto"/>
              <w:highlight w:val="none"/>
            </w:rPr>
            <w:fldChar w:fldCharType="end"/>
          </w:r>
          <w:r>
            <w:rPr>
              <w:rFonts w:hint="eastAsia"/>
              <w:color w:val="auto"/>
              <w:highlight w:val="none"/>
            </w:rPr>
            <w:fldChar w:fldCharType="end"/>
          </w:r>
        </w:p>
        <w:p w14:paraId="43AB69FE">
          <w:pPr>
            <w:pStyle w:val="39"/>
            <w:keepNext w:val="0"/>
            <w:keepLines w:val="0"/>
            <w:pageBreakBefore w:val="0"/>
            <w:shd w:val="clear"/>
            <w:tabs>
              <w:tab w:val="right" w:leader="dot" w:pos="8845"/>
            </w:tabs>
            <w:kinsoku/>
            <w:wordWrap/>
            <w:overflowPunct/>
            <w:topLinePunct w:val="0"/>
            <w:autoSpaceDE/>
            <w:autoSpaceDN/>
            <w:bidi w:val="0"/>
            <w:adjustRightInd/>
            <w:snapToGrid/>
            <w:spacing w:line="340" w:lineRule="exact"/>
            <w:textAlignment w:val="auto"/>
            <w:rPr>
              <w:color w:val="auto"/>
              <w:highlight w:val="none"/>
            </w:rPr>
          </w:pPr>
          <w:r>
            <w:rPr>
              <w:rFonts w:hint="eastAsia"/>
              <w:color w:val="auto"/>
              <w:highlight w:val="none"/>
            </w:rPr>
            <w:fldChar w:fldCharType="begin"/>
          </w:r>
          <w:r>
            <w:rPr>
              <w:rFonts w:hint="eastAsia"/>
              <w:color w:val="auto"/>
              <w:highlight w:val="none"/>
            </w:rPr>
            <w:instrText xml:space="preserve"> HYPERLINK \l _Toc14558 </w:instrText>
          </w:r>
          <w:r>
            <w:rPr>
              <w:rFonts w:hint="eastAsia"/>
              <w:color w:val="auto"/>
              <w:highlight w:val="none"/>
            </w:rPr>
            <w:fldChar w:fldCharType="separate"/>
          </w:r>
          <w:r>
            <w:rPr>
              <w:rFonts w:hint="eastAsia" w:ascii="仿宋_GB2312" w:hAnsi="仿宋_GB2312" w:eastAsia="仿宋_GB2312" w:cs="仿宋_GB2312"/>
              <w:bCs w:val="0"/>
              <w:color w:val="auto"/>
              <w:highlight w:val="none"/>
            </w:rPr>
            <w:t>四、</w:t>
          </w:r>
          <w:r>
            <w:rPr>
              <w:rFonts w:hint="eastAsia" w:ascii="仿宋_GB2312" w:hAnsi="仿宋_GB2312" w:eastAsia="仿宋_GB2312" w:cs="仿宋_GB2312"/>
              <w:color w:val="auto"/>
              <w:highlight w:val="none"/>
            </w:rPr>
            <w:t>财</w:t>
          </w:r>
          <w:r>
            <w:rPr>
              <w:rFonts w:hint="eastAsia" w:ascii="仿宋_GB2312" w:hAnsi="仿宋_GB2312" w:eastAsia="仿宋_GB2312" w:cs="仿宋_GB2312"/>
              <w:bCs w:val="0"/>
              <w:color w:val="auto"/>
              <w:highlight w:val="none"/>
            </w:rPr>
            <w:t>政拨款收入支出决算总表</w:t>
          </w:r>
          <w:r>
            <w:rPr>
              <w:color w:val="auto"/>
              <w:highlight w:val="none"/>
            </w:rPr>
            <w:tab/>
          </w:r>
          <w:r>
            <w:rPr>
              <w:color w:val="auto"/>
              <w:highlight w:val="none"/>
            </w:rPr>
            <w:fldChar w:fldCharType="begin"/>
          </w:r>
          <w:r>
            <w:rPr>
              <w:color w:val="auto"/>
              <w:highlight w:val="none"/>
            </w:rPr>
            <w:instrText xml:space="preserve"> PAGEREF _Toc14558 \h </w:instrText>
          </w:r>
          <w:r>
            <w:rPr>
              <w:color w:val="auto"/>
              <w:highlight w:val="none"/>
            </w:rPr>
            <w:fldChar w:fldCharType="separate"/>
          </w:r>
          <w:r>
            <w:rPr>
              <w:color w:val="auto"/>
              <w:highlight w:val="none"/>
            </w:rPr>
            <w:t>25</w:t>
          </w:r>
          <w:r>
            <w:rPr>
              <w:color w:val="auto"/>
              <w:highlight w:val="none"/>
            </w:rPr>
            <w:fldChar w:fldCharType="end"/>
          </w:r>
          <w:r>
            <w:rPr>
              <w:rFonts w:hint="eastAsia"/>
              <w:color w:val="auto"/>
              <w:highlight w:val="none"/>
            </w:rPr>
            <w:fldChar w:fldCharType="end"/>
          </w:r>
        </w:p>
        <w:p w14:paraId="1195C114">
          <w:pPr>
            <w:pStyle w:val="39"/>
            <w:keepNext w:val="0"/>
            <w:keepLines w:val="0"/>
            <w:pageBreakBefore w:val="0"/>
            <w:shd w:val="clear"/>
            <w:tabs>
              <w:tab w:val="right" w:leader="dot" w:pos="8845"/>
            </w:tabs>
            <w:kinsoku/>
            <w:wordWrap/>
            <w:overflowPunct/>
            <w:topLinePunct w:val="0"/>
            <w:autoSpaceDE/>
            <w:autoSpaceDN/>
            <w:bidi w:val="0"/>
            <w:adjustRightInd/>
            <w:snapToGrid/>
            <w:spacing w:line="340" w:lineRule="exact"/>
            <w:textAlignment w:val="auto"/>
            <w:rPr>
              <w:color w:val="auto"/>
              <w:highlight w:val="none"/>
            </w:rPr>
          </w:pPr>
          <w:r>
            <w:rPr>
              <w:rFonts w:hint="eastAsia"/>
              <w:color w:val="auto"/>
              <w:highlight w:val="none"/>
            </w:rPr>
            <w:fldChar w:fldCharType="begin"/>
          </w:r>
          <w:r>
            <w:rPr>
              <w:rFonts w:hint="eastAsia"/>
              <w:color w:val="auto"/>
              <w:highlight w:val="none"/>
            </w:rPr>
            <w:instrText xml:space="preserve"> HYPERLINK \l _Toc2813 </w:instrText>
          </w:r>
          <w:r>
            <w:rPr>
              <w:rFonts w:hint="eastAsia"/>
              <w:color w:val="auto"/>
              <w:highlight w:val="none"/>
            </w:rPr>
            <w:fldChar w:fldCharType="separate"/>
          </w:r>
          <w:r>
            <w:rPr>
              <w:rFonts w:hint="eastAsia" w:ascii="仿宋_GB2312" w:hAnsi="仿宋_GB2312" w:eastAsia="仿宋_GB2312" w:cs="仿宋_GB2312"/>
              <w:bCs w:val="0"/>
              <w:color w:val="auto"/>
              <w:highlight w:val="none"/>
            </w:rPr>
            <w:t>五、</w:t>
          </w:r>
          <w:r>
            <w:rPr>
              <w:rFonts w:hint="eastAsia" w:ascii="仿宋_GB2312" w:hAnsi="仿宋_GB2312" w:eastAsia="仿宋_GB2312" w:cs="仿宋_GB2312"/>
              <w:color w:val="auto"/>
              <w:highlight w:val="none"/>
            </w:rPr>
            <w:t>财</w:t>
          </w:r>
          <w:r>
            <w:rPr>
              <w:rFonts w:hint="eastAsia" w:ascii="仿宋_GB2312" w:hAnsi="仿宋_GB2312" w:eastAsia="仿宋_GB2312" w:cs="仿宋_GB2312"/>
              <w:bCs w:val="0"/>
              <w:color w:val="auto"/>
              <w:highlight w:val="none"/>
            </w:rPr>
            <w:t>政拨款支出决算明细表</w:t>
          </w:r>
          <w:r>
            <w:rPr>
              <w:color w:val="auto"/>
              <w:highlight w:val="none"/>
            </w:rPr>
            <w:tab/>
          </w:r>
          <w:r>
            <w:rPr>
              <w:color w:val="auto"/>
              <w:highlight w:val="none"/>
            </w:rPr>
            <w:fldChar w:fldCharType="begin"/>
          </w:r>
          <w:r>
            <w:rPr>
              <w:color w:val="auto"/>
              <w:highlight w:val="none"/>
            </w:rPr>
            <w:instrText xml:space="preserve"> PAGEREF _Toc2813 \h </w:instrText>
          </w:r>
          <w:r>
            <w:rPr>
              <w:color w:val="auto"/>
              <w:highlight w:val="none"/>
            </w:rPr>
            <w:fldChar w:fldCharType="separate"/>
          </w:r>
          <w:r>
            <w:rPr>
              <w:color w:val="auto"/>
              <w:highlight w:val="none"/>
            </w:rPr>
            <w:t>25</w:t>
          </w:r>
          <w:r>
            <w:rPr>
              <w:color w:val="auto"/>
              <w:highlight w:val="none"/>
            </w:rPr>
            <w:fldChar w:fldCharType="end"/>
          </w:r>
          <w:r>
            <w:rPr>
              <w:rFonts w:hint="eastAsia"/>
              <w:color w:val="auto"/>
              <w:highlight w:val="none"/>
            </w:rPr>
            <w:fldChar w:fldCharType="end"/>
          </w:r>
        </w:p>
        <w:p w14:paraId="44EFA37D">
          <w:pPr>
            <w:pStyle w:val="39"/>
            <w:keepNext w:val="0"/>
            <w:keepLines w:val="0"/>
            <w:pageBreakBefore w:val="0"/>
            <w:shd w:val="clear"/>
            <w:tabs>
              <w:tab w:val="right" w:leader="dot" w:pos="8845"/>
            </w:tabs>
            <w:kinsoku/>
            <w:wordWrap/>
            <w:overflowPunct/>
            <w:topLinePunct w:val="0"/>
            <w:autoSpaceDE/>
            <w:autoSpaceDN/>
            <w:bidi w:val="0"/>
            <w:adjustRightInd/>
            <w:snapToGrid/>
            <w:spacing w:line="340" w:lineRule="exact"/>
            <w:textAlignment w:val="auto"/>
            <w:rPr>
              <w:color w:val="auto"/>
              <w:highlight w:val="none"/>
            </w:rPr>
          </w:pPr>
          <w:r>
            <w:rPr>
              <w:rFonts w:hint="eastAsia"/>
              <w:color w:val="auto"/>
              <w:highlight w:val="none"/>
            </w:rPr>
            <w:fldChar w:fldCharType="begin"/>
          </w:r>
          <w:r>
            <w:rPr>
              <w:rFonts w:hint="eastAsia"/>
              <w:color w:val="auto"/>
              <w:highlight w:val="none"/>
            </w:rPr>
            <w:instrText xml:space="preserve"> HYPERLINK \l _Toc31612 </w:instrText>
          </w:r>
          <w:r>
            <w:rPr>
              <w:rFonts w:hint="eastAsia"/>
              <w:color w:val="auto"/>
              <w:highlight w:val="none"/>
            </w:rPr>
            <w:fldChar w:fldCharType="separate"/>
          </w:r>
          <w:r>
            <w:rPr>
              <w:rFonts w:hint="eastAsia" w:ascii="仿宋_GB2312" w:hAnsi="仿宋_GB2312" w:eastAsia="仿宋_GB2312" w:cs="仿宋_GB2312"/>
              <w:bCs w:val="0"/>
              <w:color w:val="auto"/>
              <w:highlight w:val="none"/>
            </w:rPr>
            <w:t>六、</w:t>
          </w:r>
          <w:r>
            <w:rPr>
              <w:rFonts w:hint="eastAsia" w:ascii="仿宋_GB2312" w:hAnsi="仿宋_GB2312" w:eastAsia="仿宋_GB2312" w:cs="仿宋_GB2312"/>
              <w:color w:val="auto"/>
              <w:highlight w:val="none"/>
            </w:rPr>
            <w:t>一</w:t>
          </w:r>
          <w:r>
            <w:rPr>
              <w:rFonts w:hint="eastAsia" w:ascii="仿宋_GB2312" w:hAnsi="仿宋_GB2312" w:eastAsia="仿宋_GB2312" w:cs="仿宋_GB2312"/>
              <w:bCs w:val="0"/>
              <w:color w:val="auto"/>
              <w:highlight w:val="none"/>
            </w:rPr>
            <w:t>般公共预算财政拨款支出决算表</w:t>
          </w:r>
          <w:r>
            <w:rPr>
              <w:color w:val="auto"/>
              <w:highlight w:val="none"/>
            </w:rPr>
            <w:tab/>
          </w:r>
          <w:r>
            <w:rPr>
              <w:color w:val="auto"/>
              <w:highlight w:val="none"/>
            </w:rPr>
            <w:fldChar w:fldCharType="begin"/>
          </w:r>
          <w:r>
            <w:rPr>
              <w:color w:val="auto"/>
              <w:highlight w:val="none"/>
            </w:rPr>
            <w:instrText xml:space="preserve"> PAGEREF _Toc31612 \h </w:instrText>
          </w:r>
          <w:r>
            <w:rPr>
              <w:color w:val="auto"/>
              <w:highlight w:val="none"/>
            </w:rPr>
            <w:fldChar w:fldCharType="separate"/>
          </w:r>
          <w:r>
            <w:rPr>
              <w:color w:val="auto"/>
              <w:highlight w:val="none"/>
            </w:rPr>
            <w:t>25</w:t>
          </w:r>
          <w:r>
            <w:rPr>
              <w:color w:val="auto"/>
              <w:highlight w:val="none"/>
            </w:rPr>
            <w:fldChar w:fldCharType="end"/>
          </w:r>
          <w:r>
            <w:rPr>
              <w:rFonts w:hint="eastAsia"/>
              <w:color w:val="auto"/>
              <w:highlight w:val="none"/>
            </w:rPr>
            <w:fldChar w:fldCharType="end"/>
          </w:r>
        </w:p>
        <w:p w14:paraId="1A7D9087">
          <w:pPr>
            <w:pStyle w:val="39"/>
            <w:keepNext w:val="0"/>
            <w:keepLines w:val="0"/>
            <w:pageBreakBefore w:val="0"/>
            <w:shd w:val="clear"/>
            <w:tabs>
              <w:tab w:val="right" w:leader="dot" w:pos="8845"/>
            </w:tabs>
            <w:kinsoku/>
            <w:wordWrap/>
            <w:overflowPunct/>
            <w:topLinePunct w:val="0"/>
            <w:autoSpaceDE/>
            <w:autoSpaceDN/>
            <w:bidi w:val="0"/>
            <w:adjustRightInd/>
            <w:snapToGrid/>
            <w:spacing w:line="340" w:lineRule="exact"/>
            <w:textAlignment w:val="auto"/>
            <w:rPr>
              <w:color w:val="auto"/>
              <w:highlight w:val="none"/>
            </w:rPr>
          </w:pPr>
          <w:r>
            <w:rPr>
              <w:rFonts w:hint="eastAsia"/>
              <w:color w:val="auto"/>
              <w:highlight w:val="none"/>
            </w:rPr>
            <w:fldChar w:fldCharType="begin"/>
          </w:r>
          <w:r>
            <w:rPr>
              <w:rFonts w:hint="eastAsia"/>
              <w:color w:val="auto"/>
              <w:highlight w:val="none"/>
            </w:rPr>
            <w:instrText xml:space="preserve"> HYPERLINK \l _Toc9942 </w:instrText>
          </w:r>
          <w:r>
            <w:rPr>
              <w:rFonts w:hint="eastAsia"/>
              <w:color w:val="auto"/>
              <w:highlight w:val="none"/>
            </w:rPr>
            <w:fldChar w:fldCharType="separate"/>
          </w:r>
          <w:r>
            <w:rPr>
              <w:rFonts w:hint="eastAsia" w:ascii="仿宋_GB2312" w:hAnsi="仿宋_GB2312" w:eastAsia="仿宋_GB2312" w:cs="仿宋_GB2312"/>
              <w:bCs w:val="0"/>
              <w:color w:val="auto"/>
              <w:highlight w:val="none"/>
            </w:rPr>
            <w:t>七、</w:t>
          </w:r>
          <w:r>
            <w:rPr>
              <w:rFonts w:hint="eastAsia" w:ascii="仿宋_GB2312" w:hAnsi="仿宋_GB2312" w:eastAsia="仿宋_GB2312" w:cs="仿宋_GB2312"/>
              <w:color w:val="auto"/>
              <w:highlight w:val="none"/>
            </w:rPr>
            <w:t>一</w:t>
          </w:r>
          <w:r>
            <w:rPr>
              <w:rFonts w:hint="eastAsia" w:ascii="仿宋_GB2312" w:hAnsi="仿宋_GB2312" w:eastAsia="仿宋_GB2312" w:cs="仿宋_GB2312"/>
              <w:bCs w:val="0"/>
              <w:color w:val="auto"/>
              <w:highlight w:val="none"/>
            </w:rPr>
            <w:t>般公共预算财政拨款支出决算明细表</w:t>
          </w:r>
          <w:r>
            <w:rPr>
              <w:color w:val="auto"/>
              <w:highlight w:val="none"/>
            </w:rPr>
            <w:tab/>
          </w:r>
          <w:r>
            <w:rPr>
              <w:color w:val="auto"/>
              <w:highlight w:val="none"/>
            </w:rPr>
            <w:fldChar w:fldCharType="begin"/>
          </w:r>
          <w:r>
            <w:rPr>
              <w:color w:val="auto"/>
              <w:highlight w:val="none"/>
            </w:rPr>
            <w:instrText xml:space="preserve"> PAGEREF _Toc9942 \h </w:instrText>
          </w:r>
          <w:r>
            <w:rPr>
              <w:color w:val="auto"/>
              <w:highlight w:val="none"/>
            </w:rPr>
            <w:fldChar w:fldCharType="separate"/>
          </w:r>
          <w:r>
            <w:rPr>
              <w:color w:val="auto"/>
              <w:highlight w:val="none"/>
            </w:rPr>
            <w:t>25</w:t>
          </w:r>
          <w:r>
            <w:rPr>
              <w:color w:val="auto"/>
              <w:highlight w:val="none"/>
            </w:rPr>
            <w:fldChar w:fldCharType="end"/>
          </w:r>
          <w:r>
            <w:rPr>
              <w:rFonts w:hint="eastAsia"/>
              <w:color w:val="auto"/>
              <w:highlight w:val="none"/>
            </w:rPr>
            <w:fldChar w:fldCharType="end"/>
          </w:r>
        </w:p>
        <w:p w14:paraId="0CC72837">
          <w:pPr>
            <w:pStyle w:val="39"/>
            <w:keepNext w:val="0"/>
            <w:keepLines w:val="0"/>
            <w:pageBreakBefore w:val="0"/>
            <w:shd w:val="clear"/>
            <w:tabs>
              <w:tab w:val="right" w:leader="dot" w:pos="8845"/>
            </w:tabs>
            <w:kinsoku/>
            <w:wordWrap/>
            <w:overflowPunct/>
            <w:topLinePunct w:val="0"/>
            <w:autoSpaceDE/>
            <w:autoSpaceDN/>
            <w:bidi w:val="0"/>
            <w:adjustRightInd/>
            <w:snapToGrid/>
            <w:spacing w:line="340" w:lineRule="exact"/>
            <w:textAlignment w:val="auto"/>
            <w:rPr>
              <w:color w:val="auto"/>
              <w:highlight w:val="none"/>
            </w:rPr>
          </w:pPr>
          <w:r>
            <w:rPr>
              <w:rFonts w:hint="eastAsia"/>
              <w:color w:val="auto"/>
              <w:highlight w:val="none"/>
            </w:rPr>
            <w:fldChar w:fldCharType="begin"/>
          </w:r>
          <w:r>
            <w:rPr>
              <w:rFonts w:hint="eastAsia"/>
              <w:color w:val="auto"/>
              <w:highlight w:val="none"/>
            </w:rPr>
            <w:instrText xml:space="preserve"> HYPERLINK \l _Toc23027 </w:instrText>
          </w:r>
          <w:r>
            <w:rPr>
              <w:rFonts w:hint="eastAsia"/>
              <w:color w:val="auto"/>
              <w:highlight w:val="none"/>
            </w:rPr>
            <w:fldChar w:fldCharType="separate"/>
          </w:r>
          <w:r>
            <w:rPr>
              <w:rFonts w:hint="eastAsia" w:ascii="仿宋_GB2312" w:hAnsi="仿宋_GB2312" w:eastAsia="仿宋_GB2312" w:cs="仿宋_GB2312"/>
              <w:bCs w:val="0"/>
              <w:color w:val="auto"/>
              <w:highlight w:val="none"/>
            </w:rPr>
            <w:t>八、</w:t>
          </w:r>
          <w:r>
            <w:rPr>
              <w:rFonts w:hint="eastAsia" w:ascii="仿宋_GB2312" w:hAnsi="仿宋_GB2312" w:eastAsia="仿宋_GB2312" w:cs="仿宋_GB2312"/>
              <w:color w:val="auto"/>
              <w:highlight w:val="none"/>
            </w:rPr>
            <w:t>一</w:t>
          </w:r>
          <w:r>
            <w:rPr>
              <w:rFonts w:hint="eastAsia" w:ascii="仿宋_GB2312" w:hAnsi="仿宋_GB2312" w:eastAsia="仿宋_GB2312" w:cs="仿宋_GB2312"/>
              <w:bCs w:val="0"/>
              <w:color w:val="auto"/>
              <w:highlight w:val="none"/>
            </w:rPr>
            <w:t>般公共预算财政拨款基本支出决算表</w:t>
          </w:r>
          <w:r>
            <w:rPr>
              <w:color w:val="auto"/>
              <w:highlight w:val="none"/>
            </w:rPr>
            <w:tab/>
          </w:r>
          <w:r>
            <w:rPr>
              <w:color w:val="auto"/>
              <w:highlight w:val="none"/>
            </w:rPr>
            <w:fldChar w:fldCharType="begin"/>
          </w:r>
          <w:r>
            <w:rPr>
              <w:color w:val="auto"/>
              <w:highlight w:val="none"/>
            </w:rPr>
            <w:instrText xml:space="preserve"> PAGEREF _Toc23027 \h </w:instrText>
          </w:r>
          <w:r>
            <w:rPr>
              <w:color w:val="auto"/>
              <w:highlight w:val="none"/>
            </w:rPr>
            <w:fldChar w:fldCharType="separate"/>
          </w:r>
          <w:r>
            <w:rPr>
              <w:color w:val="auto"/>
              <w:highlight w:val="none"/>
            </w:rPr>
            <w:t>25</w:t>
          </w:r>
          <w:r>
            <w:rPr>
              <w:color w:val="auto"/>
              <w:highlight w:val="none"/>
            </w:rPr>
            <w:fldChar w:fldCharType="end"/>
          </w:r>
          <w:r>
            <w:rPr>
              <w:rFonts w:hint="eastAsia"/>
              <w:color w:val="auto"/>
              <w:highlight w:val="none"/>
            </w:rPr>
            <w:fldChar w:fldCharType="end"/>
          </w:r>
        </w:p>
        <w:p w14:paraId="0130DEAC">
          <w:pPr>
            <w:pStyle w:val="39"/>
            <w:keepNext w:val="0"/>
            <w:keepLines w:val="0"/>
            <w:pageBreakBefore w:val="0"/>
            <w:shd w:val="clear"/>
            <w:tabs>
              <w:tab w:val="right" w:leader="dot" w:pos="8845"/>
            </w:tabs>
            <w:kinsoku/>
            <w:wordWrap/>
            <w:overflowPunct/>
            <w:topLinePunct w:val="0"/>
            <w:autoSpaceDE/>
            <w:autoSpaceDN/>
            <w:bidi w:val="0"/>
            <w:adjustRightInd/>
            <w:snapToGrid/>
            <w:spacing w:line="340" w:lineRule="exact"/>
            <w:textAlignment w:val="auto"/>
            <w:rPr>
              <w:color w:val="auto"/>
              <w:highlight w:val="none"/>
            </w:rPr>
          </w:pPr>
          <w:r>
            <w:rPr>
              <w:rFonts w:hint="eastAsia"/>
              <w:color w:val="auto"/>
              <w:highlight w:val="none"/>
            </w:rPr>
            <w:fldChar w:fldCharType="begin"/>
          </w:r>
          <w:r>
            <w:rPr>
              <w:rFonts w:hint="eastAsia"/>
              <w:color w:val="auto"/>
              <w:highlight w:val="none"/>
            </w:rPr>
            <w:instrText xml:space="preserve"> HYPERLINK \l _Toc24077 </w:instrText>
          </w:r>
          <w:r>
            <w:rPr>
              <w:rFonts w:hint="eastAsia"/>
              <w:color w:val="auto"/>
              <w:highlight w:val="none"/>
            </w:rPr>
            <w:fldChar w:fldCharType="separate"/>
          </w:r>
          <w:r>
            <w:rPr>
              <w:rFonts w:hint="eastAsia" w:ascii="仿宋_GB2312" w:hAnsi="仿宋_GB2312" w:eastAsia="仿宋_GB2312" w:cs="仿宋_GB2312"/>
              <w:bCs w:val="0"/>
              <w:color w:val="auto"/>
              <w:highlight w:val="none"/>
            </w:rPr>
            <w:t>九、</w:t>
          </w:r>
          <w:r>
            <w:rPr>
              <w:rFonts w:hint="eastAsia" w:ascii="仿宋_GB2312" w:hAnsi="仿宋_GB2312" w:eastAsia="仿宋_GB2312" w:cs="仿宋_GB2312"/>
              <w:color w:val="auto"/>
              <w:highlight w:val="none"/>
            </w:rPr>
            <w:t>一</w:t>
          </w:r>
          <w:r>
            <w:rPr>
              <w:rFonts w:hint="eastAsia" w:ascii="仿宋_GB2312" w:hAnsi="仿宋_GB2312" w:eastAsia="仿宋_GB2312" w:cs="仿宋_GB2312"/>
              <w:bCs w:val="0"/>
              <w:color w:val="auto"/>
              <w:highlight w:val="none"/>
            </w:rPr>
            <w:t>般公共预算财政拨款项目支出决算表</w:t>
          </w:r>
          <w:r>
            <w:rPr>
              <w:color w:val="auto"/>
              <w:highlight w:val="none"/>
            </w:rPr>
            <w:tab/>
          </w:r>
          <w:r>
            <w:rPr>
              <w:color w:val="auto"/>
              <w:highlight w:val="none"/>
            </w:rPr>
            <w:fldChar w:fldCharType="begin"/>
          </w:r>
          <w:r>
            <w:rPr>
              <w:color w:val="auto"/>
              <w:highlight w:val="none"/>
            </w:rPr>
            <w:instrText xml:space="preserve"> PAGEREF _Toc24077 \h </w:instrText>
          </w:r>
          <w:r>
            <w:rPr>
              <w:color w:val="auto"/>
              <w:highlight w:val="none"/>
            </w:rPr>
            <w:fldChar w:fldCharType="separate"/>
          </w:r>
          <w:r>
            <w:rPr>
              <w:color w:val="auto"/>
              <w:highlight w:val="none"/>
            </w:rPr>
            <w:t>25</w:t>
          </w:r>
          <w:r>
            <w:rPr>
              <w:color w:val="auto"/>
              <w:highlight w:val="none"/>
            </w:rPr>
            <w:fldChar w:fldCharType="end"/>
          </w:r>
          <w:r>
            <w:rPr>
              <w:rFonts w:hint="eastAsia"/>
              <w:color w:val="auto"/>
              <w:highlight w:val="none"/>
            </w:rPr>
            <w:fldChar w:fldCharType="end"/>
          </w:r>
        </w:p>
        <w:p w14:paraId="2036BB34">
          <w:pPr>
            <w:pStyle w:val="39"/>
            <w:keepNext w:val="0"/>
            <w:keepLines w:val="0"/>
            <w:pageBreakBefore w:val="0"/>
            <w:shd w:val="clear"/>
            <w:tabs>
              <w:tab w:val="right" w:leader="dot" w:pos="8845"/>
            </w:tabs>
            <w:kinsoku/>
            <w:wordWrap/>
            <w:overflowPunct/>
            <w:topLinePunct w:val="0"/>
            <w:autoSpaceDE/>
            <w:autoSpaceDN/>
            <w:bidi w:val="0"/>
            <w:adjustRightInd/>
            <w:snapToGrid/>
            <w:spacing w:line="340" w:lineRule="exact"/>
            <w:textAlignment w:val="auto"/>
            <w:rPr>
              <w:color w:val="auto"/>
              <w:highlight w:val="none"/>
            </w:rPr>
          </w:pPr>
          <w:r>
            <w:rPr>
              <w:rFonts w:hint="eastAsia"/>
              <w:color w:val="auto"/>
              <w:highlight w:val="none"/>
            </w:rPr>
            <w:fldChar w:fldCharType="begin"/>
          </w:r>
          <w:r>
            <w:rPr>
              <w:rFonts w:hint="eastAsia"/>
              <w:color w:val="auto"/>
              <w:highlight w:val="none"/>
            </w:rPr>
            <w:instrText xml:space="preserve"> HYPERLINK \l _Toc668 </w:instrText>
          </w:r>
          <w:r>
            <w:rPr>
              <w:rFonts w:hint="eastAsia"/>
              <w:color w:val="auto"/>
              <w:highlight w:val="none"/>
            </w:rPr>
            <w:fldChar w:fldCharType="separate"/>
          </w:r>
          <w:r>
            <w:rPr>
              <w:rFonts w:hint="eastAsia" w:ascii="仿宋_GB2312" w:hAnsi="仿宋_GB2312" w:eastAsia="仿宋_GB2312" w:cs="仿宋_GB2312"/>
              <w:bCs w:val="0"/>
              <w:color w:val="auto"/>
              <w:highlight w:val="none"/>
            </w:rPr>
            <w:t>十、</w:t>
          </w:r>
          <w:r>
            <w:rPr>
              <w:rFonts w:hint="eastAsia" w:ascii="仿宋_GB2312" w:hAnsi="仿宋_GB2312" w:eastAsia="仿宋_GB2312" w:cs="仿宋_GB2312"/>
              <w:color w:val="auto"/>
              <w:highlight w:val="none"/>
            </w:rPr>
            <w:t>政</w:t>
          </w:r>
          <w:r>
            <w:rPr>
              <w:rFonts w:hint="eastAsia" w:ascii="仿宋_GB2312" w:hAnsi="仿宋_GB2312" w:eastAsia="仿宋_GB2312" w:cs="仿宋_GB2312"/>
              <w:bCs w:val="0"/>
              <w:color w:val="auto"/>
              <w:highlight w:val="none"/>
            </w:rPr>
            <w:t>府性基金预算财政拨款收入支出决算表</w:t>
          </w:r>
          <w:r>
            <w:rPr>
              <w:color w:val="auto"/>
              <w:highlight w:val="none"/>
            </w:rPr>
            <w:tab/>
          </w:r>
          <w:r>
            <w:rPr>
              <w:color w:val="auto"/>
              <w:highlight w:val="none"/>
            </w:rPr>
            <w:fldChar w:fldCharType="begin"/>
          </w:r>
          <w:r>
            <w:rPr>
              <w:color w:val="auto"/>
              <w:highlight w:val="none"/>
            </w:rPr>
            <w:instrText xml:space="preserve"> PAGEREF _Toc668 \h </w:instrText>
          </w:r>
          <w:r>
            <w:rPr>
              <w:color w:val="auto"/>
              <w:highlight w:val="none"/>
            </w:rPr>
            <w:fldChar w:fldCharType="separate"/>
          </w:r>
          <w:r>
            <w:rPr>
              <w:color w:val="auto"/>
              <w:highlight w:val="none"/>
            </w:rPr>
            <w:t>25</w:t>
          </w:r>
          <w:r>
            <w:rPr>
              <w:color w:val="auto"/>
              <w:highlight w:val="none"/>
            </w:rPr>
            <w:fldChar w:fldCharType="end"/>
          </w:r>
          <w:r>
            <w:rPr>
              <w:rFonts w:hint="eastAsia"/>
              <w:color w:val="auto"/>
              <w:highlight w:val="none"/>
            </w:rPr>
            <w:fldChar w:fldCharType="end"/>
          </w:r>
        </w:p>
        <w:p w14:paraId="165F49F9">
          <w:pPr>
            <w:pStyle w:val="39"/>
            <w:keepNext w:val="0"/>
            <w:keepLines w:val="0"/>
            <w:pageBreakBefore w:val="0"/>
            <w:shd w:val="clear"/>
            <w:tabs>
              <w:tab w:val="right" w:leader="dot" w:pos="8845"/>
            </w:tabs>
            <w:kinsoku/>
            <w:wordWrap/>
            <w:overflowPunct/>
            <w:topLinePunct w:val="0"/>
            <w:autoSpaceDE/>
            <w:autoSpaceDN/>
            <w:bidi w:val="0"/>
            <w:adjustRightInd/>
            <w:snapToGrid/>
            <w:spacing w:line="340" w:lineRule="exact"/>
            <w:textAlignment w:val="auto"/>
            <w:rPr>
              <w:color w:val="auto"/>
              <w:highlight w:val="none"/>
            </w:rPr>
          </w:pPr>
          <w:r>
            <w:rPr>
              <w:rFonts w:hint="eastAsia"/>
              <w:color w:val="auto"/>
              <w:highlight w:val="none"/>
            </w:rPr>
            <w:fldChar w:fldCharType="begin"/>
          </w:r>
          <w:r>
            <w:rPr>
              <w:rFonts w:hint="eastAsia"/>
              <w:color w:val="auto"/>
              <w:highlight w:val="none"/>
            </w:rPr>
            <w:instrText xml:space="preserve"> HYPERLINK \l _Toc9925 </w:instrText>
          </w:r>
          <w:r>
            <w:rPr>
              <w:rFonts w:hint="eastAsia"/>
              <w:color w:val="auto"/>
              <w:highlight w:val="none"/>
            </w:rPr>
            <w:fldChar w:fldCharType="separate"/>
          </w:r>
          <w:r>
            <w:rPr>
              <w:rFonts w:hint="eastAsia" w:ascii="仿宋_GB2312" w:hAnsi="仿宋_GB2312" w:eastAsia="仿宋_GB2312" w:cs="仿宋_GB2312"/>
              <w:bCs w:val="0"/>
              <w:color w:val="auto"/>
              <w:highlight w:val="none"/>
            </w:rPr>
            <w:t>十一、</w:t>
          </w:r>
          <w:r>
            <w:rPr>
              <w:rFonts w:hint="eastAsia" w:ascii="仿宋_GB2312" w:hAnsi="仿宋_GB2312" w:eastAsia="仿宋_GB2312" w:cs="仿宋_GB2312"/>
              <w:color w:val="auto"/>
              <w:highlight w:val="none"/>
            </w:rPr>
            <w:t>国</w:t>
          </w:r>
          <w:r>
            <w:rPr>
              <w:rFonts w:hint="eastAsia" w:ascii="仿宋_GB2312" w:hAnsi="仿宋_GB2312" w:eastAsia="仿宋_GB2312" w:cs="仿宋_GB2312"/>
              <w:bCs w:val="0"/>
              <w:color w:val="auto"/>
              <w:highlight w:val="none"/>
            </w:rPr>
            <w:t>有资本经营预算</w:t>
          </w:r>
          <w:r>
            <w:rPr>
              <w:rFonts w:hint="eastAsia" w:ascii="仿宋_GB2312" w:hAnsi="仿宋_GB2312" w:eastAsia="仿宋_GB2312" w:cs="仿宋_GB2312"/>
              <w:bCs w:val="0"/>
              <w:color w:val="auto"/>
              <w:highlight w:val="none"/>
              <w:lang w:eastAsia="zh-CN"/>
            </w:rPr>
            <w:t>财政拨款收入</w:t>
          </w:r>
          <w:r>
            <w:rPr>
              <w:rFonts w:hint="eastAsia" w:ascii="仿宋_GB2312" w:hAnsi="仿宋_GB2312" w:eastAsia="仿宋_GB2312" w:cs="仿宋_GB2312"/>
              <w:bCs w:val="0"/>
              <w:color w:val="auto"/>
              <w:highlight w:val="none"/>
            </w:rPr>
            <w:t>支出决算表</w:t>
          </w:r>
          <w:r>
            <w:rPr>
              <w:color w:val="auto"/>
              <w:highlight w:val="none"/>
            </w:rPr>
            <w:tab/>
          </w:r>
          <w:r>
            <w:rPr>
              <w:color w:val="auto"/>
              <w:highlight w:val="none"/>
            </w:rPr>
            <w:fldChar w:fldCharType="begin"/>
          </w:r>
          <w:r>
            <w:rPr>
              <w:color w:val="auto"/>
              <w:highlight w:val="none"/>
            </w:rPr>
            <w:instrText xml:space="preserve"> PAGEREF _Toc9925 \h </w:instrText>
          </w:r>
          <w:r>
            <w:rPr>
              <w:color w:val="auto"/>
              <w:highlight w:val="none"/>
            </w:rPr>
            <w:fldChar w:fldCharType="separate"/>
          </w:r>
          <w:r>
            <w:rPr>
              <w:color w:val="auto"/>
              <w:highlight w:val="none"/>
            </w:rPr>
            <w:t>25</w:t>
          </w:r>
          <w:r>
            <w:rPr>
              <w:color w:val="auto"/>
              <w:highlight w:val="none"/>
            </w:rPr>
            <w:fldChar w:fldCharType="end"/>
          </w:r>
          <w:r>
            <w:rPr>
              <w:rFonts w:hint="eastAsia"/>
              <w:color w:val="auto"/>
              <w:highlight w:val="none"/>
            </w:rPr>
            <w:fldChar w:fldCharType="end"/>
          </w:r>
        </w:p>
        <w:p w14:paraId="5330B18F">
          <w:pPr>
            <w:pStyle w:val="39"/>
            <w:keepNext w:val="0"/>
            <w:keepLines w:val="0"/>
            <w:pageBreakBefore w:val="0"/>
            <w:shd w:val="clear"/>
            <w:tabs>
              <w:tab w:val="right" w:leader="dot" w:pos="8845"/>
            </w:tabs>
            <w:kinsoku/>
            <w:wordWrap/>
            <w:overflowPunct/>
            <w:topLinePunct w:val="0"/>
            <w:autoSpaceDE/>
            <w:autoSpaceDN/>
            <w:bidi w:val="0"/>
            <w:adjustRightInd/>
            <w:snapToGrid/>
            <w:spacing w:line="340" w:lineRule="exact"/>
            <w:textAlignment w:val="auto"/>
            <w:rPr>
              <w:color w:val="auto"/>
              <w:highlight w:val="none"/>
            </w:rPr>
          </w:pPr>
          <w:r>
            <w:rPr>
              <w:rFonts w:hint="eastAsia"/>
              <w:color w:val="auto"/>
              <w:highlight w:val="none"/>
            </w:rPr>
            <w:fldChar w:fldCharType="begin"/>
          </w:r>
          <w:r>
            <w:rPr>
              <w:rFonts w:hint="eastAsia"/>
              <w:color w:val="auto"/>
              <w:highlight w:val="none"/>
            </w:rPr>
            <w:instrText xml:space="preserve"> HYPERLINK \l _Toc22396 </w:instrText>
          </w:r>
          <w:r>
            <w:rPr>
              <w:rFonts w:hint="eastAsia"/>
              <w:color w:val="auto"/>
              <w:highlight w:val="none"/>
            </w:rPr>
            <w:fldChar w:fldCharType="separate"/>
          </w:r>
          <w:r>
            <w:rPr>
              <w:rFonts w:hint="eastAsia" w:ascii="仿宋_GB2312" w:hAnsi="仿宋_GB2312" w:eastAsia="仿宋_GB2312" w:cs="仿宋_GB2312"/>
              <w:bCs w:val="0"/>
              <w:color w:val="auto"/>
              <w:highlight w:val="none"/>
            </w:rPr>
            <w:t>十二、</w:t>
          </w:r>
          <w:r>
            <w:rPr>
              <w:rFonts w:hint="eastAsia" w:ascii="仿宋_GB2312" w:hAnsi="仿宋_GB2312" w:eastAsia="仿宋_GB2312" w:cs="仿宋_GB2312"/>
              <w:bCs w:val="0"/>
              <w:color w:val="auto"/>
              <w:highlight w:val="none"/>
              <w:lang w:eastAsia="zh-CN"/>
            </w:rPr>
            <w:t>国有资本经营预算财政拨款支出决算表</w:t>
          </w:r>
          <w:r>
            <w:rPr>
              <w:color w:val="auto"/>
              <w:highlight w:val="none"/>
            </w:rPr>
            <w:tab/>
          </w:r>
          <w:r>
            <w:rPr>
              <w:color w:val="auto"/>
              <w:highlight w:val="none"/>
            </w:rPr>
            <w:fldChar w:fldCharType="begin"/>
          </w:r>
          <w:r>
            <w:rPr>
              <w:color w:val="auto"/>
              <w:highlight w:val="none"/>
            </w:rPr>
            <w:instrText xml:space="preserve"> PAGEREF _Toc22396 \h </w:instrText>
          </w:r>
          <w:r>
            <w:rPr>
              <w:color w:val="auto"/>
              <w:highlight w:val="none"/>
            </w:rPr>
            <w:fldChar w:fldCharType="separate"/>
          </w:r>
          <w:r>
            <w:rPr>
              <w:color w:val="auto"/>
              <w:highlight w:val="none"/>
            </w:rPr>
            <w:t>25</w:t>
          </w:r>
          <w:r>
            <w:rPr>
              <w:color w:val="auto"/>
              <w:highlight w:val="none"/>
            </w:rPr>
            <w:fldChar w:fldCharType="end"/>
          </w:r>
          <w:r>
            <w:rPr>
              <w:rFonts w:hint="eastAsia"/>
              <w:color w:val="auto"/>
              <w:highlight w:val="none"/>
            </w:rPr>
            <w:fldChar w:fldCharType="end"/>
          </w:r>
        </w:p>
        <w:p w14:paraId="783BE821">
          <w:pPr>
            <w:pStyle w:val="39"/>
            <w:keepNext w:val="0"/>
            <w:keepLines w:val="0"/>
            <w:pageBreakBefore w:val="0"/>
            <w:shd w:val="clear"/>
            <w:tabs>
              <w:tab w:val="right" w:leader="dot" w:pos="8845"/>
            </w:tabs>
            <w:kinsoku/>
            <w:wordWrap/>
            <w:overflowPunct/>
            <w:topLinePunct w:val="0"/>
            <w:autoSpaceDE/>
            <w:autoSpaceDN/>
            <w:bidi w:val="0"/>
            <w:adjustRightInd/>
            <w:snapToGrid/>
            <w:spacing w:line="340" w:lineRule="exact"/>
            <w:textAlignment w:val="auto"/>
            <w:rPr>
              <w:color w:val="auto"/>
              <w:highlight w:val="none"/>
            </w:rPr>
          </w:pPr>
          <w:r>
            <w:rPr>
              <w:rFonts w:hint="eastAsia"/>
              <w:color w:val="auto"/>
              <w:highlight w:val="none"/>
            </w:rPr>
            <w:fldChar w:fldCharType="begin"/>
          </w:r>
          <w:r>
            <w:rPr>
              <w:rFonts w:hint="eastAsia"/>
              <w:color w:val="auto"/>
              <w:highlight w:val="none"/>
            </w:rPr>
            <w:instrText xml:space="preserve"> HYPERLINK \l _Toc13747 </w:instrText>
          </w:r>
          <w:r>
            <w:rPr>
              <w:rFonts w:hint="eastAsia"/>
              <w:color w:val="auto"/>
              <w:highlight w:val="none"/>
            </w:rPr>
            <w:fldChar w:fldCharType="separate"/>
          </w:r>
          <w:r>
            <w:rPr>
              <w:rFonts w:hint="eastAsia" w:ascii="仿宋_GB2312" w:hAnsi="仿宋_GB2312" w:eastAsia="仿宋_GB2312" w:cs="仿宋_GB2312"/>
              <w:bCs w:val="0"/>
              <w:color w:val="auto"/>
              <w:highlight w:val="none"/>
            </w:rPr>
            <w:t>十三、</w:t>
          </w:r>
          <w:r>
            <w:rPr>
              <w:rFonts w:hint="eastAsia" w:ascii="仿宋_GB2312" w:hAnsi="仿宋_GB2312" w:eastAsia="仿宋_GB2312" w:cs="仿宋_GB2312"/>
              <w:bCs w:val="0"/>
              <w:color w:val="auto"/>
              <w:highlight w:val="none"/>
              <w:lang w:eastAsia="zh-CN"/>
            </w:rPr>
            <w:t>财政拨款“三公”经费支出决算表</w:t>
          </w:r>
          <w:r>
            <w:rPr>
              <w:color w:val="auto"/>
              <w:highlight w:val="none"/>
            </w:rPr>
            <w:tab/>
          </w:r>
          <w:r>
            <w:rPr>
              <w:color w:val="auto"/>
              <w:highlight w:val="none"/>
            </w:rPr>
            <w:fldChar w:fldCharType="begin"/>
          </w:r>
          <w:r>
            <w:rPr>
              <w:color w:val="auto"/>
              <w:highlight w:val="none"/>
            </w:rPr>
            <w:instrText xml:space="preserve"> PAGEREF _Toc13747 \h </w:instrText>
          </w:r>
          <w:r>
            <w:rPr>
              <w:color w:val="auto"/>
              <w:highlight w:val="none"/>
            </w:rPr>
            <w:fldChar w:fldCharType="separate"/>
          </w:r>
          <w:r>
            <w:rPr>
              <w:color w:val="auto"/>
              <w:highlight w:val="none"/>
            </w:rPr>
            <w:t>25</w:t>
          </w:r>
          <w:r>
            <w:rPr>
              <w:color w:val="auto"/>
              <w:highlight w:val="none"/>
            </w:rPr>
            <w:fldChar w:fldCharType="end"/>
          </w:r>
          <w:r>
            <w:rPr>
              <w:rFonts w:hint="eastAsia"/>
              <w:color w:val="auto"/>
              <w:highlight w:val="none"/>
            </w:rPr>
            <w:fldChar w:fldCharType="end"/>
          </w:r>
        </w:p>
        <w:p w14:paraId="7BD13D5F">
          <w:pPr>
            <w:pStyle w:val="2"/>
            <w:keepNext w:val="0"/>
            <w:keepLines w:val="0"/>
            <w:pageBreakBefore w:val="0"/>
            <w:shd w:val="clear"/>
            <w:kinsoku/>
            <w:wordWrap/>
            <w:overflowPunct/>
            <w:topLinePunct w:val="0"/>
            <w:autoSpaceDE/>
            <w:autoSpaceDN/>
            <w:bidi w:val="0"/>
            <w:adjustRightInd/>
            <w:snapToGrid/>
            <w:spacing w:line="340" w:lineRule="exact"/>
            <w:ind w:left="0" w:leftChars="0" w:firstLine="0" w:firstLineChars="0"/>
            <w:textAlignment w:val="auto"/>
            <w:rPr>
              <w:rFonts w:hint="eastAsia"/>
              <w:color w:val="auto"/>
              <w:highlight w:val="none"/>
            </w:rPr>
          </w:pPr>
          <w:r>
            <w:rPr>
              <w:rFonts w:hint="eastAsia"/>
              <w:b/>
              <w:color w:val="auto"/>
              <w:highlight w:val="none"/>
            </w:rPr>
            <w:fldChar w:fldCharType="end"/>
          </w:r>
        </w:p>
      </w:sdtContent>
    </w:sdt>
    <w:p w14:paraId="5A635819">
      <w:pPr>
        <w:pStyle w:val="2"/>
        <w:shd w:val="clear"/>
        <w:rPr>
          <w:rFonts w:hint="eastAsia"/>
          <w:color w:val="auto"/>
          <w:highlight w:val="none"/>
          <w:lang w:eastAsia="zh-CN"/>
        </w:rPr>
        <w:sectPr>
          <w:pgSz w:w="11906" w:h="16838"/>
          <w:pgMar w:top="2098" w:right="1474" w:bottom="1984" w:left="1587" w:header="851" w:footer="992" w:gutter="0"/>
          <w:pgNumType w:fmt="decimal" w:start="1"/>
          <w:cols w:space="0" w:num="1"/>
          <w:titlePg/>
          <w:rtlGutter w:val="0"/>
          <w:docGrid w:type="lines" w:linePitch="312" w:charSpace="0"/>
        </w:sectPr>
      </w:pPr>
    </w:p>
    <w:p w14:paraId="1B54466C">
      <w:pPr>
        <w:pStyle w:val="2"/>
        <w:shd w:val="clear"/>
        <w:rPr>
          <w:rFonts w:hint="eastAsia"/>
          <w:color w:val="auto"/>
          <w:highlight w:val="none"/>
          <w:lang w:eastAsia="zh-CN"/>
        </w:rPr>
      </w:pPr>
    </w:p>
    <w:p w14:paraId="799FA9C8">
      <w:pPr>
        <w:pageBreakBefore w:val="0"/>
        <w:widowControl w:val="0"/>
        <w:shd w:val="clear"/>
        <w:kinsoku/>
        <w:wordWrap/>
        <w:overflowPunct/>
        <w:topLinePunct w:val="0"/>
        <w:bidi w:val="0"/>
        <w:spacing w:line="576" w:lineRule="exact"/>
        <w:jc w:val="center"/>
        <w:textAlignment w:val="auto"/>
        <w:rPr>
          <w:rStyle w:val="22"/>
          <w:rFonts w:hint="eastAsia" w:ascii="黑体" w:hAnsi="黑体" w:eastAsia="黑体" w:cstheme="minorBidi"/>
          <w:b w:val="0"/>
          <w:bCs w:val="0"/>
          <w:color w:val="auto"/>
          <w:highlight w:val="none"/>
        </w:rPr>
      </w:pPr>
      <w:bookmarkStart w:id="13" w:name="_Toc30764"/>
      <w:bookmarkStart w:id="14" w:name="_Toc15396599"/>
      <w:bookmarkStart w:id="15" w:name="_Toc15377196"/>
      <w:r>
        <w:rPr>
          <w:rStyle w:val="22"/>
          <w:rFonts w:hint="eastAsia" w:ascii="黑体" w:hAnsi="黑体" w:eastAsia="黑体" w:cstheme="minorBidi"/>
          <w:b w:val="0"/>
          <w:bCs w:val="0"/>
          <w:color w:val="auto"/>
          <w:highlight w:val="none"/>
        </w:rPr>
        <w:t>第一部分部门概况</w:t>
      </w:r>
      <w:bookmarkEnd w:id="13"/>
      <w:bookmarkEnd w:id="14"/>
      <w:bookmarkEnd w:id="15"/>
    </w:p>
    <w:p w14:paraId="11720DF1">
      <w:pPr>
        <w:pStyle w:val="2"/>
        <w:pageBreakBefore w:val="0"/>
        <w:widowControl w:val="0"/>
        <w:shd w:val="clear"/>
        <w:kinsoku/>
        <w:wordWrap/>
        <w:overflowPunct/>
        <w:topLinePunct w:val="0"/>
        <w:bidi w:val="0"/>
        <w:spacing w:line="576" w:lineRule="exact"/>
        <w:textAlignment w:val="auto"/>
        <w:rPr>
          <w:rFonts w:hint="eastAsia"/>
          <w:color w:val="auto"/>
          <w:highlight w:val="none"/>
          <w:lang w:val="en-US" w:eastAsia="zh-CN"/>
        </w:rPr>
      </w:pPr>
    </w:p>
    <w:p w14:paraId="7E588941">
      <w:pPr>
        <w:pStyle w:val="4"/>
        <w:pageBreakBefore w:val="0"/>
        <w:widowControl w:val="0"/>
        <w:shd w:val="clear"/>
        <w:kinsoku/>
        <w:wordWrap/>
        <w:overflowPunct/>
        <w:topLinePunct w:val="0"/>
        <w:autoSpaceDE/>
        <w:autoSpaceDN/>
        <w:bidi w:val="0"/>
        <w:adjustRightInd/>
        <w:spacing w:before="0" w:after="0" w:line="576" w:lineRule="exact"/>
        <w:ind w:left="0" w:leftChars="0" w:right="0" w:firstLine="640" w:firstLineChars="200"/>
        <w:jc w:val="both"/>
        <w:textAlignment w:val="auto"/>
        <w:rPr>
          <w:rFonts w:hint="eastAsia" w:ascii="黑体" w:hAnsi="黑体" w:eastAsia="黑体" w:cs="黑体"/>
          <w:b w:val="0"/>
          <w:color w:val="auto"/>
          <w:sz w:val="32"/>
          <w:szCs w:val="32"/>
          <w:highlight w:val="none"/>
          <w:lang w:val="en-US" w:eastAsia="zh-CN"/>
        </w:rPr>
      </w:pPr>
      <w:bookmarkStart w:id="16" w:name="_Toc27201"/>
      <w:r>
        <w:rPr>
          <w:rFonts w:hint="eastAsia" w:ascii="黑体" w:hAnsi="黑体" w:eastAsia="黑体" w:cs="黑体"/>
          <w:b w:val="0"/>
          <w:color w:val="auto"/>
          <w:sz w:val="32"/>
          <w:szCs w:val="32"/>
          <w:highlight w:val="none"/>
          <w:lang w:val="en-US" w:eastAsia="zh-CN"/>
        </w:rPr>
        <w:t>一、部门职责</w:t>
      </w:r>
      <w:bookmarkEnd w:id="16"/>
    </w:p>
    <w:p w14:paraId="2E7614FB">
      <w:pPr>
        <w:pageBreakBefore w:val="0"/>
        <w:widowControl w:val="0"/>
        <w:numPr>
          <w:ilvl w:val="0"/>
          <w:numId w:val="0"/>
        </w:numPr>
        <w:shd w:val="clear"/>
        <w:kinsoku/>
        <w:wordWrap/>
        <w:overflowPunct/>
        <w:topLinePunct w:val="0"/>
        <w:autoSpaceDE/>
        <w:autoSpaceDN/>
        <w:bidi w:val="0"/>
        <w:adjustRightInd/>
        <w:spacing w:line="576" w:lineRule="exact"/>
        <w:ind w:left="0" w:leftChars="0" w:right="0" w:rightChars="0"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一</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按照规定权限，履行全民所有土地、矿产、森林、湿地、水等自然资源资产所有者职责和所有国土空间用途管制职责。拟订全市自然资源和国土空间规划地方性法规、政策规章草案，制定有关政策措施并监督检查执行情况。</w:t>
      </w:r>
    </w:p>
    <w:p w14:paraId="7016E120">
      <w:pPr>
        <w:pageBreakBefore w:val="0"/>
        <w:widowControl w:val="0"/>
        <w:shd w:val="clear"/>
        <w:kinsoku/>
        <w:wordWrap/>
        <w:overflowPunct/>
        <w:topLinePunct w:val="0"/>
        <w:autoSpaceDE/>
        <w:autoSpaceDN/>
        <w:bidi w:val="0"/>
        <w:adjustRightInd/>
        <w:spacing w:line="576" w:lineRule="exact"/>
        <w:ind w:left="0" w:leftChars="0" w:right="0"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二</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负责全市自然资源调查监测评价。依照自然资源调查监测评价的指标体系和统计标准，建立统一的自然资源调查监测评价制度。实施自然资源基础调查、专项调查和监测。负责自然资源调查监测评价成果的监督管理和信息发布。指导县区自然资源调查监测评价工作。</w:t>
      </w:r>
    </w:p>
    <w:p w14:paraId="04D71689">
      <w:pPr>
        <w:pageBreakBefore w:val="0"/>
        <w:widowControl w:val="0"/>
        <w:shd w:val="clear"/>
        <w:kinsoku/>
        <w:wordWrap/>
        <w:overflowPunct/>
        <w:topLinePunct w:val="0"/>
        <w:autoSpaceDE/>
        <w:autoSpaceDN/>
        <w:bidi w:val="0"/>
        <w:adjustRightInd/>
        <w:spacing w:line="576" w:lineRule="exact"/>
        <w:ind w:left="0" w:leftChars="0" w:right="0"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三</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负责全市自然资源统一确权登记工作。组织实施各类自然资源和不动产统一确权登记、权籍调查、不动产测绘、争议、调处、成果应用的制度、标准、规范。建立健全全市自然资源和不动产登记信息管理基础平台。负责自然资源和不动产登记资料收集、整理、共享、汇交管理等。指导监督自然资源和不动产确权登记工作。</w:t>
      </w:r>
    </w:p>
    <w:p w14:paraId="19A52EFA">
      <w:pPr>
        <w:pageBreakBefore w:val="0"/>
        <w:widowControl w:val="0"/>
        <w:shd w:val="clear"/>
        <w:kinsoku/>
        <w:wordWrap/>
        <w:overflowPunct/>
        <w:topLinePunct w:val="0"/>
        <w:autoSpaceDE/>
        <w:autoSpaceDN/>
        <w:bidi w:val="0"/>
        <w:adjustRightInd/>
        <w:spacing w:line="576" w:lineRule="exact"/>
        <w:ind w:left="0" w:leftChars="0" w:right="0"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四</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负责全市自然资源资产有偿使用工作。建立全民所有自然资源资产统计制度，负责全民所有自然资源资产核算。编制全民所有自然资源资产负债表，依照有关标准组织考核。按照规定权限，制定全民所有自然资源资产划拨、出让、租赁、作价出资和土地储备政策，合理配置全民所有自然资源资产。负责自然资源资产价值评估管理，依法收缴相关资产收益。</w:t>
      </w:r>
    </w:p>
    <w:p w14:paraId="6B14C414">
      <w:pPr>
        <w:pageBreakBefore w:val="0"/>
        <w:widowControl w:val="0"/>
        <w:shd w:val="clear"/>
        <w:kinsoku/>
        <w:wordWrap/>
        <w:overflowPunct/>
        <w:topLinePunct w:val="0"/>
        <w:autoSpaceDE/>
        <w:autoSpaceDN/>
        <w:bidi w:val="0"/>
        <w:adjustRightInd/>
        <w:spacing w:line="576" w:lineRule="exact"/>
        <w:ind w:left="0" w:leftChars="0" w:right="0"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五</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负责全市自然资源的合理开发利用。组织拟订并实施自然资源发展规划和战略，建立政府公示自然资源价格体系，组织开展自然资源分等定级价格评估，开展自然资源利用评价考核，指导节约集约利用。负责自然资源</w:t>
      </w:r>
      <w:r>
        <w:rPr>
          <w:rFonts w:hint="eastAsia" w:ascii="仿宋_GB2312" w:hAnsi="仿宋_GB2312" w:eastAsia="仿宋_GB2312" w:cs="仿宋_GB2312"/>
          <w:color w:val="auto"/>
          <w:sz w:val="32"/>
          <w:szCs w:val="32"/>
          <w:highlight w:val="none"/>
          <w:lang w:eastAsia="zh-CN"/>
        </w:rPr>
        <w:t>市场监管</w:t>
      </w:r>
      <w:r>
        <w:rPr>
          <w:rFonts w:hint="eastAsia" w:ascii="仿宋_GB2312" w:hAnsi="仿宋_GB2312" w:eastAsia="仿宋_GB2312" w:cs="仿宋_GB2312"/>
          <w:color w:val="auto"/>
          <w:sz w:val="32"/>
          <w:szCs w:val="32"/>
          <w:highlight w:val="none"/>
        </w:rPr>
        <w:t>。组织研究自然资源管理涉及宏观调控、区域协调和城乡统筹的政策措施。</w:t>
      </w:r>
    </w:p>
    <w:p w14:paraId="4204758A">
      <w:pPr>
        <w:pageBreakBefore w:val="0"/>
        <w:widowControl w:val="0"/>
        <w:shd w:val="clear"/>
        <w:kinsoku/>
        <w:wordWrap/>
        <w:overflowPunct/>
        <w:topLinePunct w:val="0"/>
        <w:autoSpaceDE/>
        <w:autoSpaceDN/>
        <w:bidi w:val="0"/>
        <w:adjustRightInd/>
        <w:spacing w:line="576" w:lineRule="exact"/>
        <w:ind w:left="0" w:leftChars="0" w:right="0"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六</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负责建立全市空间规划体系并监督实施。推进主体功能区战略和制度，组织编制并监督实施国土空间规划和相关专项规划。开展国土空间开发适宜性评价，建立国土空间规划实施监测、评估和预警体系。组织划定生态保护红线、永久基本农田、城镇开发边界等控制线，构建节约资源和保护环境的生产、生活、生态空间布局。建立健全国土空间用途管制制度，研究拟订城乡规划政策并监督实施。组织拟订并实施土地等自然资源年度利用计划。负责土地等国土空间用途转用工作。负责土地征收征用管理。</w:t>
      </w:r>
    </w:p>
    <w:p w14:paraId="55EE5FE0">
      <w:pPr>
        <w:pageBreakBefore w:val="0"/>
        <w:widowControl w:val="0"/>
        <w:shd w:val="clear"/>
        <w:kinsoku/>
        <w:wordWrap/>
        <w:overflowPunct/>
        <w:topLinePunct w:val="0"/>
        <w:autoSpaceDE/>
        <w:autoSpaceDN/>
        <w:bidi w:val="0"/>
        <w:adjustRightInd/>
        <w:spacing w:line="576" w:lineRule="exact"/>
        <w:ind w:left="0" w:leftChars="0" w:right="0"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七</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负责统筹全市国土空间生态修复。牵头组织编制全市国土空间生态修复规划并实施有关生态修复重大工程。负责开展国土空间综合整治、土地整理复垦、矿山地质环境恢复治理等工作。牵头建立和实施生态保护补偿制度，制定合理利用社会资金进行生态修复的政策措施，提出重大备选项目。</w:t>
      </w:r>
    </w:p>
    <w:p w14:paraId="2AD32C9B">
      <w:pPr>
        <w:pageBreakBefore w:val="0"/>
        <w:widowControl w:val="0"/>
        <w:shd w:val="clear"/>
        <w:kinsoku/>
        <w:wordWrap/>
        <w:overflowPunct/>
        <w:topLinePunct w:val="0"/>
        <w:autoSpaceDE/>
        <w:autoSpaceDN/>
        <w:bidi w:val="0"/>
        <w:adjustRightInd/>
        <w:spacing w:line="576" w:lineRule="exact"/>
        <w:ind w:left="0" w:leftChars="0" w:right="0"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八</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负责组织实施最严格的耕地保护制度。牵头拟订并实施全市耕地保护政策，负责耕地数量、质量、生态保护。组织实施耕地保护责任目标考核和永久基本农田特殊保护。完善耕地占补平衡制度，监督占用耕地补偿制度执行情况。</w:t>
      </w:r>
    </w:p>
    <w:p w14:paraId="26E6E0C7">
      <w:pPr>
        <w:pageBreakBefore w:val="0"/>
        <w:widowControl w:val="0"/>
        <w:shd w:val="clear"/>
        <w:kinsoku/>
        <w:wordWrap/>
        <w:overflowPunct/>
        <w:topLinePunct w:val="0"/>
        <w:autoSpaceDE/>
        <w:autoSpaceDN/>
        <w:bidi w:val="0"/>
        <w:adjustRightInd/>
        <w:spacing w:line="576" w:lineRule="exact"/>
        <w:ind w:left="0" w:leftChars="0" w:right="0"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九</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负责管理全市地质勘察和地质工作。拟订全市地质勘查规划并监督检查执行情况。组织实施重大地质矿产勘查专项。负责地质灾害预防和治理，监督管理地下水过量开采及引发的地面沉降等地质问题。负责古生物化石的监督管理。</w:t>
      </w:r>
    </w:p>
    <w:p w14:paraId="7DCA0AFA">
      <w:pPr>
        <w:pageBreakBefore w:val="0"/>
        <w:widowControl w:val="0"/>
        <w:shd w:val="clear"/>
        <w:kinsoku/>
        <w:wordWrap/>
        <w:overflowPunct/>
        <w:topLinePunct w:val="0"/>
        <w:autoSpaceDE/>
        <w:autoSpaceDN/>
        <w:bidi w:val="0"/>
        <w:adjustRightInd/>
        <w:spacing w:line="576" w:lineRule="exact"/>
        <w:ind w:left="0" w:leftChars="0" w:right="0"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（十）</w:t>
      </w:r>
      <w:r>
        <w:rPr>
          <w:rFonts w:hint="eastAsia" w:ascii="仿宋_GB2312" w:hAnsi="仿宋_GB2312" w:eastAsia="仿宋_GB2312" w:cs="仿宋_GB2312"/>
          <w:color w:val="auto"/>
          <w:sz w:val="32"/>
          <w:szCs w:val="32"/>
          <w:highlight w:val="none"/>
        </w:rPr>
        <w:t>负责落实综合防灾减灾规划相关要求，组织编制并实施地质灾害防治规划。组织、指导、协调和监督地质灾害调查评价及隐患的普查、详查、排查。组织、指导开展群测群防、专业监测和预报预警等工作，组织、指导开展地质灾害工程治理工作。承担地质灾害应急救援的技术保障工作。</w:t>
      </w:r>
    </w:p>
    <w:p w14:paraId="6779E7A2">
      <w:pPr>
        <w:pageBreakBefore w:val="0"/>
        <w:widowControl w:val="0"/>
        <w:shd w:val="clear"/>
        <w:kinsoku/>
        <w:wordWrap/>
        <w:overflowPunct/>
        <w:topLinePunct w:val="0"/>
        <w:autoSpaceDE/>
        <w:autoSpaceDN/>
        <w:bidi w:val="0"/>
        <w:adjustRightInd/>
        <w:spacing w:line="576" w:lineRule="exact"/>
        <w:ind w:left="0" w:leftChars="0" w:right="0"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十一</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负责全市矿产资源管理工作。负责矿产资源储量管理及压覆矿产资源审核报批。负责矿业权管理。会同有关部门承担保护性开采的特定矿种、优势矿产的调控及相关管理工作。监督指导矿产资源合理利用和保护。</w:t>
      </w:r>
    </w:p>
    <w:p w14:paraId="5442E602">
      <w:pPr>
        <w:pageBreakBefore w:val="0"/>
        <w:widowControl w:val="0"/>
        <w:shd w:val="clear"/>
        <w:kinsoku/>
        <w:wordWrap/>
        <w:overflowPunct/>
        <w:topLinePunct w:val="0"/>
        <w:autoSpaceDE/>
        <w:autoSpaceDN/>
        <w:bidi w:val="0"/>
        <w:adjustRightInd/>
        <w:spacing w:line="576" w:lineRule="exact"/>
        <w:ind w:left="0" w:leftChars="0" w:right="0"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（十二）</w:t>
      </w:r>
      <w:r>
        <w:rPr>
          <w:rFonts w:hint="eastAsia" w:ascii="仿宋_GB2312" w:hAnsi="仿宋_GB2312" w:eastAsia="仿宋_GB2312" w:cs="仿宋_GB2312"/>
          <w:color w:val="auto"/>
          <w:sz w:val="32"/>
          <w:szCs w:val="32"/>
          <w:highlight w:val="none"/>
        </w:rPr>
        <w:t>推动全市自然资源领域科技发展和对外合作。制定并实施全市自然资源领域科技创新发展和人才培养规划、计划。组织实施重大科技专项及创新能力建设，推进自然资源信息化和信息资料的公共服务。组织开展全市自然资源系统对外交流合作。</w:t>
      </w:r>
    </w:p>
    <w:p w14:paraId="76D6448C">
      <w:pPr>
        <w:pageBreakBefore w:val="0"/>
        <w:widowControl w:val="0"/>
        <w:shd w:val="clear"/>
        <w:kinsoku/>
        <w:wordWrap/>
        <w:overflowPunct/>
        <w:topLinePunct w:val="0"/>
        <w:autoSpaceDE/>
        <w:autoSpaceDN/>
        <w:bidi w:val="0"/>
        <w:adjustRightInd/>
        <w:spacing w:line="576" w:lineRule="exact"/>
        <w:ind w:left="0" w:leftChars="0" w:right="0"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十三</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配合国家对县区政府落实党中央、国务院关于自然资源和国土空间规划的重大方针政策、决策部署及法律法规执行情况进行督察。按照市委、市政府安排，组织实施自然资源督查相关工作。查处全市自然资源开发利用、国土空间规划等领域重大违法案件。指导县区有关行政执法工作。</w:t>
      </w:r>
    </w:p>
    <w:p w14:paraId="00889AB6">
      <w:pPr>
        <w:pageBreakBefore w:val="0"/>
        <w:widowControl w:val="0"/>
        <w:shd w:val="clear"/>
        <w:kinsoku/>
        <w:wordWrap/>
        <w:overflowPunct/>
        <w:topLinePunct w:val="0"/>
        <w:autoSpaceDE/>
        <w:autoSpaceDN/>
        <w:bidi w:val="0"/>
        <w:adjustRightInd/>
        <w:spacing w:line="576" w:lineRule="exact"/>
        <w:ind w:left="0" w:leftChars="0" w:right="0"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十四</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负责职责范围内的安全生产和职业健康、生态环境保护、审批服务便民化等工作。</w:t>
      </w:r>
    </w:p>
    <w:p w14:paraId="6DCC2F6F">
      <w:pPr>
        <w:pageBreakBefore w:val="0"/>
        <w:widowControl w:val="0"/>
        <w:shd w:val="clear"/>
        <w:kinsoku/>
        <w:wordWrap/>
        <w:overflowPunct/>
        <w:topLinePunct w:val="0"/>
        <w:autoSpaceDE/>
        <w:autoSpaceDN/>
        <w:bidi w:val="0"/>
        <w:adjustRightInd/>
        <w:spacing w:line="576" w:lineRule="exact"/>
        <w:ind w:left="0" w:leftChars="0" w:right="0"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十五</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负责测绘地理信息管理。负责基础测绘和测绘行业管理。监督管理全市测绘地理信息安全和市场秩序。负责地理信息公共服务管理和测量标志保护。</w:t>
      </w:r>
    </w:p>
    <w:p w14:paraId="0EA191F8">
      <w:pPr>
        <w:pageBreakBefore w:val="0"/>
        <w:widowControl w:val="0"/>
        <w:shd w:val="clear"/>
        <w:kinsoku/>
        <w:wordWrap/>
        <w:overflowPunct/>
        <w:topLinePunct w:val="0"/>
        <w:autoSpaceDE/>
        <w:autoSpaceDN/>
        <w:bidi w:val="0"/>
        <w:adjustRightInd/>
        <w:spacing w:line="576" w:lineRule="exact"/>
        <w:ind w:left="0" w:leftChars="0" w:right="0"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十六</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统一领导和管理广元市林业局（简称林业局）。</w:t>
      </w:r>
    </w:p>
    <w:p w14:paraId="4DB16BFA">
      <w:pPr>
        <w:pageBreakBefore w:val="0"/>
        <w:widowControl w:val="0"/>
        <w:shd w:val="clear"/>
        <w:kinsoku/>
        <w:wordWrap/>
        <w:overflowPunct/>
        <w:topLinePunct w:val="0"/>
        <w:autoSpaceDE/>
        <w:autoSpaceDN/>
        <w:bidi w:val="0"/>
        <w:adjustRightInd/>
        <w:spacing w:line="576" w:lineRule="exact"/>
        <w:ind w:left="0" w:leftChars="0" w:right="0"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十七</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完成市委、市政府交办的其他任务。</w:t>
      </w:r>
    </w:p>
    <w:p w14:paraId="35BB8F22">
      <w:pPr>
        <w:pageBreakBefore w:val="0"/>
        <w:widowControl w:val="0"/>
        <w:shd w:val="clear"/>
        <w:kinsoku/>
        <w:wordWrap/>
        <w:overflowPunct/>
        <w:topLinePunct w:val="0"/>
        <w:autoSpaceDE/>
        <w:autoSpaceDN/>
        <w:bidi w:val="0"/>
        <w:adjustRightInd/>
        <w:spacing w:line="576" w:lineRule="exact"/>
        <w:ind w:left="0" w:leftChars="0" w:right="0" w:firstLine="640" w:firstLineChars="200"/>
        <w:jc w:val="both"/>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十八）职能转变。落实关于统一行使全民所有自然资源所有者职责，统一行使所有者国土空间用途管制和生态保护修复职责的要求发挥国土空间规划的管控作用，为保护和合理开发利用自然资源提供科学指引。进一步加强自然资源的保护和合理开发利用，建立健全源头保护和全过程修复治理相结合的工作机制，实现整体保护、系统修复、综合治理。创新激励约束并举的制度措施，推进自然资源节约集约利用。进一步精简下放有关行政审批事项、强化监管力度，充分发挥市场对资源配置的决定性作用更好发挥政府作用，强化自然资源管理规则、标准、制度的约束性作用，推进自然资源确权登记和评估的便民高效。</w:t>
      </w:r>
    </w:p>
    <w:p w14:paraId="772D933D">
      <w:pPr>
        <w:pageBreakBefore w:val="0"/>
        <w:widowControl w:val="0"/>
        <w:shd w:val="clear"/>
        <w:kinsoku/>
        <w:wordWrap/>
        <w:overflowPunct/>
        <w:topLinePunct w:val="0"/>
        <w:autoSpaceDE/>
        <w:autoSpaceDN/>
        <w:bidi w:val="0"/>
        <w:adjustRightInd/>
        <w:spacing w:line="576" w:lineRule="exact"/>
        <w:ind w:left="0" w:leftChars="0" w:right="0" w:firstLine="640" w:firstLineChars="200"/>
        <w:jc w:val="both"/>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（十九）在自然灾害防救方面的职责分工。</w:t>
      </w:r>
      <w:bookmarkStart w:id="17" w:name="_Toc15396601"/>
      <w:bookmarkStart w:id="18" w:name="_Toc15377200"/>
    </w:p>
    <w:p w14:paraId="371D1720">
      <w:pPr>
        <w:pStyle w:val="4"/>
        <w:pageBreakBefore w:val="0"/>
        <w:widowControl w:val="0"/>
        <w:shd w:val="clear"/>
        <w:kinsoku/>
        <w:wordWrap/>
        <w:overflowPunct/>
        <w:topLinePunct w:val="0"/>
        <w:autoSpaceDE/>
        <w:autoSpaceDN/>
        <w:bidi w:val="0"/>
        <w:adjustRightInd/>
        <w:spacing w:before="0" w:after="0" w:line="576" w:lineRule="exact"/>
        <w:ind w:left="0" w:leftChars="0" w:right="0" w:firstLine="640" w:firstLineChars="200"/>
        <w:jc w:val="both"/>
        <w:textAlignment w:val="auto"/>
        <w:rPr>
          <w:rStyle w:val="23"/>
          <w:rFonts w:hint="eastAsia" w:ascii="黑体" w:hAnsi="黑体" w:eastAsia="黑体" w:cs="黑体"/>
          <w:b w:val="0"/>
          <w:bCs w:val="0"/>
          <w:color w:val="auto"/>
          <w:sz w:val="32"/>
          <w:szCs w:val="32"/>
          <w:highlight w:val="none"/>
        </w:rPr>
      </w:pPr>
      <w:bookmarkStart w:id="19" w:name="_Toc21914"/>
      <w:r>
        <w:rPr>
          <w:rFonts w:hint="eastAsia" w:ascii="黑体" w:hAnsi="黑体" w:eastAsia="黑体" w:cs="黑体"/>
          <w:b w:val="0"/>
          <w:color w:val="auto"/>
          <w:sz w:val="32"/>
          <w:szCs w:val="32"/>
          <w:highlight w:val="none"/>
        </w:rPr>
        <w:t>二、机</w:t>
      </w:r>
      <w:r>
        <w:rPr>
          <w:rStyle w:val="23"/>
          <w:rFonts w:hint="eastAsia" w:ascii="黑体" w:hAnsi="黑体" w:eastAsia="黑体" w:cs="黑体"/>
          <w:b w:val="0"/>
          <w:bCs w:val="0"/>
          <w:color w:val="auto"/>
          <w:sz w:val="32"/>
          <w:szCs w:val="32"/>
          <w:highlight w:val="none"/>
        </w:rPr>
        <w:t>构设置</w:t>
      </w:r>
      <w:bookmarkEnd w:id="17"/>
      <w:bookmarkEnd w:id="18"/>
      <w:bookmarkEnd w:id="19"/>
    </w:p>
    <w:p w14:paraId="30B8ADF5">
      <w:pPr>
        <w:pageBreakBefore w:val="0"/>
        <w:widowControl w:val="0"/>
        <w:shd w:val="clear"/>
        <w:kinsoku/>
        <w:wordWrap/>
        <w:overflowPunct/>
        <w:topLinePunct w:val="0"/>
        <w:autoSpaceDE/>
        <w:autoSpaceDN/>
        <w:bidi w:val="0"/>
        <w:adjustRightInd/>
        <w:spacing w:line="576" w:lineRule="exact"/>
        <w:ind w:left="0" w:leftChars="0" w:right="0" w:firstLine="640" w:firstLineChars="200"/>
        <w:jc w:val="both"/>
        <w:textAlignment w:val="auto"/>
        <w:rPr>
          <w:rFonts w:hint="eastAsia" w:ascii="仿宋_GB2312" w:hAnsi="仿宋_GB2312" w:eastAsia="仿宋_GB2312" w:cs="仿宋_GB2312"/>
          <w:color w:val="auto"/>
          <w:sz w:val="32"/>
          <w:szCs w:val="32"/>
          <w:highlight w:val="none"/>
          <w:lang w:val="en-US" w:eastAsia="zh-CN"/>
        </w:rPr>
      </w:pPr>
      <w:bookmarkStart w:id="20" w:name="_Toc15377204"/>
      <w:bookmarkStart w:id="21" w:name="_Toc15396602"/>
      <w:r>
        <w:rPr>
          <w:rFonts w:hint="eastAsia" w:ascii="仿宋_GB2312" w:hAnsi="仿宋_GB2312" w:eastAsia="仿宋_GB2312" w:cs="仿宋_GB2312"/>
          <w:color w:val="auto"/>
          <w:sz w:val="32"/>
          <w:szCs w:val="32"/>
          <w:highlight w:val="none"/>
          <w:lang w:val="en-US" w:eastAsia="zh-CN"/>
        </w:rPr>
        <w:t>广元市自然资源局下属二级预算单位9个（包括两个未独立核算的事业单位：广元市自然资源综合行政执法支队和广元市自然资源信息和档案中心），其中行政单位0个，参照公务员法管理的事业单位2个，其他事业单位7个。</w:t>
      </w:r>
    </w:p>
    <w:p w14:paraId="0BDAEBBC">
      <w:pPr>
        <w:pageBreakBefore w:val="0"/>
        <w:widowControl w:val="0"/>
        <w:shd w:val="clear"/>
        <w:kinsoku/>
        <w:wordWrap/>
        <w:overflowPunct/>
        <w:topLinePunct w:val="0"/>
        <w:autoSpaceDE/>
        <w:autoSpaceDN/>
        <w:bidi w:val="0"/>
        <w:adjustRightInd/>
        <w:spacing w:line="576" w:lineRule="exact"/>
        <w:ind w:left="0" w:leftChars="0" w:right="0" w:firstLine="640" w:firstLineChars="200"/>
        <w:jc w:val="both"/>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纳入广元市自然资源局2023年度部门决算编制范围的二级预算单位包括：</w:t>
      </w:r>
    </w:p>
    <w:p w14:paraId="4D6FE022">
      <w:pPr>
        <w:pStyle w:val="11"/>
        <w:pageBreakBefore w:val="0"/>
        <w:widowControl w:val="0"/>
        <w:shd w:val="clear"/>
        <w:kinsoku/>
        <w:wordWrap/>
        <w:overflowPunct/>
        <w:topLinePunct w:val="0"/>
        <w:autoSpaceDE/>
        <w:autoSpaceDN/>
        <w:bidi w:val="0"/>
        <w:adjustRightInd/>
        <w:spacing w:line="576" w:lineRule="exact"/>
        <w:ind w:left="0" w:leftChars="0" w:right="0" w:firstLine="640" w:firstLineChars="200"/>
        <w:jc w:val="both"/>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1.广元市自然资源局（本级）</w:t>
      </w:r>
    </w:p>
    <w:p w14:paraId="4A3FC901">
      <w:pPr>
        <w:pageBreakBefore w:val="0"/>
        <w:widowControl w:val="0"/>
        <w:shd w:val="clear"/>
        <w:kinsoku/>
        <w:wordWrap/>
        <w:overflowPunct/>
        <w:topLinePunct w:val="0"/>
        <w:autoSpaceDE/>
        <w:autoSpaceDN/>
        <w:bidi w:val="0"/>
        <w:adjustRightInd/>
        <w:spacing w:line="576" w:lineRule="exact"/>
        <w:ind w:left="0" w:leftChars="0" w:right="0"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广元市自然资源局经济开发区事务中心</w:t>
      </w:r>
    </w:p>
    <w:p w14:paraId="5716D2F1">
      <w:pPr>
        <w:pageBreakBefore w:val="0"/>
        <w:widowControl w:val="0"/>
        <w:shd w:val="clear"/>
        <w:kinsoku/>
        <w:wordWrap/>
        <w:overflowPunct/>
        <w:topLinePunct w:val="0"/>
        <w:autoSpaceDE/>
        <w:autoSpaceDN/>
        <w:bidi w:val="0"/>
        <w:adjustRightInd/>
        <w:spacing w:line="576" w:lineRule="exact"/>
        <w:ind w:left="0" w:leftChars="0" w:right="0"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广元市地质环境监测站</w:t>
      </w:r>
    </w:p>
    <w:p w14:paraId="1DB8A109">
      <w:pPr>
        <w:pageBreakBefore w:val="0"/>
        <w:widowControl w:val="0"/>
        <w:shd w:val="clear"/>
        <w:kinsoku/>
        <w:wordWrap/>
        <w:overflowPunct/>
        <w:topLinePunct w:val="0"/>
        <w:autoSpaceDE/>
        <w:autoSpaceDN/>
        <w:bidi w:val="0"/>
        <w:adjustRightInd/>
        <w:spacing w:line="576" w:lineRule="exact"/>
        <w:ind w:left="0" w:leftChars="0" w:right="0"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广元市不动产登记中心</w:t>
      </w:r>
    </w:p>
    <w:p w14:paraId="3080538C">
      <w:pPr>
        <w:pageBreakBefore w:val="0"/>
        <w:widowControl w:val="0"/>
        <w:shd w:val="clear"/>
        <w:kinsoku/>
        <w:wordWrap/>
        <w:overflowPunct/>
        <w:topLinePunct w:val="0"/>
        <w:autoSpaceDE/>
        <w:autoSpaceDN/>
        <w:bidi w:val="0"/>
        <w:adjustRightInd/>
        <w:spacing w:line="576" w:lineRule="exact"/>
        <w:ind w:left="0" w:leftChars="0" w:right="0"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rPr>
        <w:t>广元市国土整治中心</w:t>
      </w:r>
    </w:p>
    <w:p w14:paraId="4A1828A6">
      <w:pPr>
        <w:pageBreakBefore w:val="0"/>
        <w:widowControl w:val="0"/>
        <w:shd w:val="clear"/>
        <w:kinsoku/>
        <w:wordWrap/>
        <w:overflowPunct/>
        <w:topLinePunct w:val="0"/>
        <w:autoSpaceDE/>
        <w:autoSpaceDN/>
        <w:bidi w:val="0"/>
        <w:adjustRightInd/>
        <w:spacing w:line="576" w:lineRule="exact"/>
        <w:ind w:left="0" w:leftChars="0" w:right="0"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6.</w:t>
      </w:r>
      <w:r>
        <w:rPr>
          <w:rFonts w:hint="eastAsia" w:ascii="仿宋_GB2312" w:hAnsi="仿宋_GB2312" w:eastAsia="仿宋_GB2312" w:cs="仿宋_GB2312"/>
          <w:color w:val="auto"/>
          <w:sz w:val="32"/>
          <w:szCs w:val="32"/>
          <w:highlight w:val="none"/>
        </w:rPr>
        <w:t>广元市自然资源储备交易中心</w:t>
      </w:r>
    </w:p>
    <w:p w14:paraId="69DA55AE">
      <w:pPr>
        <w:pageBreakBefore w:val="0"/>
        <w:widowControl w:val="0"/>
        <w:shd w:val="clear"/>
        <w:kinsoku/>
        <w:wordWrap/>
        <w:overflowPunct/>
        <w:topLinePunct w:val="0"/>
        <w:autoSpaceDE/>
        <w:autoSpaceDN/>
        <w:bidi w:val="0"/>
        <w:adjustRightInd/>
        <w:spacing w:line="576" w:lineRule="exact"/>
        <w:ind w:left="0" w:leftChars="0" w:right="0"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7.</w:t>
      </w:r>
      <w:r>
        <w:rPr>
          <w:rFonts w:hint="eastAsia" w:ascii="仿宋_GB2312" w:hAnsi="仿宋_GB2312" w:eastAsia="仿宋_GB2312" w:cs="仿宋_GB2312"/>
          <w:color w:val="auto"/>
          <w:sz w:val="32"/>
          <w:szCs w:val="32"/>
          <w:highlight w:val="none"/>
        </w:rPr>
        <w:t>广元市测绘地理信息中心</w:t>
      </w:r>
    </w:p>
    <w:p w14:paraId="187537F5">
      <w:pPr>
        <w:pageBreakBefore w:val="0"/>
        <w:widowControl w:val="0"/>
        <w:shd w:val="clear"/>
        <w:kinsoku/>
        <w:wordWrap/>
        <w:overflowPunct/>
        <w:topLinePunct w:val="0"/>
        <w:autoSpaceDE/>
        <w:autoSpaceDN/>
        <w:bidi w:val="0"/>
        <w:adjustRightInd/>
        <w:spacing w:line="576" w:lineRule="exact"/>
        <w:ind w:left="0" w:leftChars="0" w:right="0"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8.</w:t>
      </w:r>
      <w:r>
        <w:rPr>
          <w:rFonts w:hint="eastAsia" w:ascii="仿宋_GB2312" w:hAnsi="仿宋_GB2312" w:eastAsia="仿宋_GB2312" w:cs="仿宋_GB2312"/>
          <w:color w:val="auto"/>
          <w:sz w:val="32"/>
          <w:szCs w:val="32"/>
          <w:highlight w:val="none"/>
        </w:rPr>
        <w:t>广元市地籍地政事务中心</w:t>
      </w:r>
    </w:p>
    <w:p w14:paraId="38CD0BEA">
      <w:pPr>
        <w:pageBreakBefore w:val="0"/>
        <w:widowControl w:val="0"/>
        <w:shd w:val="clear"/>
        <w:kinsoku/>
        <w:wordWrap/>
        <w:overflowPunct/>
        <w:topLinePunct w:val="0"/>
        <w:bidi w:val="0"/>
        <w:spacing w:line="576" w:lineRule="exact"/>
        <w:ind w:left="0" w:leftChars="0" w:right="0" w:firstLine="420" w:firstLineChars="200"/>
        <w:jc w:val="both"/>
        <w:textAlignment w:val="auto"/>
        <w:rPr>
          <w:rFonts w:hint="eastAsia" w:ascii="黑体" w:hAnsi="黑体" w:eastAsia="黑体"/>
          <w:b w:val="0"/>
          <w:bCs/>
          <w:color w:val="auto"/>
          <w:highlight w:val="none"/>
        </w:rPr>
      </w:pPr>
      <w:r>
        <w:rPr>
          <w:rFonts w:hint="eastAsia" w:ascii="黑体" w:hAnsi="黑体" w:eastAsia="黑体"/>
          <w:b w:val="0"/>
          <w:bCs/>
          <w:color w:val="auto"/>
          <w:highlight w:val="none"/>
        </w:rPr>
        <w:br w:type="page"/>
      </w:r>
    </w:p>
    <w:p w14:paraId="3605D592">
      <w:pPr>
        <w:pStyle w:val="33"/>
        <w:pageBreakBefore w:val="0"/>
        <w:widowControl w:val="0"/>
        <w:numPr>
          <w:ilvl w:val="0"/>
          <w:numId w:val="0"/>
        </w:numPr>
        <w:shd w:val="clear"/>
        <w:kinsoku/>
        <w:wordWrap/>
        <w:overflowPunct/>
        <w:topLinePunct w:val="0"/>
        <w:bidi w:val="0"/>
        <w:spacing w:line="576" w:lineRule="exact"/>
        <w:ind w:right="0" w:rightChars="0"/>
        <w:jc w:val="center"/>
        <w:textAlignment w:val="auto"/>
        <w:outlineLvl w:val="0"/>
        <w:rPr>
          <w:rStyle w:val="22"/>
          <w:rFonts w:hint="eastAsia" w:ascii="黑体" w:hAnsi="黑体" w:eastAsia="黑体" w:cstheme="minorBidi"/>
          <w:b w:val="0"/>
          <w:bCs/>
          <w:color w:val="auto"/>
          <w:highlight w:val="none"/>
        </w:rPr>
      </w:pPr>
      <w:bookmarkStart w:id="22" w:name="_Toc627"/>
      <w:r>
        <w:rPr>
          <w:rStyle w:val="22"/>
          <w:rFonts w:hint="eastAsia" w:ascii="黑体" w:hAnsi="黑体" w:eastAsia="黑体" w:cstheme="minorBidi"/>
          <w:b w:val="0"/>
          <w:bCs/>
          <w:color w:val="auto"/>
          <w:highlight w:val="none"/>
        </w:rPr>
        <w:t>第二部分</w:t>
      </w:r>
      <w:r>
        <w:rPr>
          <w:rStyle w:val="22"/>
          <w:rFonts w:hint="eastAsia" w:ascii="黑体" w:hAnsi="黑体" w:eastAsia="黑体" w:cstheme="minorBidi"/>
          <w:b w:val="0"/>
          <w:bCs/>
          <w:color w:val="auto"/>
          <w:highlight w:val="none"/>
          <w:lang w:val="en-US" w:eastAsia="zh-CN"/>
        </w:rPr>
        <w:t>2023年度</w:t>
      </w:r>
      <w:r>
        <w:rPr>
          <w:rStyle w:val="22"/>
          <w:rFonts w:hint="eastAsia" w:ascii="黑体" w:hAnsi="黑体" w:eastAsia="黑体" w:cstheme="minorBidi"/>
          <w:b w:val="0"/>
          <w:bCs/>
          <w:color w:val="auto"/>
          <w:highlight w:val="none"/>
        </w:rPr>
        <w:t>部门决算情况说明</w:t>
      </w:r>
      <w:bookmarkEnd w:id="20"/>
      <w:bookmarkEnd w:id="21"/>
      <w:bookmarkEnd w:id="22"/>
      <w:bookmarkStart w:id="23" w:name="_Toc15396603"/>
      <w:bookmarkStart w:id="24" w:name="_Toc15377205"/>
    </w:p>
    <w:p w14:paraId="3A4AAEF3">
      <w:pPr>
        <w:pStyle w:val="33"/>
        <w:pageBreakBefore w:val="0"/>
        <w:widowControl w:val="0"/>
        <w:numPr>
          <w:ilvl w:val="0"/>
          <w:numId w:val="0"/>
        </w:numPr>
        <w:shd w:val="clear"/>
        <w:kinsoku/>
        <w:wordWrap/>
        <w:overflowPunct/>
        <w:topLinePunct w:val="0"/>
        <w:bidi w:val="0"/>
        <w:spacing w:line="576" w:lineRule="exact"/>
        <w:ind w:right="0" w:rightChars="0"/>
        <w:jc w:val="center"/>
        <w:textAlignment w:val="auto"/>
        <w:outlineLvl w:val="9"/>
        <w:rPr>
          <w:rStyle w:val="22"/>
          <w:rFonts w:hint="eastAsia" w:ascii="黑体" w:hAnsi="黑体" w:eastAsia="黑体" w:cstheme="minorBidi"/>
          <w:b w:val="0"/>
          <w:bCs/>
          <w:color w:val="auto"/>
          <w:highlight w:val="none"/>
        </w:rPr>
      </w:pPr>
    </w:p>
    <w:p w14:paraId="52A59BFD">
      <w:pPr>
        <w:pStyle w:val="33"/>
        <w:keepNext w:val="0"/>
        <w:keepLines w:val="0"/>
        <w:pageBreakBefore w:val="0"/>
        <w:widowControl w:val="0"/>
        <w:numPr>
          <w:ilvl w:val="0"/>
          <w:numId w:val="0"/>
        </w:numPr>
        <w:shd w:val="clear"/>
        <w:kinsoku/>
        <w:wordWrap/>
        <w:overflowPunct/>
        <w:topLinePunct w:val="0"/>
        <w:bidi w:val="0"/>
        <w:snapToGrid/>
        <w:spacing w:line="576" w:lineRule="exact"/>
        <w:ind w:leftChars="0" w:right="0" w:rightChars="0" w:firstLine="640" w:firstLineChars="200"/>
        <w:jc w:val="both"/>
        <w:textAlignment w:val="auto"/>
        <w:outlineLvl w:val="1"/>
        <w:rPr>
          <w:rStyle w:val="23"/>
          <w:rFonts w:ascii="黑体" w:hAnsi="黑体" w:eastAsia="黑体"/>
          <w:b w:val="0"/>
          <w:color w:val="auto"/>
          <w:highlight w:val="none"/>
        </w:rPr>
      </w:pPr>
      <w:bookmarkStart w:id="25" w:name="_Toc21546"/>
      <w:r>
        <w:rPr>
          <w:rFonts w:hint="eastAsia" w:ascii="黑体" w:hAnsi="黑体" w:eastAsia="黑体"/>
          <w:color w:val="auto"/>
          <w:sz w:val="32"/>
          <w:szCs w:val="32"/>
          <w:highlight w:val="none"/>
          <w:lang w:eastAsia="zh-CN"/>
        </w:rPr>
        <w:t>一、</w:t>
      </w:r>
      <w:r>
        <w:rPr>
          <w:rFonts w:hint="eastAsia" w:ascii="黑体" w:hAnsi="黑体" w:eastAsia="黑体"/>
          <w:color w:val="auto"/>
          <w:sz w:val="32"/>
          <w:szCs w:val="32"/>
          <w:highlight w:val="none"/>
        </w:rPr>
        <w:t>收</w:t>
      </w:r>
      <w:r>
        <w:rPr>
          <w:rStyle w:val="23"/>
          <w:rFonts w:hint="eastAsia" w:ascii="黑体" w:hAnsi="黑体" w:eastAsia="黑体"/>
          <w:b w:val="0"/>
          <w:color w:val="auto"/>
          <w:highlight w:val="none"/>
        </w:rPr>
        <w:t>入支出决算总体情况说明</w:t>
      </w:r>
      <w:bookmarkEnd w:id="23"/>
      <w:bookmarkEnd w:id="24"/>
      <w:bookmarkEnd w:id="25"/>
    </w:p>
    <w:p w14:paraId="17EFF6EF">
      <w:pPr>
        <w:keepNext w:val="0"/>
        <w:keepLines w:val="0"/>
        <w:pageBreakBefore w:val="0"/>
        <w:widowControl w:val="0"/>
        <w:shd w:val="clear"/>
        <w:kinsoku/>
        <w:wordWrap/>
        <w:overflowPunct/>
        <w:topLinePunct w:val="0"/>
        <w:bidi w:val="0"/>
        <w:snapToGrid/>
        <w:spacing w:line="576" w:lineRule="exact"/>
        <w:ind w:left="0" w:leftChars="0" w:right="0" w:firstLine="640" w:firstLineChars="200"/>
        <w:jc w:val="both"/>
        <w:textAlignment w:val="auto"/>
        <w:rPr>
          <w:rFonts w:hint="eastAsia" w:ascii="仿宋" w:hAnsi="仿宋" w:eastAsia="仿宋"/>
          <w:color w:val="auto"/>
          <w:sz w:val="32"/>
          <w:szCs w:val="32"/>
          <w:highlight w:val="none"/>
          <w:lang w:val="en-US" w:eastAsia="zh-CN"/>
        </w:rPr>
      </w:pPr>
      <w:r>
        <w:rPr>
          <w:rFonts w:hint="eastAsia"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23</w:t>
      </w:r>
      <w:r>
        <w:rPr>
          <w:rFonts w:hint="eastAsia" w:ascii="仿宋" w:hAnsi="仿宋" w:eastAsia="仿宋"/>
          <w:color w:val="auto"/>
          <w:sz w:val="32"/>
          <w:szCs w:val="32"/>
          <w:highlight w:val="none"/>
        </w:rPr>
        <w:t>年度收、支总计</w:t>
      </w:r>
      <w:r>
        <w:rPr>
          <w:rFonts w:hint="eastAsia" w:ascii="仿宋" w:hAnsi="仿宋" w:eastAsia="仿宋"/>
          <w:color w:val="auto"/>
          <w:sz w:val="32"/>
          <w:szCs w:val="32"/>
          <w:highlight w:val="none"/>
          <w:lang w:val="en-US" w:eastAsia="zh-CN"/>
        </w:rPr>
        <w:t>21933.47</w:t>
      </w:r>
      <w:r>
        <w:rPr>
          <w:rFonts w:hint="eastAsia" w:ascii="仿宋" w:hAnsi="仿宋" w:eastAsia="仿宋"/>
          <w:color w:val="auto"/>
          <w:sz w:val="32"/>
          <w:szCs w:val="32"/>
          <w:highlight w:val="none"/>
        </w:rPr>
        <w:t>万元。与20</w:t>
      </w:r>
      <w:r>
        <w:rPr>
          <w:rFonts w:hint="eastAsia" w:ascii="仿宋" w:hAnsi="仿宋" w:eastAsia="仿宋"/>
          <w:color w:val="auto"/>
          <w:sz w:val="32"/>
          <w:szCs w:val="32"/>
          <w:highlight w:val="none"/>
          <w:lang w:val="en-US" w:eastAsia="zh-CN"/>
        </w:rPr>
        <w:t>22</w:t>
      </w:r>
      <w:r>
        <w:rPr>
          <w:rFonts w:hint="eastAsia" w:ascii="仿宋" w:hAnsi="仿宋" w:eastAsia="仿宋"/>
          <w:color w:val="auto"/>
          <w:sz w:val="32"/>
          <w:szCs w:val="32"/>
          <w:highlight w:val="none"/>
        </w:rPr>
        <w:t>年相比，收、支总计各</w:t>
      </w:r>
      <w:r>
        <w:rPr>
          <w:rFonts w:hint="eastAsia" w:ascii="仿宋" w:hAnsi="仿宋" w:eastAsia="仿宋"/>
          <w:color w:val="auto"/>
          <w:sz w:val="32"/>
          <w:szCs w:val="32"/>
          <w:highlight w:val="none"/>
          <w:lang w:val="en-US" w:eastAsia="zh-CN"/>
        </w:rPr>
        <w:t>减少6414.7</w:t>
      </w:r>
      <w:r>
        <w:rPr>
          <w:rFonts w:hint="eastAsia" w:ascii="仿宋" w:hAnsi="仿宋" w:eastAsia="仿宋"/>
          <w:color w:val="auto"/>
          <w:sz w:val="32"/>
          <w:szCs w:val="32"/>
          <w:highlight w:val="none"/>
        </w:rPr>
        <w:t>万元，</w:t>
      </w:r>
      <w:r>
        <w:rPr>
          <w:rFonts w:hint="eastAsia" w:ascii="仿宋" w:hAnsi="仿宋" w:eastAsia="仿宋"/>
          <w:color w:val="auto"/>
          <w:sz w:val="32"/>
          <w:szCs w:val="32"/>
          <w:highlight w:val="none"/>
          <w:lang w:val="en-US" w:eastAsia="zh-CN"/>
        </w:rPr>
        <w:t>减少22.63</w:t>
      </w:r>
      <w:r>
        <w:rPr>
          <w:rFonts w:ascii="仿宋" w:hAnsi="仿宋" w:eastAsia="仿宋"/>
          <w:color w:val="auto"/>
          <w:sz w:val="32"/>
          <w:szCs w:val="32"/>
          <w:highlight w:val="none"/>
        </w:rPr>
        <w:t>%</w:t>
      </w:r>
      <w:r>
        <w:rPr>
          <w:rFonts w:hint="eastAsia" w:ascii="仿宋" w:hAnsi="仿宋" w:eastAsia="仿宋"/>
          <w:color w:val="auto"/>
          <w:sz w:val="32"/>
          <w:szCs w:val="32"/>
          <w:highlight w:val="none"/>
        </w:rPr>
        <w:t>。主要变动原因</w:t>
      </w:r>
      <w:r>
        <w:rPr>
          <w:rFonts w:hint="eastAsia" w:ascii="仿宋" w:hAnsi="仿宋" w:eastAsia="仿宋"/>
          <w:color w:val="auto"/>
          <w:sz w:val="32"/>
          <w:szCs w:val="32"/>
          <w:highlight w:val="none"/>
          <w:lang w:val="en-US" w:eastAsia="zh-CN"/>
        </w:rPr>
        <w:t>项目拨款减少。</w:t>
      </w:r>
    </w:p>
    <w:p w14:paraId="27D6C473">
      <w:pPr>
        <w:pStyle w:val="2"/>
        <w:rPr>
          <w:rFonts w:hint="default"/>
          <w:lang w:val="en-US" w:eastAsia="zh-CN"/>
        </w:rPr>
      </w:pPr>
      <w:r>
        <w:drawing>
          <wp:inline distT="0" distB="0" distL="114300" distR="114300">
            <wp:extent cx="5132705" cy="3018155"/>
            <wp:effectExtent l="4445" t="4445" r="6350" b="6350"/>
            <wp:docPr id="9"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3C671A70">
      <w:pPr>
        <w:pStyle w:val="33"/>
        <w:keepNext w:val="0"/>
        <w:keepLines w:val="0"/>
        <w:pageBreakBefore w:val="0"/>
        <w:widowControl w:val="0"/>
        <w:numPr>
          <w:ilvl w:val="0"/>
          <w:numId w:val="0"/>
        </w:numPr>
        <w:shd w:val="clear"/>
        <w:kinsoku/>
        <w:wordWrap/>
        <w:overflowPunct/>
        <w:topLinePunct w:val="0"/>
        <w:bidi w:val="0"/>
        <w:snapToGrid/>
        <w:spacing w:line="576" w:lineRule="exact"/>
        <w:ind w:right="0" w:rightChars="0"/>
        <w:jc w:val="center"/>
        <w:textAlignment w:val="auto"/>
        <w:outlineLvl w:val="1"/>
        <w:rPr>
          <w:rFonts w:hint="eastAsia" w:ascii="仿宋" w:hAnsi="仿宋" w:eastAsia="仿宋"/>
          <w:color w:val="auto"/>
          <w:sz w:val="32"/>
          <w:szCs w:val="32"/>
          <w:highlight w:val="none"/>
        </w:rPr>
      </w:pPr>
      <w:bookmarkStart w:id="26" w:name="_Toc10094"/>
      <w:r>
        <w:rPr>
          <w:rFonts w:hint="eastAsia" w:ascii="仿宋" w:hAnsi="仿宋" w:eastAsia="仿宋"/>
          <w:color w:val="auto"/>
          <w:sz w:val="32"/>
          <w:szCs w:val="32"/>
          <w:highlight w:val="none"/>
        </w:rPr>
        <w:t>（图</w:t>
      </w:r>
      <w:r>
        <w:rPr>
          <w:rFonts w:ascii="仿宋" w:hAnsi="仿宋" w:eastAsia="仿宋"/>
          <w:color w:val="auto"/>
          <w:sz w:val="32"/>
          <w:szCs w:val="32"/>
          <w:highlight w:val="none"/>
        </w:rPr>
        <w:t>1</w:t>
      </w:r>
      <w:r>
        <w:rPr>
          <w:rFonts w:hint="eastAsia" w:ascii="仿宋" w:hAnsi="仿宋" w:eastAsia="仿宋"/>
          <w:color w:val="auto"/>
          <w:sz w:val="32"/>
          <w:szCs w:val="32"/>
          <w:highlight w:val="none"/>
        </w:rPr>
        <w:t>：收、支决算总计变动情况图）（柱状图）</w:t>
      </w:r>
      <w:bookmarkEnd w:id="26"/>
      <w:bookmarkStart w:id="27" w:name="_Toc15377206"/>
      <w:bookmarkStart w:id="28" w:name="_Toc15396604"/>
    </w:p>
    <w:p w14:paraId="3F4FDD46">
      <w:pPr>
        <w:pStyle w:val="33"/>
        <w:keepNext w:val="0"/>
        <w:keepLines w:val="0"/>
        <w:pageBreakBefore w:val="0"/>
        <w:widowControl w:val="0"/>
        <w:numPr>
          <w:ilvl w:val="0"/>
          <w:numId w:val="0"/>
        </w:numPr>
        <w:shd w:val="clear"/>
        <w:kinsoku/>
        <w:wordWrap/>
        <w:overflowPunct/>
        <w:topLinePunct w:val="0"/>
        <w:bidi w:val="0"/>
        <w:snapToGrid/>
        <w:spacing w:line="576" w:lineRule="exact"/>
        <w:ind w:leftChars="0" w:right="0" w:rightChars="0" w:firstLine="640" w:firstLineChars="200"/>
        <w:jc w:val="both"/>
        <w:textAlignment w:val="auto"/>
        <w:outlineLvl w:val="1"/>
        <w:rPr>
          <w:rStyle w:val="23"/>
          <w:rFonts w:ascii="黑体" w:hAnsi="黑体" w:eastAsia="黑体"/>
          <w:b w:val="0"/>
          <w:color w:val="auto"/>
          <w:highlight w:val="none"/>
        </w:rPr>
      </w:pPr>
      <w:bookmarkStart w:id="29" w:name="_Toc8410"/>
      <w:r>
        <w:rPr>
          <w:rFonts w:hint="eastAsia" w:ascii="黑体" w:hAnsi="黑体" w:eastAsia="黑体"/>
          <w:color w:val="auto"/>
          <w:sz w:val="32"/>
          <w:szCs w:val="32"/>
          <w:highlight w:val="none"/>
          <w:lang w:eastAsia="zh-CN"/>
        </w:rPr>
        <w:t>二、</w:t>
      </w:r>
      <w:r>
        <w:rPr>
          <w:rFonts w:hint="eastAsia" w:ascii="黑体" w:hAnsi="黑体" w:eastAsia="黑体"/>
          <w:color w:val="auto"/>
          <w:sz w:val="32"/>
          <w:szCs w:val="32"/>
          <w:highlight w:val="none"/>
        </w:rPr>
        <w:t>收</w:t>
      </w:r>
      <w:r>
        <w:rPr>
          <w:rStyle w:val="23"/>
          <w:rFonts w:hint="eastAsia" w:ascii="黑体" w:hAnsi="黑体" w:eastAsia="黑体"/>
          <w:b w:val="0"/>
          <w:color w:val="auto"/>
          <w:highlight w:val="none"/>
        </w:rPr>
        <w:t>入决算情况说明</w:t>
      </w:r>
      <w:bookmarkEnd w:id="27"/>
      <w:bookmarkEnd w:id="28"/>
      <w:bookmarkEnd w:id="29"/>
    </w:p>
    <w:p w14:paraId="4ABF3950">
      <w:pPr>
        <w:keepNext w:val="0"/>
        <w:keepLines w:val="0"/>
        <w:pageBreakBefore w:val="0"/>
        <w:widowControl w:val="0"/>
        <w:shd w:val="clear"/>
        <w:kinsoku/>
        <w:wordWrap/>
        <w:overflowPunct/>
        <w:topLinePunct w:val="0"/>
        <w:bidi w:val="0"/>
        <w:snapToGrid/>
        <w:spacing w:line="576" w:lineRule="exact"/>
        <w:ind w:left="0" w:leftChars="0" w:right="0" w:firstLine="640" w:firstLineChars="200"/>
        <w:jc w:val="both"/>
        <w:textAlignment w:val="auto"/>
        <w:outlineLvl w:val="1"/>
        <w:rPr>
          <w:rFonts w:hint="eastAsia" w:eastAsia="仿宋"/>
          <w:color w:val="auto"/>
          <w:highlight w:val="none"/>
          <w:lang w:val="en-US" w:eastAsia="zh-CN"/>
        </w:rPr>
      </w:pPr>
      <w:bookmarkStart w:id="30" w:name="_Toc13729"/>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23</w:t>
      </w:r>
      <w:r>
        <w:rPr>
          <w:rFonts w:hint="eastAsia" w:ascii="仿宋" w:hAnsi="仿宋" w:eastAsia="仿宋"/>
          <w:color w:val="auto"/>
          <w:sz w:val="32"/>
          <w:szCs w:val="32"/>
          <w:highlight w:val="none"/>
        </w:rPr>
        <w:t>年本年收入合计</w:t>
      </w:r>
      <w:r>
        <w:rPr>
          <w:rFonts w:hint="eastAsia" w:ascii="仿宋" w:hAnsi="仿宋" w:eastAsia="仿宋"/>
          <w:color w:val="auto"/>
          <w:sz w:val="32"/>
          <w:szCs w:val="32"/>
          <w:highlight w:val="none"/>
          <w:lang w:val="en-US" w:eastAsia="zh-CN"/>
        </w:rPr>
        <w:t>21784.39</w:t>
      </w:r>
      <w:r>
        <w:rPr>
          <w:rFonts w:hint="eastAsia" w:ascii="仿宋" w:hAnsi="仿宋" w:eastAsia="仿宋"/>
          <w:color w:val="auto"/>
          <w:sz w:val="32"/>
          <w:szCs w:val="32"/>
          <w:highlight w:val="none"/>
        </w:rPr>
        <w:t>万元，其中：一般公共预算财政拨款收入</w:t>
      </w:r>
      <w:r>
        <w:rPr>
          <w:rFonts w:hint="eastAsia" w:ascii="仿宋" w:hAnsi="仿宋" w:eastAsia="仿宋"/>
          <w:color w:val="auto"/>
          <w:sz w:val="32"/>
          <w:szCs w:val="32"/>
          <w:highlight w:val="none"/>
          <w:lang w:val="en-US" w:eastAsia="zh-CN"/>
        </w:rPr>
        <w:t>5180.08</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23.78</w:t>
      </w:r>
      <w:r>
        <w:rPr>
          <w:rFonts w:ascii="仿宋" w:hAnsi="仿宋" w:eastAsia="仿宋"/>
          <w:color w:val="auto"/>
          <w:sz w:val="32"/>
          <w:szCs w:val="32"/>
          <w:highlight w:val="none"/>
        </w:rPr>
        <w:t>%</w:t>
      </w:r>
      <w:r>
        <w:rPr>
          <w:rFonts w:hint="eastAsia" w:ascii="仿宋" w:hAnsi="仿宋" w:eastAsia="仿宋"/>
          <w:color w:val="auto"/>
          <w:sz w:val="32"/>
          <w:szCs w:val="32"/>
          <w:highlight w:val="none"/>
        </w:rPr>
        <w:t>；政府性基金预算财政拨款收入</w:t>
      </w:r>
      <w:r>
        <w:rPr>
          <w:rFonts w:hint="eastAsia" w:ascii="仿宋" w:hAnsi="仿宋" w:eastAsia="仿宋"/>
          <w:color w:val="auto"/>
          <w:sz w:val="32"/>
          <w:szCs w:val="32"/>
          <w:highlight w:val="none"/>
          <w:lang w:val="en-US" w:eastAsia="zh-CN"/>
        </w:rPr>
        <w:t>16408.70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75.32</w:t>
      </w:r>
      <w:r>
        <w:rPr>
          <w:rFonts w:ascii="仿宋" w:hAnsi="仿宋" w:eastAsia="仿宋"/>
          <w:color w:val="auto"/>
          <w:sz w:val="32"/>
          <w:szCs w:val="32"/>
          <w:highlight w:val="none"/>
        </w:rPr>
        <w:t>%</w:t>
      </w:r>
      <w:r>
        <w:rPr>
          <w:rFonts w:hint="eastAsia" w:ascii="仿宋" w:hAnsi="仿宋" w:eastAsia="仿宋"/>
          <w:color w:val="auto"/>
          <w:sz w:val="32"/>
          <w:szCs w:val="32"/>
          <w:highlight w:val="none"/>
        </w:rPr>
        <w:t>；其他收入</w:t>
      </w:r>
      <w:r>
        <w:rPr>
          <w:rFonts w:hint="eastAsia" w:ascii="仿宋" w:hAnsi="仿宋" w:eastAsia="仿宋"/>
          <w:color w:val="auto"/>
          <w:sz w:val="32"/>
          <w:szCs w:val="32"/>
          <w:highlight w:val="none"/>
          <w:lang w:val="en-US" w:eastAsia="zh-CN"/>
        </w:rPr>
        <w:t>195.6</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0.9</w:t>
      </w:r>
      <w:r>
        <w:rPr>
          <w:rFonts w:ascii="仿宋" w:hAnsi="仿宋" w:eastAsia="仿宋"/>
          <w:color w:val="auto"/>
          <w:sz w:val="32"/>
          <w:szCs w:val="32"/>
          <w:highlight w:val="none"/>
        </w:rPr>
        <w:t>%</w:t>
      </w:r>
      <w:bookmarkEnd w:id="30"/>
      <w:r>
        <w:rPr>
          <w:rFonts w:hint="eastAsia" w:ascii="仿宋" w:hAnsi="仿宋" w:eastAsia="仿宋"/>
          <w:color w:val="auto"/>
          <w:sz w:val="32"/>
          <w:szCs w:val="32"/>
          <w:highlight w:val="none"/>
          <w:lang w:eastAsia="zh-CN"/>
        </w:rPr>
        <w:t>。</w:t>
      </w:r>
    </w:p>
    <w:p w14:paraId="275456B9">
      <w:pPr>
        <w:pStyle w:val="2"/>
        <w:shd w:val="clear"/>
        <w:ind w:left="0" w:leftChars="0" w:firstLine="0" w:firstLineChars="0"/>
        <w:jc w:val="center"/>
        <w:rPr>
          <w:color w:val="auto"/>
          <w:highlight w:val="none"/>
        </w:rPr>
      </w:pPr>
      <w:r>
        <w:drawing>
          <wp:inline distT="0" distB="0" distL="114300" distR="114300">
            <wp:extent cx="4813935" cy="2748280"/>
            <wp:effectExtent l="4445" t="4445" r="20320" b="9525"/>
            <wp:docPr id="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1BE802DF">
      <w:pPr>
        <w:pStyle w:val="33"/>
        <w:keepNext w:val="0"/>
        <w:keepLines w:val="0"/>
        <w:pageBreakBefore w:val="0"/>
        <w:widowControl w:val="0"/>
        <w:numPr>
          <w:ilvl w:val="0"/>
          <w:numId w:val="0"/>
        </w:numPr>
        <w:shd w:val="clear"/>
        <w:kinsoku/>
        <w:wordWrap/>
        <w:overflowPunct/>
        <w:topLinePunct w:val="0"/>
        <w:bidi w:val="0"/>
        <w:snapToGrid/>
        <w:spacing w:line="576" w:lineRule="exact"/>
        <w:ind w:right="0" w:rightChars="0"/>
        <w:jc w:val="center"/>
        <w:textAlignment w:val="auto"/>
        <w:outlineLvl w:val="1"/>
        <w:rPr>
          <w:rStyle w:val="23"/>
          <w:rFonts w:ascii="黑体" w:hAnsi="黑体" w:eastAsia="黑体"/>
          <w:b w:val="0"/>
          <w:color w:val="auto"/>
          <w:highlight w:val="none"/>
        </w:rPr>
      </w:pPr>
      <w:bookmarkStart w:id="31" w:name="_Toc9241"/>
      <w:r>
        <w:rPr>
          <w:rFonts w:hint="eastAsia" w:ascii="仿宋" w:hAnsi="仿宋" w:eastAsia="仿宋"/>
          <w:color w:val="auto"/>
          <w:sz w:val="32"/>
          <w:szCs w:val="32"/>
          <w:highlight w:val="none"/>
        </w:rPr>
        <w:t>（图2：收入决算结构图）（饼状图）</w:t>
      </w:r>
      <w:bookmarkEnd w:id="31"/>
      <w:bookmarkStart w:id="32" w:name="_Toc15396605"/>
      <w:bookmarkStart w:id="33" w:name="_Toc15377207"/>
    </w:p>
    <w:p w14:paraId="57E78897">
      <w:pPr>
        <w:pStyle w:val="33"/>
        <w:keepNext w:val="0"/>
        <w:keepLines w:val="0"/>
        <w:pageBreakBefore w:val="0"/>
        <w:widowControl w:val="0"/>
        <w:numPr>
          <w:ilvl w:val="0"/>
          <w:numId w:val="0"/>
        </w:numPr>
        <w:shd w:val="clear"/>
        <w:kinsoku/>
        <w:wordWrap/>
        <w:overflowPunct/>
        <w:topLinePunct w:val="0"/>
        <w:bidi w:val="0"/>
        <w:snapToGrid/>
        <w:spacing w:line="576" w:lineRule="exact"/>
        <w:ind w:leftChars="0" w:right="0" w:rightChars="0" w:firstLine="640" w:firstLineChars="200"/>
        <w:jc w:val="both"/>
        <w:textAlignment w:val="auto"/>
        <w:outlineLvl w:val="1"/>
        <w:rPr>
          <w:rStyle w:val="23"/>
          <w:rFonts w:ascii="黑体" w:hAnsi="黑体" w:eastAsia="黑体"/>
          <w:b w:val="0"/>
          <w:color w:val="auto"/>
          <w:highlight w:val="none"/>
        </w:rPr>
      </w:pPr>
      <w:bookmarkStart w:id="34" w:name="_Toc630"/>
      <w:r>
        <w:rPr>
          <w:rFonts w:hint="eastAsia" w:ascii="黑体" w:hAnsi="黑体" w:eastAsia="黑体"/>
          <w:color w:val="auto"/>
          <w:sz w:val="32"/>
          <w:szCs w:val="32"/>
          <w:highlight w:val="none"/>
          <w:lang w:eastAsia="zh-CN"/>
        </w:rPr>
        <w:t>三、</w:t>
      </w:r>
      <w:r>
        <w:rPr>
          <w:rFonts w:hint="eastAsia" w:ascii="黑体" w:hAnsi="黑体" w:eastAsia="黑体"/>
          <w:color w:val="auto"/>
          <w:sz w:val="32"/>
          <w:szCs w:val="32"/>
          <w:highlight w:val="none"/>
        </w:rPr>
        <w:t>支</w:t>
      </w:r>
      <w:r>
        <w:rPr>
          <w:rStyle w:val="23"/>
          <w:rFonts w:hint="eastAsia" w:ascii="黑体" w:hAnsi="黑体" w:eastAsia="黑体"/>
          <w:b w:val="0"/>
          <w:color w:val="auto"/>
          <w:highlight w:val="none"/>
        </w:rPr>
        <w:t>出决算情况说明</w:t>
      </w:r>
      <w:bookmarkEnd w:id="32"/>
      <w:bookmarkEnd w:id="33"/>
      <w:bookmarkEnd w:id="34"/>
    </w:p>
    <w:p w14:paraId="64623593">
      <w:pPr>
        <w:keepNext w:val="0"/>
        <w:keepLines w:val="0"/>
        <w:pageBreakBefore w:val="0"/>
        <w:widowControl w:val="0"/>
        <w:shd w:val="clear"/>
        <w:kinsoku/>
        <w:wordWrap/>
        <w:overflowPunct/>
        <w:topLinePunct w:val="0"/>
        <w:bidi w:val="0"/>
        <w:snapToGrid/>
        <w:spacing w:line="576" w:lineRule="exact"/>
        <w:ind w:left="0" w:leftChars="0" w:right="0" w:firstLine="640" w:firstLineChars="200"/>
        <w:jc w:val="both"/>
        <w:textAlignment w:val="auto"/>
        <w:outlineLvl w:val="1"/>
        <w:rPr>
          <w:rFonts w:hint="eastAsia" w:ascii="仿宋" w:hAnsi="仿宋" w:eastAsia="仿宋"/>
          <w:color w:val="auto"/>
          <w:sz w:val="32"/>
          <w:szCs w:val="32"/>
          <w:highlight w:val="none"/>
          <w:lang w:eastAsia="zh-CN"/>
        </w:rPr>
      </w:pPr>
      <w:bookmarkStart w:id="35" w:name="_Toc6528"/>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23</w:t>
      </w:r>
      <w:r>
        <w:rPr>
          <w:rFonts w:hint="eastAsia" w:ascii="仿宋" w:hAnsi="仿宋" w:eastAsia="仿宋"/>
          <w:color w:val="auto"/>
          <w:sz w:val="32"/>
          <w:szCs w:val="32"/>
          <w:highlight w:val="none"/>
        </w:rPr>
        <w:t>年本年支出合计</w:t>
      </w:r>
      <w:r>
        <w:rPr>
          <w:rFonts w:hint="eastAsia" w:ascii="仿宋" w:hAnsi="仿宋" w:eastAsia="仿宋"/>
          <w:color w:val="auto"/>
          <w:sz w:val="32"/>
          <w:szCs w:val="32"/>
          <w:highlight w:val="none"/>
          <w:lang w:val="en-US" w:eastAsia="zh-CN"/>
        </w:rPr>
        <w:t>21933.47</w:t>
      </w:r>
      <w:r>
        <w:rPr>
          <w:rFonts w:hint="eastAsia" w:ascii="仿宋" w:hAnsi="仿宋" w:eastAsia="仿宋"/>
          <w:color w:val="auto"/>
          <w:sz w:val="32"/>
          <w:szCs w:val="32"/>
          <w:highlight w:val="none"/>
        </w:rPr>
        <w:t>万元，其中：基本支出</w:t>
      </w:r>
      <w:r>
        <w:rPr>
          <w:rFonts w:hint="eastAsia" w:ascii="仿宋" w:hAnsi="仿宋" w:eastAsia="仿宋"/>
          <w:color w:val="auto"/>
          <w:sz w:val="32"/>
          <w:szCs w:val="32"/>
          <w:highlight w:val="none"/>
          <w:lang w:val="en-US" w:eastAsia="zh-CN"/>
        </w:rPr>
        <w:t>3523.47</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16.06</w:t>
      </w:r>
      <w:r>
        <w:rPr>
          <w:rFonts w:ascii="仿宋" w:hAnsi="仿宋" w:eastAsia="仿宋"/>
          <w:color w:val="auto"/>
          <w:sz w:val="32"/>
          <w:szCs w:val="32"/>
          <w:highlight w:val="none"/>
        </w:rPr>
        <w:t>%</w:t>
      </w:r>
      <w:r>
        <w:rPr>
          <w:rFonts w:hint="eastAsia" w:ascii="仿宋" w:hAnsi="仿宋" w:eastAsia="仿宋"/>
          <w:color w:val="auto"/>
          <w:sz w:val="32"/>
          <w:szCs w:val="32"/>
          <w:highlight w:val="none"/>
        </w:rPr>
        <w:t>；项目支出</w:t>
      </w:r>
      <w:r>
        <w:rPr>
          <w:rFonts w:hint="eastAsia" w:ascii="仿宋" w:hAnsi="仿宋" w:eastAsia="仿宋"/>
          <w:color w:val="auto"/>
          <w:sz w:val="32"/>
          <w:szCs w:val="32"/>
          <w:highlight w:val="none"/>
          <w:lang w:val="en-US" w:eastAsia="zh-CN"/>
        </w:rPr>
        <w:t>18410.00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83.94</w:t>
      </w:r>
      <w:r>
        <w:rPr>
          <w:rFonts w:ascii="仿宋" w:hAnsi="仿宋" w:eastAsia="仿宋"/>
          <w:color w:val="auto"/>
          <w:sz w:val="32"/>
          <w:szCs w:val="32"/>
          <w:highlight w:val="none"/>
        </w:rPr>
        <w:t>%</w:t>
      </w:r>
      <w:r>
        <w:rPr>
          <w:rFonts w:hint="eastAsia" w:ascii="仿宋" w:hAnsi="仿宋" w:eastAsia="仿宋"/>
          <w:color w:val="auto"/>
          <w:sz w:val="32"/>
          <w:szCs w:val="32"/>
          <w:highlight w:val="none"/>
          <w:lang w:eastAsia="zh-CN"/>
        </w:rPr>
        <w:t>。</w:t>
      </w:r>
      <w:bookmarkEnd w:id="35"/>
    </w:p>
    <w:p w14:paraId="15119555">
      <w:pPr>
        <w:jc w:val="center"/>
        <w:rPr>
          <w:rFonts w:hint="eastAsia"/>
          <w:lang w:eastAsia="zh-CN"/>
        </w:rPr>
      </w:pPr>
      <w:r>
        <w:drawing>
          <wp:inline distT="0" distB="0" distL="114300" distR="114300">
            <wp:extent cx="4953635" cy="3018790"/>
            <wp:effectExtent l="4445" t="4445" r="13970" b="5715"/>
            <wp:docPr id="12"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09B928A">
      <w:pPr>
        <w:keepNext w:val="0"/>
        <w:keepLines w:val="0"/>
        <w:pageBreakBefore w:val="0"/>
        <w:widowControl w:val="0"/>
        <w:shd w:val="clear"/>
        <w:kinsoku/>
        <w:wordWrap/>
        <w:overflowPunct/>
        <w:topLinePunct w:val="0"/>
        <w:bidi w:val="0"/>
        <w:snapToGrid/>
        <w:spacing w:line="576" w:lineRule="exact"/>
        <w:ind w:right="0"/>
        <w:jc w:val="center"/>
        <w:textAlignment w:val="auto"/>
        <w:outlineLvl w:val="1"/>
        <w:rPr>
          <w:rFonts w:hint="eastAsia" w:ascii="仿宋" w:hAnsi="仿宋" w:eastAsia="仿宋"/>
          <w:color w:val="auto"/>
          <w:sz w:val="32"/>
          <w:szCs w:val="32"/>
          <w:highlight w:val="none"/>
          <w:lang w:eastAsia="zh-CN"/>
        </w:rPr>
      </w:pPr>
      <w:bookmarkStart w:id="36" w:name="_Toc28592"/>
      <w:r>
        <w:rPr>
          <w:rFonts w:hint="eastAsia" w:ascii="仿宋" w:hAnsi="仿宋" w:eastAsia="仿宋"/>
          <w:color w:val="auto"/>
          <w:sz w:val="32"/>
          <w:szCs w:val="32"/>
          <w:highlight w:val="none"/>
        </w:rPr>
        <w:t>（图3：支出决算结构图）（饼状图）</w:t>
      </w:r>
      <w:bookmarkEnd w:id="36"/>
      <w:bookmarkStart w:id="37" w:name="_Toc15377208"/>
      <w:bookmarkStart w:id="38" w:name="_Toc15396606"/>
    </w:p>
    <w:p w14:paraId="4DFD7B51">
      <w:pPr>
        <w:keepNext w:val="0"/>
        <w:keepLines w:val="0"/>
        <w:pageBreakBefore w:val="0"/>
        <w:widowControl w:val="0"/>
        <w:shd w:val="clear"/>
        <w:kinsoku/>
        <w:wordWrap/>
        <w:overflowPunct/>
        <w:topLinePunct w:val="0"/>
        <w:bidi w:val="0"/>
        <w:snapToGrid/>
        <w:spacing w:line="576" w:lineRule="exact"/>
        <w:ind w:left="0" w:leftChars="0" w:right="0" w:firstLine="640" w:firstLineChars="200"/>
        <w:jc w:val="both"/>
        <w:textAlignment w:val="auto"/>
        <w:outlineLvl w:val="1"/>
        <w:rPr>
          <w:rStyle w:val="23"/>
          <w:rFonts w:ascii="黑体" w:hAnsi="黑体" w:eastAsia="黑体"/>
          <w:b w:val="0"/>
          <w:color w:val="auto"/>
          <w:highlight w:val="none"/>
        </w:rPr>
      </w:pPr>
      <w:bookmarkStart w:id="39" w:name="_Toc17959"/>
      <w:r>
        <w:rPr>
          <w:rFonts w:hint="eastAsia" w:ascii="黑体" w:hAnsi="黑体" w:eastAsia="黑体"/>
          <w:color w:val="auto"/>
          <w:sz w:val="32"/>
          <w:szCs w:val="32"/>
          <w:highlight w:val="none"/>
        </w:rPr>
        <w:t>四、财</w:t>
      </w:r>
      <w:r>
        <w:rPr>
          <w:rStyle w:val="23"/>
          <w:rFonts w:hint="eastAsia" w:ascii="黑体" w:hAnsi="黑体" w:eastAsia="黑体"/>
          <w:b w:val="0"/>
          <w:color w:val="auto"/>
          <w:highlight w:val="none"/>
        </w:rPr>
        <w:t>政拨款收入支出决算总体情况说明</w:t>
      </w:r>
      <w:bookmarkEnd w:id="37"/>
      <w:bookmarkEnd w:id="38"/>
      <w:bookmarkEnd w:id="39"/>
    </w:p>
    <w:p w14:paraId="43174676">
      <w:pPr>
        <w:keepNext w:val="0"/>
        <w:keepLines w:val="0"/>
        <w:pageBreakBefore w:val="0"/>
        <w:widowControl w:val="0"/>
        <w:shd w:val="clear"/>
        <w:kinsoku/>
        <w:wordWrap/>
        <w:overflowPunct/>
        <w:topLinePunct w:val="0"/>
        <w:bidi w:val="0"/>
        <w:snapToGrid/>
        <w:spacing w:line="576" w:lineRule="exact"/>
        <w:ind w:left="0" w:leftChars="0" w:right="0" w:firstLine="640" w:firstLineChars="200"/>
        <w:jc w:val="both"/>
        <w:textAlignment w:val="auto"/>
        <w:rPr>
          <w:rFonts w:hint="eastAsia" w:ascii="仿宋" w:hAnsi="仿宋" w:eastAsia="仿宋"/>
          <w:color w:val="auto"/>
          <w:sz w:val="32"/>
          <w:szCs w:val="32"/>
          <w:highlight w:val="none"/>
          <w:lang w:eastAsia="zh-CN"/>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23</w:t>
      </w:r>
      <w:r>
        <w:rPr>
          <w:rFonts w:hint="eastAsia" w:ascii="仿宋" w:hAnsi="仿宋" w:eastAsia="仿宋"/>
          <w:color w:val="auto"/>
          <w:sz w:val="32"/>
          <w:szCs w:val="32"/>
          <w:highlight w:val="none"/>
        </w:rPr>
        <w:t>年财政拨款收、支总计</w:t>
      </w:r>
      <w:r>
        <w:rPr>
          <w:rFonts w:hint="eastAsia" w:ascii="仿宋" w:hAnsi="仿宋" w:eastAsia="仿宋"/>
          <w:color w:val="auto"/>
          <w:sz w:val="32"/>
          <w:szCs w:val="32"/>
          <w:highlight w:val="none"/>
          <w:lang w:val="en-US" w:eastAsia="zh-CN"/>
        </w:rPr>
        <w:t>21737.87</w:t>
      </w:r>
      <w:r>
        <w:rPr>
          <w:rFonts w:hint="eastAsia" w:ascii="仿宋" w:hAnsi="仿宋" w:eastAsia="仿宋"/>
          <w:color w:val="auto"/>
          <w:sz w:val="32"/>
          <w:szCs w:val="32"/>
          <w:highlight w:val="none"/>
        </w:rPr>
        <w:t>万元。与</w:t>
      </w: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22</w:t>
      </w:r>
      <w:r>
        <w:rPr>
          <w:rFonts w:hint="eastAsia" w:ascii="仿宋" w:hAnsi="仿宋" w:eastAsia="仿宋"/>
          <w:color w:val="auto"/>
          <w:sz w:val="32"/>
          <w:szCs w:val="32"/>
          <w:highlight w:val="none"/>
        </w:rPr>
        <w:t>年相比，财政拨款收、支总计各</w:t>
      </w:r>
      <w:r>
        <w:rPr>
          <w:rFonts w:hint="eastAsia" w:ascii="仿宋" w:hAnsi="仿宋" w:eastAsia="仿宋"/>
          <w:color w:val="auto"/>
          <w:sz w:val="32"/>
          <w:szCs w:val="32"/>
          <w:highlight w:val="none"/>
          <w:lang w:val="en-US" w:eastAsia="zh-CN"/>
        </w:rPr>
        <w:t>减少5939.74</w:t>
      </w:r>
      <w:r>
        <w:rPr>
          <w:rFonts w:hint="eastAsia" w:ascii="仿宋" w:hAnsi="仿宋" w:eastAsia="仿宋"/>
          <w:color w:val="auto"/>
          <w:sz w:val="32"/>
          <w:szCs w:val="32"/>
          <w:highlight w:val="none"/>
        </w:rPr>
        <w:t>万元，</w:t>
      </w:r>
      <w:r>
        <w:rPr>
          <w:rFonts w:hint="eastAsia" w:ascii="仿宋" w:hAnsi="仿宋" w:eastAsia="仿宋"/>
          <w:color w:val="auto"/>
          <w:sz w:val="32"/>
          <w:szCs w:val="32"/>
          <w:highlight w:val="none"/>
          <w:lang w:val="en-US" w:eastAsia="zh-CN"/>
        </w:rPr>
        <w:t>减少21.46</w:t>
      </w:r>
      <w:r>
        <w:rPr>
          <w:rFonts w:ascii="仿宋" w:hAnsi="仿宋" w:eastAsia="仿宋"/>
          <w:color w:val="auto"/>
          <w:sz w:val="32"/>
          <w:szCs w:val="32"/>
          <w:highlight w:val="none"/>
        </w:rPr>
        <w:t>%</w:t>
      </w:r>
      <w:r>
        <w:rPr>
          <w:rFonts w:hint="eastAsia" w:ascii="仿宋" w:hAnsi="仿宋" w:eastAsia="仿宋"/>
          <w:color w:val="auto"/>
          <w:sz w:val="32"/>
          <w:szCs w:val="32"/>
          <w:highlight w:val="none"/>
        </w:rPr>
        <w:t>。主要变动原因</w:t>
      </w:r>
      <w:r>
        <w:rPr>
          <w:rFonts w:hint="eastAsia" w:ascii="仿宋" w:hAnsi="仿宋" w:eastAsia="仿宋"/>
          <w:color w:val="auto"/>
          <w:sz w:val="32"/>
          <w:szCs w:val="32"/>
          <w:highlight w:val="none"/>
          <w:lang w:val="en-US" w:eastAsia="zh-CN"/>
        </w:rPr>
        <w:t>2023年度政府性基金项目拨款减少</w:t>
      </w:r>
      <w:r>
        <w:rPr>
          <w:rFonts w:hint="eastAsia" w:ascii="仿宋" w:hAnsi="仿宋" w:eastAsia="仿宋"/>
          <w:color w:val="auto"/>
          <w:sz w:val="32"/>
          <w:szCs w:val="32"/>
          <w:highlight w:val="none"/>
          <w:lang w:eastAsia="zh-CN"/>
        </w:rPr>
        <w:t>。</w:t>
      </w:r>
    </w:p>
    <w:p w14:paraId="3842BB18">
      <w:pPr>
        <w:pStyle w:val="2"/>
        <w:rPr>
          <w:rFonts w:hint="eastAsia"/>
          <w:color w:val="auto"/>
          <w:highlight w:val="none"/>
          <w:lang w:eastAsia="zh-CN"/>
        </w:rPr>
      </w:pPr>
      <w:r>
        <w:drawing>
          <wp:inline distT="0" distB="0" distL="114300" distR="114300">
            <wp:extent cx="5111750" cy="2970530"/>
            <wp:effectExtent l="4445" t="4445" r="8255" b="15875"/>
            <wp:docPr id="11"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A43F27E">
      <w:pPr>
        <w:keepNext w:val="0"/>
        <w:keepLines w:val="0"/>
        <w:pageBreakBefore w:val="0"/>
        <w:widowControl w:val="0"/>
        <w:shd w:val="clear"/>
        <w:kinsoku/>
        <w:wordWrap/>
        <w:overflowPunct/>
        <w:topLinePunct w:val="0"/>
        <w:bidi w:val="0"/>
        <w:snapToGrid/>
        <w:spacing w:line="576" w:lineRule="exact"/>
        <w:ind w:right="0"/>
        <w:jc w:val="center"/>
        <w:textAlignment w:val="auto"/>
        <w:outlineLvl w:val="1"/>
        <w:rPr>
          <w:rFonts w:hint="eastAsia" w:ascii="仿宋" w:hAnsi="仿宋" w:eastAsia="仿宋"/>
          <w:color w:val="auto"/>
          <w:sz w:val="32"/>
          <w:szCs w:val="32"/>
          <w:highlight w:val="none"/>
          <w:lang w:eastAsia="zh-CN"/>
        </w:rPr>
      </w:pPr>
      <w:bookmarkStart w:id="40" w:name="_Toc30431"/>
      <w:r>
        <w:rPr>
          <w:rFonts w:hint="eastAsia" w:ascii="仿宋" w:hAnsi="仿宋" w:eastAsia="仿宋"/>
          <w:color w:val="auto"/>
          <w:sz w:val="32"/>
          <w:szCs w:val="32"/>
          <w:highlight w:val="none"/>
        </w:rPr>
        <w:t>（图4：财政拨款收、支决算总计变动情况）（柱状图）</w:t>
      </w:r>
      <w:bookmarkEnd w:id="40"/>
      <w:bookmarkStart w:id="41" w:name="_Toc15377209"/>
      <w:bookmarkStart w:id="42" w:name="_Toc15396607"/>
    </w:p>
    <w:p w14:paraId="3A809367">
      <w:pPr>
        <w:keepNext w:val="0"/>
        <w:keepLines w:val="0"/>
        <w:pageBreakBefore w:val="0"/>
        <w:widowControl w:val="0"/>
        <w:shd w:val="clear"/>
        <w:kinsoku/>
        <w:wordWrap/>
        <w:overflowPunct/>
        <w:topLinePunct w:val="0"/>
        <w:bidi w:val="0"/>
        <w:snapToGrid/>
        <w:spacing w:line="576" w:lineRule="exact"/>
        <w:ind w:left="0" w:leftChars="0" w:right="0" w:firstLine="640" w:firstLineChars="200"/>
        <w:jc w:val="both"/>
        <w:textAlignment w:val="auto"/>
        <w:outlineLvl w:val="1"/>
        <w:rPr>
          <w:rStyle w:val="23"/>
          <w:rFonts w:ascii="黑体" w:hAnsi="黑体" w:eastAsia="黑体"/>
          <w:b w:val="0"/>
          <w:color w:val="auto"/>
          <w:highlight w:val="none"/>
        </w:rPr>
      </w:pPr>
      <w:bookmarkStart w:id="43" w:name="_Toc19150"/>
      <w:r>
        <w:rPr>
          <w:rFonts w:hint="eastAsia" w:ascii="黑体" w:hAnsi="黑体" w:eastAsia="黑体"/>
          <w:color w:val="auto"/>
          <w:sz w:val="32"/>
          <w:szCs w:val="32"/>
          <w:highlight w:val="none"/>
        </w:rPr>
        <w:t>五、</w:t>
      </w:r>
      <w:r>
        <w:rPr>
          <w:rFonts w:hint="eastAsia" w:ascii="黑体" w:hAnsi="黑体" w:eastAsia="黑体"/>
          <w:b/>
          <w:color w:val="auto"/>
          <w:sz w:val="32"/>
          <w:szCs w:val="32"/>
          <w:highlight w:val="none"/>
        </w:rPr>
        <w:t>一</w:t>
      </w:r>
      <w:r>
        <w:rPr>
          <w:rStyle w:val="23"/>
          <w:rFonts w:hint="eastAsia" w:ascii="黑体" w:hAnsi="黑体" w:eastAsia="黑体"/>
          <w:b w:val="0"/>
          <w:color w:val="auto"/>
          <w:highlight w:val="none"/>
        </w:rPr>
        <w:t>般公共预算财政拨款支出决算情况说明</w:t>
      </w:r>
      <w:bookmarkEnd w:id="41"/>
      <w:bookmarkEnd w:id="42"/>
      <w:bookmarkEnd w:id="43"/>
    </w:p>
    <w:p w14:paraId="2731ABF9">
      <w:pPr>
        <w:keepNext w:val="0"/>
        <w:keepLines w:val="0"/>
        <w:pageBreakBefore w:val="0"/>
        <w:widowControl w:val="0"/>
        <w:shd w:val="clear"/>
        <w:kinsoku/>
        <w:wordWrap/>
        <w:overflowPunct/>
        <w:topLinePunct w:val="0"/>
        <w:bidi w:val="0"/>
        <w:snapToGrid/>
        <w:spacing w:line="576" w:lineRule="exact"/>
        <w:ind w:left="0" w:leftChars="0" w:right="0" w:firstLine="643" w:firstLineChars="200"/>
        <w:jc w:val="both"/>
        <w:textAlignment w:val="auto"/>
        <w:outlineLvl w:val="2"/>
        <w:rPr>
          <w:rFonts w:hint="eastAsia" w:ascii="楷体_GB2312" w:hAnsi="楷体_GB2312" w:eastAsia="楷体_GB2312" w:cs="楷体_GB2312"/>
          <w:b/>
          <w:color w:val="auto"/>
          <w:sz w:val="32"/>
          <w:szCs w:val="32"/>
          <w:highlight w:val="none"/>
        </w:rPr>
      </w:pPr>
      <w:bookmarkStart w:id="44" w:name="_Toc15377210"/>
      <w:r>
        <w:rPr>
          <w:rFonts w:hint="eastAsia" w:ascii="楷体_GB2312" w:hAnsi="楷体_GB2312" w:eastAsia="楷体_GB2312" w:cs="楷体_GB2312"/>
          <w:b/>
          <w:color w:val="auto"/>
          <w:sz w:val="32"/>
          <w:szCs w:val="32"/>
          <w:highlight w:val="none"/>
        </w:rPr>
        <w:t>（一）一般公共预算财政拨款支出决算总体情况</w:t>
      </w:r>
      <w:bookmarkEnd w:id="44"/>
    </w:p>
    <w:p w14:paraId="457390B2">
      <w:pPr>
        <w:keepNext w:val="0"/>
        <w:keepLines w:val="0"/>
        <w:pageBreakBefore w:val="0"/>
        <w:widowControl w:val="0"/>
        <w:shd w:val="clear"/>
        <w:kinsoku/>
        <w:wordWrap/>
        <w:overflowPunct/>
        <w:topLinePunct w:val="0"/>
        <w:bidi w:val="0"/>
        <w:snapToGrid/>
        <w:spacing w:line="576" w:lineRule="exact"/>
        <w:ind w:left="0" w:leftChars="0" w:right="0" w:firstLine="640" w:firstLineChars="200"/>
        <w:jc w:val="both"/>
        <w:textAlignment w:val="auto"/>
        <w:rPr>
          <w:rFonts w:hint="eastAsia" w:ascii="仿宋" w:hAnsi="仿宋" w:eastAsia="仿宋"/>
          <w:color w:val="auto"/>
          <w:sz w:val="32"/>
          <w:szCs w:val="32"/>
          <w:highlight w:val="none"/>
          <w:lang w:val="en-US" w:eastAsia="zh-CN"/>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23</w:t>
      </w:r>
      <w:r>
        <w:rPr>
          <w:rFonts w:hint="eastAsia" w:ascii="仿宋" w:hAnsi="仿宋" w:eastAsia="仿宋"/>
          <w:color w:val="auto"/>
          <w:sz w:val="32"/>
          <w:szCs w:val="32"/>
          <w:highlight w:val="none"/>
        </w:rPr>
        <w:t>年一般公共预算财政拨款支出</w:t>
      </w:r>
      <w:r>
        <w:rPr>
          <w:rFonts w:hint="eastAsia" w:ascii="仿宋" w:hAnsi="仿宋" w:eastAsia="仿宋"/>
          <w:color w:val="auto"/>
          <w:sz w:val="32"/>
          <w:szCs w:val="32"/>
          <w:highlight w:val="none"/>
          <w:lang w:val="en-US" w:eastAsia="zh-CN"/>
        </w:rPr>
        <w:t>5329.16</w:t>
      </w:r>
      <w:r>
        <w:rPr>
          <w:rFonts w:hint="eastAsia" w:ascii="仿宋" w:hAnsi="仿宋" w:eastAsia="仿宋"/>
          <w:color w:val="auto"/>
          <w:sz w:val="32"/>
          <w:szCs w:val="32"/>
          <w:highlight w:val="none"/>
        </w:rPr>
        <w:t>万元，占本年支出合计的</w:t>
      </w:r>
      <w:r>
        <w:rPr>
          <w:rFonts w:hint="eastAsia" w:ascii="仿宋" w:hAnsi="仿宋" w:eastAsia="仿宋"/>
          <w:color w:val="auto"/>
          <w:sz w:val="32"/>
          <w:szCs w:val="32"/>
          <w:highlight w:val="none"/>
          <w:lang w:val="en-US" w:eastAsia="zh-CN"/>
        </w:rPr>
        <w:t>24.30</w:t>
      </w:r>
      <w:r>
        <w:rPr>
          <w:rFonts w:ascii="仿宋" w:hAnsi="仿宋" w:eastAsia="仿宋"/>
          <w:color w:val="auto"/>
          <w:sz w:val="32"/>
          <w:szCs w:val="32"/>
          <w:highlight w:val="none"/>
        </w:rPr>
        <w:t>%</w:t>
      </w:r>
      <w:r>
        <w:rPr>
          <w:rFonts w:hint="eastAsia" w:ascii="仿宋" w:hAnsi="仿宋" w:eastAsia="仿宋"/>
          <w:color w:val="auto"/>
          <w:sz w:val="32"/>
          <w:szCs w:val="32"/>
          <w:highlight w:val="none"/>
        </w:rPr>
        <w:t>。与</w:t>
      </w: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22</w:t>
      </w:r>
      <w:r>
        <w:rPr>
          <w:rFonts w:hint="eastAsia" w:ascii="仿宋" w:hAnsi="仿宋" w:eastAsia="仿宋"/>
          <w:color w:val="auto"/>
          <w:sz w:val="32"/>
          <w:szCs w:val="32"/>
          <w:highlight w:val="none"/>
        </w:rPr>
        <w:t>年相比，一般公共预算财政拨款</w:t>
      </w:r>
      <w:r>
        <w:rPr>
          <w:rFonts w:hint="eastAsia" w:ascii="仿宋" w:hAnsi="仿宋" w:eastAsia="仿宋"/>
          <w:color w:val="auto"/>
          <w:sz w:val="32"/>
          <w:szCs w:val="32"/>
          <w:highlight w:val="none"/>
          <w:lang w:eastAsia="zh-CN"/>
        </w:rPr>
        <w:t>支出</w:t>
      </w:r>
      <w:r>
        <w:rPr>
          <w:rFonts w:hint="eastAsia" w:ascii="仿宋" w:hAnsi="仿宋" w:eastAsia="仿宋"/>
          <w:color w:val="auto"/>
          <w:sz w:val="32"/>
          <w:szCs w:val="32"/>
          <w:highlight w:val="none"/>
          <w:lang w:val="en-US" w:eastAsia="zh-CN"/>
        </w:rPr>
        <w:t>减少1571.01</w:t>
      </w:r>
      <w:r>
        <w:rPr>
          <w:rFonts w:hint="eastAsia" w:ascii="仿宋" w:hAnsi="仿宋" w:eastAsia="仿宋"/>
          <w:color w:val="auto"/>
          <w:sz w:val="32"/>
          <w:szCs w:val="32"/>
          <w:highlight w:val="none"/>
        </w:rPr>
        <w:t>万元，</w:t>
      </w:r>
      <w:r>
        <w:rPr>
          <w:rFonts w:hint="eastAsia" w:ascii="仿宋" w:hAnsi="仿宋" w:eastAsia="仿宋"/>
          <w:color w:val="auto"/>
          <w:sz w:val="32"/>
          <w:szCs w:val="32"/>
          <w:highlight w:val="none"/>
          <w:lang w:val="en-US" w:eastAsia="zh-CN"/>
        </w:rPr>
        <w:t>减少22.77</w:t>
      </w:r>
      <w:r>
        <w:rPr>
          <w:rFonts w:ascii="仿宋" w:hAnsi="仿宋" w:eastAsia="仿宋"/>
          <w:color w:val="auto"/>
          <w:sz w:val="32"/>
          <w:szCs w:val="32"/>
          <w:highlight w:val="none"/>
        </w:rPr>
        <w:t>%</w:t>
      </w:r>
      <w:r>
        <w:rPr>
          <w:rFonts w:hint="eastAsia" w:ascii="仿宋" w:hAnsi="仿宋" w:eastAsia="仿宋"/>
          <w:color w:val="auto"/>
          <w:sz w:val="32"/>
          <w:szCs w:val="32"/>
          <w:highlight w:val="none"/>
        </w:rPr>
        <w:t>。主要变动原因</w:t>
      </w:r>
      <w:r>
        <w:rPr>
          <w:rFonts w:hint="eastAsia" w:ascii="仿宋" w:hAnsi="仿宋" w:eastAsia="仿宋"/>
          <w:color w:val="auto"/>
          <w:sz w:val="32"/>
          <w:szCs w:val="32"/>
          <w:highlight w:val="none"/>
          <w:lang w:val="en-US" w:eastAsia="zh-CN"/>
        </w:rPr>
        <w:t>一般公共预算项目减少。</w:t>
      </w:r>
    </w:p>
    <w:p w14:paraId="7149B3CC">
      <w:pPr>
        <w:pStyle w:val="2"/>
        <w:shd w:val="clear"/>
        <w:ind w:left="0" w:leftChars="0" w:firstLine="0" w:firstLineChars="0"/>
        <w:jc w:val="center"/>
        <w:rPr>
          <w:color w:val="auto"/>
          <w:highlight w:val="none"/>
        </w:rPr>
      </w:pPr>
      <w:r>
        <w:drawing>
          <wp:inline distT="0" distB="0" distL="114300" distR="114300">
            <wp:extent cx="5143500" cy="3174365"/>
            <wp:effectExtent l="4445" t="4445" r="14605" b="21590"/>
            <wp:docPr id="13"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C4612B7">
      <w:pPr>
        <w:keepNext w:val="0"/>
        <w:keepLines w:val="0"/>
        <w:pageBreakBefore w:val="0"/>
        <w:widowControl w:val="0"/>
        <w:shd w:val="clear"/>
        <w:kinsoku/>
        <w:wordWrap/>
        <w:overflowPunct/>
        <w:topLinePunct w:val="0"/>
        <w:bidi w:val="0"/>
        <w:snapToGrid/>
        <w:spacing w:line="576" w:lineRule="exact"/>
        <w:ind w:right="0"/>
        <w:jc w:val="center"/>
        <w:textAlignment w:val="auto"/>
        <w:outlineLvl w:val="2"/>
        <w:rPr>
          <w:rFonts w:hint="eastAsia" w:ascii="仿宋" w:hAnsi="仿宋" w:eastAsia="仿宋"/>
          <w:color w:val="auto"/>
          <w:sz w:val="32"/>
          <w:szCs w:val="32"/>
          <w:highlight w:val="none"/>
          <w:lang w:eastAsia="zh-CN"/>
        </w:rPr>
      </w:pPr>
      <w:r>
        <w:rPr>
          <w:rFonts w:hint="eastAsia" w:ascii="仿宋" w:hAnsi="仿宋" w:eastAsia="仿宋"/>
          <w:color w:val="auto"/>
          <w:sz w:val="32"/>
          <w:szCs w:val="32"/>
          <w:highlight w:val="none"/>
        </w:rPr>
        <w:t>（图5：一般公共预算财政拨款支出决算变动情况）（柱状图）</w:t>
      </w:r>
      <w:bookmarkStart w:id="45" w:name="_Toc15377211"/>
    </w:p>
    <w:p w14:paraId="24C0AAEA">
      <w:pPr>
        <w:keepNext w:val="0"/>
        <w:keepLines w:val="0"/>
        <w:pageBreakBefore w:val="0"/>
        <w:widowControl w:val="0"/>
        <w:shd w:val="clear"/>
        <w:kinsoku/>
        <w:wordWrap/>
        <w:overflowPunct/>
        <w:topLinePunct w:val="0"/>
        <w:bidi w:val="0"/>
        <w:snapToGrid/>
        <w:spacing w:line="576" w:lineRule="exact"/>
        <w:ind w:left="0" w:leftChars="0" w:right="0" w:firstLine="643" w:firstLineChars="200"/>
        <w:jc w:val="both"/>
        <w:textAlignment w:val="auto"/>
        <w:outlineLvl w:val="2"/>
        <w:rPr>
          <w:rFonts w:hint="eastAsia" w:ascii="楷体_GB2312" w:hAnsi="楷体_GB2312" w:eastAsia="楷体_GB2312" w:cs="楷体_GB2312"/>
          <w:b/>
          <w:color w:val="auto"/>
          <w:sz w:val="32"/>
          <w:szCs w:val="32"/>
          <w:highlight w:val="none"/>
        </w:rPr>
      </w:pPr>
      <w:r>
        <w:rPr>
          <w:rFonts w:hint="eastAsia" w:ascii="楷体_GB2312" w:hAnsi="楷体_GB2312" w:eastAsia="楷体_GB2312" w:cs="楷体_GB2312"/>
          <w:b/>
          <w:color w:val="auto"/>
          <w:sz w:val="32"/>
          <w:szCs w:val="32"/>
          <w:highlight w:val="none"/>
        </w:rPr>
        <w:t>（二）一般公共预算财政拨款支出决算结构情况</w:t>
      </w:r>
      <w:bookmarkEnd w:id="45"/>
    </w:p>
    <w:p w14:paraId="33D8C2B4">
      <w:pPr>
        <w:keepNext w:val="0"/>
        <w:keepLines w:val="0"/>
        <w:pageBreakBefore w:val="0"/>
        <w:widowControl w:val="0"/>
        <w:shd w:val="clear"/>
        <w:kinsoku/>
        <w:wordWrap/>
        <w:overflowPunct/>
        <w:topLinePunct w:val="0"/>
        <w:bidi w:val="0"/>
        <w:snapToGrid/>
        <w:spacing w:line="576" w:lineRule="exact"/>
        <w:ind w:left="0" w:leftChars="0" w:right="0" w:firstLine="640" w:firstLineChars="200"/>
        <w:jc w:val="both"/>
        <w:textAlignment w:val="auto"/>
        <w:outlineLvl w:val="2"/>
        <w:rPr>
          <w:rFonts w:hint="eastAsia" w:ascii="仿宋" w:hAnsi="仿宋" w:eastAsia="仿宋"/>
          <w:color w:val="auto"/>
          <w:sz w:val="32"/>
          <w:szCs w:val="32"/>
          <w:highlight w:val="none"/>
          <w:lang w:val="en-US" w:eastAsia="zh-CN"/>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23</w:t>
      </w:r>
      <w:r>
        <w:rPr>
          <w:rFonts w:hint="eastAsia" w:ascii="仿宋" w:hAnsi="仿宋" w:eastAsia="仿宋"/>
          <w:color w:val="auto"/>
          <w:sz w:val="32"/>
          <w:szCs w:val="32"/>
          <w:highlight w:val="none"/>
        </w:rPr>
        <w:t>年一般公共预算财政拨款支出</w:t>
      </w:r>
      <w:r>
        <w:rPr>
          <w:rFonts w:hint="eastAsia" w:ascii="仿宋" w:hAnsi="仿宋" w:eastAsia="仿宋"/>
          <w:color w:val="auto"/>
          <w:sz w:val="32"/>
          <w:szCs w:val="32"/>
          <w:highlight w:val="none"/>
          <w:lang w:val="en-US" w:eastAsia="zh-CN"/>
        </w:rPr>
        <w:t>5329.16</w:t>
      </w:r>
      <w:r>
        <w:rPr>
          <w:rFonts w:hint="eastAsia" w:ascii="仿宋" w:hAnsi="仿宋" w:eastAsia="仿宋"/>
          <w:color w:val="auto"/>
          <w:sz w:val="32"/>
          <w:szCs w:val="32"/>
          <w:highlight w:val="none"/>
        </w:rPr>
        <w:t>万元，主要用于以下方面</w:t>
      </w:r>
      <w:r>
        <w:rPr>
          <w:rFonts w:hint="eastAsia" w:ascii="仿宋" w:hAnsi="仿宋" w:eastAsia="仿宋"/>
          <w:color w:val="auto"/>
          <w:sz w:val="32"/>
          <w:szCs w:val="32"/>
          <w:highlight w:val="none"/>
          <w:lang w:eastAsia="zh-CN"/>
        </w:rPr>
        <w:t>：</w:t>
      </w:r>
      <w:r>
        <w:rPr>
          <w:rFonts w:hint="eastAsia" w:ascii="仿宋" w:hAnsi="仿宋" w:eastAsia="仿宋"/>
          <w:b/>
          <w:color w:val="auto"/>
          <w:sz w:val="32"/>
          <w:szCs w:val="32"/>
          <w:highlight w:val="none"/>
        </w:rPr>
        <w:t>社会保障和就业</w:t>
      </w:r>
      <w:r>
        <w:rPr>
          <w:rFonts w:hint="eastAsia" w:ascii="仿宋" w:hAnsi="仿宋" w:eastAsia="仿宋"/>
          <w:b/>
          <w:bCs/>
          <w:color w:val="auto"/>
          <w:sz w:val="32"/>
          <w:szCs w:val="32"/>
          <w:highlight w:val="none"/>
        </w:rPr>
        <w:t>支出</w:t>
      </w:r>
      <w:r>
        <w:rPr>
          <w:rFonts w:hint="eastAsia" w:ascii="仿宋" w:hAnsi="仿宋" w:eastAsia="仿宋"/>
          <w:b/>
          <w:bCs/>
          <w:color w:val="auto"/>
          <w:sz w:val="32"/>
          <w:szCs w:val="32"/>
          <w:highlight w:val="none"/>
          <w:lang w:val="en-US" w:eastAsia="zh-CN"/>
        </w:rPr>
        <w:t>522.86</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9.81</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r>
        <w:rPr>
          <w:rFonts w:hint="eastAsia" w:ascii="仿宋" w:hAnsi="仿宋" w:eastAsia="仿宋"/>
          <w:b/>
          <w:bCs/>
          <w:color w:val="auto"/>
          <w:sz w:val="32"/>
          <w:szCs w:val="32"/>
          <w:highlight w:val="none"/>
        </w:rPr>
        <w:t>卫生健康支出</w:t>
      </w:r>
      <w:r>
        <w:rPr>
          <w:rFonts w:hint="eastAsia" w:ascii="仿宋" w:hAnsi="仿宋" w:eastAsia="仿宋"/>
          <w:b/>
          <w:bCs/>
          <w:color w:val="auto"/>
          <w:sz w:val="32"/>
          <w:szCs w:val="32"/>
          <w:highlight w:val="none"/>
          <w:lang w:val="en-US" w:eastAsia="zh-CN"/>
        </w:rPr>
        <w:t>122.62</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2.3</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r>
        <w:rPr>
          <w:rFonts w:hint="eastAsia" w:ascii="仿宋" w:hAnsi="仿宋" w:eastAsia="仿宋"/>
          <w:b/>
          <w:bCs/>
          <w:color w:val="auto"/>
          <w:sz w:val="32"/>
          <w:szCs w:val="32"/>
          <w:highlight w:val="none"/>
          <w:lang w:val="en-US" w:eastAsia="zh-CN"/>
        </w:rPr>
        <w:t>节能环保支出13.72</w:t>
      </w:r>
      <w:r>
        <w:rPr>
          <w:rFonts w:hint="eastAsia" w:ascii="仿宋" w:hAnsi="仿宋" w:eastAsia="仿宋"/>
          <w:color w:val="auto"/>
          <w:sz w:val="32"/>
          <w:szCs w:val="32"/>
          <w:highlight w:val="none"/>
          <w:lang w:val="en-US" w:eastAsia="zh-CN"/>
        </w:rPr>
        <w:t>万元，占0.26%；</w:t>
      </w:r>
      <w:r>
        <w:rPr>
          <w:rFonts w:hint="eastAsia" w:ascii="仿宋" w:hAnsi="仿宋" w:eastAsia="仿宋"/>
          <w:b/>
          <w:bCs/>
          <w:color w:val="auto"/>
          <w:sz w:val="32"/>
          <w:szCs w:val="32"/>
          <w:highlight w:val="none"/>
          <w:lang w:val="en-US" w:eastAsia="zh-CN"/>
        </w:rPr>
        <w:t>自然资源海洋气象等支出4297.64</w:t>
      </w:r>
      <w:r>
        <w:rPr>
          <w:rFonts w:hint="eastAsia" w:ascii="仿宋" w:hAnsi="仿宋" w:eastAsia="仿宋"/>
          <w:color w:val="auto"/>
          <w:sz w:val="32"/>
          <w:szCs w:val="32"/>
          <w:highlight w:val="none"/>
          <w:lang w:val="en-US" w:eastAsia="zh-CN"/>
        </w:rPr>
        <w:t>万元，占80.64%；</w:t>
      </w:r>
      <w:r>
        <w:rPr>
          <w:rFonts w:hint="eastAsia" w:ascii="仿宋" w:hAnsi="仿宋" w:eastAsia="仿宋"/>
          <w:b/>
          <w:bCs/>
          <w:color w:val="auto"/>
          <w:sz w:val="32"/>
          <w:szCs w:val="32"/>
          <w:highlight w:val="none"/>
        </w:rPr>
        <w:t>住房保障支出</w:t>
      </w:r>
      <w:r>
        <w:rPr>
          <w:rFonts w:hint="eastAsia" w:ascii="仿宋" w:hAnsi="仿宋" w:eastAsia="仿宋"/>
          <w:b/>
          <w:bCs/>
          <w:color w:val="auto"/>
          <w:sz w:val="32"/>
          <w:szCs w:val="32"/>
          <w:highlight w:val="none"/>
          <w:lang w:val="en-US" w:eastAsia="zh-CN"/>
        </w:rPr>
        <w:t>272.17</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5.11</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r>
        <w:rPr>
          <w:rFonts w:hint="eastAsia" w:ascii="仿宋" w:hAnsi="仿宋" w:eastAsia="仿宋"/>
          <w:b/>
          <w:bCs/>
          <w:color w:val="auto"/>
          <w:sz w:val="32"/>
          <w:szCs w:val="32"/>
          <w:highlight w:val="none"/>
          <w:lang w:val="en-US" w:eastAsia="zh-CN"/>
        </w:rPr>
        <w:t>粮油物资储备支出</w:t>
      </w:r>
      <w:r>
        <w:rPr>
          <w:rFonts w:hint="eastAsia" w:ascii="仿宋" w:hAnsi="仿宋" w:eastAsia="仿宋"/>
          <w:color w:val="auto"/>
          <w:sz w:val="32"/>
          <w:szCs w:val="32"/>
          <w:highlight w:val="none"/>
          <w:lang w:val="en-US" w:eastAsia="zh-CN"/>
        </w:rPr>
        <w:t>2.03万元，占0.04%；</w:t>
      </w:r>
      <w:r>
        <w:rPr>
          <w:rFonts w:hint="eastAsia" w:ascii="仿宋" w:hAnsi="仿宋" w:eastAsia="仿宋"/>
          <w:b/>
          <w:color w:val="auto"/>
          <w:sz w:val="32"/>
          <w:szCs w:val="32"/>
          <w:highlight w:val="none"/>
          <w:lang w:val="en-US" w:eastAsia="zh-CN"/>
        </w:rPr>
        <w:t>灾害防治及应急管理支出98.12</w:t>
      </w:r>
      <w:r>
        <w:rPr>
          <w:rFonts w:hint="eastAsia" w:ascii="仿宋" w:hAnsi="仿宋" w:eastAsia="仿宋"/>
          <w:color w:val="auto"/>
          <w:sz w:val="32"/>
          <w:szCs w:val="32"/>
          <w:highlight w:val="none"/>
          <w:lang w:val="en-US" w:eastAsia="zh-CN"/>
        </w:rPr>
        <w:t>万元，占1.84%。</w:t>
      </w:r>
    </w:p>
    <w:p w14:paraId="28FB243D">
      <w:pPr>
        <w:pStyle w:val="2"/>
        <w:shd w:val="clear"/>
        <w:ind w:left="0" w:leftChars="0" w:firstLine="0" w:firstLineChars="0"/>
        <w:jc w:val="center"/>
        <w:rPr>
          <w:rFonts w:hint="eastAsia"/>
          <w:color w:val="auto"/>
          <w:highlight w:val="none"/>
          <w:lang w:val="en-US" w:eastAsia="zh-CN"/>
        </w:rPr>
      </w:pPr>
      <w:r>
        <w:drawing>
          <wp:inline distT="0" distB="0" distL="114300" distR="114300">
            <wp:extent cx="5119370" cy="3166110"/>
            <wp:effectExtent l="4445" t="4445" r="19685" b="10795"/>
            <wp:docPr id="14"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7781207">
      <w:pPr>
        <w:keepNext w:val="0"/>
        <w:keepLines w:val="0"/>
        <w:pageBreakBefore w:val="0"/>
        <w:widowControl w:val="0"/>
        <w:shd w:val="clear"/>
        <w:kinsoku/>
        <w:wordWrap/>
        <w:overflowPunct/>
        <w:topLinePunct w:val="0"/>
        <w:bidi w:val="0"/>
        <w:snapToGrid/>
        <w:spacing w:line="576" w:lineRule="exact"/>
        <w:ind w:right="0"/>
        <w:jc w:val="center"/>
        <w:textAlignment w:val="auto"/>
        <w:outlineLvl w:val="2"/>
        <w:rPr>
          <w:rFonts w:hint="eastAsia" w:ascii="仿宋" w:hAnsi="仿宋" w:eastAsia="仿宋"/>
          <w:color w:val="auto"/>
          <w:sz w:val="32"/>
          <w:szCs w:val="32"/>
          <w:highlight w:val="none"/>
          <w:lang w:eastAsia="zh-CN"/>
        </w:rPr>
      </w:pPr>
      <w:r>
        <w:rPr>
          <w:rFonts w:hint="eastAsia" w:ascii="仿宋" w:hAnsi="仿宋" w:eastAsia="仿宋"/>
          <w:color w:val="auto"/>
          <w:sz w:val="32"/>
          <w:szCs w:val="32"/>
          <w:highlight w:val="none"/>
        </w:rPr>
        <w:t>（图6：一般公共预算财政拨款支出决算结构）（饼状图）</w:t>
      </w:r>
      <w:bookmarkStart w:id="46" w:name="_Toc15377212"/>
    </w:p>
    <w:p w14:paraId="280D7B9E">
      <w:pPr>
        <w:keepNext w:val="0"/>
        <w:keepLines w:val="0"/>
        <w:pageBreakBefore w:val="0"/>
        <w:widowControl w:val="0"/>
        <w:shd w:val="clear"/>
        <w:kinsoku/>
        <w:wordWrap/>
        <w:overflowPunct/>
        <w:topLinePunct w:val="0"/>
        <w:bidi w:val="0"/>
        <w:snapToGrid/>
        <w:spacing w:line="576" w:lineRule="exact"/>
        <w:ind w:left="0" w:leftChars="0" w:right="0" w:firstLine="643" w:firstLineChars="200"/>
        <w:jc w:val="both"/>
        <w:textAlignment w:val="auto"/>
        <w:outlineLvl w:val="2"/>
        <w:rPr>
          <w:rFonts w:hint="eastAsia" w:ascii="楷体_GB2312" w:hAnsi="楷体_GB2312" w:eastAsia="楷体_GB2312" w:cs="楷体_GB2312"/>
          <w:b/>
          <w:color w:val="auto"/>
          <w:sz w:val="32"/>
          <w:szCs w:val="32"/>
          <w:highlight w:val="none"/>
        </w:rPr>
      </w:pPr>
      <w:r>
        <w:rPr>
          <w:rFonts w:hint="eastAsia" w:ascii="楷体_GB2312" w:hAnsi="楷体_GB2312" w:eastAsia="楷体_GB2312" w:cs="楷体_GB2312"/>
          <w:b/>
          <w:color w:val="auto"/>
          <w:sz w:val="32"/>
          <w:szCs w:val="32"/>
          <w:highlight w:val="none"/>
        </w:rPr>
        <w:t>（三）一般公共预算财政拨款支出决算具体情况</w:t>
      </w:r>
      <w:bookmarkEnd w:id="46"/>
    </w:p>
    <w:p w14:paraId="69512276">
      <w:pPr>
        <w:keepNext w:val="0"/>
        <w:keepLines w:val="0"/>
        <w:pageBreakBefore w:val="0"/>
        <w:widowControl w:val="0"/>
        <w:shd w:val="clear"/>
        <w:kinsoku/>
        <w:wordWrap/>
        <w:overflowPunct/>
        <w:topLinePunct w:val="0"/>
        <w:bidi w:val="0"/>
        <w:snapToGrid/>
        <w:spacing w:line="576" w:lineRule="exact"/>
        <w:ind w:left="0" w:leftChars="0" w:right="0" w:firstLine="643" w:firstLineChars="200"/>
        <w:jc w:val="both"/>
        <w:textAlignment w:val="auto"/>
        <w:outlineLvl w:val="1"/>
        <w:rPr>
          <w:rStyle w:val="20"/>
          <w:rFonts w:hint="eastAsia" w:ascii="仿宋" w:hAnsi="仿宋" w:eastAsia="仿宋" w:cstheme="minorBidi"/>
          <w:bCs/>
          <w:color w:val="auto"/>
          <w:sz w:val="32"/>
          <w:szCs w:val="32"/>
          <w:highlight w:val="none"/>
        </w:rPr>
      </w:pPr>
      <w:bookmarkStart w:id="47" w:name="_Toc15377444"/>
      <w:bookmarkStart w:id="48" w:name="_Toc21870"/>
      <w:bookmarkStart w:id="49" w:name="_Toc15378460"/>
      <w:bookmarkStart w:id="50" w:name="_Toc15377213"/>
      <w:r>
        <w:rPr>
          <w:rFonts w:hint="eastAsia" w:ascii="仿宋" w:hAnsi="仿宋" w:eastAsia="仿宋"/>
          <w:b/>
          <w:color w:val="auto"/>
          <w:sz w:val="32"/>
          <w:szCs w:val="32"/>
          <w:highlight w:val="none"/>
        </w:rPr>
        <w:t>20</w:t>
      </w:r>
      <w:r>
        <w:rPr>
          <w:rFonts w:hint="eastAsia" w:ascii="仿宋" w:hAnsi="仿宋" w:eastAsia="仿宋"/>
          <w:b/>
          <w:color w:val="auto"/>
          <w:sz w:val="32"/>
          <w:szCs w:val="32"/>
          <w:highlight w:val="none"/>
          <w:lang w:val="en-US" w:eastAsia="zh-CN"/>
        </w:rPr>
        <w:t>23</w:t>
      </w:r>
      <w:r>
        <w:rPr>
          <w:rFonts w:hint="eastAsia" w:ascii="仿宋" w:hAnsi="仿宋" w:eastAsia="仿宋"/>
          <w:b/>
          <w:color w:val="auto"/>
          <w:sz w:val="32"/>
          <w:szCs w:val="32"/>
          <w:highlight w:val="none"/>
        </w:rPr>
        <w:t>年</w:t>
      </w:r>
      <w:r>
        <w:rPr>
          <w:rFonts w:hint="eastAsia" w:ascii="仿宋" w:hAnsi="仿宋" w:eastAsia="仿宋"/>
          <w:b/>
          <w:color w:val="auto"/>
          <w:sz w:val="32"/>
          <w:szCs w:val="32"/>
          <w:highlight w:val="none"/>
          <w:lang w:eastAsia="zh-CN"/>
        </w:rPr>
        <w:t>一</w:t>
      </w:r>
      <w:r>
        <w:rPr>
          <w:rFonts w:hint="eastAsia" w:ascii="仿宋" w:hAnsi="仿宋" w:eastAsia="仿宋"/>
          <w:b/>
          <w:color w:val="auto"/>
          <w:sz w:val="32"/>
          <w:szCs w:val="32"/>
          <w:highlight w:val="none"/>
        </w:rPr>
        <w:t>般公共预算支出决算数为</w:t>
      </w:r>
      <w:r>
        <w:rPr>
          <w:rFonts w:hint="eastAsia" w:ascii="仿宋" w:hAnsi="仿宋" w:eastAsia="仿宋"/>
          <w:b/>
          <w:color w:val="auto"/>
          <w:sz w:val="32"/>
          <w:szCs w:val="32"/>
          <w:highlight w:val="none"/>
          <w:lang w:val="en-US" w:eastAsia="zh-CN"/>
        </w:rPr>
        <w:t>5329.16</w:t>
      </w:r>
      <w:r>
        <w:rPr>
          <w:rFonts w:hint="eastAsia" w:ascii="仿宋" w:hAnsi="仿宋" w:eastAsia="仿宋"/>
          <w:color w:val="auto"/>
          <w:sz w:val="32"/>
          <w:szCs w:val="32"/>
          <w:highlight w:val="none"/>
        </w:rPr>
        <w:t>，</w:t>
      </w:r>
      <w:r>
        <w:rPr>
          <w:rStyle w:val="20"/>
          <w:rFonts w:hint="eastAsia" w:ascii="仿宋" w:hAnsi="仿宋" w:eastAsia="仿宋"/>
          <w:bCs/>
          <w:color w:val="auto"/>
          <w:sz w:val="32"/>
          <w:szCs w:val="32"/>
          <w:highlight w:val="none"/>
        </w:rPr>
        <w:t>完成预算</w:t>
      </w:r>
      <w:r>
        <w:rPr>
          <w:rStyle w:val="20"/>
          <w:rFonts w:hint="eastAsia" w:ascii="仿宋" w:hAnsi="仿宋" w:eastAsia="仿宋"/>
          <w:bCs/>
          <w:color w:val="auto"/>
          <w:sz w:val="32"/>
          <w:szCs w:val="32"/>
          <w:highlight w:val="none"/>
          <w:lang w:val="en-US" w:eastAsia="zh-CN"/>
        </w:rPr>
        <w:t>100</w:t>
      </w:r>
      <w:r>
        <w:rPr>
          <w:rStyle w:val="20"/>
          <w:rFonts w:hint="eastAsia" w:ascii="仿宋" w:hAnsi="仿宋" w:eastAsia="仿宋" w:cstheme="minorBidi"/>
          <w:bCs/>
          <w:color w:val="auto"/>
          <w:sz w:val="32"/>
          <w:szCs w:val="32"/>
          <w:highlight w:val="none"/>
        </w:rPr>
        <w:t>%。其中：</w:t>
      </w:r>
      <w:bookmarkEnd w:id="47"/>
      <w:bookmarkEnd w:id="48"/>
      <w:bookmarkEnd w:id="49"/>
      <w:bookmarkEnd w:id="50"/>
    </w:p>
    <w:p w14:paraId="50D89B4D">
      <w:pPr>
        <w:pStyle w:val="2"/>
        <w:rPr>
          <w:rFonts w:hint="eastAsia"/>
        </w:rPr>
      </w:pPr>
      <w:r>
        <w:rPr>
          <w:rStyle w:val="20"/>
          <w:rFonts w:ascii="仿宋" w:hAnsi="仿宋" w:eastAsia="仿宋"/>
          <w:bCs/>
          <w:color w:val="auto"/>
          <w:sz w:val="32"/>
          <w:szCs w:val="32"/>
          <w:highlight w:val="none"/>
        </w:rPr>
        <w:t>1.</w:t>
      </w:r>
      <w:r>
        <w:rPr>
          <w:rStyle w:val="20"/>
          <w:rFonts w:hint="eastAsia" w:ascii="仿宋" w:hAnsi="仿宋" w:eastAsia="仿宋"/>
          <w:bCs/>
          <w:color w:val="auto"/>
          <w:sz w:val="32"/>
          <w:szCs w:val="32"/>
          <w:highlight w:val="none"/>
          <w:lang w:val="en-US" w:eastAsia="zh-CN"/>
        </w:rPr>
        <w:t>社会保障和就业支出</w:t>
      </w:r>
      <w:r>
        <w:rPr>
          <w:rStyle w:val="20"/>
          <w:rFonts w:hint="eastAsia" w:ascii="仿宋" w:hAnsi="仿宋" w:eastAsia="仿宋"/>
          <w:bCs/>
          <w:color w:val="auto"/>
          <w:sz w:val="32"/>
          <w:szCs w:val="32"/>
          <w:highlight w:val="none"/>
        </w:rPr>
        <w:t>（类）</w:t>
      </w:r>
      <w:r>
        <w:rPr>
          <w:rStyle w:val="20"/>
          <w:rFonts w:hint="eastAsia" w:ascii="仿宋" w:hAnsi="仿宋" w:eastAsia="仿宋"/>
          <w:bCs/>
          <w:color w:val="auto"/>
          <w:sz w:val="32"/>
          <w:szCs w:val="32"/>
          <w:highlight w:val="none"/>
          <w:lang w:val="en-US" w:eastAsia="zh-CN"/>
        </w:rPr>
        <w:t>人力资源和社会保障管理事务</w:t>
      </w:r>
      <w:r>
        <w:rPr>
          <w:rStyle w:val="20"/>
          <w:rFonts w:hint="eastAsia" w:ascii="仿宋" w:hAnsi="仿宋" w:eastAsia="仿宋"/>
          <w:bCs/>
          <w:color w:val="auto"/>
          <w:sz w:val="32"/>
          <w:szCs w:val="32"/>
          <w:highlight w:val="none"/>
        </w:rPr>
        <w:t>（款）</w:t>
      </w:r>
      <w:r>
        <w:rPr>
          <w:rStyle w:val="20"/>
          <w:rFonts w:hint="eastAsia" w:ascii="仿宋" w:hAnsi="仿宋" w:eastAsia="仿宋"/>
          <w:bCs/>
          <w:color w:val="auto"/>
          <w:sz w:val="32"/>
          <w:szCs w:val="32"/>
          <w:highlight w:val="none"/>
          <w:lang w:val="en-US" w:eastAsia="zh-CN"/>
        </w:rPr>
        <w:t>引进人才费用</w:t>
      </w:r>
      <w:r>
        <w:rPr>
          <w:rStyle w:val="20"/>
          <w:rFonts w:hint="eastAsia" w:ascii="仿宋" w:hAnsi="仿宋" w:eastAsia="仿宋"/>
          <w:bCs/>
          <w:color w:val="auto"/>
          <w:sz w:val="32"/>
          <w:szCs w:val="32"/>
          <w:highlight w:val="none"/>
        </w:rPr>
        <w:t>（项）</w:t>
      </w:r>
      <w:r>
        <w:rPr>
          <w:rStyle w:val="20"/>
          <w:rFonts w:hint="eastAsia" w:ascii="仿宋" w:hAnsi="仿宋" w:eastAsia="仿宋"/>
          <w:bCs/>
          <w:color w:val="auto"/>
          <w:sz w:val="32"/>
          <w:szCs w:val="32"/>
          <w:highlight w:val="none"/>
          <w:lang w:eastAsia="zh-CN"/>
        </w:rPr>
        <w:t>：</w:t>
      </w:r>
      <w:r>
        <w:rPr>
          <w:rStyle w:val="20"/>
          <w:rFonts w:hint="eastAsia" w:ascii="仿宋" w:hAnsi="仿宋" w:eastAsia="仿宋"/>
          <w:b w:val="0"/>
          <w:bCs/>
          <w:color w:val="auto"/>
          <w:sz w:val="32"/>
          <w:szCs w:val="32"/>
          <w:highlight w:val="none"/>
        </w:rPr>
        <w:t>支出决算为</w:t>
      </w:r>
      <w:r>
        <w:rPr>
          <w:rStyle w:val="20"/>
          <w:rFonts w:hint="eastAsia" w:ascii="仿宋" w:hAnsi="仿宋" w:eastAsia="仿宋"/>
          <w:b w:val="0"/>
          <w:bCs/>
          <w:color w:val="auto"/>
          <w:sz w:val="32"/>
          <w:szCs w:val="32"/>
          <w:highlight w:val="none"/>
          <w:lang w:val="en-US" w:eastAsia="zh-CN"/>
        </w:rPr>
        <w:t>32.85</w:t>
      </w:r>
      <w:r>
        <w:rPr>
          <w:rStyle w:val="20"/>
          <w:rFonts w:hint="eastAsia" w:ascii="仿宋" w:hAnsi="仿宋" w:eastAsia="仿宋"/>
          <w:b w:val="0"/>
          <w:bCs/>
          <w:color w:val="auto"/>
          <w:sz w:val="32"/>
          <w:szCs w:val="32"/>
          <w:highlight w:val="none"/>
        </w:rPr>
        <w:t>万元，完成预算</w:t>
      </w:r>
      <w:r>
        <w:rPr>
          <w:rStyle w:val="20"/>
          <w:rFonts w:hint="eastAsia" w:ascii="仿宋" w:hAnsi="仿宋" w:eastAsia="仿宋"/>
          <w:b w:val="0"/>
          <w:bCs/>
          <w:color w:val="auto"/>
          <w:sz w:val="32"/>
          <w:szCs w:val="32"/>
          <w:highlight w:val="none"/>
          <w:lang w:val="en-US" w:eastAsia="zh-CN"/>
        </w:rPr>
        <w:t>100</w:t>
      </w:r>
      <w:r>
        <w:rPr>
          <w:rStyle w:val="20"/>
          <w:rFonts w:ascii="仿宋" w:hAnsi="仿宋" w:eastAsia="仿宋"/>
          <w:b w:val="0"/>
          <w:bCs/>
          <w:color w:val="auto"/>
          <w:sz w:val="32"/>
          <w:szCs w:val="32"/>
          <w:highlight w:val="none"/>
        </w:rPr>
        <w:t>%</w:t>
      </w:r>
      <w:r>
        <w:rPr>
          <w:rStyle w:val="20"/>
          <w:rFonts w:hint="eastAsia" w:ascii="仿宋" w:hAnsi="仿宋" w:eastAsia="仿宋"/>
          <w:b w:val="0"/>
          <w:bCs/>
          <w:color w:val="auto"/>
          <w:sz w:val="32"/>
          <w:szCs w:val="32"/>
          <w:highlight w:val="none"/>
          <w:lang w:eastAsia="zh-CN"/>
        </w:rPr>
        <w:t>。</w:t>
      </w:r>
    </w:p>
    <w:p w14:paraId="7F6DF8BB">
      <w:pPr>
        <w:keepNext w:val="0"/>
        <w:keepLines w:val="0"/>
        <w:pageBreakBefore w:val="0"/>
        <w:widowControl w:val="0"/>
        <w:shd w:val="clear"/>
        <w:kinsoku/>
        <w:wordWrap/>
        <w:overflowPunct/>
        <w:topLinePunct w:val="0"/>
        <w:bidi w:val="0"/>
        <w:snapToGrid/>
        <w:spacing w:line="576" w:lineRule="exact"/>
        <w:ind w:left="0" w:leftChars="0" w:right="0" w:firstLine="643" w:firstLineChars="200"/>
        <w:jc w:val="both"/>
        <w:textAlignment w:val="auto"/>
        <w:rPr>
          <w:rFonts w:hint="eastAsia" w:ascii="仿宋" w:hAnsi="仿宋" w:eastAsia="仿宋"/>
          <w:b/>
          <w:color w:val="auto"/>
          <w:sz w:val="32"/>
          <w:szCs w:val="32"/>
          <w:highlight w:val="none"/>
          <w:lang w:eastAsia="zh-CN"/>
        </w:rPr>
      </w:pPr>
      <w:r>
        <w:rPr>
          <w:rStyle w:val="20"/>
          <w:rFonts w:hint="eastAsia" w:ascii="仿宋" w:hAnsi="仿宋" w:eastAsia="仿宋"/>
          <w:bCs/>
          <w:color w:val="auto"/>
          <w:sz w:val="32"/>
          <w:szCs w:val="32"/>
          <w:highlight w:val="none"/>
          <w:lang w:val="en-US" w:eastAsia="zh-CN"/>
        </w:rPr>
        <w:t>2</w:t>
      </w:r>
      <w:r>
        <w:rPr>
          <w:rStyle w:val="20"/>
          <w:rFonts w:ascii="仿宋" w:hAnsi="仿宋" w:eastAsia="仿宋"/>
          <w:bCs/>
          <w:color w:val="auto"/>
          <w:sz w:val="32"/>
          <w:szCs w:val="32"/>
          <w:highlight w:val="none"/>
        </w:rPr>
        <w:t>.</w:t>
      </w:r>
      <w:r>
        <w:rPr>
          <w:rStyle w:val="20"/>
          <w:rFonts w:hint="eastAsia" w:ascii="仿宋" w:hAnsi="仿宋" w:eastAsia="仿宋"/>
          <w:bCs/>
          <w:color w:val="auto"/>
          <w:sz w:val="32"/>
          <w:szCs w:val="32"/>
          <w:highlight w:val="none"/>
          <w:lang w:val="en-US" w:eastAsia="zh-CN"/>
        </w:rPr>
        <w:t>社会保障和就业支出</w:t>
      </w:r>
      <w:r>
        <w:rPr>
          <w:rStyle w:val="20"/>
          <w:rFonts w:hint="eastAsia" w:ascii="仿宋" w:hAnsi="仿宋" w:eastAsia="仿宋"/>
          <w:bCs/>
          <w:color w:val="auto"/>
          <w:sz w:val="32"/>
          <w:szCs w:val="32"/>
          <w:highlight w:val="none"/>
        </w:rPr>
        <w:t>（类）</w:t>
      </w:r>
      <w:r>
        <w:rPr>
          <w:rStyle w:val="20"/>
          <w:rFonts w:hint="eastAsia" w:ascii="仿宋" w:hAnsi="仿宋" w:eastAsia="仿宋"/>
          <w:bCs/>
          <w:color w:val="auto"/>
          <w:sz w:val="32"/>
          <w:szCs w:val="32"/>
          <w:highlight w:val="none"/>
          <w:lang w:val="en-US" w:eastAsia="zh-CN"/>
        </w:rPr>
        <w:t>人力资源和社会保障管理事务</w:t>
      </w:r>
      <w:r>
        <w:rPr>
          <w:rStyle w:val="20"/>
          <w:rFonts w:hint="eastAsia" w:ascii="仿宋" w:hAnsi="仿宋" w:eastAsia="仿宋"/>
          <w:bCs/>
          <w:color w:val="auto"/>
          <w:sz w:val="32"/>
          <w:szCs w:val="32"/>
          <w:highlight w:val="none"/>
        </w:rPr>
        <w:t>（款）</w:t>
      </w:r>
      <w:r>
        <w:rPr>
          <w:rStyle w:val="20"/>
          <w:rFonts w:hint="eastAsia" w:ascii="仿宋" w:hAnsi="仿宋" w:eastAsia="仿宋"/>
          <w:bCs/>
          <w:color w:val="auto"/>
          <w:sz w:val="32"/>
          <w:szCs w:val="32"/>
          <w:highlight w:val="none"/>
          <w:lang w:val="en-US" w:eastAsia="zh-CN"/>
        </w:rPr>
        <w:t>其他人力资源和社会保障管理事务支出</w:t>
      </w:r>
      <w:r>
        <w:rPr>
          <w:rStyle w:val="20"/>
          <w:rFonts w:hint="eastAsia" w:ascii="仿宋" w:hAnsi="仿宋" w:eastAsia="仿宋"/>
          <w:bCs/>
          <w:color w:val="auto"/>
          <w:sz w:val="32"/>
          <w:szCs w:val="32"/>
          <w:highlight w:val="none"/>
        </w:rPr>
        <w:t>（项）</w:t>
      </w:r>
      <w:r>
        <w:rPr>
          <w:rStyle w:val="20"/>
          <w:rFonts w:hint="eastAsia" w:ascii="仿宋" w:hAnsi="仿宋" w:eastAsia="仿宋"/>
          <w:bCs/>
          <w:color w:val="auto"/>
          <w:sz w:val="32"/>
          <w:szCs w:val="32"/>
          <w:highlight w:val="none"/>
          <w:lang w:eastAsia="zh-CN"/>
        </w:rPr>
        <w:t>：</w:t>
      </w:r>
      <w:r>
        <w:rPr>
          <w:rStyle w:val="20"/>
          <w:rFonts w:hint="eastAsia" w:ascii="仿宋" w:hAnsi="仿宋" w:eastAsia="仿宋"/>
          <w:b w:val="0"/>
          <w:bCs/>
          <w:color w:val="auto"/>
          <w:sz w:val="32"/>
          <w:szCs w:val="32"/>
          <w:highlight w:val="none"/>
        </w:rPr>
        <w:t>支出决算为</w:t>
      </w:r>
      <w:r>
        <w:rPr>
          <w:rStyle w:val="20"/>
          <w:rFonts w:hint="eastAsia" w:ascii="仿宋" w:hAnsi="仿宋" w:eastAsia="仿宋"/>
          <w:b w:val="0"/>
          <w:bCs/>
          <w:color w:val="auto"/>
          <w:sz w:val="32"/>
          <w:szCs w:val="32"/>
          <w:highlight w:val="none"/>
          <w:lang w:val="en-US" w:eastAsia="zh-CN"/>
        </w:rPr>
        <w:t>15</w:t>
      </w:r>
      <w:r>
        <w:rPr>
          <w:rStyle w:val="20"/>
          <w:rFonts w:hint="eastAsia" w:ascii="仿宋" w:hAnsi="仿宋" w:eastAsia="仿宋"/>
          <w:b w:val="0"/>
          <w:bCs/>
          <w:color w:val="auto"/>
          <w:sz w:val="32"/>
          <w:szCs w:val="32"/>
          <w:highlight w:val="none"/>
        </w:rPr>
        <w:t>万元，完成预算</w:t>
      </w:r>
      <w:r>
        <w:rPr>
          <w:rStyle w:val="20"/>
          <w:rFonts w:hint="eastAsia" w:ascii="仿宋" w:hAnsi="仿宋" w:eastAsia="仿宋"/>
          <w:b w:val="0"/>
          <w:bCs/>
          <w:color w:val="auto"/>
          <w:sz w:val="32"/>
          <w:szCs w:val="32"/>
          <w:highlight w:val="none"/>
          <w:lang w:val="en-US" w:eastAsia="zh-CN"/>
        </w:rPr>
        <w:t>100</w:t>
      </w:r>
      <w:r>
        <w:rPr>
          <w:rStyle w:val="20"/>
          <w:rFonts w:ascii="仿宋" w:hAnsi="仿宋" w:eastAsia="仿宋"/>
          <w:b w:val="0"/>
          <w:bCs/>
          <w:color w:val="auto"/>
          <w:sz w:val="32"/>
          <w:szCs w:val="32"/>
          <w:highlight w:val="none"/>
        </w:rPr>
        <w:t>%</w:t>
      </w:r>
      <w:r>
        <w:rPr>
          <w:rStyle w:val="20"/>
          <w:rFonts w:hint="eastAsia" w:ascii="仿宋" w:hAnsi="仿宋" w:eastAsia="仿宋"/>
          <w:b w:val="0"/>
          <w:bCs/>
          <w:color w:val="auto"/>
          <w:sz w:val="32"/>
          <w:szCs w:val="32"/>
          <w:highlight w:val="none"/>
          <w:lang w:eastAsia="zh-CN"/>
        </w:rPr>
        <w:t>。</w:t>
      </w:r>
    </w:p>
    <w:p w14:paraId="682EE3A7">
      <w:pPr>
        <w:keepNext w:val="0"/>
        <w:keepLines w:val="0"/>
        <w:pageBreakBefore w:val="0"/>
        <w:widowControl w:val="0"/>
        <w:shd w:val="clear"/>
        <w:kinsoku/>
        <w:wordWrap/>
        <w:overflowPunct/>
        <w:topLinePunct w:val="0"/>
        <w:bidi w:val="0"/>
        <w:snapToGrid/>
        <w:spacing w:line="576" w:lineRule="exact"/>
        <w:ind w:left="0" w:leftChars="0" w:right="0" w:firstLine="643" w:firstLineChars="200"/>
        <w:jc w:val="both"/>
        <w:textAlignment w:val="auto"/>
        <w:rPr>
          <w:rStyle w:val="20"/>
          <w:rFonts w:hint="eastAsia" w:ascii="仿宋" w:hAnsi="仿宋" w:eastAsia="仿宋"/>
          <w:b w:val="0"/>
          <w:bCs/>
          <w:color w:val="auto"/>
          <w:sz w:val="32"/>
          <w:szCs w:val="32"/>
          <w:highlight w:val="none"/>
          <w:lang w:eastAsia="zh-CN"/>
        </w:rPr>
      </w:pPr>
      <w:r>
        <w:rPr>
          <w:rStyle w:val="20"/>
          <w:rFonts w:hint="eastAsia" w:ascii="仿宋" w:hAnsi="仿宋" w:eastAsia="仿宋"/>
          <w:bCs/>
          <w:color w:val="auto"/>
          <w:sz w:val="32"/>
          <w:szCs w:val="32"/>
          <w:highlight w:val="none"/>
          <w:lang w:val="en-US" w:eastAsia="zh-CN"/>
        </w:rPr>
        <w:t>3</w:t>
      </w:r>
      <w:r>
        <w:rPr>
          <w:rStyle w:val="20"/>
          <w:rFonts w:ascii="仿宋" w:hAnsi="仿宋" w:eastAsia="仿宋"/>
          <w:bCs/>
          <w:color w:val="auto"/>
          <w:sz w:val="32"/>
          <w:szCs w:val="32"/>
          <w:highlight w:val="none"/>
        </w:rPr>
        <w:t>.</w:t>
      </w:r>
      <w:r>
        <w:rPr>
          <w:rStyle w:val="20"/>
          <w:rFonts w:hint="eastAsia" w:ascii="仿宋" w:hAnsi="仿宋" w:eastAsia="仿宋"/>
          <w:bCs/>
          <w:color w:val="auto"/>
          <w:sz w:val="32"/>
          <w:szCs w:val="32"/>
          <w:highlight w:val="none"/>
          <w:lang w:val="en-US" w:eastAsia="zh-CN"/>
        </w:rPr>
        <w:t>社会保障和就业支出</w:t>
      </w:r>
      <w:r>
        <w:rPr>
          <w:rStyle w:val="20"/>
          <w:rFonts w:hint="eastAsia" w:ascii="仿宋" w:hAnsi="仿宋" w:eastAsia="仿宋"/>
          <w:bCs/>
          <w:color w:val="auto"/>
          <w:sz w:val="32"/>
          <w:szCs w:val="32"/>
          <w:highlight w:val="none"/>
        </w:rPr>
        <w:t>（类）</w:t>
      </w:r>
      <w:r>
        <w:rPr>
          <w:rStyle w:val="20"/>
          <w:rFonts w:hint="eastAsia" w:ascii="仿宋" w:hAnsi="仿宋" w:eastAsia="仿宋"/>
          <w:bCs/>
          <w:color w:val="auto"/>
          <w:sz w:val="32"/>
          <w:szCs w:val="32"/>
          <w:highlight w:val="none"/>
          <w:lang w:val="en-US" w:eastAsia="zh-CN"/>
        </w:rPr>
        <w:t>行政事业单位养老支出</w:t>
      </w:r>
      <w:r>
        <w:rPr>
          <w:rStyle w:val="20"/>
          <w:rFonts w:hint="eastAsia" w:ascii="仿宋" w:hAnsi="仿宋" w:eastAsia="仿宋"/>
          <w:bCs/>
          <w:color w:val="auto"/>
          <w:sz w:val="32"/>
          <w:szCs w:val="32"/>
          <w:highlight w:val="none"/>
        </w:rPr>
        <w:t>（款）</w:t>
      </w:r>
      <w:r>
        <w:rPr>
          <w:rStyle w:val="20"/>
          <w:rFonts w:hint="eastAsia" w:ascii="仿宋" w:hAnsi="仿宋" w:eastAsia="仿宋"/>
          <w:bCs/>
          <w:color w:val="auto"/>
          <w:sz w:val="32"/>
          <w:szCs w:val="32"/>
          <w:highlight w:val="none"/>
          <w:lang w:val="en-US" w:eastAsia="zh-CN"/>
        </w:rPr>
        <w:t>行政单位离退休</w:t>
      </w:r>
      <w:r>
        <w:rPr>
          <w:rStyle w:val="20"/>
          <w:rFonts w:hint="eastAsia" w:ascii="仿宋" w:hAnsi="仿宋" w:eastAsia="仿宋"/>
          <w:bCs/>
          <w:color w:val="auto"/>
          <w:sz w:val="32"/>
          <w:szCs w:val="32"/>
          <w:highlight w:val="none"/>
        </w:rPr>
        <w:t>（项）</w:t>
      </w:r>
      <w:r>
        <w:rPr>
          <w:rStyle w:val="20"/>
          <w:rFonts w:hint="eastAsia" w:ascii="仿宋" w:hAnsi="仿宋" w:eastAsia="仿宋"/>
          <w:bCs/>
          <w:color w:val="auto"/>
          <w:sz w:val="32"/>
          <w:szCs w:val="32"/>
          <w:highlight w:val="none"/>
          <w:lang w:eastAsia="zh-CN"/>
        </w:rPr>
        <w:t>：</w:t>
      </w:r>
      <w:r>
        <w:rPr>
          <w:rStyle w:val="20"/>
          <w:rFonts w:hint="eastAsia" w:ascii="仿宋" w:hAnsi="仿宋" w:eastAsia="仿宋"/>
          <w:b w:val="0"/>
          <w:bCs/>
          <w:color w:val="auto"/>
          <w:sz w:val="32"/>
          <w:szCs w:val="32"/>
          <w:highlight w:val="none"/>
        </w:rPr>
        <w:t>支出决算为</w:t>
      </w:r>
      <w:r>
        <w:rPr>
          <w:rStyle w:val="20"/>
          <w:rFonts w:hint="eastAsia" w:ascii="仿宋" w:hAnsi="仿宋" w:eastAsia="仿宋"/>
          <w:b w:val="0"/>
          <w:bCs/>
          <w:color w:val="auto"/>
          <w:sz w:val="32"/>
          <w:szCs w:val="32"/>
          <w:highlight w:val="none"/>
          <w:lang w:val="en-US" w:eastAsia="zh-CN"/>
        </w:rPr>
        <w:t>97.77</w:t>
      </w:r>
      <w:r>
        <w:rPr>
          <w:rStyle w:val="20"/>
          <w:rFonts w:hint="eastAsia" w:ascii="仿宋" w:hAnsi="仿宋" w:eastAsia="仿宋"/>
          <w:b w:val="0"/>
          <w:bCs/>
          <w:color w:val="auto"/>
          <w:sz w:val="32"/>
          <w:szCs w:val="32"/>
          <w:highlight w:val="none"/>
        </w:rPr>
        <w:t>万元，完成预算</w:t>
      </w:r>
      <w:r>
        <w:rPr>
          <w:rStyle w:val="20"/>
          <w:rFonts w:hint="eastAsia" w:ascii="仿宋" w:hAnsi="仿宋" w:eastAsia="仿宋"/>
          <w:b w:val="0"/>
          <w:bCs/>
          <w:color w:val="auto"/>
          <w:sz w:val="32"/>
          <w:szCs w:val="32"/>
          <w:highlight w:val="none"/>
          <w:lang w:val="en-US" w:eastAsia="zh-CN"/>
        </w:rPr>
        <w:t>100</w:t>
      </w:r>
      <w:r>
        <w:rPr>
          <w:rStyle w:val="20"/>
          <w:rFonts w:ascii="仿宋" w:hAnsi="仿宋" w:eastAsia="仿宋"/>
          <w:b w:val="0"/>
          <w:bCs/>
          <w:color w:val="auto"/>
          <w:sz w:val="32"/>
          <w:szCs w:val="32"/>
          <w:highlight w:val="none"/>
        </w:rPr>
        <w:t>%</w:t>
      </w:r>
      <w:r>
        <w:rPr>
          <w:rStyle w:val="20"/>
          <w:rFonts w:hint="eastAsia" w:ascii="仿宋" w:hAnsi="仿宋" w:eastAsia="仿宋"/>
          <w:b w:val="0"/>
          <w:bCs/>
          <w:color w:val="auto"/>
          <w:sz w:val="32"/>
          <w:szCs w:val="32"/>
          <w:highlight w:val="none"/>
          <w:lang w:eastAsia="zh-CN"/>
        </w:rPr>
        <w:t>。</w:t>
      </w:r>
    </w:p>
    <w:p w14:paraId="283A5405">
      <w:pPr>
        <w:keepNext w:val="0"/>
        <w:keepLines w:val="0"/>
        <w:pageBreakBefore w:val="0"/>
        <w:widowControl w:val="0"/>
        <w:shd w:val="clear"/>
        <w:kinsoku/>
        <w:wordWrap/>
        <w:overflowPunct/>
        <w:topLinePunct w:val="0"/>
        <w:bidi w:val="0"/>
        <w:snapToGrid/>
        <w:spacing w:line="576" w:lineRule="exact"/>
        <w:ind w:left="0" w:leftChars="0" w:right="0" w:firstLine="643" w:firstLineChars="200"/>
        <w:jc w:val="both"/>
        <w:textAlignment w:val="auto"/>
        <w:rPr>
          <w:rStyle w:val="20"/>
          <w:rFonts w:hint="eastAsia" w:ascii="仿宋" w:hAnsi="仿宋" w:eastAsia="仿宋"/>
          <w:b w:val="0"/>
          <w:bCs/>
          <w:color w:val="auto"/>
          <w:sz w:val="32"/>
          <w:szCs w:val="32"/>
          <w:highlight w:val="none"/>
          <w:lang w:eastAsia="zh-CN"/>
        </w:rPr>
      </w:pPr>
      <w:r>
        <w:rPr>
          <w:rStyle w:val="20"/>
          <w:rFonts w:hint="eastAsia" w:ascii="仿宋" w:hAnsi="仿宋" w:eastAsia="仿宋"/>
          <w:bCs/>
          <w:color w:val="auto"/>
          <w:sz w:val="32"/>
          <w:szCs w:val="32"/>
          <w:highlight w:val="none"/>
          <w:lang w:val="en-US" w:eastAsia="zh-CN"/>
        </w:rPr>
        <w:t>4</w:t>
      </w:r>
      <w:r>
        <w:rPr>
          <w:rStyle w:val="20"/>
          <w:rFonts w:ascii="仿宋" w:hAnsi="仿宋" w:eastAsia="仿宋"/>
          <w:bCs/>
          <w:color w:val="auto"/>
          <w:sz w:val="32"/>
          <w:szCs w:val="32"/>
          <w:highlight w:val="none"/>
        </w:rPr>
        <w:t>.</w:t>
      </w:r>
      <w:r>
        <w:rPr>
          <w:rStyle w:val="20"/>
          <w:rFonts w:hint="eastAsia" w:ascii="仿宋" w:hAnsi="仿宋" w:eastAsia="仿宋"/>
          <w:bCs/>
          <w:color w:val="auto"/>
          <w:sz w:val="32"/>
          <w:szCs w:val="32"/>
          <w:highlight w:val="none"/>
          <w:lang w:val="en-US" w:eastAsia="zh-CN"/>
        </w:rPr>
        <w:t>社会保障和就业支出</w:t>
      </w:r>
      <w:r>
        <w:rPr>
          <w:rStyle w:val="20"/>
          <w:rFonts w:hint="eastAsia" w:ascii="仿宋" w:hAnsi="仿宋" w:eastAsia="仿宋"/>
          <w:bCs/>
          <w:color w:val="auto"/>
          <w:sz w:val="32"/>
          <w:szCs w:val="32"/>
          <w:highlight w:val="none"/>
        </w:rPr>
        <w:t>（类）</w:t>
      </w:r>
      <w:r>
        <w:rPr>
          <w:rStyle w:val="20"/>
          <w:rFonts w:hint="eastAsia" w:ascii="仿宋" w:hAnsi="仿宋" w:eastAsia="仿宋"/>
          <w:bCs/>
          <w:color w:val="auto"/>
          <w:sz w:val="32"/>
          <w:szCs w:val="32"/>
          <w:highlight w:val="none"/>
          <w:lang w:val="en-US" w:eastAsia="zh-CN"/>
        </w:rPr>
        <w:t>行政事业单位养老支出</w:t>
      </w:r>
      <w:r>
        <w:rPr>
          <w:rStyle w:val="20"/>
          <w:rFonts w:hint="eastAsia" w:ascii="仿宋" w:hAnsi="仿宋" w:eastAsia="仿宋"/>
          <w:bCs/>
          <w:color w:val="auto"/>
          <w:sz w:val="32"/>
          <w:szCs w:val="32"/>
          <w:highlight w:val="none"/>
        </w:rPr>
        <w:t>（款）</w:t>
      </w:r>
      <w:r>
        <w:rPr>
          <w:rStyle w:val="20"/>
          <w:rFonts w:hint="eastAsia" w:ascii="仿宋" w:hAnsi="仿宋" w:eastAsia="仿宋"/>
          <w:bCs/>
          <w:color w:val="auto"/>
          <w:sz w:val="32"/>
          <w:szCs w:val="32"/>
          <w:highlight w:val="none"/>
          <w:lang w:val="en-US" w:eastAsia="zh-CN"/>
        </w:rPr>
        <w:t>事业单位离退休</w:t>
      </w:r>
      <w:r>
        <w:rPr>
          <w:rStyle w:val="20"/>
          <w:rFonts w:hint="eastAsia" w:ascii="仿宋" w:hAnsi="仿宋" w:eastAsia="仿宋"/>
          <w:bCs/>
          <w:color w:val="auto"/>
          <w:sz w:val="32"/>
          <w:szCs w:val="32"/>
          <w:highlight w:val="none"/>
        </w:rPr>
        <w:t>（项）</w:t>
      </w:r>
      <w:r>
        <w:rPr>
          <w:rStyle w:val="20"/>
          <w:rFonts w:hint="eastAsia" w:ascii="仿宋" w:hAnsi="仿宋" w:eastAsia="仿宋"/>
          <w:bCs/>
          <w:color w:val="auto"/>
          <w:sz w:val="32"/>
          <w:szCs w:val="32"/>
          <w:highlight w:val="none"/>
          <w:lang w:eastAsia="zh-CN"/>
        </w:rPr>
        <w:t>：</w:t>
      </w:r>
      <w:r>
        <w:rPr>
          <w:rStyle w:val="20"/>
          <w:rFonts w:hint="eastAsia" w:ascii="仿宋" w:hAnsi="仿宋" w:eastAsia="仿宋"/>
          <w:b w:val="0"/>
          <w:bCs/>
          <w:color w:val="auto"/>
          <w:sz w:val="32"/>
          <w:szCs w:val="32"/>
          <w:highlight w:val="none"/>
        </w:rPr>
        <w:t>支出决算为</w:t>
      </w:r>
      <w:r>
        <w:rPr>
          <w:rStyle w:val="20"/>
          <w:rFonts w:hint="eastAsia" w:ascii="仿宋" w:hAnsi="仿宋" w:eastAsia="仿宋"/>
          <w:b w:val="0"/>
          <w:bCs/>
          <w:color w:val="auto"/>
          <w:sz w:val="32"/>
          <w:szCs w:val="32"/>
          <w:highlight w:val="none"/>
          <w:lang w:val="en-US" w:eastAsia="zh-CN"/>
        </w:rPr>
        <w:t>8.46</w:t>
      </w:r>
      <w:r>
        <w:rPr>
          <w:rStyle w:val="20"/>
          <w:rFonts w:hint="eastAsia" w:ascii="仿宋" w:hAnsi="仿宋" w:eastAsia="仿宋"/>
          <w:b w:val="0"/>
          <w:bCs/>
          <w:color w:val="auto"/>
          <w:sz w:val="32"/>
          <w:szCs w:val="32"/>
          <w:highlight w:val="none"/>
        </w:rPr>
        <w:t>万元，完成预算</w:t>
      </w:r>
      <w:r>
        <w:rPr>
          <w:rStyle w:val="20"/>
          <w:rFonts w:hint="eastAsia" w:ascii="仿宋" w:hAnsi="仿宋" w:eastAsia="仿宋"/>
          <w:b w:val="0"/>
          <w:bCs/>
          <w:color w:val="auto"/>
          <w:sz w:val="32"/>
          <w:szCs w:val="32"/>
          <w:highlight w:val="none"/>
          <w:lang w:val="en-US" w:eastAsia="zh-CN"/>
        </w:rPr>
        <w:t>100</w:t>
      </w:r>
      <w:r>
        <w:rPr>
          <w:rStyle w:val="20"/>
          <w:rFonts w:ascii="仿宋" w:hAnsi="仿宋" w:eastAsia="仿宋"/>
          <w:b w:val="0"/>
          <w:bCs/>
          <w:color w:val="auto"/>
          <w:sz w:val="32"/>
          <w:szCs w:val="32"/>
          <w:highlight w:val="none"/>
        </w:rPr>
        <w:t>%</w:t>
      </w:r>
      <w:r>
        <w:rPr>
          <w:rStyle w:val="20"/>
          <w:rFonts w:hint="eastAsia" w:ascii="仿宋" w:hAnsi="仿宋" w:eastAsia="仿宋"/>
          <w:b w:val="0"/>
          <w:bCs/>
          <w:color w:val="auto"/>
          <w:sz w:val="32"/>
          <w:szCs w:val="32"/>
          <w:highlight w:val="none"/>
          <w:lang w:eastAsia="zh-CN"/>
        </w:rPr>
        <w:t>。</w:t>
      </w:r>
    </w:p>
    <w:p w14:paraId="1AD14B17">
      <w:pPr>
        <w:pStyle w:val="2"/>
      </w:pPr>
    </w:p>
    <w:p w14:paraId="149CEE0F">
      <w:pPr>
        <w:keepNext w:val="0"/>
        <w:keepLines w:val="0"/>
        <w:pageBreakBefore w:val="0"/>
        <w:widowControl w:val="0"/>
        <w:shd w:val="clear"/>
        <w:kinsoku/>
        <w:wordWrap/>
        <w:overflowPunct/>
        <w:topLinePunct w:val="0"/>
        <w:bidi w:val="0"/>
        <w:snapToGrid/>
        <w:spacing w:line="576" w:lineRule="exact"/>
        <w:ind w:left="0" w:leftChars="0" w:right="0" w:firstLine="643" w:firstLineChars="200"/>
        <w:jc w:val="both"/>
        <w:textAlignment w:val="auto"/>
        <w:rPr>
          <w:rFonts w:ascii="仿宋" w:hAnsi="仿宋" w:eastAsia="仿宋"/>
          <w:b/>
          <w:color w:val="auto"/>
          <w:sz w:val="32"/>
          <w:szCs w:val="32"/>
          <w:highlight w:val="none"/>
        </w:rPr>
      </w:pPr>
      <w:r>
        <w:rPr>
          <w:rStyle w:val="20"/>
          <w:rFonts w:hint="eastAsia" w:ascii="仿宋" w:hAnsi="仿宋" w:eastAsia="仿宋"/>
          <w:bCs/>
          <w:color w:val="auto"/>
          <w:sz w:val="32"/>
          <w:szCs w:val="32"/>
          <w:highlight w:val="none"/>
          <w:lang w:val="en-US" w:eastAsia="zh-CN"/>
        </w:rPr>
        <w:t>5</w:t>
      </w:r>
      <w:r>
        <w:rPr>
          <w:rStyle w:val="20"/>
          <w:rFonts w:ascii="仿宋" w:hAnsi="仿宋" w:eastAsia="仿宋"/>
          <w:bCs/>
          <w:color w:val="auto"/>
          <w:sz w:val="32"/>
          <w:szCs w:val="32"/>
          <w:highlight w:val="none"/>
        </w:rPr>
        <w:t>.</w:t>
      </w:r>
      <w:r>
        <w:rPr>
          <w:rStyle w:val="20"/>
          <w:rFonts w:hint="eastAsia" w:ascii="仿宋" w:hAnsi="仿宋" w:eastAsia="仿宋"/>
          <w:bCs/>
          <w:color w:val="auto"/>
          <w:sz w:val="32"/>
          <w:szCs w:val="32"/>
          <w:highlight w:val="none"/>
          <w:lang w:val="en-US" w:eastAsia="zh-CN"/>
        </w:rPr>
        <w:t>社会保障和就业支出</w:t>
      </w:r>
      <w:r>
        <w:rPr>
          <w:rStyle w:val="20"/>
          <w:rFonts w:hint="eastAsia" w:ascii="仿宋" w:hAnsi="仿宋" w:eastAsia="仿宋"/>
          <w:bCs/>
          <w:color w:val="auto"/>
          <w:sz w:val="32"/>
          <w:szCs w:val="32"/>
          <w:highlight w:val="none"/>
        </w:rPr>
        <w:t>（类）</w:t>
      </w:r>
      <w:r>
        <w:rPr>
          <w:rStyle w:val="20"/>
          <w:rFonts w:hint="eastAsia" w:ascii="仿宋" w:hAnsi="仿宋" w:eastAsia="仿宋"/>
          <w:bCs/>
          <w:color w:val="auto"/>
          <w:sz w:val="32"/>
          <w:szCs w:val="32"/>
          <w:highlight w:val="none"/>
          <w:lang w:val="en-US" w:eastAsia="zh-CN"/>
        </w:rPr>
        <w:t>行政事业单位养老支出</w:t>
      </w:r>
      <w:r>
        <w:rPr>
          <w:rStyle w:val="20"/>
          <w:rFonts w:hint="eastAsia" w:ascii="仿宋" w:hAnsi="仿宋" w:eastAsia="仿宋"/>
          <w:bCs/>
          <w:color w:val="auto"/>
          <w:sz w:val="32"/>
          <w:szCs w:val="32"/>
          <w:highlight w:val="none"/>
        </w:rPr>
        <w:t>（款）</w:t>
      </w:r>
      <w:r>
        <w:rPr>
          <w:rStyle w:val="20"/>
          <w:rFonts w:hint="eastAsia" w:ascii="仿宋" w:hAnsi="仿宋" w:eastAsia="仿宋"/>
          <w:bCs/>
          <w:color w:val="auto"/>
          <w:sz w:val="32"/>
          <w:szCs w:val="32"/>
          <w:highlight w:val="none"/>
          <w:lang w:val="en-US" w:eastAsia="zh-CN"/>
        </w:rPr>
        <w:t>机关事业单位基本养老保险支出</w:t>
      </w:r>
      <w:r>
        <w:rPr>
          <w:rStyle w:val="20"/>
          <w:rFonts w:hint="eastAsia" w:ascii="仿宋" w:hAnsi="仿宋" w:eastAsia="仿宋"/>
          <w:bCs/>
          <w:color w:val="auto"/>
          <w:sz w:val="32"/>
          <w:szCs w:val="32"/>
          <w:highlight w:val="none"/>
        </w:rPr>
        <w:t>（项）</w:t>
      </w:r>
      <w:r>
        <w:rPr>
          <w:rStyle w:val="20"/>
          <w:rFonts w:hint="eastAsia" w:ascii="仿宋" w:hAnsi="仿宋" w:eastAsia="仿宋"/>
          <w:bCs/>
          <w:color w:val="auto"/>
          <w:sz w:val="32"/>
          <w:szCs w:val="32"/>
          <w:highlight w:val="none"/>
          <w:lang w:eastAsia="zh-CN"/>
        </w:rPr>
        <w:t>：</w:t>
      </w:r>
      <w:r>
        <w:rPr>
          <w:rStyle w:val="20"/>
          <w:rFonts w:hint="eastAsia" w:ascii="仿宋" w:hAnsi="仿宋" w:eastAsia="仿宋"/>
          <w:b w:val="0"/>
          <w:bCs/>
          <w:color w:val="auto"/>
          <w:sz w:val="32"/>
          <w:szCs w:val="32"/>
          <w:highlight w:val="none"/>
        </w:rPr>
        <w:t>支出决算为</w:t>
      </w:r>
      <w:r>
        <w:rPr>
          <w:rStyle w:val="20"/>
          <w:rFonts w:hint="eastAsia" w:ascii="仿宋" w:hAnsi="仿宋" w:eastAsia="仿宋"/>
          <w:b w:val="0"/>
          <w:bCs/>
          <w:color w:val="auto"/>
          <w:sz w:val="32"/>
          <w:szCs w:val="32"/>
          <w:highlight w:val="none"/>
          <w:lang w:val="en-US" w:eastAsia="zh-CN"/>
        </w:rPr>
        <w:t>316.07</w:t>
      </w:r>
      <w:r>
        <w:rPr>
          <w:rStyle w:val="20"/>
          <w:rFonts w:hint="eastAsia" w:ascii="仿宋" w:hAnsi="仿宋" w:eastAsia="仿宋"/>
          <w:b w:val="0"/>
          <w:bCs/>
          <w:color w:val="auto"/>
          <w:sz w:val="32"/>
          <w:szCs w:val="32"/>
          <w:highlight w:val="none"/>
        </w:rPr>
        <w:t>万元，完成预算</w:t>
      </w:r>
      <w:r>
        <w:rPr>
          <w:rStyle w:val="20"/>
          <w:rFonts w:hint="eastAsia" w:ascii="仿宋" w:hAnsi="仿宋" w:eastAsia="仿宋"/>
          <w:b w:val="0"/>
          <w:bCs/>
          <w:color w:val="auto"/>
          <w:sz w:val="32"/>
          <w:szCs w:val="32"/>
          <w:highlight w:val="none"/>
          <w:lang w:val="en-US" w:eastAsia="zh-CN"/>
        </w:rPr>
        <w:t>100</w:t>
      </w:r>
      <w:r>
        <w:rPr>
          <w:rStyle w:val="20"/>
          <w:rFonts w:ascii="仿宋" w:hAnsi="仿宋" w:eastAsia="仿宋"/>
          <w:b w:val="0"/>
          <w:bCs/>
          <w:color w:val="auto"/>
          <w:sz w:val="32"/>
          <w:szCs w:val="32"/>
          <w:highlight w:val="none"/>
        </w:rPr>
        <w:t>%</w:t>
      </w:r>
      <w:r>
        <w:rPr>
          <w:rStyle w:val="20"/>
          <w:rFonts w:hint="eastAsia" w:ascii="仿宋" w:hAnsi="仿宋" w:eastAsia="仿宋"/>
          <w:b w:val="0"/>
          <w:bCs/>
          <w:color w:val="auto"/>
          <w:sz w:val="32"/>
          <w:szCs w:val="32"/>
          <w:highlight w:val="none"/>
          <w:lang w:eastAsia="zh-CN"/>
        </w:rPr>
        <w:t>。</w:t>
      </w:r>
    </w:p>
    <w:p w14:paraId="52FFD5D6">
      <w:pPr>
        <w:keepNext w:val="0"/>
        <w:keepLines w:val="0"/>
        <w:pageBreakBefore w:val="0"/>
        <w:widowControl w:val="0"/>
        <w:shd w:val="clear"/>
        <w:kinsoku/>
        <w:wordWrap/>
        <w:overflowPunct/>
        <w:topLinePunct w:val="0"/>
        <w:bidi w:val="0"/>
        <w:snapToGrid/>
        <w:spacing w:line="576" w:lineRule="exact"/>
        <w:ind w:left="0" w:leftChars="0" w:right="0" w:firstLine="643" w:firstLineChars="200"/>
        <w:jc w:val="both"/>
        <w:textAlignment w:val="auto"/>
        <w:rPr>
          <w:rFonts w:ascii="仿宋" w:hAnsi="仿宋" w:eastAsia="仿宋"/>
          <w:b/>
          <w:color w:val="auto"/>
          <w:sz w:val="32"/>
          <w:szCs w:val="32"/>
          <w:highlight w:val="none"/>
        </w:rPr>
      </w:pPr>
      <w:r>
        <w:rPr>
          <w:rStyle w:val="20"/>
          <w:rFonts w:hint="eastAsia" w:ascii="仿宋" w:hAnsi="仿宋" w:eastAsia="仿宋"/>
          <w:bCs/>
          <w:color w:val="auto"/>
          <w:sz w:val="32"/>
          <w:szCs w:val="32"/>
          <w:highlight w:val="none"/>
          <w:lang w:val="en-US" w:eastAsia="zh-CN"/>
        </w:rPr>
        <w:t>6</w:t>
      </w:r>
      <w:r>
        <w:rPr>
          <w:rStyle w:val="20"/>
          <w:rFonts w:ascii="仿宋" w:hAnsi="仿宋" w:eastAsia="仿宋"/>
          <w:bCs/>
          <w:color w:val="auto"/>
          <w:sz w:val="32"/>
          <w:szCs w:val="32"/>
          <w:highlight w:val="none"/>
        </w:rPr>
        <w:t>.</w:t>
      </w:r>
      <w:r>
        <w:rPr>
          <w:rStyle w:val="20"/>
          <w:rFonts w:hint="eastAsia" w:ascii="仿宋" w:hAnsi="仿宋" w:eastAsia="仿宋"/>
          <w:bCs/>
          <w:color w:val="auto"/>
          <w:sz w:val="32"/>
          <w:szCs w:val="32"/>
          <w:highlight w:val="none"/>
          <w:lang w:val="en-US" w:eastAsia="zh-CN"/>
        </w:rPr>
        <w:t>社会保障和就业支出</w:t>
      </w:r>
      <w:r>
        <w:rPr>
          <w:rStyle w:val="20"/>
          <w:rFonts w:hint="eastAsia" w:ascii="仿宋" w:hAnsi="仿宋" w:eastAsia="仿宋"/>
          <w:bCs/>
          <w:color w:val="auto"/>
          <w:sz w:val="32"/>
          <w:szCs w:val="32"/>
          <w:highlight w:val="none"/>
        </w:rPr>
        <w:t>（类）</w:t>
      </w:r>
      <w:r>
        <w:rPr>
          <w:rStyle w:val="20"/>
          <w:rFonts w:hint="eastAsia" w:ascii="仿宋" w:hAnsi="仿宋" w:eastAsia="仿宋"/>
          <w:bCs/>
          <w:color w:val="auto"/>
          <w:sz w:val="32"/>
          <w:szCs w:val="32"/>
          <w:highlight w:val="none"/>
          <w:lang w:val="en-US" w:eastAsia="zh-CN"/>
        </w:rPr>
        <w:t>行政事业单位养老支出</w:t>
      </w:r>
      <w:r>
        <w:rPr>
          <w:rStyle w:val="20"/>
          <w:rFonts w:hint="eastAsia" w:ascii="仿宋" w:hAnsi="仿宋" w:eastAsia="仿宋"/>
          <w:bCs/>
          <w:color w:val="auto"/>
          <w:sz w:val="32"/>
          <w:szCs w:val="32"/>
          <w:highlight w:val="none"/>
        </w:rPr>
        <w:t>（款）</w:t>
      </w:r>
      <w:r>
        <w:rPr>
          <w:rStyle w:val="20"/>
          <w:rFonts w:hint="eastAsia" w:ascii="仿宋" w:hAnsi="仿宋" w:eastAsia="仿宋"/>
          <w:bCs/>
          <w:color w:val="auto"/>
          <w:sz w:val="32"/>
          <w:szCs w:val="32"/>
          <w:highlight w:val="none"/>
          <w:lang w:val="en-US" w:eastAsia="zh-CN"/>
        </w:rPr>
        <w:t>机关事业单位职业年金缴费支出</w:t>
      </w:r>
      <w:r>
        <w:rPr>
          <w:rStyle w:val="20"/>
          <w:rFonts w:hint="eastAsia" w:ascii="仿宋" w:hAnsi="仿宋" w:eastAsia="仿宋"/>
          <w:bCs/>
          <w:color w:val="auto"/>
          <w:sz w:val="32"/>
          <w:szCs w:val="32"/>
          <w:highlight w:val="none"/>
        </w:rPr>
        <w:t>（项）</w:t>
      </w:r>
      <w:r>
        <w:rPr>
          <w:rStyle w:val="20"/>
          <w:rFonts w:hint="eastAsia" w:ascii="仿宋" w:hAnsi="仿宋" w:eastAsia="仿宋"/>
          <w:bCs/>
          <w:color w:val="auto"/>
          <w:sz w:val="32"/>
          <w:szCs w:val="32"/>
          <w:highlight w:val="none"/>
          <w:lang w:eastAsia="zh-CN"/>
        </w:rPr>
        <w:t>：</w:t>
      </w:r>
      <w:r>
        <w:rPr>
          <w:rStyle w:val="20"/>
          <w:rFonts w:hint="eastAsia" w:ascii="仿宋" w:hAnsi="仿宋" w:eastAsia="仿宋"/>
          <w:b w:val="0"/>
          <w:bCs/>
          <w:color w:val="auto"/>
          <w:sz w:val="32"/>
          <w:szCs w:val="32"/>
          <w:highlight w:val="none"/>
        </w:rPr>
        <w:t>支出决算为</w:t>
      </w:r>
      <w:r>
        <w:rPr>
          <w:rStyle w:val="20"/>
          <w:rFonts w:hint="eastAsia" w:ascii="仿宋" w:hAnsi="仿宋" w:eastAsia="仿宋"/>
          <w:b w:val="0"/>
          <w:bCs/>
          <w:color w:val="auto"/>
          <w:sz w:val="32"/>
          <w:szCs w:val="32"/>
          <w:highlight w:val="none"/>
          <w:lang w:val="en-US" w:eastAsia="zh-CN"/>
        </w:rPr>
        <w:t>52.03</w:t>
      </w:r>
      <w:r>
        <w:rPr>
          <w:rStyle w:val="20"/>
          <w:rFonts w:hint="eastAsia" w:ascii="仿宋" w:hAnsi="仿宋" w:eastAsia="仿宋"/>
          <w:b w:val="0"/>
          <w:bCs/>
          <w:color w:val="auto"/>
          <w:sz w:val="32"/>
          <w:szCs w:val="32"/>
          <w:highlight w:val="none"/>
        </w:rPr>
        <w:t>万元，完成预算</w:t>
      </w:r>
      <w:r>
        <w:rPr>
          <w:rStyle w:val="20"/>
          <w:rFonts w:hint="eastAsia" w:ascii="仿宋" w:hAnsi="仿宋" w:eastAsia="仿宋"/>
          <w:b w:val="0"/>
          <w:bCs/>
          <w:color w:val="auto"/>
          <w:sz w:val="32"/>
          <w:szCs w:val="32"/>
          <w:highlight w:val="none"/>
          <w:lang w:val="en-US" w:eastAsia="zh-CN"/>
        </w:rPr>
        <w:t>100</w:t>
      </w:r>
      <w:r>
        <w:rPr>
          <w:rStyle w:val="20"/>
          <w:rFonts w:ascii="仿宋" w:hAnsi="仿宋" w:eastAsia="仿宋"/>
          <w:b w:val="0"/>
          <w:bCs/>
          <w:color w:val="auto"/>
          <w:sz w:val="32"/>
          <w:szCs w:val="32"/>
          <w:highlight w:val="none"/>
        </w:rPr>
        <w:t>%</w:t>
      </w:r>
      <w:r>
        <w:rPr>
          <w:rStyle w:val="20"/>
          <w:rFonts w:hint="eastAsia" w:ascii="仿宋" w:hAnsi="仿宋" w:eastAsia="仿宋"/>
          <w:b w:val="0"/>
          <w:bCs/>
          <w:color w:val="auto"/>
          <w:sz w:val="32"/>
          <w:szCs w:val="32"/>
          <w:highlight w:val="none"/>
          <w:lang w:eastAsia="zh-CN"/>
        </w:rPr>
        <w:t>。</w:t>
      </w:r>
    </w:p>
    <w:p w14:paraId="166C8D7A">
      <w:pPr>
        <w:keepNext w:val="0"/>
        <w:keepLines w:val="0"/>
        <w:pageBreakBefore w:val="0"/>
        <w:widowControl w:val="0"/>
        <w:shd w:val="clear"/>
        <w:kinsoku/>
        <w:wordWrap/>
        <w:overflowPunct/>
        <w:topLinePunct w:val="0"/>
        <w:bidi w:val="0"/>
        <w:snapToGrid/>
        <w:spacing w:line="576" w:lineRule="exact"/>
        <w:ind w:left="0" w:leftChars="0" w:right="0" w:firstLine="643" w:firstLineChars="200"/>
        <w:jc w:val="both"/>
        <w:textAlignment w:val="auto"/>
        <w:rPr>
          <w:rStyle w:val="20"/>
          <w:rFonts w:hint="eastAsia" w:ascii="仿宋" w:hAnsi="仿宋" w:eastAsia="仿宋"/>
          <w:b w:val="0"/>
          <w:bCs/>
          <w:color w:val="auto"/>
          <w:sz w:val="32"/>
          <w:szCs w:val="32"/>
          <w:highlight w:val="none"/>
          <w:lang w:eastAsia="zh-CN"/>
        </w:rPr>
      </w:pPr>
      <w:r>
        <w:rPr>
          <w:rStyle w:val="20"/>
          <w:rFonts w:hint="eastAsia" w:ascii="仿宋" w:hAnsi="仿宋" w:eastAsia="仿宋"/>
          <w:bCs/>
          <w:color w:val="auto"/>
          <w:sz w:val="32"/>
          <w:szCs w:val="32"/>
          <w:highlight w:val="none"/>
          <w:lang w:val="en-US" w:eastAsia="zh-CN"/>
        </w:rPr>
        <w:t>7.</w:t>
      </w:r>
      <w:r>
        <w:rPr>
          <w:rStyle w:val="20"/>
          <w:rFonts w:hint="eastAsia" w:ascii="仿宋" w:hAnsi="仿宋" w:eastAsia="仿宋"/>
          <w:bCs/>
          <w:color w:val="auto"/>
          <w:sz w:val="32"/>
          <w:szCs w:val="32"/>
          <w:highlight w:val="none"/>
        </w:rPr>
        <w:t>社会保障和就业</w:t>
      </w:r>
      <w:r>
        <w:rPr>
          <w:rStyle w:val="20"/>
          <w:rFonts w:hint="eastAsia" w:ascii="仿宋" w:hAnsi="仿宋" w:eastAsia="仿宋"/>
          <w:bCs/>
          <w:color w:val="auto"/>
          <w:sz w:val="32"/>
          <w:szCs w:val="32"/>
          <w:highlight w:val="none"/>
          <w:lang w:val="en-US" w:eastAsia="zh-CN"/>
        </w:rPr>
        <w:t>支出</w:t>
      </w:r>
      <w:r>
        <w:rPr>
          <w:rStyle w:val="20"/>
          <w:rFonts w:hint="eastAsia" w:ascii="仿宋" w:hAnsi="仿宋" w:eastAsia="仿宋"/>
          <w:bCs/>
          <w:color w:val="auto"/>
          <w:sz w:val="32"/>
          <w:szCs w:val="32"/>
          <w:highlight w:val="none"/>
        </w:rPr>
        <w:t>（类）</w:t>
      </w:r>
      <w:r>
        <w:rPr>
          <w:rStyle w:val="20"/>
          <w:rFonts w:hint="eastAsia" w:ascii="仿宋" w:hAnsi="仿宋" w:eastAsia="仿宋"/>
          <w:bCs/>
          <w:color w:val="auto"/>
          <w:sz w:val="32"/>
          <w:szCs w:val="32"/>
          <w:highlight w:val="none"/>
          <w:lang w:val="en-US" w:eastAsia="zh-CN"/>
        </w:rPr>
        <w:t>其他社会保障和就业支出</w:t>
      </w:r>
      <w:r>
        <w:rPr>
          <w:rStyle w:val="20"/>
          <w:rFonts w:hint="eastAsia" w:ascii="仿宋" w:hAnsi="仿宋" w:eastAsia="仿宋"/>
          <w:bCs/>
          <w:color w:val="auto"/>
          <w:sz w:val="32"/>
          <w:szCs w:val="32"/>
          <w:highlight w:val="none"/>
        </w:rPr>
        <w:t>（款）</w:t>
      </w:r>
      <w:r>
        <w:rPr>
          <w:rStyle w:val="20"/>
          <w:rFonts w:hint="eastAsia" w:ascii="仿宋" w:hAnsi="仿宋" w:eastAsia="仿宋"/>
          <w:bCs/>
          <w:color w:val="auto"/>
          <w:sz w:val="32"/>
          <w:szCs w:val="32"/>
          <w:highlight w:val="none"/>
          <w:lang w:val="en-US" w:eastAsia="zh-CN"/>
        </w:rPr>
        <w:t>其他社会保障和就业支出</w:t>
      </w:r>
      <w:r>
        <w:rPr>
          <w:rStyle w:val="20"/>
          <w:rFonts w:hint="eastAsia" w:ascii="仿宋" w:hAnsi="仿宋" w:eastAsia="仿宋"/>
          <w:bCs/>
          <w:color w:val="auto"/>
          <w:sz w:val="32"/>
          <w:szCs w:val="32"/>
          <w:highlight w:val="none"/>
        </w:rPr>
        <w:t>（项）</w:t>
      </w:r>
      <w:r>
        <w:rPr>
          <w:rStyle w:val="20"/>
          <w:rFonts w:hint="eastAsia" w:ascii="仿宋" w:hAnsi="仿宋" w:eastAsia="仿宋"/>
          <w:bCs/>
          <w:color w:val="auto"/>
          <w:sz w:val="32"/>
          <w:szCs w:val="32"/>
          <w:highlight w:val="none"/>
          <w:lang w:eastAsia="zh-CN"/>
        </w:rPr>
        <w:t>：</w:t>
      </w:r>
      <w:r>
        <w:rPr>
          <w:rStyle w:val="20"/>
          <w:rFonts w:hint="eastAsia" w:ascii="仿宋" w:hAnsi="仿宋" w:eastAsia="仿宋"/>
          <w:b w:val="0"/>
          <w:bCs/>
          <w:color w:val="auto"/>
          <w:sz w:val="32"/>
          <w:szCs w:val="32"/>
          <w:highlight w:val="none"/>
        </w:rPr>
        <w:t>支出决算为</w:t>
      </w:r>
      <w:r>
        <w:rPr>
          <w:rStyle w:val="20"/>
          <w:rFonts w:hint="eastAsia" w:ascii="仿宋" w:hAnsi="仿宋" w:eastAsia="仿宋"/>
          <w:b w:val="0"/>
          <w:bCs/>
          <w:color w:val="auto"/>
          <w:sz w:val="32"/>
          <w:szCs w:val="32"/>
          <w:highlight w:val="none"/>
          <w:lang w:val="en-US" w:eastAsia="zh-CN"/>
        </w:rPr>
        <w:t>0.68</w:t>
      </w:r>
      <w:r>
        <w:rPr>
          <w:rStyle w:val="20"/>
          <w:rFonts w:hint="eastAsia" w:ascii="仿宋" w:hAnsi="仿宋" w:eastAsia="仿宋"/>
          <w:b w:val="0"/>
          <w:bCs/>
          <w:color w:val="auto"/>
          <w:sz w:val="32"/>
          <w:szCs w:val="32"/>
          <w:highlight w:val="none"/>
        </w:rPr>
        <w:t>万元，完成预算</w:t>
      </w:r>
      <w:r>
        <w:rPr>
          <w:rStyle w:val="20"/>
          <w:rFonts w:hint="eastAsia" w:ascii="仿宋" w:hAnsi="仿宋" w:eastAsia="仿宋"/>
          <w:b w:val="0"/>
          <w:bCs/>
          <w:color w:val="auto"/>
          <w:sz w:val="32"/>
          <w:szCs w:val="32"/>
          <w:highlight w:val="none"/>
          <w:lang w:val="en-US" w:eastAsia="zh-CN"/>
        </w:rPr>
        <w:t>100</w:t>
      </w:r>
      <w:r>
        <w:rPr>
          <w:rStyle w:val="20"/>
          <w:rFonts w:ascii="仿宋" w:hAnsi="仿宋" w:eastAsia="仿宋"/>
          <w:b w:val="0"/>
          <w:bCs/>
          <w:color w:val="auto"/>
          <w:sz w:val="32"/>
          <w:szCs w:val="32"/>
          <w:highlight w:val="none"/>
        </w:rPr>
        <w:t>%</w:t>
      </w:r>
      <w:r>
        <w:rPr>
          <w:rStyle w:val="20"/>
          <w:rFonts w:hint="eastAsia" w:ascii="仿宋" w:hAnsi="仿宋" w:eastAsia="仿宋"/>
          <w:b w:val="0"/>
          <w:bCs/>
          <w:color w:val="auto"/>
          <w:sz w:val="32"/>
          <w:szCs w:val="32"/>
          <w:highlight w:val="none"/>
          <w:lang w:eastAsia="zh-CN"/>
        </w:rPr>
        <w:t>。</w:t>
      </w:r>
    </w:p>
    <w:p w14:paraId="4C48EC37">
      <w:pPr>
        <w:keepNext w:val="0"/>
        <w:keepLines w:val="0"/>
        <w:pageBreakBefore w:val="0"/>
        <w:widowControl w:val="0"/>
        <w:shd w:val="clear"/>
        <w:kinsoku/>
        <w:wordWrap/>
        <w:overflowPunct/>
        <w:topLinePunct w:val="0"/>
        <w:bidi w:val="0"/>
        <w:snapToGrid/>
        <w:spacing w:line="576" w:lineRule="exact"/>
        <w:ind w:left="0" w:leftChars="0" w:right="0" w:firstLine="643" w:firstLineChars="200"/>
        <w:jc w:val="both"/>
        <w:textAlignment w:val="auto"/>
        <w:rPr>
          <w:rStyle w:val="20"/>
          <w:rFonts w:hint="eastAsia" w:ascii="仿宋" w:hAnsi="仿宋" w:eastAsia="仿宋"/>
          <w:b w:val="0"/>
          <w:bCs/>
          <w:color w:val="auto"/>
          <w:sz w:val="32"/>
          <w:szCs w:val="32"/>
          <w:highlight w:val="none"/>
          <w:lang w:eastAsia="zh-CN"/>
        </w:rPr>
      </w:pPr>
      <w:r>
        <w:rPr>
          <w:rStyle w:val="20"/>
          <w:rFonts w:hint="eastAsia" w:ascii="仿宋" w:hAnsi="仿宋" w:eastAsia="仿宋"/>
          <w:bCs/>
          <w:color w:val="auto"/>
          <w:sz w:val="32"/>
          <w:szCs w:val="32"/>
          <w:highlight w:val="none"/>
          <w:lang w:val="en-US" w:eastAsia="zh-CN"/>
        </w:rPr>
        <w:t>8</w:t>
      </w:r>
      <w:r>
        <w:rPr>
          <w:rStyle w:val="20"/>
          <w:rFonts w:ascii="仿宋" w:hAnsi="仿宋" w:eastAsia="仿宋"/>
          <w:bCs/>
          <w:color w:val="auto"/>
          <w:sz w:val="32"/>
          <w:szCs w:val="32"/>
          <w:highlight w:val="none"/>
        </w:rPr>
        <w:t>.</w:t>
      </w:r>
      <w:r>
        <w:rPr>
          <w:rStyle w:val="20"/>
          <w:rFonts w:hint="eastAsia" w:ascii="仿宋" w:hAnsi="仿宋" w:eastAsia="仿宋"/>
          <w:bCs/>
          <w:color w:val="auto"/>
          <w:sz w:val="32"/>
          <w:szCs w:val="32"/>
          <w:highlight w:val="none"/>
          <w:lang w:val="en-US" w:eastAsia="zh-CN"/>
        </w:rPr>
        <w:t>卫生健康支出</w:t>
      </w:r>
      <w:r>
        <w:rPr>
          <w:rStyle w:val="20"/>
          <w:rFonts w:hint="eastAsia" w:ascii="仿宋" w:hAnsi="仿宋" w:eastAsia="仿宋"/>
          <w:bCs/>
          <w:color w:val="auto"/>
          <w:sz w:val="32"/>
          <w:szCs w:val="32"/>
          <w:highlight w:val="none"/>
        </w:rPr>
        <w:t>（类）</w:t>
      </w:r>
      <w:r>
        <w:rPr>
          <w:rStyle w:val="20"/>
          <w:rFonts w:hint="eastAsia" w:ascii="仿宋" w:hAnsi="仿宋" w:eastAsia="仿宋"/>
          <w:bCs/>
          <w:color w:val="auto"/>
          <w:sz w:val="32"/>
          <w:szCs w:val="32"/>
          <w:highlight w:val="none"/>
          <w:lang w:val="en-US" w:eastAsia="zh-CN"/>
        </w:rPr>
        <w:t>行政事业单位医疗</w:t>
      </w:r>
      <w:r>
        <w:rPr>
          <w:rStyle w:val="20"/>
          <w:rFonts w:hint="eastAsia" w:ascii="仿宋" w:hAnsi="仿宋" w:eastAsia="仿宋"/>
          <w:bCs/>
          <w:color w:val="auto"/>
          <w:sz w:val="32"/>
          <w:szCs w:val="32"/>
          <w:highlight w:val="none"/>
        </w:rPr>
        <w:t>（款）</w:t>
      </w:r>
      <w:r>
        <w:rPr>
          <w:rStyle w:val="20"/>
          <w:rFonts w:hint="eastAsia" w:ascii="仿宋" w:hAnsi="仿宋" w:eastAsia="仿宋"/>
          <w:bCs/>
          <w:color w:val="auto"/>
          <w:sz w:val="32"/>
          <w:szCs w:val="32"/>
          <w:highlight w:val="none"/>
          <w:lang w:val="en-US" w:eastAsia="zh-CN"/>
        </w:rPr>
        <w:t>行政单位医疗</w:t>
      </w:r>
      <w:r>
        <w:rPr>
          <w:rStyle w:val="20"/>
          <w:rFonts w:hint="eastAsia" w:ascii="仿宋" w:hAnsi="仿宋" w:eastAsia="仿宋"/>
          <w:bCs/>
          <w:color w:val="auto"/>
          <w:sz w:val="32"/>
          <w:szCs w:val="32"/>
          <w:highlight w:val="none"/>
        </w:rPr>
        <w:t>（项）</w:t>
      </w:r>
      <w:r>
        <w:rPr>
          <w:rStyle w:val="20"/>
          <w:rFonts w:hint="eastAsia" w:ascii="仿宋" w:hAnsi="仿宋" w:eastAsia="仿宋"/>
          <w:bCs/>
          <w:color w:val="auto"/>
          <w:sz w:val="32"/>
          <w:szCs w:val="32"/>
          <w:highlight w:val="none"/>
          <w:lang w:eastAsia="zh-CN"/>
        </w:rPr>
        <w:t>：</w:t>
      </w:r>
      <w:r>
        <w:rPr>
          <w:rStyle w:val="20"/>
          <w:rFonts w:hint="eastAsia" w:ascii="仿宋" w:hAnsi="仿宋" w:eastAsia="仿宋"/>
          <w:b w:val="0"/>
          <w:bCs/>
          <w:color w:val="auto"/>
          <w:sz w:val="32"/>
          <w:szCs w:val="32"/>
          <w:highlight w:val="none"/>
        </w:rPr>
        <w:t>支出决算为</w:t>
      </w:r>
      <w:r>
        <w:rPr>
          <w:rStyle w:val="20"/>
          <w:rFonts w:hint="eastAsia" w:ascii="仿宋" w:hAnsi="仿宋" w:eastAsia="仿宋"/>
          <w:b w:val="0"/>
          <w:bCs/>
          <w:color w:val="auto"/>
          <w:sz w:val="32"/>
          <w:szCs w:val="32"/>
          <w:highlight w:val="none"/>
          <w:lang w:val="en-US" w:eastAsia="zh-CN"/>
        </w:rPr>
        <w:t>72.39</w:t>
      </w:r>
      <w:r>
        <w:rPr>
          <w:rStyle w:val="20"/>
          <w:rFonts w:hint="eastAsia" w:ascii="仿宋" w:hAnsi="仿宋" w:eastAsia="仿宋"/>
          <w:b w:val="0"/>
          <w:bCs/>
          <w:color w:val="auto"/>
          <w:sz w:val="32"/>
          <w:szCs w:val="32"/>
          <w:highlight w:val="none"/>
        </w:rPr>
        <w:t>万元，完成预算</w:t>
      </w:r>
      <w:r>
        <w:rPr>
          <w:rStyle w:val="20"/>
          <w:rFonts w:hint="eastAsia" w:ascii="仿宋" w:hAnsi="仿宋" w:eastAsia="仿宋"/>
          <w:b w:val="0"/>
          <w:bCs/>
          <w:color w:val="auto"/>
          <w:sz w:val="32"/>
          <w:szCs w:val="32"/>
          <w:highlight w:val="none"/>
          <w:lang w:val="en-US" w:eastAsia="zh-CN"/>
        </w:rPr>
        <w:t>100</w:t>
      </w:r>
      <w:r>
        <w:rPr>
          <w:rStyle w:val="20"/>
          <w:rFonts w:ascii="仿宋" w:hAnsi="仿宋" w:eastAsia="仿宋"/>
          <w:b w:val="0"/>
          <w:bCs/>
          <w:color w:val="auto"/>
          <w:sz w:val="32"/>
          <w:szCs w:val="32"/>
          <w:highlight w:val="none"/>
        </w:rPr>
        <w:t>%</w:t>
      </w:r>
      <w:r>
        <w:rPr>
          <w:rStyle w:val="20"/>
          <w:rFonts w:hint="eastAsia" w:ascii="仿宋" w:hAnsi="仿宋" w:eastAsia="仿宋"/>
          <w:b w:val="0"/>
          <w:bCs/>
          <w:color w:val="auto"/>
          <w:sz w:val="32"/>
          <w:szCs w:val="32"/>
          <w:highlight w:val="none"/>
          <w:lang w:eastAsia="zh-CN"/>
        </w:rPr>
        <w:t>。</w:t>
      </w:r>
    </w:p>
    <w:p w14:paraId="7CC259FD">
      <w:pPr>
        <w:keepNext w:val="0"/>
        <w:keepLines w:val="0"/>
        <w:pageBreakBefore w:val="0"/>
        <w:widowControl w:val="0"/>
        <w:numPr>
          <w:ilvl w:val="0"/>
          <w:numId w:val="0"/>
        </w:numPr>
        <w:shd w:val="clear"/>
        <w:kinsoku/>
        <w:wordWrap/>
        <w:overflowPunct/>
        <w:topLinePunct w:val="0"/>
        <w:bidi w:val="0"/>
        <w:snapToGrid/>
        <w:spacing w:line="576" w:lineRule="exact"/>
        <w:ind w:left="0" w:leftChars="0" w:right="0" w:firstLine="643" w:firstLineChars="200"/>
        <w:jc w:val="both"/>
        <w:textAlignment w:val="auto"/>
        <w:rPr>
          <w:rStyle w:val="20"/>
          <w:rFonts w:hint="eastAsia" w:ascii="仿宋" w:hAnsi="仿宋" w:eastAsia="仿宋"/>
          <w:b w:val="0"/>
          <w:bCs/>
          <w:color w:val="auto"/>
          <w:sz w:val="32"/>
          <w:szCs w:val="32"/>
          <w:highlight w:val="none"/>
          <w:lang w:eastAsia="zh-CN"/>
        </w:rPr>
      </w:pPr>
      <w:r>
        <w:rPr>
          <w:rStyle w:val="20"/>
          <w:rFonts w:hint="eastAsia" w:ascii="仿宋" w:hAnsi="仿宋" w:eastAsia="仿宋"/>
          <w:bCs/>
          <w:color w:val="auto"/>
          <w:sz w:val="32"/>
          <w:szCs w:val="32"/>
          <w:highlight w:val="none"/>
          <w:lang w:val="en-US" w:eastAsia="zh-CN"/>
        </w:rPr>
        <w:t>9.卫生健康支出</w:t>
      </w:r>
      <w:r>
        <w:rPr>
          <w:rStyle w:val="20"/>
          <w:rFonts w:hint="eastAsia" w:ascii="仿宋" w:hAnsi="仿宋" w:eastAsia="仿宋"/>
          <w:bCs/>
          <w:color w:val="auto"/>
          <w:sz w:val="32"/>
          <w:szCs w:val="32"/>
          <w:highlight w:val="none"/>
        </w:rPr>
        <w:t>（类）</w:t>
      </w:r>
      <w:r>
        <w:rPr>
          <w:rStyle w:val="20"/>
          <w:rFonts w:hint="eastAsia" w:ascii="仿宋" w:hAnsi="仿宋" w:eastAsia="仿宋"/>
          <w:bCs/>
          <w:color w:val="auto"/>
          <w:sz w:val="32"/>
          <w:szCs w:val="32"/>
          <w:highlight w:val="none"/>
          <w:lang w:val="en-US" w:eastAsia="zh-CN"/>
        </w:rPr>
        <w:t>行政事业单位医疗</w:t>
      </w:r>
      <w:r>
        <w:rPr>
          <w:rStyle w:val="20"/>
          <w:rFonts w:hint="eastAsia" w:ascii="仿宋" w:hAnsi="仿宋" w:eastAsia="仿宋"/>
          <w:bCs/>
          <w:color w:val="auto"/>
          <w:sz w:val="32"/>
          <w:szCs w:val="32"/>
          <w:highlight w:val="none"/>
        </w:rPr>
        <w:t>（款）</w:t>
      </w:r>
      <w:r>
        <w:rPr>
          <w:rStyle w:val="20"/>
          <w:rFonts w:hint="eastAsia" w:ascii="仿宋" w:hAnsi="仿宋" w:eastAsia="仿宋"/>
          <w:bCs/>
          <w:color w:val="auto"/>
          <w:sz w:val="32"/>
          <w:szCs w:val="32"/>
          <w:highlight w:val="none"/>
          <w:lang w:val="en-US" w:eastAsia="zh-CN"/>
        </w:rPr>
        <w:t>事业单位医疗</w:t>
      </w:r>
      <w:r>
        <w:rPr>
          <w:rStyle w:val="20"/>
          <w:rFonts w:hint="eastAsia" w:ascii="仿宋" w:hAnsi="仿宋" w:eastAsia="仿宋"/>
          <w:bCs/>
          <w:color w:val="auto"/>
          <w:sz w:val="32"/>
          <w:szCs w:val="32"/>
          <w:highlight w:val="none"/>
        </w:rPr>
        <w:t>（项）</w:t>
      </w:r>
      <w:r>
        <w:rPr>
          <w:rStyle w:val="20"/>
          <w:rFonts w:hint="eastAsia" w:ascii="仿宋" w:hAnsi="仿宋" w:eastAsia="仿宋"/>
          <w:bCs/>
          <w:color w:val="auto"/>
          <w:sz w:val="32"/>
          <w:szCs w:val="32"/>
          <w:highlight w:val="none"/>
          <w:lang w:eastAsia="zh-CN"/>
        </w:rPr>
        <w:t>：</w:t>
      </w:r>
      <w:r>
        <w:rPr>
          <w:rStyle w:val="20"/>
          <w:rFonts w:hint="eastAsia" w:ascii="仿宋" w:hAnsi="仿宋" w:eastAsia="仿宋"/>
          <w:b w:val="0"/>
          <w:bCs/>
          <w:color w:val="auto"/>
          <w:sz w:val="32"/>
          <w:szCs w:val="32"/>
          <w:highlight w:val="none"/>
        </w:rPr>
        <w:t>支出决算为</w:t>
      </w:r>
      <w:r>
        <w:rPr>
          <w:rStyle w:val="20"/>
          <w:rFonts w:hint="eastAsia" w:ascii="仿宋" w:hAnsi="仿宋" w:eastAsia="仿宋"/>
          <w:b w:val="0"/>
          <w:bCs/>
          <w:color w:val="auto"/>
          <w:sz w:val="32"/>
          <w:szCs w:val="32"/>
          <w:highlight w:val="none"/>
          <w:lang w:val="en-US" w:eastAsia="zh-CN"/>
        </w:rPr>
        <w:t>50.23</w:t>
      </w:r>
      <w:r>
        <w:rPr>
          <w:rStyle w:val="20"/>
          <w:rFonts w:hint="eastAsia" w:ascii="仿宋" w:hAnsi="仿宋" w:eastAsia="仿宋"/>
          <w:b w:val="0"/>
          <w:bCs/>
          <w:color w:val="auto"/>
          <w:sz w:val="32"/>
          <w:szCs w:val="32"/>
          <w:highlight w:val="none"/>
        </w:rPr>
        <w:t>万元，完成预算</w:t>
      </w:r>
      <w:r>
        <w:rPr>
          <w:rStyle w:val="20"/>
          <w:rFonts w:hint="eastAsia" w:ascii="仿宋" w:hAnsi="仿宋" w:eastAsia="仿宋"/>
          <w:b w:val="0"/>
          <w:bCs/>
          <w:color w:val="auto"/>
          <w:sz w:val="32"/>
          <w:szCs w:val="32"/>
          <w:highlight w:val="none"/>
          <w:lang w:val="en-US" w:eastAsia="zh-CN"/>
        </w:rPr>
        <w:t>100</w:t>
      </w:r>
      <w:r>
        <w:rPr>
          <w:rStyle w:val="20"/>
          <w:rFonts w:ascii="仿宋" w:hAnsi="仿宋" w:eastAsia="仿宋"/>
          <w:b w:val="0"/>
          <w:bCs/>
          <w:color w:val="auto"/>
          <w:sz w:val="32"/>
          <w:szCs w:val="32"/>
          <w:highlight w:val="none"/>
        </w:rPr>
        <w:t>%</w:t>
      </w:r>
      <w:r>
        <w:rPr>
          <w:rStyle w:val="20"/>
          <w:rFonts w:hint="eastAsia" w:ascii="仿宋" w:hAnsi="仿宋" w:eastAsia="仿宋"/>
          <w:b w:val="0"/>
          <w:bCs/>
          <w:color w:val="auto"/>
          <w:sz w:val="32"/>
          <w:szCs w:val="32"/>
          <w:highlight w:val="none"/>
          <w:lang w:eastAsia="zh-CN"/>
        </w:rPr>
        <w:t>。</w:t>
      </w:r>
    </w:p>
    <w:p w14:paraId="4C6C687D">
      <w:pPr>
        <w:keepNext w:val="0"/>
        <w:keepLines w:val="0"/>
        <w:pageBreakBefore w:val="0"/>
        <w:widowControl w:val="0"/>
        <w:numPr>
          <w:ilvl w:val="0"/>
          <w:numId w:val="0"/>
        </w:numPr>
        <w:shd w:val="clear"/>
        <w:kinsoku/>
        <w:wordWrap/>
        <w:overflowPunct/>
        <w:topLinePunct w:val="0"/>
        <w:bidi w:val="0"/>
        <w:snapToGrid/>
        <w:spacing w:line="576" w:lineRule="exact"/>
        <w:ind w:left="0" w:leftChars="0" w:right="0" w:firstLine="643" w:firstLineChars="200"/>
        <w:jc w:val="both"/>
        <w:textAlignment w:val="auto"/>
        <w:rPr>
          <w:rStyle w:val="20"/>
          <w:rFonts w:hint="eastAsia" w:ascii="仿宋" w:hAnsi="仿宋" w:eastAsia="仿宋"/>
          <w:b w:val="0"/>
          <w:bCs/>
          <w:color w:val="auto"/>
          <w:sz w:val="32"/>
          <w:szCs w:val="32"/>
          <w:highlight w:val="none"/>
          <w:lang w:eastAsia="zh-CN"/>
        </w:rPr>
      </w:pPr>
      <w:r>
        <w:rPr>
          <w:rStyle w:val="20"/>
          <w:rFonts w:hint="eastAsia" w:ascii="仿宋" w:hAnsi="仿宋" w:eastAsia="仿宋"/>
          <w:bCs/>
          <w:color w:val="auto"/>
          <w:sz w:val="32"/>
          <w:szCs w:val="32"/>
          <w:highlight w:val="none"/>
          <w:lang w:val="en-US" w:eastAsia="zh-CN"/>
        </w:rPr>
        <w:t>10.节能环保支出</w:t>
      </w:r>
      <w:r>
        <w:rPr>
          <w:rStyle w:val="20"/>
          <w:rFonts w:hint="eastAsia" w:ascii="仿宋" w:hAnsi="仿宋" w:eastAsia="仿宋"/>
          <w:bCs/>
          <w:color w:val="auto"/>
          <w:sz w:val="32"/>
          <w:szCs w:val="32"/>
          <w:highlight w:val="none"/>
        </w:rPr>
        <w:t>（类）</w:t>
      </w:r>
      <w:r>
        <w:rPr>
          <w:rStyle w:val="20"/>
          <w:rFonts w:hint="eastAsia" w:ascii="仿宋" w:hAnsi="仿宋" w:eastAsia="仿宋"/>
          <w:bCs/>
          <w:color w:val="auto"/>
          <w:sz w:val="32"/>
          <w:szCs w:val="32"/>
          <w:highlight w:val="none"/>
          <w:lang w:val="en-US" w:eastAsia="zh-CN"/>
        </w:rPr>
        <w:t>自然生态保护</w:t>
      </w:r>
      <w:r>
        <w:rPr>
          <w:rStyle w:val="20"/>
          <w:rFonts w:hint="eastAsia" w:ascii="仿宋" w:hAnsi="仿宋" w:eastAsia="仿宋"/>
          <w:bCs/>
          <w:color w:val="auto"/>
          <w:sz w:val="32"/>
          <w:szCs w:val="32"/>
          <w:highlight w:val="none"/>
        </w:rPr>
        <w:t>（款）</w:t>
      </w:r>
      <w:r>
        <w:rPr>
          <w:rStyle w:val="20"/>
          <w:rFonts w:hint="eastAsia" w:ascii="仿宋" w:hAnsi="仿宋" w:eastAsia="仿宋"/>
          <w:bCs/>
          <w:color w:val="auto"/>
          <w:sz w:val="32"/>
          <w:szCs w:val="32"/>
          <w:highlight w:val="none"/>
          <w:lang w:val="en-US" w:eastAsia="zh-CN"/>
        </w:rPr>
        <w:t>生态保护</w:t>
      </w:r>
      <w:r>
        <w:rPr>
          <w:rStyle w:val="20"/>
          <w:rFonts w:hint="eastAsia" w:ascii="仿宋" w:hAnsi="仿宋" w:eastAsia="仿宋"/>
          <w:bCs/>
          <w:color w:val="auto"/>
          <w:sz w:val="32"/>
          <w:szCs w:val="32"/>
          <w:highlight w:val="none"/>
        </w:rPr>
        <w:t>（项）</w:t>
      </w:r>
      <w:r>
        <w:rPr>
          <w:rStyle w:val="20"/>
          <w:rFonts w:hint="eastAsia" w:ascii="仿宋" w:hAnsi="仿宋" w:eastAsia="仿宋"/>
          <w:bCs/>
          <w:color w:val="auto"/>
          <w:sz w:val="32"/>
          <w:szCs w:val="32"/>
          <w:highlight w:val="none"/>
          <w:lang w:eastAsia="zh-CN"/>
        </w:rPr>
        <w:t>：</w:t>
      </w:r>
      <w:r>
        <w:rPr>
          <w:rStyle w:val="20"/>
          <w:rFonts w:hint="eastAsia" w:ascii="仿宋" w:hAnsi="仿宋" w:eastAsia="仿宋"/>
          <w:b w:val="0"/>
          <w:bCs/>
          <w:color w:val="auto"/>
          <w:sz w:val="32"/>
          <w:szCs w:val="32"/>
          <w:highlight w:val="none"/>
        </w:rPr>
        <w:t>支出决算为</w:t>
      </w:r>
      <w:r>
        <w:rPr>
          <w:rStyle w:val="20"/>
          <w:rFonts w:hint="eastAsia" w:ascii="仿宋" w:hAnsi="仿宋" w:eastAsia="仿宋"/>
          <w:b w:val="0"/>
          <w:bCs/>
          <w:color w:val="auto"/>
          <w:sz w:val="32"/>
          <w:szCs w:val="32"/>
          <w:highlight w:val="none"/>
          <w:lang w:val="en-US" w:eastAsia="zh-CN"/>
        </w:rPr>
        <w:t>13.72</w:t>
      </w:r>
      <w:r>
        <w:rPr>
          <w:rStyle w:val="20"/>
          <w:rFonts w:hint="eastAsia" w:ascii="仿宋" w:hAnsi="仿宋" w:eastAsia="仿宋"/>
          <w:b w:val="0"/>
          <w:bCs/>
          <w:color w:val="auto"/>
          <w:sz w:val="32"/>
          <w:szCs w:val="32"/>
          <w:highlight w:val="none"/>
        </w:rPr>
        <w:t>万元，完成预算</w:t>
      </w:r>
      <w:r>
        <w:rPr>
          <w:rStyle w:val="20"/>
          <w:rFonts w:hint="eastAsia" w:ascii="仿宋" w:hAnsi="仿宋" w:eastAsia="仿宋"/>
          <w:b w:val="0"/>
          <w:bCs/>
          <w:color w:val="auto"/>
          <w:sz w:val="32"/>
          <w:szCs w:val="32"/>
          <w:highlight w:val="none"/>
          <w:lang w:val="en-US" w:eastAsia="zh-CN"/>
        </w:rPr>
        <w:t>100</w:t>
      </w:r>
      <w:r>
        <w:rPr>
          <w:rStyle w:val="20"/>
          <w:rFonts w:ascii="仿宋" w:hAnsi="仿宋" w:eastAsia="仿宋"/>
          <w:b w:val="0"/>
          <w:bCs/>
          <w:color w:val="auto"/>
          <w:sz w:val="32"/>
          <w:szCs w:val="32"/>
          <w:highlight w:val="none"/>
        </w:rPr>
        <w:t>%</w:t>
      </w:r>
      <w:r>
        <w:rPr>
          <w:rStyle w:val="20"/>
          <w:rFonts w:hint="eastAsia" w:ascii="仿宋" w:hAnsi="仿宋" w:eastAsia="仿宋"/>
          <w:b w:val="0"/>
          <w:bCs/>
          <w:color w:val="auto"/>
          <w:sz w:val="32"/>
          <w:szCs w:val="32"/>
          <w:highlight w:val="none"/>
          <w:lang w:eastAsia="zh-CN"/>
        </w:rPr>
        <w:t>。</w:t>
      </w:r>
    </w:p>
    <w:p w14:paraId="16970557">
      <w:pPr>
        <w:keepNext w:val="0"/>
        <w:keepLines w:val="0"/>
        <w:pageBreakBefore w:val="0"/>
        <w:widowControl w:val="0"/>
        <w:numPr>
          <w:ilvl w:val="0"/>
          <w:numId w:val="0"/>
        </w:numPr>
        <w:shd w:val="clear"/>
        <w:kinsoku/>
        <w:wordWrap/>
        <w:overflowPunct/>
        <w:topLinePunct w:val="0"/>
        <w:bidi w:val="0"/>
        <w:snapToGrid/>
        <w:spacing w:line="576" w:lineRule="exact"/>
        <w:ind w:left="0" w:leftChars="0" w:right="0" w:firstLine="643" w:firstLineChars="200"/>
        <w:jc w:val="both"/>
        <w:textAlignment w:val="auto"/>
        <w:rPr>
          <w:rStyle w:val="20"/>
          <w:rFonts w:hint="eastAsia" w:ascii="仿宋" w:hAnsi="仿宋" w:eastAsia="仿宋"/>
          <w:b w:val="0"/>
          <w:bCs/>
          <w:color w:val="auto"/>
          <w:sz w:val="32"/>
          <w:szCs w:val="32"/>
          <w:highlight w:val="none"/>
          <w:lang w:eastAsia="zh-CN"/>
        </w:rPr>
      </w:pPr>
      <w:r>
        <w:rPr>
          <w:rStyle w:val="20"/>
          <w:rFonts w:hint="eastAsia" w:ascii="仿宋" w:hAnsi="仿宋" w:eastAsia="仿宋"/>
          <w:bCs/>
          <w:color w:val="auto"/>
          <w:sz w:val="32"/>
          <w:szCs w:val="32"/>
          <w:highlight w:val="none"/>
          <w:lang w:val="en-US" w:eastAsia="zh-CN"/>
        </w:rPr>
        <w:t>11.自然资源海洋气象等支出</w:t>
      </w:r>
      <w:r>
        <w:rPr>
          <w:rStyle w:val="20"/>
          <w:rFonts w:hint="eastAsia" w:ascii="仿宋" w:hAnsi="仿宋" w:eastAsia="仿宋"/>
          <w:bCs/>
          <w:color w:val="auto"/>
          <w:sz w:val="32"/>
          <w:szCs w:val="32"/>
          <w:highlight w:val="none"/>
        </w:rPr>
        <w:t>（类）</w:t>
      </w:r>
      <w:r>
        <w:rPr>
          <w:rStyle w:val="20"/>
          <w:rFonts w:hint="eastAsia" w:ascii="仿宋" w:hAnsi="仿宋" w:eastAsia="仿宋"/>
          <w:bCs/>
          <w:color w:val="auto"/>
          <w:sz w:val="32"/>
          <w:szCs w:val="32"/>
          <w:highlight w:val="none"/>
          <w:lang w:val="en-US" w:eastAsia="zh-CN"/>
        </w:rPr>
        <w:t>自然资源事务</w:t>
      </w:r>
      <w:r>
        <w:rPr>
          <w:rStyle w:val="20"/>
          <w:rFonts w:hint="eastAsia" w:ascii="仿宋" w:hAnsi="仿宋" w:eastAsia="仿宋"/>
          <w:bCs/>
          <w:color w:val="auto"/>
          <w:sz w:val="32"/>
          <w:szCs w:val="32"/>
          <w:highlight w:val="none"/>
        </w:rPr>
        <w:t>（款）</w:t>
      </w:r>
      <w:r>
        <w:rPr>
          <w:rStyle w:val="20"/>
          <w:rFonts w:hint="eastAsia" w:ascii="仿宋" w:hAnsi="仿宋" w:eastAsia="仿宋"/>
          <w:bCs/>
          <w:color w:val="auto"/>
          <w:sz w:val="32"/>
          <w:szCs w:val="32"/>
          <w:highlight w:val="none"/>
          <w:lang w:val="en-US" w:eastAsia="zh-CN"/>
        </w:rPr>
        <w:t>行政运行</w:t>
      </w:r>
      <w:r>
        <w:rPr>
          <w:rStyle w:val="20"/>
          <w:rFonts w:hint="eastAsia" w:ascii="仿宋" w:hAnsi="仿宋" w:eastAsia="仿宋"/>
          <w:bCs/>
          <w:color w:val="auto"/>
          <w:sz w:val="32"/>
          <w:szCs w:val="32"/>
          <w:highlight w:val="none"/>
        </w:rPr>
        <w:t>（项）</w:t>
      </w:r>
      <w:r>
        <w:rPr>
          <w:rStyle w:val="20"/>
          <w:rFonts w:hint="eastAsia" w:ascii="仿宋" w:hAnsi="仿宋" w:eastAsia="仿宋"/>
          <w:bCs/>
          <w:color w:val="auto"/>
          <w:sz w:val="32"/>
          <w:szCs w:val="32"/>
          <w:highlight w:val="none"/>
          <w:lang w:eastAsia="zh-CN"/>
        </w:rPr>
        <w:t>：</w:t>
      </w:r>
      <w:r>
        <w:rPr>
          <w:rStyle w:val="20"/>
          <w:rFonts w:hint="eastAsia" w:ascii="仿宋" w:hAnsi="仿宋" w:eastAsia="仿宋"/>
          <w:b w:val="0"/>
          <w:bCs/>
          <w:color w:val="auto"/>
          <w:sz w:val="32"/>
          <w:szCs w:val="32"/>
          <w:highlight w:val="none"/>
        </w:rPr>
        <w:t>支出决算为</w:t>
      </w:r>
      <w:r>
        <w:rPr>
          <w:rStyle w:val="20"/>
          <w:rFonts w:hint="eastAsia" w:ascii="仿宋" w:hAnsi="仿宋" w:eastAsia="仿宋"/>
          <w:b w:val="0"/>
          <w:bCs/>
          <w:color w:val="auto"/>
          <w:sz w:val="32"/>
          <w:szCs w:val="32"/>
          <w:highlight w:val="none"/>
          <w:lang w:val="en-US" w:eastAsia="zh-CN"/>
        </w:rPr>
        <w:t>1340</w:t>
      </w:r>
      <w:r>
        <w:rPr>
          <w:rStyle w:val="20"/>
          <w:rFonts w:hint="eastAsia" w:ascii="仿宋" w:hAnsi="仿宋" w:eastAsia="仿宋"/>
          <w:b w:val="0"/>
          <w:bCs/>
          <w:color w:val="auto"/>
          <w:sz w:val="32"/>
          <w:szCs w:val="32"/>
          <w:highlight w:val="none"/>
        </w:rPr>
        <w:t>万元，完成预算</w:t>
      </w:r>
      <w:r>
        <w:rPr>
          <w:rStyle w:val="20"/>
          <w:rFonts w:hint="eastAsia" w:ascii="仿宋" w:hAnsi="仿宋" w:eastAsia="仿宋"/>
          <w:b w:val="0"/>
          <w:bCs/>
          <w:color w:val="auto"/>
          <w:sz w:val="32"/>
          <w:szCs w:val="32"/>
          <w:highlight w:val="none"/>
          <w:lang w:val="en-US" w:eastAsia="zh-CN"/>
        </w:rPr>
        <w:t>100</w:t>
      </w:r>
      <w:r>
        <w:rPr>
          <w:rStyle w:val="20"/>
          <w:rFonts w:ascii="仿宋" w:hAnsi="仿宋" w:eastAsia="仿宋"/>
          <w:b w:val="0"/>
          <w:bCs/>
          <w:color w:val="auto"/>
          <w:sz w:val="32"/>
          <w:szCs w:val="32"/>
          <w:highlight w:val="none"/>
        </w:rPr>
        <w:t>%</w:t>
      </w:r>
      <w:r>
        <w:rPr>
          <w:rStyle w:val="20"/>
          <w:rFonts w:hint="eastAsia" w:ascii="仿宋" w:hAnsi="仿宋" w:eastAsia="仿宋"/>
          <w:b w:val="0"/>
          <w:bCs/>
          <w:color w:val="auto"/>
          <w:sz w:val="32"/>
          <w:szCs w:val="32"/>
          <w:highlight w:val="none"/>
          <w:lang w:eastAsia="zh-CN"/>
        </w:rPr>
        <w:t>。</w:t>
      </w:r>
    </w:p>
    <w:p w14:paraId="00CE8B9D">
      <w:pPr>
        <w:keepNext w:val="0"/>
        <w:keepLines w:val="0"/>
        <w:pageBreakBefore w:val="0"/>
        <w:widowControl w:val="0"/>
        <w:numPr>
          <w:ilvl w:val="0"/>
          <w:numId w:val="0"/>
        </w:numPr>
        <w:shd w:val="clear"/>
        <w:kinsoku/>
        <w:wordWrap/>
        <w:overflowPunct/>
        <w:topLinePunct w:val="0"/>
        <w:bidi w:val="0"/>
        <w:snapToGrid/>
        <w:spacing w:line="576" w:lineRule="exact"/>
        <w:ind w:left="0" w:leftChars="0" w:right="0" w:firstLine="643" w:firstLineChars="200"/>
        <w:jc w:val="both"/>
        <w:textAlignment w:val="auto"/>
        <w:rPr>
          <w:rStyle w:val="20"/>
          <w:rFonts w:hint="eastAsia" w:ascii="仿宋" w:hAnsi="仿宋" w:eastAsia="仿宋"/>
          <w:b w:val="0"/>
          <w:bCs/>
          <w:color w:val="auto"/>
          <w:sz w:val="32"/>
          <w:szCs w:val="32"/>
          <w:highlight w:val="none"/>
          <w:lang w:eastAsia="zh-CN"/>
        </w:rPr>
      </w:pPr>
      <w:r>
        <w:rPr>
          <w:rStyle w:val="20"/>
          <w:rFonts w:hint="eastAsia" w:ascii="仿宋" w:hAnsi="仿宋" w:eastAsia="仿宋"/>
          <w:bCs/>
          <w:color w:val="auto"/>
          <w:sz w:val="32"/>
          <w:szCs w:val="32"/>
          <w:highlight w:val="none"/>
          <w:lang w:val="en-US" w:eastAsia="zh-CN"/>
        </w:rPr>
        <w:t>12.自然资源海洋气象等支出</w:t>
      </w:r>
      <w:r>
        <w:rPr>
          <w:rStyle w:val="20"/>
          <w:rFonts w:hint="eastAsia" w:ascii="仿宋" w:hAnsi="仿宋" w:eastAsia="仿宋"/>
          <w:bCs/>
          <w:color w:val="auto"/>
          <w:sz w:val="32"/>
          <w:szCs w:val="32"/>
          <w:highlight w:val="none"/>
        </w:rPr>
        <w:t>（类）</w:t>
      </w:r>
      <w:r>
        <w:rPr>
          <w:rStyle w:val="20"/>
          <w:rFonts w:hint="eastAsia" w:ascii="仿宋" w:hAnsi="仿宋" w:eastAsia="仿宋"/>
          <w:bCs/>
          <w:color w:val="auto"/>
          <w:sz w:val="32"/>
          <w:szCs w:val="32"/>
          <w:highlight w:val="none"/>
          <w:lang w:val="en-US" w:eastAsia="zh-CN"/>
        </w:rPr>
        <w:t>自然资源事务</w:t>
      </w:r>
      <w:r>
        <w:rPr>
          <w:rStyle w:val="20"/>
          <w:rFonts w:hint="eastAsia" w:ascii="仿宋" w:hAnsi="仿宋" w:eastAsia="仿宋"/>
          <w:bCs/>
          <w:color w:val="auto"/>
          <w:sz w:val="32"/>
          <w:szCs w:val="32"/>
          <w:highlight w:val="none"/>
        </w:rPr>
        <w:t>（款）</w:t>
      </w:r>
      <w:r>
        <w:rPr>
          <w:rStyle w:val="20"/>
          <w:rFonts w:hint="eastAsia" w:ascii="仿宋" w:hAnsi="仿宋" w:eastAsia="仿宋"/>
          <w:bCs/>
          <w:color w:val="auto"/>
          <w:sz w:val="32"/>
          <w:szCs w:val="32"/>
          <w:highlight w:val="none"/>
          <w:lang w:val="en-US" w:eastAsia="zh-CN"/>
        </w:rPr>
        <w:t>一般行政管理事务</w:t>
      </w:r>
      <w:r>
        <w:rPr>
          <w:rStyle w:val="20"/>
          <w:rFonts w:hint="eastAsia" w:ascii="仿宋" w:hAnsi="仿宋" w:eastAsia="仿宋"/>
          <w:bCs/>
          <w:color w:val="auto"/>
          <w:sz w:val="32"/>
          <w:szCs w:val="32"/>
          <w:highlight w:val="none"/>
        </w:rPr>
        <w:t>（项）</w:t>
      </w:r>
      <w:r>
        <w:rPr>
          <w:rStyle w:val="20"/>
          <w:rFonts w:hint="eastAsia" w:ascii="仿宋" w:hAnsi="仿宋" w:eastAsia="仿宋"/>
          <w:bCs/>
          <w:color w:val="auto"/>
          <w:sz w:val="32"/>
          <w:szCs w:val="32"/>
          <w:highlight w:val="none"/>
          <w:lang w:eastAsia="zh-CN"/>
        </w:rPr>
        <w:t>：</w:t>
      </w:r>
      <w:r>
        <w:rPr>
          <w:rStyle w:val="20"/>
          <w:rFonts w:hint="eastAsia" w:ascii="仿宋" w:hAnsi="仿宋" w:eastAsia="仿宋"/>
          <w:b w:val="0"/>
          <w:bCs/>
          <w:color w:val="auto"/>
          <w:sz w:val="32"/>
          <w:szCs w:val="32"/>
          <w:highlight w:val="none"/>
        </w:rPr>
        <w:t>支出决算为</w:t>
      </w:r>
      <w:r>
        <w:rPr>
          <w:rStyle w:val="20"/>
          <w:rFonts w:hint="eastAsia" w:ascii="仿宋" w:hAnsi="仿宋" w:eastAsia="仿宋"/>
          <w:b w:val="0"/>
          <w:bCs/>
          <w:color w:val="auto"/>
          <w:sz w:val="32"/>
          <w:szCs w:val="32"/>
          <w:highlight w:val="none"/>
          <w:lang w:val="en-US" w:eastAsia="zh-CN"/>
        </w:rPr>
        <w:t>125.74</w:t>
      </w:r>
      <w:r>
        <w:rPr>
          <w:rStyle w:val="20"/>
          <w:rFonts w:hint="eastAsia" w:ascii="仿宋" w:hAnsi="仿宋" w:eastAsia="仿宋"/>
          <w:b w:val="0"/>
          <w:bCs/>
          <w:color w:val="auto"/>
          <w:sz w:val="32"/>
          <w:szCs w:val="32"/>
          <w:highlight w:val="none"/>
        </w:rPr>
        <w:t>万元，完成预算</w:t>
      </w:r>
      <w:r>
        <w:rPr>
          <w:rStyle w:val="20"/>
          <w:rFonts w:hint="eastAsia" w:ascii="仿宋" w:hAnsi="仿宋" w:eastAsia="仿宋"/>
          <w:b w:val="0"/>
          <w:bCs/>
          <w:color w:val="auto"/>
          <w:sz w:val="32"/>
          <w:szCs w:val="32"/>
          <w:highlight w:val="none"/>
          <w:lang w:val="en-US" w:eastAsia="zh-CN"/>
        </w:rPr>
        <w:t>100</w:t>
      </w:r>
      <w:r>
        <w:rPr>
          <w:rStyle w:val="20"/>
          <w:rFonts w:ascii="仿宋" w:hAnsi="仿宋" w:eastAsia="仿宋"/>
          <w:b w:val="0"/>
          <w:bCs/>
          <w:color w:val="auto"/>
          <w:sz w:val="32"/>
          <w:szCs w:val="32"/>
          <w:highlight w:val="none"/>
        </w:rPr>
        <w:t>%</w:t>
      </w:r>
      <w:r>
        <w:rPr>
          <w:rStyle w:val="20"/>
          <w:rFonts w:hint="eastAsia" w:ascii="仿宋" w:hAnsi="仿宋" w:eastAsia="仿宋"/>
          <w:b w:val="0"/>
          <w:bCs/>
          <w:color w:val="auto"/>
          <w:sz w:val="32"/>
          <w:szCs w:val="32"/>
          <w:highlight w:val="none"/>
          <w:lang w:eastAsia="zh-CN"/>
        </w:rPr>
        <w:t>。</w:t>
      </w:r>
    </w:p>
    <w:p w14:paraId="2CEA740E">
      <w:pPr>
        <w:keepNext w:val="0"/>
        <w:keepLines w:val="0"/>
        <w:pageBreakBefore w:val="0"/>
        <w:widowControl w:val="0"/>
        <w:numPr>
          <w:ilvl w:val="0"/>
          <w:numId w:val="0"/>
        </w:numPr>
        <w:shd w:val="clear"/>
        <w:kinsoku/>
        <w:wordWrap/>
        <w:overflowPunct/>
        <w:topLinePunct w:val="0"/>
        <w:bidi w:val="0"/>
        <w:snapToGrid/>
        <w:spacing w:line="576" w:lineRule="exact"/>
        <w:ind w:left="0" w:leftChars="0" w:right="0" w:firstLine="643" w:firstLineChars="200"/>
        <w:jc w:val="both"/>
        <w:textAlignment w:val="auto"/>
        <w:rPr>
          <w:rStyle w:val="20"/>
          <w:rFonts w:hint="eastAsia" w:ascii="仿宋" w:hAnsi="仿宋" w:eastAsia="仿宋"/>
          <w:b w:val="0"/>
          <w:bCs/>
          <w:color w:val="auto"/>
          <w:sz w:val="32"/>
          <w:szCs w:val="32"/>
          <w:highlight w:val="none"/>
          <w:lang w:eastAsia="zh-CN"/>
        </w:rPr>
      </w:pPr>
      <w:r>
        <w:rPr>
          <w:rStyle w:val="20"/>
          <w:rFonts w:hint="eastAsia" w:ascii="仿宋" w:hAnsi="仿宋" w:eastAsia="仿宋"/>
          <w:bCs/>
          <w:color w:val="auto"/>
          <w:sz w:val="32"/>
          <w:szCs w:val="32"/>
          <w:highlight w:val="none"/>
          <w:lang w:val="en-US" w:eastAsia="zh-CN"/>
        </w:rPr>
        <w:t>13.自然资源海洋气象等支出</w:t>
      </w:r>
      <w:r>
        <w:rPr>
          <w:rStyle w:val="20"/>
          <w:rFonts w:hint="eastAsia" w:ascii="仿宋" w:hAnsi="仿宋" w:eastAsia="仿宋"/>
          <w:bCs/>
          <w:color w:val="auto"/>
          <w:sz w:val="32"/>
          <w:szCs w:val="32"/>
          <w:highlight w:val="none"/>
        </w:rPr>
        <w:t>（类）</w:t>
      </w:r>
      <w:r>
        <w:rPr>
          <w:rStyle w:val="20"/>
          <w:rFonts w:hint="eastAsia" w:ascii="仿宋" w:hAnsi="仿宋" w:eastAsia="仿宋"/>
          <w:bCs/>
          <w:color w:val="auto"/>
          <w:sz w:val="32"/>
          <w:szCs w:val="32"/>
          <w:highlight w:val="none"/>
          <w:lang w:val="en-US" w:eastAsia="zh-CN"/>
        </w:rPr>
        <w:t>自然资源事务</w:t>
      </w:r>
      <w:r>
        <w:rPr>
          <w:rStyle w:val="20"/>
          <w:rFonts w:hint="eastAsia" w:ascii="仿宋" w:hAnsi="仿宋" w:eastAsia="仿宋"/>
          <w:bCs/>
          <w:color w:val="auto"/>
          <w:sz w:val="32"/>
          <w:szCs w:val="32"/>
          <w:highlight w:val="none"/>
        </w:rPr>
        <w:t>（款）</w:t>
      </w:r>
      <w:r>
        <w:rPr>
          <w:rStyle w:val="20"/>
          <w:rFonts w:hint="eastAsia" w:ascii="仿宋" w:hAnsi="仿宋" w:eastAsia="仿宋"/>
          <w:bCs/>
          <w:color w:val="auto"/>
          <w:sz w:val="32"/>
          <w:szCs w:val="32"/>
          <w:highlight w:val="none"/>
          <w:lang w:val="en-US" w:eastAsia="zh-CN"/>
        </w:rPr>
        <w:t>自然资源利用与保护</w:t>
      </w:r>
      <w:r>
        <w:rPr>
          <w:rStyle w:val="20"/>
          <w:rFonts w:hint="eastAsia" w:ascii="仿宋" w:hAnsi="仿宋" w:eastAsia="仿宋"/>
          <w:bCs/>
          <w:color w:val="auto"/>
          <w:sz w:val="32"/>
          <w:szCs w:val="32"/>
          <w:highlight w:val="none"/>
        </w:rPr>
        <w:t>（项）</w:t>
      </w:r>
      <w:r>
        <w:rPr>
          <w:rStyle w:val="20"/>
          <w:rFonts w:hint="eastAsia" w:ascii="仿宋" w:hAnsi="仿宋" w:eastAsia="仿宋"/>
          <w:bCs/>
          <w:color w:val="auto"/>
          <w:sz w:val="32"/>
          <w:szCs w:val="32"/>
          <w:highlight w:val="none"/>
          <w:lang w:eastAsia="zh-CN"/>
        </w:rPr>
        <w:t>：</w:t>
      </w:r>
      <w:r>
        <w:rPr>
          <w:rStyle w:val="20"/>
          <w:rFonts w:hint="eastAsia" w:ascii="仿宋" w:hAnsi="仿宋" w:eastAsia="仿宋"/>
          <w:b w:val="0"/>
          <w:bCs/>
          <w:color w:val="auto"/>
          <w:sz w:val="32"/>
          <w:szCs w:val="32"/>
          <w:highlight w:val="none"/>
        </w:rPr>
        <w:t>支出决算为</w:t>
      </w:r>
      <w:r>
        <w:rPr>
          <w:rStyle w:val="20"/>
          <w:rFonts w:hint="eastAsia" w:ascii="仿宋" w:hAnsi="仿宋" w:eastAsia="仿宋"/>
          <w:b w:val="0"/>
          <w:bCs/>
          <w:color w:val="auto"/>
          <w:sz w:val="32"/>
          <w:szCs w:val="32"/>
          <w:highlight w:val="none"/>
          <w:lang w:val="en-US" w:eastAsia="zh-CN"/>
        </w:rPr>
        <w:t>200.57</w:t>
      </w:r>
      <w:r>
        <w:rPr>
          <w:rStyle w:val="20"/>
          <w:rFonts w:hint="eastAsia" w:ascii="仿宋" w:hAnsi="仿宋" w:eastAsia="仿宋"/>
          <w:b w:val="0"/>
          <w:bCs/>
          <w:color w:val="auto"/>
          <w:sz w:val="32"/>
          <w:szCs w:val="32"/>
          <w:highlight w:val="none"/>
        </w:rPr>
        <w:t>万元，完成预算</w:t>
      </w:r>
      <w:r>
        <w:rPr>
          <w:rStyle w:val="20"/>
          <w:rFonts w:hint="eastAsia" w:ascii="仿宋" w:hAnsi="仿宋" w:eastAsia="仿宋"/>
          <w:b w:val="0"/>
          <w:bCs/>
          <w:color w:val="auto"/>
          <w:sz w:val="32"/>
          <w:szCs w:val="32"/>
          <w:highlight w:val="none"/>
          <w:lang w:val="en-US" w:eastAsia="zh-CN"/>
        </w:rPr>
        <w:t>100</w:t>
      </w:r>
      <w:r>
        <w:rPr>
          <w:rStyle w:val="20"/>
          <w:rFonts w:ascii="仿宋" w:hAnsi="仿宋" w:eastAsia="仿宋"/>
          <w:b w:val="0"/>
          <w:bCs/>
          <w:color w:val="auto"/>
          <w:sz w:val="32"/>
          <w:szCs w:val="32"/>
          <w:highlight w:val="none"/>
        </w:rPr>
        <w:t>%</w:t>
      </w:r>
      <w:r>
        <w:rPr>
          <w:rStyle w:val="20"/>
          <w:rFonts w:hint="eastAsia" w:ascii="仿宋" w:hAnsi="仿宋" w:eastAsia="仿宋"/>
          <w:b w:val="0"/>
          <w:bCs/>
          <w:color w:val="auto"/>
          <w:sz w:val="32"/>
          <w:szCs w:val="32"/>
          <w:highlight w:val="none"/>
          <w:lang w:eastAsia="zh-CN"/>
        </w:rPr>
        <w:t>。</w:t>
      </w:r>
    </w:p>
    <w:p w14:paraId="4683970A">
      <w:pPr>
        <w:keepNext w:val="0"/>
        <w:keepLines w:val="0"/>
        <w:pageBreakBefore w:val="0"/>
        <w:widowControl w:val="0"/>
        <w:numPr>
          <w:ilvl w:val="0"/>
          <w:numId w:val="0"/>
        </w:numPr>
        <w:shd w:val="clear"/>
        <w:kinsoku/>
        <w:wordWrap/>
        <w:overflowPunct/>
        <w:topLinePunct w:val="0"/>
        <w:bidi w:val="0"/>
        <w:snapToGrid/>
        <w:spacing w:line="576" w:lineRule="exact"/>
        <w:ind w:left="0" w:leftChars="0" w:right="0" w:firstLine="643" w:firstLineChars="200"/>
        <w:jc w:val="both"/>
        <w:textAlignment w:val="auto"/>
        <w:rPr>
          <w:rStyle w:val="20"/>
          <w:rFonts w:hint="eastAsia" w:ascii="仿宋" w:hAnsi="仿宋" w:eastAsia="仿宋"/>
          <w:b w:val="0"/>
          <w:bCs/>
          <w:color w:val="auto"/>
          <w:sz w:val="32"/>
          <w:szCs w:val="32"/>
          <w:highlight w:val="none"/>
          <w:lang w:eastAsia="zh-CN"/>
        </w:rPr>
      </w:pPr>
      <w:r>
        <w:rPr>
          <w:rStyle w:val="20"/>
          <w:rFonts w:hint="eastAsia" w:ascii="仿宋" w:hAnsi="仿宋" w:eastAsia="仿宋"/>
          <w:bCs/>
          <w:color w:val="auto"/>
          <w:sz w:val="32"/>
          <w:szCs w:val="32"/>
          <w:highlight w:val="none"/>
          <w:lang w:val="en-US" w:eastAsia="zh-CN"/>
        </w:rPr>
        <w:t>14.自然资源海洋气象等支出</w:t>
      </w:r>
      <w:r>
        <w:rPr>
          <w:rStyle w:val="20"/>
          <w:rFonts w:hint="eastAsia" w:ascii="仿宋" w:hAnsi="仿宋" w:eastAsia="仿宋"/>
          <w:bCs/>
          <w:color w:val="auto"/>
          <w:sz w:val="32"/>
          <w:szCs w:val="32"/>
          <w:highlight w:val="none"/>
        </w:rPr>
        <w:t>（类）</w:t>
      </w:r>
      <w:r>
        <w:rPr>
          <w:rStyle w:val="20"/>
          <w:rFonts w:hint="eastAsia" w:ascii="仿宋" w:hAnsi="仿宋" w:eastAsia="仿宋"/>
          <w:bCs/>
          <w:color w:val="auto"/>
          <w:sz w:val="32"/>
          <w:szCs w:val="32"/>
          <w:highlight w:val="none"/>
          <w:lang w:val="en-US" w:eastAsia="zh-CN"/>
        </w:rPr>
        <w:t>自然资源事务</w:t>
      </w:r>
      <w:r>
        <w:rPr>
          <w:rStyle w:val="20"/>
          <w:rFonts w:hint="eastAsia" w:ascii="仿宋" w:hAnsi="仿宋" w:eastAsia="仿宋"/>
          <w:bCs/>
          <w:color w:val="auto"/>
          <w:sz w:val="32"/>
          <w:szCs w:val="32"/>
          <w:highlight w:val="none"/>
        </w:rPr>
        <w:t>（款）</w:t>
      </w:r>
      <w:r>
        <w:rPr>
          <w:rStyle w:val="20"/>
          <w:rFonts w:hint="eastAsia" w:ascii="仿宋" w:hAnsi="仿宋" w:eastAsia="仿宋"/>
          <w:bCs/>
          <w:color w:val="auto"/>
          <w:sz w:val="32"/>
          <w:szCs w:val="32"/>
          <w:highlight w:val="none"/>
          <w:lang w:val="en-US" w:eastAsia="zh-CN"/>
        </w:rPr>
        <w:t>自然资源行业业务管理</w:t>
      </w:r>
      <w:r>
        <w:rPr>
          <w:rStyle w:val="20"/>
          <w:rFonts w:hint="eastAsia" w:ascii="仿宋" w:hAnsi="仿宋" w:eastAsia="仿宋"/>
          <w:bCs/>
          <w:color w:val="auto"/>
          <w:sz w:val="32"/>
          <w:szCs w:val="32"/>
          <w:highlight w:val="none"/>
        </w:rPr>
        <w:t>（项）</w:t>
      </w:r>
      <w:r>
        <w:rPr>
          <w:rStyle w:val="20"/>
          <w:rFonts w:hint="eastAsia" w:ascii="仿宋" w:hAnsi="仿宋" w:eastAsia="仿宋"/>
          <w:bCs/>
          <w:color w:val="auto"/>
          <w:sz w:val="32"/>
          <w:szCs w:val="32"/>
          <w:highlight w:val="none"/>
          <w:lang w:eastAsia="zh-CN"/>
        </w:rPr>
        <w:t>：</w:t>
      </w:r>
      <w:r>
        <w:rPr>
          <w:rStyle w:val="20"/>
          <w:rFonts w:hint="eastAsia" w:ascii="仿宋" w:hAnsi="仿宋" w:eastAsia="仿宋"/>
          <w:b w:val="0"/>
          <w:bCs/>
          <w:color w:val="auto"/>
          <w:sz w:val="32"/>
          <w:szCs w:val="32"/>
          <w:highlight w:val="none"/>
        </w:rPr>
        <w:t>支出决算为</w:t>
      </w:r>
      <w:r>
        <w:rPr>
          <w:rStyle w:val="20"/>
          <w:rFonts w:hint="eastAsia" w:ascii="仿宋" w:hAnsi="仿宋" w:eastAsia="仿宋"/>
          <w:b w:val="0"/>
          <w:bCs/>
          <w:color w:val="auto"/>
          <w:sz w:val="32"/>
          <w:szCs w:val="32"/>
          <w:highlight w:val="none"/>
          <w:lang w:val="en-US" w:eastAsia="zh-CN"/>
        </w:rPr>
        <w:t>5</w:t>
      </w:r>
      <w:r>
        <w:rPr>
          <w:rStyle w:val="20"/>
          <w:rFonts w:hint="eastAsia" w:ascii="仿宋" w:hAnsi="仿宋" w:eastAsia="仿宋"/>
          <w:b w:val="0"/>
          <w:bCs/>
          <w:color w:val="auto"/>
          <w:sz w:val="32"/>
          <w:szCs w:val="32"/>
          <w:highlight w:val="none"/>
        </w:rPr>
        <w:t>万元，完成预算</w:t>
      </w:r>
      <w:r>
        <w:rPr>
          <w:rStyle w:val="20"/>
          <w:rFonts w:hint="eastAsia" w:ascii="仿宋" w:hAnsi="仿宋" w:eastAsia="仿宋"/>
          <w:b w:val="0"/>
          <w:bCs/>
          <w:color w:val="auto"/>
          <w:sz w:val="32"/>
          <w:szCs w:val="32"/>
          <w:highlight w:val="none"/>
          <w:lang w:val="en-US" w:eastAsia="zh-CN"/>
        </w:rPr>
        <w:t>100</w:t>
      </w:r>
      <w:r>
        <w:rPr>
          <w:rStyle w:val="20"/>
          <w:rFonts w:ascii="仿宋" w:hAnsi="仿宋" w:eastAsia="仿宋"/>
          <w:b w:val="0"/>
          <w:bCs/>
          <w:color w:val="auto"/>
          <w:sz w:val="32"/>
          <w:szCs w:val="32"/>
          <w:highlight w:val="none"/>
        </w:rPr>
        <w:t>%</w:t>
      </w:r>
      <w:r>
        <w:rPr>
          <w:rStyle w:val="20"/>
          <w:rFonts w:hint="eastAsia" w:ascii="仿宋" w:hAnsi="仿宋" w:eastAsia="仿宋"/>
          <w:b w:val="0"/>
          <w:bCs/>
          <w:color w:val="auto"/>
          <w:sz w:val="32"/>
          <w:szCs w:val="32"/>
          <w:highlight w:val="none"/>
          <w:lang w:eastAsia="zh-CN"/>
        </w:rPr>
        <w:t>。</w:t>
      </w:r>
    </w:p>
    <w:p w14:paraId="05F41898">
      <w:pPr>
        <w:keepNext w:val="0"/>
        <w:keepLines w:val="0"/>
        <w:pageBreakBefore w:val="0"/>
        <w:widowControl w:val="0"/>
        <w:numPr>
          <w:ilvl w:val="0"/>
          <w:numId w:val="0"/>
        </w:numPr>
        <w:shd w:val="clear"/>
        <w:kinsoku/>
        <w:wordWrap/>
        <w:overflowPunct/>
        <w:topLinePunct w:val="0"/>
        <w:bidi w:val="0"/>
        <w:snapToGrid/>
        <w:spacing w:line="576" w:lineRule="exact"/>
        <w:ind w:left="0" w:leftChars="0" w:right="0" w:firstLine="643" w:firstLineChars="200"/>
        <w:jc w:val="both"/>
        <w:textAlignment w:val="auto"/>
        <w:rPr>
          <w:rStyle w:val="20"/>
          <w:rFonts w:hint="eastAsia" w:ascii="仿宋" w:hAnsi="仿宋" w:eastAsia="仿宋"/>
          <w:b w:val="0"/>
          <w:bCs/>
          <w:color w:val="auto"/>
          <w:sz w:val="32"/>
          <w:szCs w:val="32"/>
          <w:highlight w:val="none"/>
          <w:lang w:eastAsia="zh-CN"/>
        </w:rPr>
      </w:pPr>
      <w:r>
        <w:rPr>
          <w:rStyle w:val="20"/>
          <w:rFonts w:hint="eastAsia" w:ascii="仿宋" w:hAnsi="仿宋" w:eastAsia="仿宋"/>
          <w:bCs/>
          <w:color w:val="auto"/>
          <w:sz w:val="32"/>
          <w:szCs w:val="32"/>
          <w:highlight w:val="none"/>
          <w:lang w:val="en-US" w:eastAsia="zh-CN"/>
        </w:rPr>
        <w:t>15.自然资源海洋气象等支出</w:t>
      </w:r>
      <w:r>
        <w:rPr>
          <w:rStyle w:val="20"/>
          <w:rFonts w:hint="eastAsia" w:ascii="仿宋" w:hAnsi="仿宋" w:eastAsia="仿宋"/>
          <w:bCs/>
          <w:color w:val="auto"/>
          <w:sz w:val="32"/>
          <w:szCs w:val="32"/>
          <w:highlight w:val="none"/>
        </w:rPr>
        <w:t>（类）</w:t>
      </w:r>
      <w:r>
        <w:rPr>
          <w:rStyle w:val="20"/>
          <w:rFonts w:hint="eastAsia" w:ascii="仿宋" w:hAnsi="仿宋" w:eastAsia="仿宋"/>
          <w:bCs/>
          <w:color w:val="auto"/>
          <w:sz w:val="32"/>
          <w:szCs w:val="32"/>
          <w:highlight w:val="none"/>
          <w:lang w:val="en-US" w:eastAsia="zh-CN"/>
        </w:rPr>
        <w:t>自然资源事务</w:t>
      </w:r>
      <w:r>
        <w:rPr>
          <w:rStyle w:val="20"/>
          <w:rFonts w:hint="eastAsia" w:ascii="仿宋" w:hAnsi="仿宋" w:eastAsia="仿宋"/>
          <w:bCs/>
          <w:color w:val="auto"/>
          <w:sz w:val="32"/>
          <w:szCs w:val="32"/>
          <w:highlight w:val="none"/>
        </w:rPr>
        <w:t>（款）</w:t>
      </w:r>
      <w:r>
        <w:rPr>
          <w:rStyle w:val="20"/>
          <w:rFonts w:hint="eastAsia" w:ascii="仿宋" w:hAnsi="仿宋" w:eastAsia="仿宋"/>
          <w:bCs/>
          <w:color w:val="auto"/>
          <w:sz w:val="32"/>
          <w:szCs w:val="32"/>
          <w:highlight w:val="none"/>
          <w:lang w:val="en-US" w:eastAsia="zh-CN"/>
        </w:rPr>
        <w:t>自然资源调查与确权登记</w:t>
      </w:r>
      <w:r>
        <w:rPr>
          <w:rStyle w:val="20"/>
          <w:rFonts w:hint="eastAsia" w:ascii="仿宋" w:hAnsi="仿宋" w:eastAsia="仿宋"/>
          <w:bCs/>
          <w:color w:val="auto"/>
          <w:sz w:val="32"/>
          <w:szCs w:val="32"/>
          <w:highlight w:val="none"/>
        </w:rPr>
        <w:t>（项）</w:t>
      </w:r>
      <w:r>
        <w:rPr>
          <w:rStyle w:val="20"/>
          <w:rFonts w:hint="eastAsia" w:ascii="仿宋" w:hAnsi="仿宋" w:eastAsia="仿宋"/>
          <w:bCs/>
          <w:color w:val="auto"/>
          <w:sz w:val="32"/>
          <w:szCs w:val="32"/>
          <w:highlight w:val="none"/>
          <w:lang w:eastAsia="zh-CN"/>
        </w:rPr>
        <w:t>：</w:t>
      </w:r>
      <w:r>
        <w:rPr>
          <w:rStyle w:val="20"/>
          <w:rFonts w:hint="eastAsia" w:ascii="仿宋" w:hAnsi="仿宋" w:eastAsia="仿宋"/>
          <w:b w:val="0"/>
          <w:bCs/>
          <w:color w:val="auto"/>
          <w:sz w:val="32"/>
          <w:szCs w:val="32"/>
          <w:highlight w:val="none"/>
        </w:rPr>
        <w:t>支出决算为</w:t>
      </w:r>
      <w:r>
        <w:rPr>
          <w:rStyle w:val="20"/>
          <w:rFonts w:hint="eastAsia" w:ascii="仿宋" w:hAnsi="仿宋" w:eastAsia="仿宋"/>
          <w:b w:val="0"/>
          <w:bCs/>
          <w:color w:val="auto"/>
          <w:sz w:val="32"/>
          <w:szCs w:val="32"/>
          <w:highlight w:val="none"/>
          <w:lang w:val="en-US" w:eastAsia="zh-CN"/>
        </w:rPr>
        <w:t>15.44</w:t>
      </w:r>
      <w:r>
        <w:rPr>
          <w:rStyle w:val="20"/>
          <w:rFonts w:hint="eastAsia" w:ascii="仿宋" w:hAnsi="仿宋" w:eastAsia="仿宋"/>
          <w:b w:val="0"/>
          <w:bCs/>
          <w:color w:val="auto"/>
          <w:sz w:val="32"/>
          <w:szCs w:val="32"/>
          <w:highlight w:val="none"/>
        </w:rPr>
        <w:t>万元，完成预算</w:t>
      </w:r>
      <w:r>
        <w:rPr>
          <w:rStyle w:val="20"/>
          <w:rFonts w:hint="eastAsia" w:ascii="仿宋" w:hAnsi="仿宋" w:eastAsia="仿宋"/>
          <w:b w:val="0"/>
          <w:bCs/>
          <w:color w:val="auto"/>
          <w:sz w:val="32"/>
          <w:szCs w:val="32"/>
          <w:highlight w:val="none"/>
          <w:lang w:val="en-US" w:eastAsia="zh-CN"/>
        </w:rPr>
        <w:t>100</w:t>
      </w:r>
      <w:r>
        <w:rPr>
          <w:rStyle w:val="20"/>
          <w:rFonts w:ascii="仿宋" w:hAnsi="仿宋" w:eastAsia="仿宋"/>
          <w:b w:val="0"/>
          <w:bCs/>
          <w:color w:val="auto"/>
          <w:sz w:val="32"/>
          <w:szCs w:val="32"/>
          <w:highlight w:val="none"/>
        </w:rPr>
        <w:t>%</w:t>
      </w:r>
      <w:r>
        <w:rPr>
          <w:rStyle w:val="20"/>
          <w:rFonts w:hint="eastAsia" w:ascii="仿宋" w:hAnsi="仿宋" w:eastAsia="仿宋"/>
          <w:b w:val="0"/>
          <w:bCs/>
          <w:color w:val="auto"/>
          <w:sz w:val="32"/>
          <w:szCs w:val="32"/>
          <w:highlight w:val="none"/>
          <w:lang w:eastAsia="zh-CN"/>
        </w:rPr>
        <w:t>。</w:t>
      </w:r>
    </w:p>
    <w:p w14:paraId="0F6FB6DF">
      <w:pPr>
        <w:keepNext w:val="0"/>
        <w:keepLines w:val="0"/>
        <w:pageBreakBefore w:val="0"/>
        <w:widowControl w:val="0"/>
        <w:numPr>
          <w:ilvl w:val="0"/>
          <w:numId w:val="0"/>
        </w:numPr>
        <w:shd w:val="clear"/>
        <w:kinsoku/>
        <w:wordWrap/>
        <w:overflowPunct/>
        <w:topLinePunct w:val="0"/>
        <w:bidi w:val="0"/>
        <w:snapToGrid/>
        <w:spacing w:line="576" w:lineRule="exact"/>
        <w:ind w:left="0" w:leftChars="0" w:right="0" w:firstLine="643" w:firstLineChars="200"/>
        <w:jc w:val="both"/>
        <w:textAlignment w:val="auto"/>
        <w:rPr>
          <w:rStyle w:val="20"/>
          <w:rFonts w:hint="eastAsia" w:ascii="仿宋" w:hAnsi="仿宋" w:eastAsia="仿宋"/>
          <w:b w:val="0"/>
          <w:bCs/>
          <w:color w:val="auto"/>
          <w:sz w:val="32"/>
          <w:szCs w:val="32"/>
          <w:highlight w:val="none"/>
          <w:lang w:eastAsia="zh-CN"/>
        </w:rPr>
      </w:pPr>
      <w:r>
        <w:rPr>
          <w:rStyle w:val="20"/>
          <w:rFonts w:hint="eastAsia" w:ascii="仿宋" w:hAnsi="仿宋" w:eastAsia="仿宋"/>
          <w:bCs/>
          <w:color w:val="auto"/>
          <w:sz w:val="32"/>
          <w:szCs w:val="32"/>
          <w:highlight w:val="none"/>
          <w:lang w:val="en-US" w:eastAsia="zh-CN"/>
        </w:rPr>
        <w:t>16.自然资源海洋气象等支出</w:t>
      </w:r>
      <w:r>
        <w:rPr>
          <w:rStyle w:val="20"/>
          <w:rFonts w:hint="eastAsia" w:ascii="仿宋" w:hAnsi="仿宋" w:eastAsia="仿宋"/>
          <w:bCs/>
          <w:color w:val="auto"/>
          <w:sz w:val="32"/>
          <w:szCs w:val="32"/>
          <w:highlight w:val="none"/>
        </w:rPr>
        <w:t>（类）</w:t>
      </w:r>
      <w:r>
        <w:rPr>
          <w:rStyle w:val="20"/>
          <w:rFonts w:hint="eastAsia" w:ascii="仿宋" w:hAnsi="仿宋" w:eastAsia="仿宋"/>
          <w:bCs/>
          <w:color w:val="auto"/>
          <w:sz w:val="32"/>
          <w:szCs w:val="32"/>
          <w:highlight w:val="none"/>
          <w:lang w:val="en-US" w:eastAsia="zh-CN"/>
        </w:rPr>
        <w:t>自然资源事务</w:t>
      </w:r>
      <w:r>
        <w:rPr>
          <w:rStyle w:val="20"/>
          <w:rFonts w:hint="eastAsia" w:ascii="仿宋" w:hAnsi="仿宋" w:eastAsia="仿宋"/>
          <w:bCs/>
          <w:color w:val="auto"/>
          <w:sz w:val="32"/>
          <w:szCs w:val="32"/>
          <w:highlight w:val="none"/>
        </w:rPr>
        <w:t>（款</w:t>
      </w:r>
      <w:r>
        <w:rPr>
          <w:rStyle w:val="20"/>
          <w:rFonts w:hint="eastAsia" w:ascii="仿宋" w:hAnsi="仿宋" w:eastAsia="仿宋"/>
          <w:bCs/>
          <w:color w:val="auto"/>
          <w:sz w:val="32"/>
          <w:szCs w:val="32"/>
          <w:highlight w:val="none"/>
          <w:lang w:eastAsia="zh-CN"/>
        </w:rPr>
        <w:t>）</w:t>
      </w:r>
      <w:r>
        <w:rPr>
          <w:rStyle w:val="20"/>
          <w:rFonts w:hint="eastAsia" w:ascii="仿宋" w:hAnsi="仿宋" w:eastAsia="仿宋"/>
          <w:bCs/>
          <w:color w:val="auto"/>
          <w:sz w:val="32"/>
          <w:szCs w:val="32"/>
          <w:highlight w:val="none"/>
          <w:lang w:val="en-US" w:eastAsia="zh-CN"/>
        </w:rPr>
        <w:t>土地资源储备支出</w:t>
      </w:r>
      <w:r>
        <w:rPr>
          <w:rStyle w:val="20"/>
          <w:rFonts w:hint="eastAsia" w:ascii="仿宋" w:hAnsi="仿宋" w:eastAsia="仿宋"/>
          <w:bCs/>
          <w:color w:val="auto"/>
          <w:sz w:val="32"/>
          <w:szCs w:val="32"/>
          <w:highlight w:val="none"/>
        </w:rPr>
        <w:t>（项）</w:t>
      </w:r>
      <w:r>
        <w:rPr>
          <w:rStyle w:val="20"/>
          <w:rFonts w:hint="eastAsia" w:ascii="仿宋" w:hAnsi="仿宋" w:eastAsia="仿宋"/>
          <w:bCs/>
          <w:color w:val="auto"/>
          <w:sz w:val="32"/>
          <w:szCs w:val="32"/>
          <w:highlight w:val="none"/>
          <w:lang w:eastAsia="zh-CN"/>
        </w:rPr>
        <w:t>：</w:t>
      </w:r>
      <w:r>
        <w:rPr>
          <w:rStyle w:val="20"/>
          <w:rFonts w:hint="eastAsia" w:ascii="仿宋" w:hAnsi="仿宋" w:eastAsia="仿宋"/>
          <w:b w:val="0"/>
          <w:bCs/>
          <w:color w:val="auto"/>
          <w:sz w:val="32"/>
          <w:szCs w:val="32"/>
          <w:highlight w:val="none"/>
        </w:rPr>
        <w:t>支出决算为</w:t>
      </w:r>
      <w:r>
        <w:rPr>
          <w:rStyle w:val="20"/>
          <w:rFonts w:hint="eastAsia" w:ascii="仿宋" w:hAnsi="仿宋" w:eastAsia="仿宋"/>
          <w:b w:val="0"/>
          <w:bCs/>
          <w:color w:val="auto"/>
          <w:sz w:val="32"/>
          <w:szCs w:val="32"/>
          <w:highlight w:val="none"/>
          <w:lang w:val="en-US" w:eastAsia="zh-CN"/>
        </w:rPr>
        <w:t>40</w:t>
      </w:r>
      <w:r>
        <w:rPr>
          <w:rStyle w:val="20"/>
          <w:rFonts w:hint="eastAsia" w:ascii="仿宋" w:hAnsi="仿宋" w:eastAsia="仿宋"/>
          <w:b w:val="0"/>
          <w:bCs/>
          <w:color w:val="auto"/>
          <w:sz w:val="32"/>
          <w:szCs w:val="32"/>
          <w:highlight w:val="none"/>
        </w:rPr>
        <w:t>万元，完成预算</w:t>
      </w:r>
      <w:r>
        <w:rPr>
          <w:rStyle w:val="20"/>
          <w:rFonts w:hint="eastAsia" w:ascii="仿宋" w:hAnsi="仿宋" w:eastAsia="仿宋"/>
          <w:b w:val="0"/>
          <w:bCs/>
          <w:color w:val="auto"/>
          <w:sz w:val="32"/>
          <w:szCs w:val="32"/>
          <w:highlight w:val="none"/>
          <w:lang w:val="en-US" w:eastAsia="zh-CN"/>
        </w:rPr>
        <w:t>100</w:t>
      </w:r>
      <w:r>
        <w:rPr>
          <w:rStyle w:val="20"/>
          <w:rFonts w:ascii="仿宋" w:hAnsi="仿宋" w:eastAsia="仿宋"/>
          <w:b w:val="0"/>
          <w:bCs/>
          <w:color w:val="auto"/>
          <w:sz w:val="32"/>
          <w:szCs w:val="32"/>
          <w:highlight w:val="none"/>
        </w:rPr>
        <w:t>%</w:t>
      </w:r>
      <w:r>
        <w:rPr>
          <w:rStyle w:val="20"/>
          <w:rFonts w:hint="eastAsia" w:ascii="仿宋" w:hAnsi="仿宋" w:eastAsia="仿宋"/>
          <w:b w:val="0"/>
          <w:bCs/>
          <w:color w:val="auto"/>
          <w:sz w:val="32"/>
          <w:szCs w:val="32"/>
          <w:highlight w:val="none"/>
          <w:lang w:eastAsia="zh-CN"/>
        </w:rPr>
        <w:t>。</w:t>
      </w:r>
    </w:p>
    <w:p w14:paraId="27EBED06">
      <w:pPr>
        <w:keepNext w:val="0"/>
        <w:keepLines w:val="0"/>
        <w:pageBreakBefore w:val="0"/>
        <w:widowControl w:val="0"/>
        <w:shd w:val="clear"/>
        <w:tabs>
          <w:tab w:val="right" w:pos="8306"/>
        </w:tabs>
        <w:kinsoku/>
        <w:wordWrap/>
        <w:overflowPunct/>
        <w:topLinePunct w:val="0"/>
        <w:bidi w:val="0"/>
        <w:snapToGrid/>
        <w:spacing w:line="576" w:lineRule="exact"/>
        <w:ind w:left="0" w:leftChars="0" w:right="0" w:firstLine="643" w:firstLineChars="200"/>
        <w:jc w:val="both"/>
        <w:textAlignment w:val="auto"/>
        <w:outlineLvl w:val="1"/>
        <w:rPr>
          <w:rStyle w:val="20"/>
          <w:rFonts w:hint="eastAsia" w:ascii="仿宋" w:hAnsi="仿宋" w:eastAsia="仿宋"/>
          <w:b w:val="0"/>
          <w:bCs/>
          <w:color w:val="auto"/>
          <w:sz w:val="32"/>
          <w:szCs w:val="32"/>
          <w:highlight w:val="none"/>
          <w:lang w:eastAsia="zh-CN"/>
        </w:rPr>
      </w:pPr>
      <w:r>
        <w:rPr>
          <w:rStyle w:val="20"/>
          <w:rFonts w:hint="eastAsia" w:ascii="仿宋" w:hAnsi="仿宋" w:eastAsia="仿宋"/>
          <w:bCs/>
          <w:color w:val="auto"/>
          <w:sz w:val="32"/>
          <w:szCs w:val="32"/>
          <w:highlight w:val="none"/>
          <w:lang w:val="en-US" w:eastAsia="zh-CN"/>
        </w:rPr>
        <w:t>17.自然资源海洋气象等支出</w:t>
      </w:r>
      <w:r>
        <w:rPr>
          <w:rStyle w:val="20"/>
          <w:rFonts w:hint="eastAsia" w:ascii="仿宋" w:hAnsi="仿宋" w:eastAsia="仿宋"/>
          <w:bCs/>
          <w:color w:val="auto"/>
          <w:sz w:val="32"/>
          <w:szCs w:val="32"/>
          <w:highlight w:val="none"/>
        </w:rPr>
        <w:t>（类）</w:t>
      </w:r>
      <w:r>
        <w:rPr>
          <w:rStyle w:val="20"/>
          <w:rFonts w:hint="eastAsia" w:ascii="仿宋" w:hAnsi="仿宋" w:eastAsia="仿宋"/>
          <w:bCs/>
          <w:color w:val="auto"/>
          <w:sz w:val="32"/>
          <w:szCs w:val="32"/>
          <w:highlight w:val="none"/>
          <w:lang w:val="en-US" w:eastAsia="zh-CN"/>
        </w:rPr>
        <w:t>自然资源事务</w:t>
      </w:r>
      <w:r>
        <w:rPr>
          <w:rStyle w:val="20"/>
          <w:rFonts w:hint="eastAsia" w:ascii="仿宋" w:hAnsi="仿宋" w:eastAsia="仿宋"/>
          <w:bCs/>
          <w:color w:val="auto"/>
          <w:sz w:val="32"/>
          <w:szCs w:val="32"/>
          <w:highlight w:val="none"/>
        </w:rPr>
        <w:t>（款</w:t>
      </w:r>
      <w:r>
        <w:rPr>
          <w:rStyle w:val="20"/>
          <w:rFonts w:hint="eastAsia" w:ascii="仿宋" w:hAnsi="仿宋" w:eastAsia="仿宋"/>
          <w:bCs/>
          <w:color w:val="auto"/>
          <w:sz w:val="32"/>
          <w:szCs w:val="32"/>
          <w:highlight w:val="none"/>
          <w:lang w:eastAsia="zh-CN"/>
        </w:rPr>
        <w:t>）</w:t>
      </w:r>
      <w:r>
        <w:rPr>
          <w:rStyle w:val="20"/>
          <w:rFonts w:hint="eastAsia" w:ascii="仿宋" w:hAnsi="仿宋" w:eastAsia="仿宋"/>
          <w:bCs/>
          <w:color w:val="auto"/>
          <w:sz w:val="32"/>
          <w:szCs w:val="32"/>
          <w:highlight w:val="none"/>
          <w:lang w:val="en-US" w:eastAsia="zh-CN"/>
        </w:rPr>
        <w:t>地质勘察与矿产资源管理支出</w:t>
      </w:r>
      <w:r>
        <w:rPr>
          <w:rStyle w:val="20"/>
          <w:rFonts w:hint="eastAsia" w:ascii="仿宋" w:hAnsi="仿宋" w:eastAsia="仿宋"/>
          <w:bCs/>
          <w:color w:val="auto"/>
          <w:sz w:val="32"/>
          <w:szCs w:val="32"/>
          <w:highlight w:val="none"/>
        </w:rPr>
        <w:t>（项）</w:t>
      </w:r>
      <w:r>
        <w:rPr>
          <w:rStyle w:val="20"/>
          <w:rFonts w:hint="eastAsia" w:ascii="仿宋" w:hAnsi="仿宋" w:eastAsia="仿宋"/>
          <w:bCs/>
          <w:color w:val="auto"/>
          <w:sz w:val="32"/>
          <w:szCs w:val="32"/>
          <w:highlight w:val="none"/>
          <w:lang w:eastAsia="zh-CN"/>
        </w:rPr>
        <w:t>：</w:t>
      </w:r>
      <w:r>
        <w:rPr>
          <w:rStyle w:val="20"/>
          <w:rFonts w:hint="eastAsia" w:ascii="仿宋" w:hAnsi="仿宋" w:eastAsia="仿宋"/>
          <w:b w:val="0"/>
          <w:bCs/>
          <w:color w:val="auto"/>
          <w:sz w:val="32"/>
          <w:szCs w:val="32"/>
          <w:highlight w:val="none"/>
        </w:rPr>
        <w:t>支出决算为</w:t>
      </w:r>
      <w:r>
        <w:rPr>
          <w:rStyle w:val="20"/>
          <w:rFonts w:hint="eastAsia" w:ascii="仿宋" w:hAnsi="仿宋" w:eastAsia="仿宋"/>
          <w:b w:val="0"/>
          <w:bCs/>
          <w:color w:val="auto"/>
          <w:sz w:val="32"/>
          <w:szCs w:val="32"/>
          <w:highlight w:val="none"/>
          <w:lang w:val="en-US" w:eastAsia="zh-CN"/>
        </w:rPr>
        <w:t>122.01</w:t>
      </w:r>
      <w:r>
        <w:rPr>
          <w:rStyle w:val="20"/>
          <w:rFonts w:hint="eastAsia" w:ascii="仿宋" w:hAnsi="仿宋" w:eastAsia="仿宋"/>
          <w:b w:val="0"/>
          <w:bCs/>
          <w:color w:val="auto"/>
          <w:sz w:val="32"/>
          <w:szCs w:val="32"/>
          <w:highlight w:val="none"/>
        </w:rPr>
        <w:t>万元，完成预算</w:t>
      </w:r>
      <w:r>
        <w:rPr>
          <w:rStyle w:val="20"/>
          <w:rFonts w:hint="eastAsia" w:ascii="仿宋" w:hAnsi="仿宋" w:eastAsia="仿宋"/>
          <w:b w:val="0"/>
          <w:bCs/>
          <w:color w:val="auto"/>
          <w:sz w:val="32"/>
          <w:szCs w:val="32"/>
          <w:highlight w:val="none"/>
          <w:lang w:val="en-US" w:eastAsia="zh-CN"/>
        </w:rPr>
        <w:t>100</w:t>
      </w:r>
      <w:r>
        <w:rPr>
          <w:rStyle w:val="20"/>
          <w:rFonts w:ascii="仿宋" w:hAnsi="仿宋" w:eastAsia="仿宋"/>
          <w:b w:val="0"/>
          <w:bCs/>
          <w:color w:val="auto"/>
          <w:sz w:val="32"/>
          <w:szCs w:val="32"/>
          <w:highlight w:val="none"/>
        </w:rPr>
        <w:t>%</w:t>
      </w:r>
      <w:r>
        <w:rPr>
          <w:rStyle w:val="20"/>
          <w:rFonts w:hint="eastAsia" w:ascii="仿宋" w:hAnsi="仿宋" w:eastAsia="仿宋"/>
          <w:b w:val="0"/>
          <w:bCs/>
          <w:color w:val="auto"/>
          <w:sz w:val="32"/>
          <w:szCs w:val="32"/>
          <w:highlight w:val="none"/>
          <w:lang w:eastAsia="zh-CN"/>
        </w:rPr>
        <w:t>。</w:t>
      </w:r>
    </w:p>
    <w:p w14:paraId="35D46933">
      <w:pPr>
        <w:pStyle w:val="2"/>
        <w:rPr>
          <w:rStyle w:val="20"/>
          <w:rFonts w:hint="eastAsia" w:ascii="仿宋" w:hAnsi="仿宋" w:eastAsia="仿宋"/>
          <w:b w:val="0"/>
          <w:bCs/>
          <w:color w:val="auto"/>
          <w:sz w:val="32"/>
          <w:szCs w:val="32"/>
          <w:highlight w:val="none"/>
          <w:lang w:eastAsia="zh-CN"/>
        </w:rPr>
      </w:pPr>
      <w:r>
        <w:rPr>
          <w:rStyle w:val="20"/>
          <w:rFonts w:hint="eastAsia" w:ascii="仿宋" w:hAnsi="仿宋" w:eastAsia="仿宋"/>
          <w:bCs/>
          <w:color w:val="auto"/>
          <w:sz w:val="32"/>
          <w:szCs w:val="32"/>
          <w:highlight w:val="none"/>
          <w:lang w:val="en-US" w:eastAsia="zh-CN"/>
        </w:rPr>
        <w:t>18.自然资源海洋气象等支出</w:t>
      </w:r>
      <w:r>
        <w:rPr>
          <w:rStyle w:val="20"/>
          <w:rFonts w:hint="eastAsia" w:ascii="仿宋" w:hAnsi="仿宋" w:eastAsia="仿宋"/>
          <w:bCs/>
          <w:color w:val="auto"/>
          <w:sz w:val="32"/>
          <w:szCs w:val="32"/>
          <w:highlight w:val="none"/>
        </w:rPr>
        <w:t>（类）</w:t>
      </w:r>
      <w:r>
        <w:rPr>
          <w:rStyle w:val="20"/>
          <w:rFonts w:hint="eastAsia" w:ascii="仿宋" w:hAnsi="仿宋" w:eastAsia="仿宋"/>
          <w:bCs/>
          <w:color w:val="auto"/>
          <w:sz w:val="32"/>
          <w:szCs w:val="32"/>
          <w:highlight w:val="none"/>
          <w:lang w:val="en-US" w:eastAsia="zh-CN"/>
        </w:rPr>
        <w:t>自然资源事务</w:t>
      </w:r>
      <w:r>
        <w:rPr>
          <w:rStyle w:val="20"/>
          <w:rFonts w:hint="eastAsia" w:ascii="仿宋" w:hAnsi="仿宋" w:eastAsia="仿宋"/>
          <w:bCs/>
          <w:color w:val="auto"/>
          <w:sz w:val="32"/>
          <w:szCs w:val="32"/>
          <w:highlight w:val="none"/>
        </w:rPr>
        <w:t>（款</w:t>
      </w:r>
      <w:r>
        <w:rPr>
          <w:rStyle w:val="20"/>
          <w:rFonts w:hint="eastAsia" w:ascii="仿宋" w:hAnsi="仿宋" w:eastAsia="仿宋"/>
          <w:bCs/>
          <w:color w:val="auto"/>
          <w:sz w:val="32"/>
          <w:szCs w:val="32"/>
          <w:highlight w:val="none"/>
          <w:lang w:eastAsia="zh-CN"/>
        </w:rPr>
        <w:t>）</w:t>
      </w:r>
      <w:r>
        <w:rPr>
          <w:rStyle w:val="20"/>
          <w:rFonts w:hint="eastAsia" w:ascii="仿宋" w:hAnsi="仿宋" w:eastAsia="仿宋"/>
          <w:bCs/>
          <w:color w:val="auto"/>
          <w:sz w:val="32"/>
          <w:szCs w:val="32"/>
          <w:highlight w:val="none"/>
          <w:lang w:val="en-US" w:eastAsia="zh-CN"/>
        </w:rPr>
        <w:t>事业运行</w:t>
      </w:r>
      <w:r>
        <w:rPr>
          <w:rStyle w:val="20"/>
          <w:rFonts w:hint="eastAsia" w:ascii="仿宋" w:hAnsi="仿宋" w:eastAsia="仿宋"/>
          <w:bCs/>
          <w:color w:val="auto"/>
          <w:sz w:val="32"/>
          <w:szCs w:val="32"/>
          <w:highlight w:val="none"/>
        </w:rPr>
        <w:t>（项）</w:t>
      </w:r>
      <w:r>
        <w:rPr>
          <w:rStyle w:val="20"/>
          <w:rFonts w:hint="eastAsia" w:ascii="仿宋" w:hAnsi="仿宋" w:eastAsia="仿宋"/>
          <w:bCs/>
          <w:color w:val="auto"/>
          <w:sz w:val="32"/>
          <w:szCs w:val="32"/>
          <w:highlight w:val="none"/>
          <w:lang w:eastAsia="zh-CN"/>
        </w:rPr>
        <w:t>：</w:t>
      </w:r>
      <w:r>
        <w:rPr>
          <w:rStyle w:val="20"/>
          <w:rFonts w:hint="eastAsia" w:ascii="仿宋" w:hAnsi="仿宋" w:eastAsia="仿宋"/>
          <w:b w:val="0"/>
          <w:bCs/>
          <w:color w:val="auto"/>
          <w:sz w:val="32"/>
          <w:szCs w:val="32"/>
          <w:highlight w:val="none"/>
        </w:rPr>
        <w:t>支出决算为</w:t>
      </w:r>
      <w:r>
        <w:rPr>
          <w:rStyle w:val="20"/>
          <w:rFonts w:hint="eastAsia" w:ascii="仿宋" w:hAnsi="仿宋" w:eastAsia="仿宋"/>
          <w:b w:val="0"/>
          <w:bCs/>
          <w:color w:val="auto"/>
          <w:sz w:val="32"/>
          <w:szCs w:val="32"/>
          <w:highlight w:val="none"/>
          <w:lang w:val="en-US" w:eastAsia="zh-CN"/>
        </w:rPr>
        <w:t>1080.11</w:t>
      </w:r>
      <w:r>
        <w:rPr>
          <w:rStyle w:val="20"/>
          <w:rFonts w:hint="eastAsia" w:ascii="仿宋" w:hAnsi="仿宋" w:eastAsia="仿宋"/>
          <w:b w:val="0"/>
          <w:bCs/>
          <w:color w:val="auto"/>
          <w:sz w:val="32"/>
          <w:szCs w:val="32"/>
          <w:highlight w:val="none"/>
        </w:rPr>
        <w:t>万元，完成预算</w:t>
      </w:r>
      <w:r>
        <w:rPr>
          <w:rStyle w:val="20"/>
          <w:rFonts w:hint="eastAsia" w:ascii="仿宋" w:hAnsi="仿宋" w:eastAsia="仿宋"/>
          <w:b w:val="0"/>
          <w:bCs/>
          <w:color w:val="auto"/>
          <w:sz w:val="32"/>
          <w:szCs w:val="32"/>
          <w:highlight w:val="none"/>
          <w:lang w:val="en-US" w:eastAsia="zh-CN"/>
        </w:rPr>
        <w:t>100</w:t>
      </w:r>
      <w:r>
        <w:rPr>
          <w:rStyle w:val="20"/>
          <w:rFonts w:ascii="仿宋" w:hAnsi="仿宋" w:eastAsia="仿宋"/>
          <w:b w:val="0"/>
          <w:bCs/>
          <w:color w:val="auto"/>
          <w:sz w:val="32"/>
          <w:szCs w:val="32"/>
          <w:highlight w:val="none"/>
        </w:rPr>
        <w:t>%</w:t>
      </w:r>
      <w:r>
        <w:rPr>
          <w:rStyle w:val="20"/>
          <w:rFonts w:hint="eastAsia" w:ascii="仿宋" w:hAnsi="仿宋" w:eastAsia="仿宋"/>
          <w:b w:val="0"/>
          <w:bCs/>
          <w:color w:val="auto"/>
          <w:sz w:val="32"/>
          <w:szCs w:val="32"/>
          <w:highlight w:val="none"/>
          <w:lang w:eastAsia="zh-CN"/>
        </w:rPr>
        <w:t>。</w:t>
      </w:r>
    </w:p>
    <w:p w14:paraId="183EF47A">
      <w:pPr>
        <w:pStyle w:val="2"/>
        <w:rPr>
          <w:rStyle w:val="20"/>
          <w:rFonts w:hint="eastAsia" w:ascii="仿宋" w:hAnsi="仿宋" w:eastAsia="仿宋"/>
          <w:b w:val="0"/>
          <w:bCs/>
          <w:color w:val="auto"/>
          <w:sz w:val="32"/>
          <w:szCs w:val="32"/>
          <w:highlight w:val="none"/>
          <w:lang w:eastAsia="zh-CN"/>
        </w:rPr>
      </w:pPr>
      <w:r>
        <w:rPr>
          <w:rStyle w:val="20"/>
          <w:rFonts w:hint="eastAsia" w:ascii="仿宋" w:hAnsi="仿宋" w:eastAsia="仿宋"/>
          <w:bCs/>
          <w:color w:val="auto"/>
          <w:sz w:val="32"/>
          <w:szCs w:val="32"/>
          <w:highlight w:val="none"/>
          <w:lang w:val="en-US" w:eastAsia="zh-CN"/>
        </w:rPr>
        <w:t>19.自然资源海洋气象等支出</w:t>
      </w:r>
      <w:r>
        <w:rPr>
          <w:rStyle w:val="20"/>
          <w:rFonts w:hint="eastAsia" w:ascii="仿宋" w:hAnsi="仿宋" w:eastAsia="仿宋"/>
          <w:bCs/>
          <w:color w:val="auto"/>
          <w:sz w:val="32"/>
          <w:szCs w:val="32"/>
          <w:highlight w:val="none"/>
        </w:rPr>
        <w:t>（类）</w:t>
      </w:r>
      <w:r>
        <w:rPr>
          <w:rStyle w:val="20"/>
          <w:rFonts w:hint="eastAsia" w:ascii="仿宋" w:hAnsi="仿宋" w:eastAsia="仿宋"/>
          <w:bCs/>
          <w:color w:val="auto"/>
          <w:sz w:val="32"/>
          <w:szCs w:val="32"/>
          <w:highlight w:val="none"/>
          <w:lang w:val="en-US" w:eastAsia="zh-CN"/>
        </w:rPr>
        <w:t>自然资源事务</w:t>
      </w:r>
      <w:r>
        <w:rPr>
          <w:rStyle w:val="20"/>
          <w:rFonts w:hint="eastAsia" w:ascii="仿宋" w:hAnsi="仿宋" w:eastAsia="仿宋"/>
          <w:bCs/>
          <w:color w:val="auto"/>
          <w:sz w:val="32"/>
          <w:szCs w:val="32"/>
          <w:highlight w:val="none"/>
        </w:rPr>
        <w:t>（款</w:t>
      </w:r>
      <w:r>
        <w:rPr>
          <w:rStyle w:val="20"/>
          <w:rFonts w:hint="eastAsia" w:ascii="仿宋" w:hAnsi="仿宋" w:eastAsia="仿宋"/>
          <w:bCs/>
          <w:color w:val="auto"/>
          <w:sz w:val="32"/>
          <w:szCs w:val="32"/>
          <w:highlight w:val="none"/>
          <w:lang w:eastAsia="zh-CN"/>
        </w:rPr>
        <w:t>）</w:t>
      </w:r>
      <w:r>
        <w:rPr>
          <w:rStyle w:val="20"/>
          <w:rFonts w:hint="eastAsia" w:ascii="仿宋" w:hAnsi="仿宋" w:eastAsia="仿宋"/>
          <w:bCs/>
          <w:color w:val="auto"/>
          <w:sz w:val="32"/>
          <w:szCs w:val="32"/>
          <w:highlight w:val="none"/>
          <w:lang w:val="en-US" w:eastAsia="zh-CN"/>
        </w:rPr>
        <w:t>其他自然资源事务支出</w:t>
      </w:r>
      <w:r>
        <w:rPr>
          <w:rStyle w:val="20"/>
          <w:rFonts w:hint="eastAsia" w:ascii="仿宋" w:hAnsi="仿宋" w:eastAsia="仿宋"/>
          <w:bCs/>
          <w:color w:val="auto"/>
          <w:sz w:val="32"/>
          <w:szCs w:val="32"/>
          <w:highlight w:val="none"/>
        </w:rPr>
        <w:t>（项）</w:t>
      </w:r>
      <w:r>
        <w:rPr>
          <w:rStyle w:val="20"/>
          <w:rFonts w:hint="eastAsia" w:ascii="仿宋" w:hAnsi="仿宋" w:eastAsia="仿宋"/>
          <w:bCs/>
          <w:color w:val="auto"/>
          <w:sz w:val="32"/>
          <w:szCs w:val="32"/>
          <w:highlight w:val="none"/>
          <w:lang w:eastAsia="zh-CN"/>
        </w:rPr>
        <w:t>：</w:t>
      </w:r>
      <w:r>
        <w:rPr>
          <w:rStyle w:val="20"/>
          <w:rFonts w:hint="eastAsia" w:ascii="仿宋" w:hAnsi="仿宋" w:eastAsia="仿宋"/>
          <w:b w:val="0"/>
          <w:bCs/>
          <w:color w:val="auto"/>
          <w:sz w:val="32"/>
          <w:szCs w:val="32"/>
          <w:highlight w:val="none"/>
        </w:rPr>
        <w:t>支出决算为</w:t>
      </w:r>
      <w:r>
        <w:rPr>
          <w:rStyle w:val="20"/>
          <w:rFonts w:hint="eastAsia" w:ascii="仿宋" w:hAnsi="仿宋" w:eastAsia="仿宋"/>
          <w:b w:val="0"/>
          <w:bCs/>
          <w:color w:val="auto"/>
          <w:sz w:val="32"/>
          <w:szCs w:val="32"/>
          <w:highlight w:val="none"/>
          <w:lang w:val="en-US" w:eastAsia="zh-CN"/>
        </w:rPr>
        <w:t>1368.77</w:t>
      </w:r>
      <w:r>
        <w:rPr>
          <w:rStyle w:val="20"/>
          <w:rFonts w:hint="eastAsia" w:ascii="仿宋" w:hAnsi="仿宋" w:eastAsia="仿宋"/>
          <w:b w:val="0"/>
          <w:bCs/>
          <w:color w:val="auto"/>
          <w:sz w:val="32"/>
          <w:szCs w:val="32"/>
          <w:highlight w:val="none"/>
        </w:rPr>
        <w:t>万元，完成预算</w:t>
      </w:r>
      <w:r>
        <w:rPr>
          <w:rStyle w:val="20"/>
          <w:rFonts w:hint="eastAsia" w:ascii="仿宋" w:hAnsi="仿宋" w:eastAsia="仿宋"/>
          <w:b w:val="0"/>
          <w:bCs/>
          <w:color w:val="auto"/>
          <w:sz w:val="32"/>
          <w:szCs w:val="32"/>
          <w:highlight w:val="none"/>
          <w:lang w:val="en-US" w:eastAsia="zh-CN"/>
        </w:rPr>
        <w:t>100</w:t>
      </w:r>
      <w:r>
        <w:rPr>
          <w:rStyle w:val="20"/>
          <w:rFonts w:ascii="仿宋" w:hAnsi="仿宋" w:eastAsia="仿宋"/>
          <w:b w:val="0"/>
          <w:bCs/>
          <w:color w:val="auto"/>
          <w:sz w:val="32"/>
          <w:szCs w:val="32"/>
          <w:highlight w:val="none"/>
        </w:rPr>
        <w:t>%</w:t>
      </w:r>
      <w:r>
        <w:rPr>
          <w:rStyle w:val="20"/>
          <w:rFonts w:hint="eastAsia" w:ascii="仿宋" w:hAnsi="仿宋" w:eastAsia="仿宋"/>
          <w:b w:val="0"/>
          <w:bCs/>
          <w:color w:val="auto"/>
          <w:sz w:val="32"/>
          <w:szCs w:val="32"/>
          <w:highlight w:val="none"/>
          <w:lang w:eastAsia="zh-CN"/>
        </w:rPr>
        <w:t>。</w:t>
      </w:r>
    </w:p>
    <w:p w14:paraId="40FABF4B">
      <w:pPr>
        <w:keepNext w:val="0"/>
        <w:keepLines w:val="0"/>
        <w:pageBreakBefore w:val="0"/>
        <w:widowControl w:val="0"/>
        <w:shd w:val="clear"/>
        <w:tabs>
          <w:tab w:val="right" w:pos="8306"/>
        </w:tabs>
        <w:kinsoku/>
        <w:wordWrap/>
        <w:overflowPunct/>
        <w:topLinePunct w:val="0"/>
        <w:bidi w:val="0"/>
        <w:snapToGrid/>
        <w:spacing w:line="576" w:lineRule="exact"/>
        <w:ind w:left="0" w:leftChars="0" w:right="0" w:firstLine="643" w:firstLineChars="200"/>
        <w:jc w:val="both"/>
        <w:textAlignment w:val="auto"/>
        <w:outlineLvl w:val="1"/>
        <w:rPr>
          <w:rStyle w:val="20"/>
          <w:rFonts w:hint="eastAsia" w:ascii="仿宋" w:hAnsi="仿宋" w:eastAsia="仿宋"/>
          <w:b w:val="0"/>
          <w:bCs/>
          <w:color w:val="auto"/>
          <w:sz w:val="32"/>
          <w:szCs w:val="32"/>
          <w:highlight w:val="none"/>
          <w:lang w:eastAsia="zh-CN"/>
        </w:rPr>
      </w:pPr>
      <w:bookmarkStart w:id="51" w:name="_Toc1550"/>
      <w:r>
        <w:rPr>
          <w:rStyle w:val="20"/>
          <w:rFonts w:hint="eastAsia" w:ascii="仿宋" w:hAnsi="仿宋" w:eastAsia="仿宋"/>
          <w:bCs/>
          <w:color w:val="auto"/>
          <w:sz w:val="32"/>
          <w:szCs w:val="32"/>
          <w:highlight w:val="none"/>
          <w:lang w:val="en-US" w:eastAsia="zh-CN"/>
        </w:rPr>
        <w:t>20.住房保障支出</w:t>
      </w:r>
      <w:r>
        <w:rPr>
          <w:rStyle w:val="20"/>
          <w:rFonts w:hint="eastAsia" w:ascii="仿宋" w:hAnsi="仿宋" w:eastAsia="仿宋"/>
          <w:bCs/>
          <w:color w:val="auto"/>
          <w:sz w:val="32"/>
          <w:szCs w:val="32"/>
          <w:highlight w:val="none"/>
        </w:rPr>
        <w:t>（类）</w:t>
      </w:r>
      <w:r>
        <w:rPr>
          <w:rStyle w:val="20"/>
          <w:rFonts w:hint="eastAsia" w:ascii="仿宋" w:hAnsi="仿宋" w:eastAsia="仿宋"/>
          <w:bCs/>
          <w:color w:val="auto"/>
          <w:sz w:val="32"/>
          <w:szCs w:val="32"/>
          <w:highlight w:val="none"/>
          <w:lang w:val="en-US" w:eastAsia="zh-CN"/>
        </w:rPr>
        <w:t>住房改革支出</w:t>
      </w:r>
      <w:r>
        <w:rPr>
          <w:rStyle w:val="20"/>
          <w:rFonts w:hint="eastAsia" w:ascii="仿宋" w:hAnsi="仿宋" w:eastAsia="仿宋"/>
          <w:bCs/>
          <w:color w:val="auto"/>
          <w:sz w:val="32"/>
          <w:szCs w:val="32"/>
          <w:highlight w:val="none"/>
        </w:rPr>
        <w:t>（款</w:t>
      </w:r>
      <w:r>
        <w:rPr>
          <w:rStyle w:val="20"/>
          <w:rFonts w:hint="eastAsia" w:ascii="仿宋" w:hAnsi="仿宋" w:eastAsia="仿宋"/>
          <w:bCs/>
          <w:color w:val="auto"/>
          <w:sz w:val="32"/>
          <w:szCs w:val="32"/>
          <w:highlight w:val="none"/>
          <w:lang w:eastAsia="zh-CN"/>
        </w:rPr>
        <w:t>）</w:t>
      </w:r>
      <w:r>
        <w:rPr>
          <w:rStyle w:val="20"/>
          <w:rFonts w:hint="eastAsia" w:ascii="仿宋" w:hAnsi="仿宋" w:eastAsia="仿宋"/>
          <w:bCs/>
          <w:color w:val="auto"/>
          <w:sz w:val="32"/>
          <w:szCs w:val="32"/>
          <w:highlight w:val="none"/>
          <w:lang w:val="en-US" w:eastAsia="zh-CN"/>
        </w:rPr>
        <w:t>住房公积金</w:t>
      </w:r>
      <w:r>
        <w:rPr>
          <w:rStyle w:val="20"/>
          <w:rFonts w:hint="eastAsia" w:ascii="仿宋" w:hAnsi="仿宋" w:eastAsia="仿宋"/>
          <w:bCs/>
          <w:color w:val="auto"/>
          <w:sz w:val="32"/>
          <w:szCs w:val="32"/>
          <w:highlight w:val="none"/>
        </w:rPr>
        <w:t>（项）</w:t>
      </w:r>
      <w:r>
        <w:rPr>
          <w:rStyle w:val="20"/>
          <w:rFonts w:hint="eastAsia" w:ascii="仿宋" w:hAnsi="仿宋" w:eastAsia="仿宋"/>
          <w:bCs/>
          <w:color w:val="auto"/>
          <w:sz w:val="32"/>
          <w:szCs w:val="32"/>
          <w:highlight w:val="none"/>
          <w:lang w:eastAsia="zh-CN"/>
        </w:rPr>
        <w:t>：</w:t>
      </w:r>
      <w:r>
        <w:rPr>
          <w:rStyle w:val="20"/>
          <w:rFonts w:hint="eastAsia" w:ascii="仿宋" w:hAnsi="仿宋" w:eastAsia="仿宋"/>
          <w:b w:val="0"/>
          <w:bCs/>
          <w:color w:val="auto"/>
          <w:sz w:val="32"/>
          <w:szCs w:val="32"/>
          <w:highlight w:val="none"/>
        </w:rPr>
        <w:t>支出决算为</w:t>
      </w:r>
      <w:r>
        <w:rPr>
          <w:rStyle w:val="20"/>
          <w:rFonts w:hint="eastAsia" w:ascii="仿宋" w:hAnsi="仿宋" w:eastAsia="仿宋"/>
          <w:b w:val="0"/>
          <w:bCs/>
          <w:color w:val="auto"/>
          <w:sz w:val="32"/>
          <w:szCs w:val="32"/>
          <w:highlight w:val="none"/>
          <w:lang w:val="en-US" w:eastAsia="zh-CN"/>
        </w:rPr>
        <w:t>272.17</w:t>
      </w:r>
      <w:r>
        <w:rPr>
          <w:rStyle w:val="20"/>
          <w:rFonts w:hint="eastAsia" w:ascii="仿宋" w:hAnsi="仿宋" w:eastAsia="仿宋"/>
          <w:b w:val="0"/>
          <w:bCs/>
          <w:color w:val="auto"/>
          <w:sz w:val="32"/>
          <w:szCs w:val="32"/>
          <w:highlight w:val="none"/>
        </w:rPr>
        <w:t>万元，完成预算</w:t>
      </w:r>
      <w:r>
        <w:rPr>
          <w:rStyle w:val="20"/>
          <w:rFonts w:hint="eastAsia" w:ascii="仿宋" w:hAnsi="仿宋" w:eastAsia="仿宋"/>
          <w:b w:val="0"/>
          <w:bCs/>
          <w:color w:val="auto"/>
          <w:sz w:val="32"/>
          <w:szCs w:val="32"/>
          <w:highlight w:val="none"/>
          <w:lang w:val="en-US" w:eastAsia="zh-CN"/>
        </w:rPr>
        <w:t>100</w:t>
      </w:r>
      <w:r>
        <w:rPr>
          <w:rStyle w:val="20"/>
          <w:rFonts w:ascii="仿宋" w:hAnsi="仿宋" w:eastAsia="仿宋"/>
          <w:b w:val="0"/>
          <w:bCs/>
          <w:color w:val="auto"/>
          <w:sz w:val="32"/>
          <w:szCs w:val="32"/>
          <w:highlight w:val="none"/>
        </w:rPr>
        <w:t>%</w:t>
      </w:r>
      <w:r>
        <w:rPr>
          <w:rStyle w:val="20"/>
          <w:rFonts w:hint="eastAsia" w:ascii="仿宋" w:hAnsi="仿宋" w:eastAsia="仿宋"/>
          <w:b w:val="0"/>
          <w:bCs/>
          <w:color w:val="auto"/>
          <w:sz w:val="32"/>
          <w:szCs w:val="32"/>
          <w:highlight w:val="none"/>
          <w:lang w:eastAsia="zh-CN"/>
        </w:rPr>
        <w:t>。</w:t>
      </w:r>
      <w:bookmarkEnd w:id="51"/>
    </w:p>
    <w:p w14:paraId="323F9A6B">
      <w:pPr>
        <w:keepNext w:val="0"/>
        <w:keepLines w:val="0"/>
        <w:pageBreakBefore w:val="0"/>
        <w:widowControl w:val="0"/>
        <w:shd w:val="clear"/>
        <w:tabs>
          <w:tab w:val="right" w:pos="8306"/>
        </w:tabs>
        <w:kinsoku/>
        <w:wordWrap/>
        <w:overflowPunct/>
        <w:topLinePunct w:val="0"/>
        <w:bidi w:val="0"/>
        <w:snapToGrid/>
        <w:spacing w:line="576" w:lineRule="exact"/>
        <w:ind w:left="0" w:leftChars="0" w:right="0" w:firstLine="643" w:firstLineChars="200"/>
        <w:jc w:val="both"/>
        <w:textAlignment w:val="auto"/>
        <w:outlineLvl w:val="1"/>
        <w:rPr>
          <w:rStyle w:val="20"/>
          <w:rFonts w:hint="eastAsia" w:ascii="仿宋" w:hAnsi="仿宋" w:eastAsia="仿宋"/>
          <w:b w:val="0"/>
          <w:bCs/>
          <w:color w:val="auto"/>
          <w:sz w:val="32"/>
          <w:szCs w:val="32"/>
          <w:highlight w:val="none"/>
          <w:lang w:eastAsia="zh-CN"/>
        </w:rPr>
      </w:pPr>
      <w:r>
        <w:rPr>
          <w:rStyle w:val="20"/>
          <w:rFonts w:hint="eastAsia" w:ascii="仿宋" w:hAnsi="仿宋" w:eastAsia="仿宋"/>
          <w:bCs/>
          <w:color w:val="auto"/>
          <w:sz w:val="32"/>
          <w:szCs w:val="32"/>
          <w:highlight w:val="none"/>
          <w:lang w:val="en-US" w:eastAsia="zh-CN"/>
        </w:rPr>
        <w:t>21.粮油物资储备支出</w:t>
      </w:r>
      <w:r>
        <w:rPr>
          <w:rStyle w:val="20"/>
          <w:rFonts w:hint="eastAsia" w:ascii="仿宋" w:hAnsi="仿宋" w:eastAsia="仿宋"/>
          <w:bCs/>
          <w:color w:val="auto"/>
          <w:sz w:val="32"/>
          <w:szCs w:val="32"/>
          <w:highlight w:val="none"/>
        </w:rPr>
        <w:t>（类）</w:t>
      </w:r>
      <w:r>
        <w:rPr>
          <w:rStyle w:val="20"/>
          <w:rFonts w:hint="eastAsia" w:ascii="仿宋" w:hAnsi="仿宋" w:eastAsia="仿宋"/>
          <w:bCs/>
          <w:color w:val="auto"/>
          <w:sz w:val="32"/>
          <w:szCs w:val="32"/>
          <w:highlight w:val="none"/>
          <w:lang w:val="en-US" w:eastAsia="zh-CN"/>
        </w:rPr>
        <w:t>粮油物资实务</w:t>
      </w:r>
      <w:r>
        <w:rPr>
          <w:rStyle w:val="20"/>
          <w:rFonts w:hint="eastAsia" w:ascii="仿宋" w:hAnsi="仿宋" w:eastAsia="仿宋"/>
          <w:bCs/>
          <w:color w:val="auto"/>
          <w:sz w:val="32"/>
          <w:szCs w:val="32"/>
          <w:highlight w:val="none"/>
        </w:rPr>
        <w:t>（款</w:t>
      </w:r>
      <w:r>
        <w:rPr>
          <w:rStyle w:val="20"/>
          <w:rFonts w:hint="eastAsia" w:ascii="仿宋" w:hAnsi="仿宋" w:eastAsia="仿宋"/>
          <w:bCs/>
          <w:color w:val="auto"/>
          <w:sz w:val="32"/>
          <w:szCs w:val="32"/>
          <w:highlight w:val="none"/>
          <w:lang w:eastAsia="zh-CN"/>
        </w:rPr>
        <w:t>）</w:t>
      </w:r>
      <w:r>
        <w:rPr>
          <w:rStyle w:val="20"/>
          <w:rFonts w:hint="eastAsia" w:ascii="仿宋" w:hAnsi="仿宋" w:eastAsia="仿宋"/>
          <w:bCs/>
          <w:color w:val="auto"/>
          <w:sz w:val="32"/>
          <w:szCs w:val="32"/>
          <w:highlight w:val="none"/>
          <w:lang w:val="en-US" w:eastAsia="zh-CN"/>
        </w:rPr>
        <w:t>事业运行</w:t>
      </w:r>
      <w:r>
        <w:rPr>
          <w:rStyle w:val="20"/>
          <w:rFonts w:hint="eastAsia" w:ascii="仿宋" w:hAnsi="仿宋" w:eastAsia="仿宋"/>
          <w:bCs/>
          <w:color w:val="auto"/>
          <w:sz w:val="32"/>
          <w:szCs w:val="32"/>
          <w:highlight w:val="none"/>
        </w:rPr>
        <w:t>（项）</w:t>
      </w:r>
      <w:r>
        <w:rPr>
          <w:rStyle w:val="20"/>
          <w:rFonts w:hint="eastAsia" w:ascii="仿宋" w:hAnsi="仿宋" w:eastAsia="仿宋"/>
          <w:bCs/>
          <w:color w:val="auto"/>
          <w:sz w:val="32"/>
          <w:szCs w:val="32"/>
          <w:highlight w:val="none"/>
          <w:lang w:eastAsia="zh-CN"/>
        </w:rPr>
        <w:t>：</w:t>
      </w:r>
      <w:r>
        <w:rPr>
          <w:rStyle w:val="20"/>
          <w:rFonts w:hint="eastAsia" w:ascii="仿宋" w:hAnsi="仿宋" w:eastAsia="仿宋"/>
          <w:b w:val="0"/>
          <w:bCs/>
          <w:color w:val="auto"/>
          <w:sz w:val="32"/>
          <w:szCs w:val="32"/>
          <w:highlight w:val="none"/>
        </w:rPr>
        <w:t>支出决算为</w:t>
      </w:r>
      <w:r>
        <w:rPr>
          <w:rStyle w:val="20"/>
          <w:rFonts w:hint="eastAsia" w:ascii="仿宋" w:hAnsi="仿宋" w:eastAsia="仿宋"/>
          <w:b w:val="0"/>
          <w:bCs/>
          <w:color w:val="auto"/>
          <w:sz w:val="32"/>
          <w:szCs w:val="32"/>
          <w:highlight w:val="none"/>
          <w:lang w:val="en-US" w:eastAsia="zh-CN"/>
        </w:rPr>
        <w:t>2.03</w:t>
      </w:r>
      <w:r>
        <w:rPr>
          <w:rStyle w:val="20"/>
          <w:rFonts w:hint="eastAsia" w:ascii="仿宋" w:hAnsi="仿宋" w:eastAsia="仿宋"/>
          <w:b w:val="0"/>
          <w:bCs/>
          <w:color w:val="auto"/>
          <w:sz w:val="32"/>
          <w:szCs w:val="32"/>
          <w:highlight w:val="none"/>
        </w:rPr>
        <w:t>万元，完成预算</w:t>
      </w:r>
      <w:r>
        <w:rPr>
          <w:rStyle w:val="20"/>
          <w:rFonts w:hint="eastAsia" w:ascii="仿宋" w:hAnsi="仿宋" w:eastAsia="仿宋"/>
          <w:b w:val="0"/>
          <w:bCs/>
          <w:color w:val="auto"/>
          <w:sz w:val="32"/>
          <w:szCs w:val="32"/>
          <w:highlight w:val="none"/>
          <w:lang w:val="en-US" w:eastAsia="zh-CN"/>
        </w:rPr>
        <w:t>100</w:t>
      </w:r>
      <w:r>
        <w:rPr>
          <w:rStyle w:val="20"/>
          <w:rFonts w:ascii="仿宋" w:hAnsi="仿宋" w:eastAsia="仿宋"/>
          <w:b w:val="0"/>
          <w:bCs/>
          <w:color w:val="auto"/>
          <w:sz w:val="32"/>
          <w:szCs w:val="32"/>
          <w:highlight w:val="none"/>
        </w:rPr>
        <w:t>%</w:t>
      </w:r>
      <w:r>
        <w:rPr>
          <w:rStyle w:val="20"/>
          <w:rFonts w:hint="eastAsia" w:ascii="仿宋" w:hAnsi="仿宋" w:eastAsia="仿宋"/>
          <w:b w:val="0"/>
          <w:bCs/>
          <w:color w:val="auto"/>
          <w:sz w:val="32"/>
          <w:szCs w:val="32"/>
          <w:highlight w:val="none"/>
          <w:lang w:eastAsia="zh-CN"/>
        </w:rPr>
        <w:t>。</w:t>
      </w:r>
    </w:p>
    <w:p w14:paraId="3EA9E147">
      <w:pPr>
        <w:keepNext w:val="0"/>
        <w:keepLines w:val="0"/>
        <w:pageBreakBefore w:val="0"/>
        <w:widowControl w:val="0"/>
        <w:shd w:val="clear"/>
        <w:tabs>
          <w:tab w:val="right" w:pos="8306"/>
        </w:tabs>
        <w:kinsoku/>
        <w:wordWrap/>
        <w:overflowPunct/>
        <w:topLinePunct w:val="0"/>
        <w:bidi w:val="0"/>
        <w:snapToGrid/>
        <w:spacing w:line="576" w:lineRule="exact"/>
        <w:ind w:left="0" w:leftChars="0" w:right="0" w:firstLine="643" w:firstLineChars="200"/>
        <w:jc w:val="both"/>
        <w:textAlignment w:val="auto"/>
        <w:outlineLvl w:val="1"/>
        <w:rPr>
          <w:rStyle w:val="20"/>
          <w:rFonts w:hint="eastAsia" w:ascii="仿宋" w:hAnsi="仿宋" w:eastAsia="仿宋"/>
          <w:b w:val="0"/>
          <w:bCs/>
          <w:color w:val="auto"/>
          <w:sz w:val="32"/>
          <w:szCs w:val="32"/>
          <w:highlight w:val="none"/>
          <w:lang w:eastAsia="zh-CN"/>
        </w:rPr>
      </w:pPr>
      <w:bookmarkStart w:id="52" w:name="_Toc32610"/>
      <w:r>
        <w:rPr>
          <w:rStyle w:val="20"/>
          <w:rFonts w:hint="eastAsia" w:ascii="仿宋" w:hAnsi="仿宋" w:eastAsia="仿宋"/>
          <w:bCs/>
          <w:color w:val="auto"/>
          <w:sz w:val="32"/>
          <w:szCs w:val="32"/>
          <w:highlight w:val="none"/>
          <w:lang w:val="en-US" w:eastAsia="zh-CN"/>
        </w:rPr>
        <w:t>22.灾害防治及应急管理支出</w:t>
      </w:r>
      <w:r>
        <w:rPr>
          <w:rStyle w:val="20"/>
          <w:rFonts w:hint="eastAsia" w:ascii="仿宋" w:hAnsi="仿宋" w:eastAsia="仿宋"/>
          <w:bCs/>
          <w:color w:val="auto"/>
          <w:sz w:val="32"/>
          <w:szCs w:val="32"/>
          <w:highlight w:val="none"/>
        </w:rPr>
        <w:t>（类）</w:t>
      </w:r>
      <w:r>
        <w:rPr>
          <w:rStyle w:val="20"/>
          <w:rFonts w:hint="eastAsia" w:ascii="仿宋" w:hAnsi="仿宋" w:eastAsia="仿宋"/>
          <w:bCs/>
          <w:color w:val="auto"/>
          <w:sz w:val="32"/>
          <w:szCs w:val="32"/>
          <w:highlight w:val="none"/>
          <w:lang w:val="en-US" w:eastAsia="zh-CN"/>
        </w:rPr>
        <w:t>自然灾害防治</w:t>
      </w:r>
      <w:r>
        <w:rPr>
          <w:rStyle w:val="20"/>
          <w:rFonts w:hint="eastAsia" w:ascii="仿宋" w:hAnsi="仿宋" w:eastAsia="仿宋"/>
          <w:bCs/>
          <w:color w:val="auto"/>
          <w:sz w:val="32"/>
          <w:szCs w:val="32"/>
          <w:highlight w:val="none"/>
        </w:rPr>
        <w:t>（款</w:t>
      </w:r>
      <w:r>
        <w:rPr>
          <w:rStyle w:val="20"/>
          <w:rFonts w:hint="eastAsia" w:ascii="仿宋" w:hAnsi="仿宋" w:eastAsia="仿宋"/>
          <w:bCs/>
          <w:color w:val="auto"/>
          <w:sz w:val="32"/>
          <w:szCs w:val="32"/>
          <w:highlight w:val="none"/>
          <w:lang w:eastAsia="zh-CN"/>
        </w:rPr>
        <w:t>）</w:t>
      </w:r>
      <w:r>
        <w:rPr>
          <w:rStyle w:val="20"/>
          <w:rFonts w:hint="eastAsia" w:ascii="仿宋" w:hAnsi="仿宋" w:eastAsia="仿宋"/>
          <w:bCs/>
          <w:color w:val="auto"/>
          <w:sz w:val="32"/>
          <w:szCs w:val="32"/>
          <w:highlight w:val="none"/>
          <w:lang w:val="en-US" w:eastAsia="zh-CN"/>
        </w:rPr>
        <w:t>地质灾害防治</w:t>
      </w:r>
      <w:r>
        <w:rPr>
          <w:rStyle w:val="20"/>
          <w:rFonts w:hint="eastAsia" w:ascii="仿宋" w:hAnsi="仿宋" w:eastAsia="仿宋"/>
          <w:bCs/>
          <w:color w:val="auto"/>
          <w:sz w:val="32"/>
          <w:szCs w:val="32"/>
          <w:highlight w:val="none"/>
        </w:rPr>
        <w:t>（项）</w:t>
      </w:r>
      <w:r>
        <w:rPr>
          <w:rStyle w:val="20"/>
          <w:rFonts w:hint="eastAsia" w:ascii="仿宋" w:hAnsi="仿宋" w:eastAsia="仿宋"/>
          <w:bCs/>
          <w:color w:val="auto"/>
          <w:sz w:val="32"/>
          <w:szCs w:val="32"/>
          <w:highlight w:val="none"/>
          <w:lang w:eastAsia="zh-CN"/>
        </w:rPr>
        <w:t>：</w:t>
      </w:r>
      <w:r>
        <w:rPr>
          <w:rStyle w:val="20"/>
          <w:rFonts w:hint="eastAsia" w:ascii="仿宋" w:hAnsi="仿宋" w:eastAsia="仿宋"/>
          <w:b w:val="0"/>
          <w:bCs/>
          <w:color w:val="auto"/>
          <w:sz w:val="32"/>
          <w:szCs w:val="32"/>
          <w:highlight w:val="none"/>
        </w:rPr>
        <w:t>支出决算为</w:t>
      </w:r>
      <w:r>
        <w:rPr>
          <w:rStyle w:val="20"/>
          <w:rFonts w:hint="eastAsia" w:ascii="仿宋" w:hAnsi="仿宋" w:eastAsia="仿宋"/>
          <w:b w:val="0"/>
          <w:bCs/>
          <w:color w:val="auto"/>
          <w:sz w:val="32"/>
          <w:szCs w:val="32"/>
          <w:highlight w:val="none"/>
          <w:lang w:val="en-US" w:eastAsia="zh-CN"/>
        </w:rPr>
        <w:t>98.12</w:t>
      </w:r>
      <w:r>
        <w:rPr>
          <w:rStyle w:val="20"/>
          <w:rFonts w:hint="eastAsia" w:ascii="仿宋" w:hAnsi="仿宋" w:eastAsia="仿宋"/>
          <w:b w:val="0"/>
          <w:bCs/>
          <w:color w:val="auto"/>
          <w:sz w:val="32"/>
          <w:szCs w:val="32"/>
          <w:highlight w:val="none"/>
        </w:rPr>
        <w:t>万元，完成预算</w:t>
      </w:r>
      <w:r>
        <w:rPr>
          <w:rStyle w:val="20"/>
          <w:rFonts w:hint="eastAsia" w:ascii="仿宋" w:hAnsi="仿宋" w:eastAsia="仿宋"/>
          <w:b w:val="0"/>
          <w:bCs/>
          <w:color w:val="auto"/>
          <w:sz w:val="32"/>
          <w:szCs w:val="32"/>
          <w:highlight w:val="none"/>
          <w:lang w:val="en-US" w:eastAsia="zh-CN"/>
        </w:rPr>
        <w:t>100</w:t>
      </w:r>
      <w:r>
        <w:rPr>
          <w:rStyle w:val="20"/>
          <w:rFonts w:ascii="仿宋" w:hAnsi="仿宋" w:eastAsia="仿宋"/>
          <w:b w:val="0"/>
          <w:bCs/>
          <w:color w:val="auto"/>
          <w:sz w:val="32"/>
          <w:szCs w:val="32"/>
          <w:highlight w:val="none"/>
        </w:rPr>
        <w:t>%</w:t>
      </w:r>
      <w:bookmarkEnd w:id="52"/>
      <w:bookmarkStart w:id="53" w:name="_Toc15396608"/>
      <w:bookmarkStart w:id="54" w:name="_Toc15377214"/>
      <w:r>
        <w:rPr>
          <w:rStyle w:val="20"/>
          <w:rFonts w:hint="eastAsia" w:ascii="仿宋" w:hAnsi="仿宋" w:eastAsia="仿宋"/>
          <w:b w:val="0"/>
          <w:bCs/>
          <w:color w:val="auto"/>
          <w:sz w:val="32"/>
          <w:szCs w:val="32"/>
          <w:highlight w:val="none"/>
          <w:lang w:eastAsia="zh-CN"/>
        </w:rPr>
        <w:t>。</w:t>
      </w:r>
    </w:p>
    <w:p w14:paraId="11AE5153">
      <w:pPr>
        <w:keepNext w:val="0"/>
        <w:keepLines w:val="0"/>
        <w:pageBreakBefore w:val="0"/>
        <w:widowControl w:val="0"/>
        <w:shd w:val="clear"/>
        <w:tabs>
          <w:tab w:val="right" w:pos="8306"/>
        </w:tabs>
        <w:kinsoku/>
        <w:wordWrap/>
        <w:overflowPunct/>
        <w:topLinePunct w:val="0"/>
        <w:bidi w:val="0"/>
        <w:snapToGrid/>
        <w:spacing w:line="576" w:lineRule="exact"/>
        <w:ind w:left="0" w:leftChars="0" w:right="0" w:firstLine="640" w:firstLineChars="200"/>
        <w:jc w:val="both"/>
        <w:textAlignment w:val="auto"/>
        <w:outlineLvl w:val="1"/>
        <w:rPr>
          <w:rStyle w:val="23"/>
          <w:color w:val="auto"/>
          <w:highlight w:val="none"/>
        </w:rPr>
      </w:pPr>
      <w:bookmarkStart w:id="55" w:name="_Toc23181"/>
      <w:r>
        <w:rPr>
          <w:rFonts w:hint="eastAsia" w:ascii="黑体" w:eastAsia="黑体"/>
          <w:color w:val="auto"/>
          <w:sz w:val="32"/>
          <w:szCs w:val="32"/>
          <w:highlight w:val="none"/>
        </w:rPr>
        <w:t>六</w:t>
      </w:r>
      <w:r>
        <w:rPr>
          <w:rFonts w:hint="eastAsia" w:ascii="黑体" w:eastAsia="黑体"/>
          <w:b/>
          <w:color w:val="auto"/>
          <w:sz w:val="32"/>
          <w:szCs w:val="32"/>
          <w:highlight w:val="none"/>
        </w:rPr>
        <w:t>、</w:t>
      </w:r>
      <w:r>
        <w:rPr>
          <w:rFonts w:hint="eastAsia" w:ascii="黑体" w:hAnsi="黑体" w:eastAsia="黑体"/>
          <w:b/>
          <w:color w:val="auto"/>
          <w:sz w:val="32"/>
          <w:szCs w:val="32"/>
          <w:highlight w:val="none"/>
        </w:rPr>
        <w:t>一</w:t>
      </w:r>
      <w:r>
        <w:rPr>
          <w:rStyle w:val="23"/>
          <w:rFonts w:hint="eastAsia" w:ascii="黑体" w:hAnsi="黑体" w:eastAsia="黑体"/>
          <w:b w:val="0"/>
          <w:color w:val="auto"/>
          <w:highlight w:val="none"/>
        </w:rPr>
        <w:t>般公共预算财政拨款基本支出决算情况说明</w:t>
      </w:r>
      <w:bookmarkEnd w:id="53"/>
      <w:bookmarkEnd w:id="54"/>
      <w:bookmarkEnd w:id="55"/>
      <w:r>
        <w:rPr>
          <w:rStyle w:val="23"/>
          <w:rFonts w:ascii="黑体" w:hAnsi="黑体" w:eastAsia="黑体"/>
          <w:b w:val="0"/>
          <w:color w:val="auto"/>
          <w:highlight w:val="none"/>
        </w:rPr>
        <w:tab/>
      </w:r>
    </w:p>
    <w:p w14:paraId="6B12A8AF">
      <w:pPr>
        <w:keepNext w:val="0"/>
        <w:keepLines w:val="0"/>
        <w:pageBreakBefore w:val="0"/>
        <w:widowControl w:val="0"/>
        <w:shd w:val="clear"/>
        <w:kinsoku/>
        <w:wordWrap/>
        <w:overflowPunct/>
        <w:topLinePunct w:val="0"/>
        <w:bidi w:val="0"/>
        <w:snapToGrid/>
        <w:spacing w:line="576" w:lineRule="exact"/>
        <w:ind w:left="0" w:leftChars="0" w:right="0" w:firstLine="640" w:firstLineChars="200"/>
        <w:jc w:val="both"/>
        <w:textAlignment w:val="auto"/>
        <w:rPr>
          <w:rFonts w:ascii="仿宋" w:hAnsi="仿宋" w:eastAsia="仿宋"/>
          <w:color w:val="auto"/>
          <w:sz w:val="32"/>
          <w:szCs w:val="32"/>
          <w:highlight w:val="none"/>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23</w:t>
      </w:r>
      <w:r>
        <w:rPr>
          <w:rFonts w:hint="eastAsia" w:ascii="仿宋" w:hAnsi="仿宋" w:eastAsia="仿宋"/>
          <w:color w:val="auto"/>
          <w:sz w:val="32"/>
          <w:szCs w:val="32"/>
          <w:highlight w:val="none"/>
        </w:rPr>
        <w:t>年一般公共预算财政拨款基本支出</w:t>
      </w:r>
      <w:r>
        <w:rPr>
          <w:rFonts w:hint="eastAsia" w:ascii="仿宋" w:hAnsi="仿宋" w:eastAsia="仿宋"/>
          <w:color w:val="auto"/>
          <w:sz w:val="32"/>
          <w:szCs w:val="32"/>
          <w:highlight w:val="none"/>
          <w:lang w:val="en-US" w:eastAsia="zh-CN"/>
        </w:rPr>
        <w:t>3523.43</w:t>
      </w:r>
      <w:r>
        <w:rPr>
          <w:rFonts w:hint="eastAsia" w:ascii="仿宋" w:hAnsi="仿宋" w:eastAsia="仿宋"/>
          <w:color w:val="auto"/>
          <w:sz w:val="32"/>
          <w:szCs w:val="32"/>
          <w:highlight w:val="none"/>
        </w:rPr>
        <w:t>万元，其中：</w:t>
      </w:r>
    </w:p>
    <w:p w14:paraId="62B04185">
      <w:pPr>
        <w:keepNext w:val="0"/>
        <w:keepLines w:val="0"/>
        <w:pageBreakBefore w:val="0"/>
        <w:widowControl w:val="0"/>
        <w:shd w:val="clear"/>
        <w:kinsoku/>
        <w:wordWrap/>
        <w:overflowPunct/>
        <w:topLinePunct w:val="0"/>
        <w:bidi w:val="0"/>
        <w:snapToGrid/>
        <w:spacing w:line="576" w:lineRule="exact"/>
        <w:ind w:left="0" w:leftChars="0" w:right="0" w:firstLine="640" w:firstLineChars="200"/>
        <w:jc w:val="both"/>
        <w:textAlignment w:val="auto"/>
        <w:rPr>
          <w:rFonts w:hint="eastAsia" w:ascii="仿宋" w:hAnsi="仿宋" w:eastAsia="仿宋"/>
          <w:color w:val="auto"/>
          <w:sz w:val="32"/>
          <w:szCs w:val="32"/>
          <w:highlight w:val="none"/>
        </w:rPr>
      </w:pPr>
      <w:r>
        <w:rPr>
          <w:rFonts w:hint="eastAsia" w:ascii="仿宋" w:hAnsi="仿宋" w:eastAsia="仿宋"/>
          <w:color w:val="auto"/>
          <w:sz w:val="32"/>
          <w:szCs w:val="32"/>
          <w:highlight w:val="none"/>
        </w:rPr>
        <w:t>人员经费</w:t>
      </w:r>
      <w:r>
        <w:rPr>
          <w:rFonts w:hint="eastAsia" w:ascii="仿宋" w:hAnsi="仿宋" w:eastAsia="仿宋"/>
          <w:color w:val="auto"/>
          <w:sz w:val="32"/>
          <w:szCs w:val="32"/>
          <w:highlight w:val="none"/>
          <w:lang w:val="en-US" w:eastAsia="zh-CN"/>
        </w:rPr>
        <w:t>3131.42</w:t>
      </w:r>
      <w:r>
        <w:rPr>
          <w:rFonts w:hint="eastAsia" w:ascii="仿宋" w:hAnsi="仿宋" w:eastAsia="仿宋"/>
          <w:color w:val="auto"/>
          <w:sz w:val="32"/>
          <w:szCs w:val="32"/>
          <w:highlight w:val="none"/>
        </w:rPr>
        <w:t>万元，主要包括：基本工资、津贴补贴、奖金、绩效工资、机关事业单位基本养老保险缴费、职业年金缴费、</w:t>
      </w:r>
      <w:r>
        <w:rPr>
          <w:rFonts w:hint="eastAsia" w:ascii="仿宋" w:hAnsi="仿宋" w:eastAsia="仿宋"/>
          <w:color w:val="auto"/>
          <w:sz w:val="32"/>
          <w:szCs w:val="32"/>
          <w:highlight w:val="none"/>
          <w:lang w:val="en-US" w:eastAsia="zh-CN"/>
        </w:rPr>
        <w:t>职工基本医疗保险缴费、</w:t>
      </w:r>
      <w:r>
        <w:rPr>
          <w:rFonts w:hint="eastAsia" w:ascii="仿宋" w:hAnsi="仿宋" w:eastAsia="仿宋"/>
          <w:color w:val="auto"/>
          <w:sz w:val="32"/>
          <w:szCs w:val="32"/>
          <w:highlight w:val="none"/>
        </w:rPr>
        <w:t>其他社会保障缴费、住房公积金、生活补助、</w:t>
      </w:r>
      <w:r>
        <w:rPr>
          <w:rFonts w:hint="eastAsia" w:ascii="仿宋" w:hAnsi="仿宋" w:eastAsia="仿宋"/>
          <w:color w:val="auto"/>
          <w:sz w:val="32"/>
          <w:szCs w:val="32"/>
          <w:highlight w:val="none"/>
          <w:lang w:val="en-US" w:eastAsia="zh-CN"/>
        </w:rPr>
        <w:t>奖励金、</w:t>
      </w:r>
      <w:r>
        <w:rPr>
          <w:rFonts w:hint="eastAsia" w:ascii="仿宋" w:hAnsi="仿宋" w:eastAsia="仿宋"/>
          <w:color w:val="auto"/>
          <w:sz w:val="32"/>
          <w:szCs w:val="32"/>
          <w:highlight w:val="none"/>
        </w:rPr>
        <w:t>其他对个人和家庭的补助支出。</w:t>
      </w:r>
    </w:p>
    <w:p w14:paraId="0BF337F7">
      <w:pPr>
        <w:keepNext w:val="0"/>
        <w:keepLines w:val="0"/>
        <w:pageBreakBefore w:val="0"/>
        <w:widowControl w:val="0"/>
        <w:shd w:val="clear"/>
        <w:kinsoku/>
        <w:wordWrap/>
        <w:overflowPunct/>
        <w:topLinePunct w:val="0"/>
        <w:bidi w:val="0"/>
        <w:snapToGrid/>
        <w:spacing w:line="576" w:lineRule="exact"/>
        <w:ind w:left="0" w:leftChars="0" w:right="0" w:firstLine="640" w:firstLineChars="200"/>
        <w:jc w:val="both"/>
        <w:textAlignment w:val="auto"/>
        <w:rPr>
          <w:rFonts w:hint="eastAsia"/>
          <w:color w:val="auto"/>
          <w:highlight w:val="none"/>
          <w:lang w:eastAsia="zh-CN"/>
        </w:rPr>
      </w:pPr>
      <w:r>
        <w:rPr>
          <w:rFonts w:hint="eastAsia" w:ascii="仿宋" w:hAnsi="仿宋" w:eastAsia="仿宋"/>
          <w:color w:val="auto"/>
          <w:sz w:val="32"/>
          <w:szCs w:val="32"/>
          <w:highlight w:val="none"/>
        </w:rPr>
        <w:t>公用经费</w:t>
      </w:r>
      <w:r>
        <w:rPr>
          <w:rFonts w:hint="eastAsia" w:ascii="仿宋" w:hAnsi="仿宋" w:eastAsia="仿宋"/>
          <w:color w:val="auto"/>
          <w:sz w:val="32"/>
          <w:szCs w:val="32"/>
          <w:highlight w:val="none"/>
          <w:lang w:val="en-US" w:eastAsia="zh-CN"/>
        </w:rPr>
        <w:t>392.01</w:t>
      </w:r>
      <w:r>
        <w:rPr>
          <w:rFonts w:hint="eastAsia" w:ascii="仿宋" w:hAnsi="仿宋" w:eastAsia="仿宋"/>
          <w:color w:val="auto"/>
          <w:sz w:val="32"/>
          <w:szCs w:val="32"/>
          <w:highlight w:val="none"/>
        </w:rPr>
        <w:t>万元，主要包括：办公费、印刷费、手续费、水费、电费、邮电费、物业管理费、差旅费、维修（护）费、租赁费、会议费、培训费、公务接待费、劳务费、工会经费、福利费、公务用车运行维护费、其他交通费</w:t>
      </w:r>
      <w:r>
        <w:rPr>
          <w:rFonts w:hint="eastAsia" w:ascii="仿宋" w:hAnsi="仿宋" w:eastAsia="仿宋"/>
          <w:color w:val="auto"/>
          <w:sz w:val="32"/>
          <w:szCs w:val="32"/>
          <w:highlight w:val="none"/>
          <w:lang w:val="en-US" w:eastAsia="zh-CN"/>
        </w:rPr>
        <w:t>用</w:t>
      </w:r>
      <w:r>
        <w:rPr>
          <w:rFonts w:hint="eastAsia" w:ascii="仿宋" w:hAnsi="仿宋" w:eastAsia="仿宋"/>
          <w:color w:val="auto"/>
          <w:sz w:val="32"/>
          <w:szCs w:val="32"/>
          <w:highlight w:val="none"/>
        </w:rPr>
        <w:t>、其他商品和服务支出、办公设备购置</w:t>
      </w:r>
      <w:r>
        <w:rPr>
          <w:rFonts w:hint="eastAsia" w:ascii="仿宋" w:hAnsi="仿宋" w:eastAsia="仿宋"/>
          <w:color w:val="auto"/>
          <w:sz w:val="32"/>
          <w:szCs w:val="32"/>
          <w:highlight w:val="none"/>
          <w:lang w:val="en-US" w:eastAsia="zh-CN"/>
        </w:rPr>
        <w:t>。</w:t>
      </w:r>
    </w:p>
    <w:p w14:paraId="5E4E9D1C">
      <w:pPr>
        <w:keepNext w:val="0"/>
        <w:keepLines w:val="0"/>
        <w:pageBreakBefore w:val="0"/>
        <w:widowControl w:val="0"/>
        <w:shd w:val="clear"/>
        <w:kinsoku/>
        <w:wordWrap/>
        <w:overflowPunct/>
        <w:topLinePunct w:val="0"/>
        <w:bidi w:val="0"/>
        <w:snapToGrid/>
        <w:spacing w:line="576" w:lineRule="exact"/>
        <w:ind w:left="0" w:leftChars="0" w:right="0" w:firstLine="640" w:firstLineChars="200"/>
        <w:jc w:val="both"/>
        <w:textAlignment w:val="auto"/>
        <w:outlineLvl w:val="1"/>
        <w:rPr>
          <w:rStyle w:val="23"/>
          <w:rFonts w:ascii="黑体" w:hAnsi="黑体" w:eastAsia="黑体"/>
          <w:b w:val="0"/>
          <w:color w:val="auto"/>
          <w:highlight w:val="none"/>
        </w:rPr>
      </w:pPr>
      <w:bookmarkStart w:id="56" w:name="_Toc25735"/>
      <w:bookmarkStart w:id="57" w:name="_Toc15377215"/>
      <w:bookmarkStart w:id="58" w:name="_Toc15396609"/>
      <w:r>
        <w:rPr>
          <w:rFonts w:hint="eastAsia" w:ascii="黑体" w:eastAsia="黑体"/>
          <w:color w:val="auto"/>
          <w:sz w:val="32"/>
          <w:szCs w:val="32"/>
          <w:highlight w:val="none"/>
        </w:rPr>
        <w:t>七、</w:t>
      </w:r>
      <w:r>
        <w:rPr>
          <w:rStyle w:val="23"/>
          <w:rFonts w:hint="eastAsia" w:ascii="黑体" w:hAnsi="黑体" w:eastAsia="黑体"/>
          <w:b w:val="0"/>
          <w:color w:val="auto"/>
          <w:highlight w:val="none"/>
        </w:rPr>
        <w:t>财政拨款</w:t>
      </w:r>
      <w:r>
        <w:rPr>
          <w:rStyle w:val="23"/>
          <w:rFonts w:hint="eastAsia" w:ascii="黑体" w:hAnsi="黑体" w:eastAsia="黑体"/>
          <w:color w:val="auto"/>
          <w:highlight w:val="none"/>
        </w:rPr>
        <w:t>“</w:t>
      </w:r>
      <w:r>
        <w:rPr>
          <w:rStyle w:val="23"/>
          <w:rFonts w:hint="eastAsia" w:ascii="黑体" w:hAnsi="黑体" w:eastAsia="黑体"/>
          <w:b w:val="0"/>
          <w:color w:val="auto"/>
          <w:highlight w:val="none"/>
        </w:rPr>
        <w:t>三公”经费支出决算情况说明</w:t>
      </w:r>
      <w:bookmarkEnd w:id="56"/>
      <w:bookmarkEnd w:id="57"/>
      <w:bookmarkEnd w:id="58"/>
    </w:p>
    <w:p w14:paraId="096D907D">
      <w:pPr>
        <w:keepNext w:val="0"/>
        <w:keepLines w:val="0"/>
        <w:pageBreakBefore w:val="0"/>
        <w:widowControl w:val="0"/>
        <w:shd w:val="clear"/>
        <w:kinsoku/>
        <w:wordWrap/>
        <w:overflowPunct/>
        <w:topLinePunct w:val="0"/>
        <w:bidi w:val="0"/>
        <w:snapToGrid/>
        <w:spacing w:line="576" w:lineRule="exact"/>
        <w:ind w:left="0" w:leftChars="0" w:right="0" w:firstLine="643" w:firstLineChars="200"/>
        <w:jc w:val="both"/>
        <w:textAlignment w:val="auto"/>
        <w:outlineLvl w:val="2"/>
        <w:rPr>
          <w:rFonts w:hint="eastAsia" w:ascii="楷体_GB2312" w:hAnsi="楷体_GB2312" w:eastAsia="楷体_GB2312" w:cs="楷体_GB2312"/>
          <w:b/>
          <w:color w:val="auto"/>
          <w:sz w:val="32"/>
          <w:szCs w:val="32"/>
          <w:highlight w:val="none"/>
        </w:rPr>
      </w:pPr>
      <w:bookmarkStart w:id="59" w:name="_Toc15377216"/>
      <w:r>
        <w:rPr>
          <w:rFonts w:hint="eastAsia" w:ascii="楷体_GB2312" w:hAnsi="楷体_GB2312" w:eastAsia="楷体_GB2312" w:cs="楷体_GB2312"/>
          <w:b/>
          <w:color w:val="auto"/>
          <w:sz w:val="32"/>
          <w:szCs w:val="32"/>
          <w:highlight w:val="none"/>
        </w:rPr>
        <w:t>（一）“三公”经费财政拨款支出决算总体情况说明</w:t>
      </w:r>
      <w:bookmarkEnd w:id="59"/>
    </w:p>
    <w:p w14:paraId="1816110C">
      <w:pPr>
        <w:keepNext w:val="0"/>
        <w:keepLines w:val="0"/>
        <w:pageBreakBefore w:val="0"/>
        <w:widowControl w:val="0"/>
        <w:shd w:val="clear"/>
        <w:kinsoku/>
        <w:wordWrap/>
        <w:overflowPunct/>
        <w:topLinePunct w:val="0"/>
        <w:bidi w:val="0"/>
        <w:snapToGrid/>
        <w:spacing w:line="576" w:lineRule="exact"/>
        <w:ind w:left="0" w:leftChars="0" w:right="0" w:firstLine="640" w:firstLineChars="200"/>
        <w:jc w:val="both"/>
        <w:textAlignment w:val="auto"/>
        <w:rPr>
          <w:rFonts w:hint="default" w:ascii="仿宋" w:hAnsi="仿宋" w:eastAsia="仿宋"/>
          <w:color w:val="auto"/>
          <w:sz w:val="32"/>
          <w:szCs w:val="32"/>
          <w:highlight w:val="none"/>
          <w:lang w:val="en-US"/>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23</w:t>
      </w:r>
      <w:r>
        <w:rPr>
          <w:rFonts w:hint="eastAsia" w:ascii="仿宋" w:hAnsi="仿宋" w:eastAsia="仿宋"/>
          <w:color w:val="auto"/>
          <w:sz w:val="32"/>
          <w:szCs w:val="32"/>
          <w:highlight w:val="none"/>
        </w:rPr>
        <w:t>年“三公”经费财政拨款支出决算为</w:t>
      </w:r>
      <w:r>
        <w:rPr>
          <w:rFonts w:hint="eastAsia" w:ascii="仿宋" w:hAnsi="仿宋" w:eastAsia="仿宋"/>
          <w:color w:val="auto"/>
          <w:sz w:val="32"/>
          <w:szCs w:val="32"/>
          <w:highlight w:val="none"/>
          <w:lang w:val="en-US" w:eastAsia="zh-CN"/>
        </w:rPr>
        <w:t>52.45</w:t>
      </w:r>
      <w:r>
        <w:rPr>
          <w:rFonts w:hint="eastAsia" w:ascii="仿宋" w:hAnsi="仿宋" w:eastAsia="仿宋"/>
          <w:color w:val="auto"/>
          <w:sz w:val="32"/>
          <w:szCs w:val="32"/>
          <w:highlight w:val="none"/>
        </w:rPr>
        <w:t>万元，完成预算</w:t>
      </w:r>
      <w:r>
        <w:rPr>
          <w:rFonts w:hint="eastAsia" w:ascii="仿宋" w:hAnsi="仿宋" w:eastAsia="仿宋"/>
          <w:color w:val="auto"/>
          <w:sz w:val="32"/>
          <w:szCs w:val="32"/>
          <w:highlight w:val="none"/>
          <w:lang w:val="en-US" w:eastAsia="zh-CN"/>
        </w:rPr>
        <w:t>93.56</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r>
        <w:rPr>
          <w:rFonts w:hint="eastAsia" w:ascii="仿宋" w:hAnsi="仿宋" w:eastAsia="仿宋"/>
          <w:color w:val="auto"/>
          <w:sz w:val="32"/>
          <w:szCs w:val="32"/>
          <w:highlight w:val="none"/>
          <w:lang w:eastAsia="zh-CN"/>
        </w:rPr>
        <w:t>较上年</w:t>
      </w:r>
      <w:r>
        <w:rPr>
          <w:rFonts w:hint="eastAsia" w:ascii="仿宋" w:hAnsi="仿宋" w:eastAsia="仿宋"/>
          <w:color w:val="auto"/>
          <w:sz w:val="32"/>
          <w:szCs w:val="32"/>
          <w:highlight w:val="none"/>
          <w:lang w:val="en-US" w:eastAsia="zh-CN"/>
        </w:rPr>
        <w:t>减少25.62万元，下降31.37%。决算数小于预算数的主要原因</w:t>
      </w:r>
      <w:r>
        <w:rPr>
          <w:rFonts w:hint="eastAsia" w:ascii="仿宋" w:hAnsi="仿宋" w:eastAsia="仿宋"/>
          <w:color w:val="auto"/>
          <w:sz w:val="32"/>
          <w:szCs w:val="32"/>
          <w:highlight w:val="none"/>
        </w:rPr>
        <w:t>是</w:t>
      </w:r>
      <w:r>
        <w:rPr>
          <w:rFonts w:hint="eastAsia" w:ascii="仿宋" w:hAnsi="仿宋" w:eastAsia="仿宋"/>
          <w:color w:val="auto"/>
          <w:sz w:val="32"/>
          <w:szCs w:val="32"/>
          <w:highlight w:val="none"/>
          <w:lang w:val="en-US" w:eastAsia="zh-CN"/>
        </w:rPr>
        <w:t>公务接待费和公务用车运行维护费厉行勤俭节约，压缩开支。</w:t>
      </w:r>
    </w:p>
    <w:p w14:paraId="6C702E0F">
      <w:pPr>
        <w:keepNext w:val="0"/>
        <w:keepLines w:val="0"/>
        <w:pageBreakBefore w:val="0"/>
        <w:widowControl w:val="0"/>
        <w:shd w:val="clear"/>
        <w:kinsoku/>
        <w:wordWrap/>
        <w:overflowPunct/>
        <w:topLinePunct w:val="0"/>
        <w:bidi w:val="0"/>
        <w:snapToGrid/>
        <w:spacing w:line="576" w:lineRule="exact"/>
        <w:ind w:left="0" w:leftChars="0" w:right="0" w:firstLine="643" w:firstLineChars="200"/>
        <w:jc w:val="both"/>
        <w:textAlignment w:val="auto"/>
        <w:outlineLvl w:val="2"/>
        <w:rPr>
          <w:rFonts w:hint="eastAsia" w:ascii="楷体_GB2312" w:hAnsi="楷体_GB2312" w:eastAsia="楷体_GB2312" w:cs="楷体_GB2312"/>
          <w:b/>
          <w:color w:val="auto"/>
          <w:sz w:val="32"/>
          <w:szCs w:val="32"/>
          <w:highlight w:val="none"/>
        </w:rPr>
      </w:pPr>
      <w:bookmarkStart w:id="60" w:name="_Toc15377217"/>
      <w:r>
        <w:rPr>
          <w:rFonts w:hint="eastAsia" w:ascii="楷体_GB2312" w:hAnsi="楷体_GB2312" w:eastAsia="楷体_GB2312" w:cs="楷体_GB2312"/>
          <w:b/>
          <w:color w:val="auto"/>
          <w:sz w:val="32"/>
          <w:szCs w:val="32"/>
          <w:highlight w:val="none"/>
        </w:rPr>
        <w:t>（二）“三公”经费财政拨款支出决算具体情况说明</w:t>
      </w:r>
      <w:bookmarkEnd w:id="60"/>
    </w:p>
    <w:p w14:paraId="39F2A2D5">
      <w:pPr>
        <w:keepNext w:val="0"/>
        <w:keepLines w:val="0"/>
        <w:pageBreakBefore w:val="0"/>
        <w:widowControl w:val="0"/>
        <w:shd w:val="clear"/>
        <w:kinsoku/>
        <w:wordWrap/>
        <w:overflowPunct/>
        <w:topLinePunct w:val="0"/>
        <w:bidi w:val="0"/>
        <w:snapToGrid/>
        <w:spacing w:line="576" w:lineRule="exact"/>
        <w:ind w:left="0" w:leftChars="0" w:right="0" w:firstLine="640" w:firstLineChars="200"/>
        <w:jc w:val="both"/>
        <w:textAlignment w:val="auto"/>
        <w:rPr>
          <w:rFonts w:hint="eastAsia" w:ascii="仿宋" w:hAnsi="仿宋" w:eastAsia="仿宋"/>
          <w:color w:val="auto"/>
          <w:sz w:val="32"/>
          <w:szCs w:val="32"/>
          <w:highlight w:val="none"/>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23</w:t>
      </w:r>
      <w:r>
        <w:rPr>
          <w:rFonts w:hint="eastAsia" w:ascii="仿宋" w:hAnsi="仿宋" w:eastAsia="仿宋"/>
          <w:color w:val="auto"/>
          <w:sz w:val="32"/>
          <w:szCs w:val="32"/>
          <w:highlight w:val="none"/>
        </w:rPr>
        <w:t>年“三公”经费财政拨款支出决算中，因公出国（境）费支出决算</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w:t>
      </w:r>
      <w:r>
        <w:rPr>
          <w:rFonts w:ascii="仿宋" w:hAnsi="仿宋" w:eastAsia="仿宋"/>
          <w:color w:val="auto"/>
          <w:sz w:val="32"/>
          <w:szCs w:val="32"/>
          <w:highlight w:val="none"/>
        </w:rPr>
        <w:t>%</w:t>
      </w:r>
      <w:r>
        <w:rPr>
          <w:rFonts w:hint="eastAsia" w:ascii="仿宋" w:hAnsi="仿宋" w:eastAsia="仿宋"/>
          <w:color w:val="auto"/>
          <w:sz w:val="32"/>
          <w:szCs w:val="32"/>
          <w:highlight w:val="none"/>
        </w:rPr>
        <w:t>；公务用车购置及运行维护费支出决算</w:t>
      </w:r>
      <w:r>
        <w:rPr>
          <w:rFonts w:hint="eastAsia" w:ascii="仿宋" w:hAnsi="仿宋" w:eastAsia="仿宋"/>
          <w:color w:val="auto"/>
          <w:sz w:val="32"/>
          <w:szCs w:val="32"/>
          <w:highlight w:val="none"/>
          <w:lang w:val="en-US" w:eastAsia="zh-CN"/>
        </w:rPr>
        <w:t>37.8</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72.07</w:t>
      </w:r>
      <w:r>
        <w:rPr>
          <w:rFonts w:ascii="仿宋" w:hAnsi="仿宋" w:eastAsia="仿宋"/>
          <w:color w:val="auto"/>
          <w:sz w:val="32"/>
          <w:szCs w:val="32"/>
          <w:highlight w:val="none"/>
        </w:rPr>
        <w:t>%</w:t>
      </w:r>
      <w:r>
        <w:rPr>
          <w:rFonts w:hint="eastAsia" w:ascii="仿宋" w:hAnsi="仿宋" w:eastAsia="仿宋"/>
          <w:color w:val="auto"/>
          <w:sz w:val="32"/>
          <w:szCs w:val="32"/>
          <w:highlight w:val="none"/>
        </w:rPr>
        <w:t>；公务接待费支出决算</w:t>
      </w:r>
      <w:r>
        <w:rPr>
          <w:rFonts w:hint="eastAsia" w:ascii="仿宋" w:hAnsi="仿宋" w:eastAsia="仿宋"/>
          <w:color w:val="auto"/>
          <w:sz w:val="32"/>
          <w:szCs w:val="32"/>
          <w:highlight w:val="none"/>
          <w:lang w:val="en-US" w:eastAsia="zh-CN"/>
        </w:rPr>
        <w:t>14.65</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27.93</w:t>
      </w:r>
      <w:r>
        <w:rPr>
          <w:rFonts w:ascii="仿宋" w:hAnsi="仿宋" w:eastAsia="仿宋"/>
          <w:color w:val="auto"/>
          <w:sz w:val="32"/>
          <w:szCs w:val="32"/>
          <w:highlight w:val="none"/>
        </w:rPr>
        <w:t>%</w:t>
      </w:r>
      <w:r>
        <w:rPr>
          <w:rFonts w:hint="eastAsia" w:ascii="仿宋" w:hAnsi="仿宋" w:eastAsia="仿宋"/>
          <w:color w:val="auto"/>
          <w:sz w:val="32"/>
          <w:szCs w:val="32"/>
          <w:highlight w:val="none"/>
        </w:rPr>
        <w:t>。具体情况如下：</w:t>
      </w:r>
    </w:p>
    <w:p w14:paraId="07295017">
      <w:pPr>
        <w:pStyle w:val="2"/>
        <w:rPr>
          <w:rFonts w:hint="eastAsia" w:ascii="仿宋" w:hAnsi="仿宋" w:eastAsia="仿宋"/>
          <w:color w:val="auto"/>
          <w:sz w:val="32"/>
          <w:szCs w:val="32"/>
          <w:highlight w:val="none"/>
        </w:rPr>
      </w:pPr>
      <w:r>
        <w:drawing>
          <wp:inline distT="0" distB="0" distL="114300" distR="114300">
            <wp:extent cx="4837430" cy="2713355"/>
            <wp:effectExtent l="4445" t="4445" r="15875" b="6350"/>
            <wp:docPr id="15"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C52E771">
      <w:pPr>
        <w:keepNext w:val="0"/>
        <w:keepLines w:val="0"/>
        <w:pageBreakBefore w:val="0"/>
        <w:widowControl w:val="0"/>
        <w:shd w:val="clear"/>
        <w:kinsoku/>
        <w:wordWrap/>
        <w:overflowPunct/>
        <w:topLinePunct w:val="0"/>
        <w:bidi w:val="0"/>
        <w:snapToGrid/>
        <w:spacing w:line="576" w:lineRule="exact"/>
        <w:ind w:right="0"/>
        <w:jc w:val="center"/>
        <w:textAlignment w:val="auto"/>
        <w:rPr>
          <w:rFonts w:hint="eastAsia" w:ascii="仿宋" w:hAnsi="仿宋" w:eastAsia="仿宋"/>
          <w:color w:val="auto"/>
          <w:sz w:val="32"/>
          <w:szCs w:val="32"/>
          <w:highlight w:val="none"/>
        </w:rPr>
      </w:pPr>
      <w:r>
        <w:rPr>
          <w:rFonts w:hint="eastAsia" w:ascii="仿宋" w:hAnsi="仿宋" w:eastAsia="仿宋"/>
          <w:color w:val="auto"/>
          <w:sz w:val="32"/>
          <w:szCs w:val="32"/>
          <w:highlight w:val="none"/>
        </w:rPr>
        <w:t>（图7：“三公”经费财政拨款支出结构）（饼状图）</w:t>
      </w:r>
    </w:p>
    <w:p w14:paraId="27BA656D">
      <w:pPr>
        <w:keepNext w:val="0"/>
        <w:keepLines w:val="0"/>
        <w:pageBreakBefore w:val="0"/>
        <w:widowControl w:val="0"/>
        <w:shd w:val="clear"/>
        <w:kinsoku/>
        <w:wordWrap/>
        <w:overflowPunct/>
        <w:topLinePunct w:val="0"/>
        <w:bidi w:val="0"/>
        <w:snapToGrid/>
        <w:spacing w:line="576" w:lineRule="exact"/>
        <w:ind w:left="0" w:leftChars="0" w:right="0" w:firstLine="643" w:firstLineChars="200"/>
        <w:jc w:val="both"/>
        <w:textAlignment w:val="auto"/>
        <w:rPr>
          <w:rFonts w:hint="eastAsia" w:ascii="仿宋_GB2312" w:eastAsia="仿宋_GB2312" w:cs="Times New Roman"/>
          <w:color w:val="auto"/>
          <w:sz w:val="32"/>
          <w:szCs w:val="32"/>
          <w:highlight w:val="none"/>
          <w:lang w:eastAsia="zh-CN"/>
        </w:rPr>
      </w:pPr>
      <w:r>
        <w:rPr>
          <w:rFonts w:hint="eastAsia" w:ascii="仿宋_GB2312" w:eastAsia="仿宋_GB2312"/>
          <w:b/>
          <w:color w:val="auto"/>
          <w:sz w:val="32"/>
          <w:szCs w:val="32"/>
          <w:highlight w:val="none"/>
          <w:lang w:val="en-US" w:eastAsia="zh-CN"/>
        </w:rPr>
        <w:t>1.</w:t>
      </w:r>
      <w:r>
        <w:rPr>
          <w:rFonts w:hint="eastAsia" w:ascii="仿宋_GB2312" w:eastAsia="仿宋_GB2312"/>
          <w:b/>
          <w:color w:val="auto"/>
          <w:sz w:val="32"/>
          <w:szCs w:val="32"/>
          <w:highlight w:val="none"/>
        </w:rPr>
        <w:t>因公出国（境）经费支出</w:t>
      </w:r>
      <w:r>
        <w:rPr>
          <w:rFonts w:hint="eastAsia" w:ascii="仿宋_GB2312" w:eastAsia="仿宋_GB2312"/>
          <w:b/>
          <w:color w:val="auto"/>
          <w:sz w:val="32"/>
          <w:szCs w:val="32"/>
          <w:highlight w:val="none"/>
          <w:lang w:val="en-US" w:eastAsia="zh-CN"/>
        </w:rPr>
        <w:t>0</w:t>
      </w:r>
      <w:r>
        <w:rPr>
          <w:rFonts w:hint="eastAsia" w:ascii="仿宋_GB2312" w:eastAsia="仿宋_GB2312"/>
          <w:color w:val="auto"/>
          <w:sz w:val="32"/>
          <w:szCs w:val="32"/>
          <w:highlight w:val="none"/>
        </w:rPr>
        <w:t>万元，</w:t>
      </w:r>
      <w:r>
        <w:rPr>
          <w:rFonts w:hint="eastAsia" w:ascii="仿宋_GB2312" w:eastAsia="仿宋_GB2312"/>
          <w:color w:val="auto"/>
          <w:sz w:val="32"/>
          <w:szCs w:val="32"/>
          <w:highlight w:val="none"/>
          <w:lang w:eastAsia="zh-CN"/>
        </w:rPr>
        <w:t>年初未安排预算。</w:t>
      </w:r>
      <w:r>
        <w:rPr>
          <w:rFonts w:hint="eastAsia" w:ascii="仿宋_GB2312" w:eastAsia="仿宋_GB2312" w:cs="Times New Roman"/>
          <w:color w:val="auto"/>
          <w:sz w:val="32"/>
          <w:szCs w:val="32"/>
          <w:highlight w:val="none"/>
          <w:lang w:eastAsia="zh-CN"/>
        </w:rPr>
        <w:t>因公出国（境）支出决算较202</w:t>
      </w:r>
      <w:r>
        <w:rPr>
          <w:rFonts w:hint="eastAsia" w:ascii="仿宋_GB2312" w:eastAsia="仿宋_GB2312" w:cs="Times New Roman"/>
          <w:color w:val="auto"/>
          <w:sz w:val="32"/>
          <w:szCs w:val="32"/>
          <w:highlight w:val="none"/>
          <w:lang w:val="en-US" w:eastAsia="zh-CN"/>
        </w:rPr>
        <w:t>2</w:t>
      </w:r>
      <w:r>
        <w:rPr>
          <w:rFonts w:hint="eastAsia" w:ascii="仿宋_GB2312" w:eastAsia="仿宋_GB2312" w:cs="Times New Roman"/>
          <w:color w:val="auto"/>
          <w:sz w:val="32"/>
          <w:szCs w:val="32"/>
          <w:highlight w:val="none"/>
          <w:lang w:eastAsia="zh-CN"/>
        </w:rPr>
        <w:t>年无变化。</w:t>
      </w:r>
    </w:p>
    <w:p w14:paraId="7CCA98DF">
      <w:pPr>
        <w:keepNext w:val="0"/>
        <w:keepLines w:val="0"/>
        <w:pageBreakBefore w:val="0"/>
        <w:widowControl w:val="0"/>
        <w:shd w:val="clear"/>
        <w:kinsoku/>
        <w:wordWrap/>
        <w:overflowPunct/>
        <w:topLinePunct w:val="0"/>
        <w:bidi w:val="0"/>
        <w:snapToGrid/>
        <w:spacing w:line="576" w:lineRule="exact"/>
        <w:ind w:left="0" w:leftChars="0" w:right="0" w:firstLine="643" w:firstLineChars="200"/>
        <w:jc w:val="both"/>
        <w:textAlignment w:val="auto"/>
        <w:rPr>
          <w:rFonts w:hint="eastAsia" w:ascii="仿宋_GB2312" w:eastAsia="仿宋_GB2312"/>
          <w:b/>
          <w:color w:val="auto"/>
          <w:sz w:val="32"/>
          <w:szCs w:val="32"/>
          <w:highlight w:val="none"/>
          <w:lang w:eastAsia="zh-CN"/>
        </w:rPr>
      </w:pPr>
      <w:r>
        <w:rPr>
          <w:rFonts w:hint="eastAsia" w:ascii="仿宋_GB2312" w:eastAsia="仿宋_GB2312"/>
          <w:b/>
          <w:color w:val="auto"/>
          <w:sz w:val="32"/>
          <w:szCs w:val="32"/>
          <w:highlight w:val="none"/>
          <w:lang w:val="en-US" w:eastAsia="zh-CN"/>
        </w:rPr>
        <w:t>2.</w:t>
      </w:r>
      <w:r>
        <w:rPr>
          <w:rFonts w:hint="eastAsia" w:ascii="仿宋_GB2312" w:eastAsia="仿宋_GB2312"/>
          <w:b/>
          <w:color w:val="auto"/>
          <w:sz w:val="32"/>
          <w:szCs w:val="32"/>
          <w:highlight w:val="none"/>
        </w:rPr>
        <w:t>公务用车购置及运行维护费支出</w:t>
      </w:r>
      <w:r>
        <w:rPr>
          <w:rFonts w:hint="eastAsia" w:ascii="仿宋_GB2312" w:eastAsia="仿宋_GB2312"/>
          <w:b/>
          <w:color w:val="auto"/>
          <w:sz w:val="32"/>
          <w:szCs w:val="32"/>
          <w:highlight w:val="none"/>
          <w:lang w:val="en-US" w:eastAsia="zh-CN"/>
        </w:rPr>
        <w:t>37.80</w:t>
      </w:r>
      <w:r>
        <w:rPr>
          <w:rFonts w:hint="eastAsia" w:ascii="仿宋_GB2312" w:eastAsia="仿宋_GB2312"/>
          <w:color w:val="auto"/>
          <w:sz w:val="32"/>
          <w:szCs w:val="32"/>
          <w:highlight w:val="none"/>
        </w:rPr>
        <w:t>万元</w:t>
      </w:r>
      <w:r>
        <w:rPr>
          <w:rFonts w:hint="eastAsia" w:ascii="仿宋_GB2312" w:eastAsia="仿宋_GB2312"/>
          <w:color w:val="auto"/>
          <w:sz w:val="32"/>
          <w:szCs w:val="32"/>
          <w:highlight w:val="none"/>
          <w:lang w:eastAsia="zh-CN"/>
        </w:rPr>
        <w:t>，</w:t>
      </w:r>
      <w:r>
        <w:rPr>
          <w:rStyle w:val="20"/>
          <w:rFonts w:hint="eastAsia" w:ascii="仿宋" w:hAnsi="仿宋" w:eastAsia="仿宋"/>
          <w:b w:val="0"/>
          <w:bCs/>
          <w:color w:val="auto"/>
          <w:sz w:val="32"/>
          <w:szCs w:val="32"/>
          <w:highlight w:val="none"/>
        </w:rPr>
        <w:t>完成预算</w:t>
      </w:r>
      <w:r>
        <w:rPr>
          <w:rStyle w:val="20"/>
          <w:rFonts w:hint="eastAsia" w:ascii="仿宋" w:hAnsi="仿宋" w:eastAsia="仿宋"/>
          <w:b w:val="0"/>
          <w:bCs/>
          <w:color w:val="auto"/>
          <w:sz w:val="32"/>
          <w:szCs w:val="32"/>
          <w:highlight w:val="none"/>
          <w:lang w:val="en-US" w:eastAsia="zh-CN"/>
        </w:rPr>
        <w:t>99.45</w:t>
      </w:r>
      <w:r>
        <w:rPr>
          <w:rStyle w:val="20"/>
          <w:rFonts w:ascii="仿宋" w:hAnsi="仿宋" w:eastAsia="仿宋"/>
          <w:b w:val="0"/>
          <w:bCs/>
          <w:color w:val="auto"/>
          <w:sz w:val="32"/>
          <w:szCs w:val="32"/>
          <w:highlight w:val="none"/>
        </w:rPr>
        <w:t>%</w:t>
      </w:r>
      <w:r>
        <w:rPr>
          <w:rStyle w:val="20"/>
          <w:rFonts w:hint="eastAsia" w:ascii="仿宋" w:hAnsi="仿宋" w:eastAsia="仿宋"/>
          <w:b w:val="0"/>
          <w:bCs/>
          <w:color w:val="auto"/>
          <w:sz w:val="32"/>
          <w:szCs w:val="32"/>
          <w:highlight w:val="none"/>
        </w:rPr>
        <w:t>。</w:t>
      </w:r>
      <w:r>
        <w:rPr>
          <w:rFonts w:hint="eastAsia" w:ascii="仿宋_GB2312" w:eastAsia="仿宋_GB2312"/>
          <w:color w:val="auto"/>
          <w:sz w:val="32"/>
          <w:szCs w:val="32"/>
          <w:highlight w:val="none"/>
        </w:rPr>
        <w:t>公务用车购置及运行维护费支出决算比</w:t>
      </w: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22</w:t>
      </w:r>
      <w:r>
        <w:rPr>
          <w:rFonts w:hint="eastAsia" w:ascii="仿宋_GB2312" w:eastAsia="仿宋_GB2312"/>
          <w:color w:val="auto"/>
          <w:sz w:val="32"/>
          <w:szCs w:val="32"/>
          <w:highlight w:val="none"/>
        </w:rPr>
        <w:t>年</w:t>
      </w:r>
      <w:r>
        <w:rPr>
          <w:rFonts w:hint="eastAsia" w:ascii="仿宋_GB2312" w:eastAsia="仿宋_GB2312"/>
          <w:color w:val="auto"/>
          <w:sz w:val="32"/>
          <w:szCs w:val="32"/>
          <w:highlight w:val="none"/>
          <w:lang w:val="en-US" w:eastAsia="zh-CN"/>
        </w:rPr>
        <w:t>减少37.48</w:t>
      </w:r>
      <w:r>
        <w:rPr>
          <w:rFonts w:hint="eastAsia" w:ascii="仿宋_GB2312" w:eastAsia="仿宋_GB2312"/>
          <w:color w:val="auto"/>
          <w:sz w:val="32"/>
          <w:szCs w:val="32"/>
          <w:highlight w:val="none"/>
        </w:rPr>
        <w:t>万元</w:t>
      </w:r>
      <w:r>
        <w:rPr>
          <w:rFonts w:hint="eastAsia" w:ascii="仿宋_GB2312" w:eastAsia="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下降</w:t>
      </w:r>
      <w:r>
        <w:rPr>
          <w:rFonts w:hint="eastAsia" w:ascii="仿宋_GB2312" w:hAnsi="仿宋_GB2312" w:eastAsia="仿宋_GB2312" w:cs="仿宋_GB2312"/>
          <w:color w:val="auto"/>
          <w:sz w:val="32"/>
          <w:szCs w:val="32"/>
          <w:highlight w:val="none"/>
          <w:lang w:val="en-US" w:eastAsia="zh-CN"/>
        </w:rPr>
        <w:t>49.79</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下降的</w:t>
      </w:r>
      <w:r>
        <w:rPr>
          <w:rFonts w:hint="eastAsia" w:ascii="仿宋_GB2312" w:hAnsi="仿宋_GB2312" w:eastAsia="仿宋_GB2312" w:cs="仿宋_GB2312"/>
          <w:color w:val="auto"/>
          <w:sz w:val="32"/>
          <w:szCs w:val="32"/>
          <w:highlight w:val="none"/>
        </w:rPr>
        <w:t>主要原因</w:t>
      </w:r>
      <w:r>
        <w:rPr>
          <w:rFonts w:hint="eastAsia" w:ascii="仿宋_GB2312" w:hAnsi="仿宋_GB2312" w:eastAsia="仿宋_GB2312" w:cs="仿宋_GB2312"/>
          <w:color w:val="auto"/>
          <w:sz w:val="32"/>
          <w:szCs w:val="32"/>
          <w:highlight w:val="none"/>
          <w:lang w:val="en-US" w:eastAsia="zh-CN"/>
        </w:rPr>
        <w:t>一是2022年度直属事业单位根据工作需要和有关部门批准购置一辆公务用车；二是厉行节约，压缩开支</w:t>
      </w:r>
      <w:r>
        <w:rPr>
          <w:rFonts w:hint="eastAsia" w:ascii="仿宋_GB2312" w:hAnsi="仿宋_GB2312" w:eastAsia="仿宋_GB2312" w:cs="仿宋_GB2312"/>
          <w:color w:val="auto"/>
          <w:sz w:val="32"/>
          <w:szCs w:val="32"/>
          <w:highlight w:val="none"/>
        </w:rPr>
        <w:t>。</w:t>
      </w:r>
    </w:p>
    <w:p w14:paraId="5E24D986">
      <w:pPr>
        <w:keepNext w:val="0"/>
        <w:keepLines w:val="0"/>
        <w:pageBreakBefore w:val="0"/>
        <w:widowControl w:val="0"/>
        <w:shd w:val="clear"/>
        <w:kinsoku/>
        <w:wordWrap/>
        <w:overflowPunct/>
        <w:topLinePunct w:val="0"/>
        <w:bidi w:val="0"/>
        <w:snapToGrid/>
        <w:spacing w:line="576" w:lineRule="exact"/>
        <w:ind w:left="0" w:leftChars="0" w:right="0" w:firstLine="640" w:firstLineChars="200"/>
        <w:jc w:val="both"/>
        <w:textAlignment w:val="auto"/>
        <w:rPr>
          <w:rFonts w:hint="eastAsia" w:ascii="仿宋_GB2312" w:eastAsia="仿宋_GB2312"/>
          <w:b/>
          <w:color w:val="auto"/>
          <w:sz w:val="32"/>
          <w:szCs w:val="32"/>
          <w:highlight w:val="none"/>
          <w:lang w:eastAsia="zh-CN"/>
        </w:rPr>
      </w:pPr>
      <w:r>
        <w:rPr>
          <w:rFonts w:hint="eastAsia" w:ascii="仿宋_GB2312" w:eastAsia="仿宋_GB2312"/>
          <w:color w:val="auto"/>
          <w:sz w:val="32"/>
          <w:szCs w:val="32"/>
          <w:highlight w:val="none"/>
        </w:rPr>
        <w:t>其中：</w:t>
      </w:r>
      <w:r>
        <w:rPr>
          <w:rFonts w:hint="eastAsia" w:ascii="仿宋_GB2312" w:eastAsia="仿宋_GB2312"/>
          <w:b/>
          <w:color w:val="auto"/>
          <w:sz w:val="32"/>
          <w:szCs w:val="32"/>
          <w:highlight w:val="none"/>
        </w:rPr>
        <w:t>公务用车购置支出</w:t>
      </w:r>
      <w:r>
        <w:rPr>
          <w:rFonts w:hint="eastAsia" w:ascii="仿宋_GB2312" w:eastAsia="仿宋_GB2312"/>
          <w:b/>
          <w:color w:val="auto"/>
          <w:sz w:val="32"/>
          <w:szCs w:val="32"/>
          <w:highlight w:val="none"/>
          <w:lang w:val="en-US" w:eastAsia="zh-CN"/>
        </w:rPr>
        <w:t>0</w:t>
      </w:r>
      <w:r>
        <w:rPr>
          <w:rFonts w:hint="eastAsia" w:ascii="仿宋_GB2312" w:eastAsia="仿宋_GB2312"/>
          <w:color w:val="auto"/>
          <w:sz w:val="32"/>
          <w:szCs w:val="32"/>
          <w:highlight w:val="none"/>
        </w:rPr>
        <w:t>万元。截至</w:t>
      </w: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23</w:t>
      </w:r>
      <w:r>
        <w:rPr>
          <w:rFonts w:hint="eastAsia" w:ascii="仿宋_GB2312" w:eastAsia="仿宋_GB2312"/>
          <w:color w:val="auto"/>
          <w:sz w:val="32"/>
          <w:szCs w:val="32"/>
          <w:highlight w:val="none"/>
        </w:rPr>
        <w:t>年</w:t>
      </w:r>
      <w:r>
        <w:rPr>
          <w:rFonts w:ascii="仿宋_GB2312" w:eastAsia="仿宋_GB2312"/>
          <w:color w:val="auto"/>
          <w:sz w:val="32"/>
          <w:szCs w:val="32"/>
          <w:highlight w:val="none"/>
        </w:rPr>
        <w:t>12</w:t>
      </w:r>
      <w:r>
        <w:rPr>
          <w:rFonts w:hint="eastAsia" w:ascii="仿宋_GB2312" w:eastAsia="仿宋_GB2312"/>
          <w:color w:val="auto"/>
          <w:sz w:val="32"/>
          <w:szCs w:val="32"/>
          <w:highlight w:val="none"/>
        </w:rPr>
        <w:t>月</w:t>
      </w:r>
      <w:r>
        <w:rPr>
          <w:rFonts w:hint="eastAsia" w:ascii="仿宋_GB2312" w:eastAsia="仿宋_GB2312"/>
          <w:color w:val="auto"/>
          <w:sz w:val="32"/>
          <w:szCs w:val="32"/>
          <w:highlight w:val="none"/>
          <w:lang w:val="en-US" w:eastAsia="zh-CN"/>
        </w:rPr>
        <w:t>31日</w:t>
      </w:r>
      <w:r>
        <w:rPr>
          <w:rFonts w:hint="eastAsia" w:ascii="仿宋_GB2312" w:eastAsia="仿宋_GB2312"/>
          <w:color w:val="auto"/>
          <w:sz w:val="32"/>
          <w:szCs w:val="32"/>
          <w:highlight w:val="none"/>
        </w:rPr>
        <w:t>，单位共有公务用车</w:t>
      </w:r>
      <w:r>
        <w:rPr>
          <w:rFonts w:hint="eastAsia" w:ascii="仿宋_GB2312" w:eastAsia="仿宋_GB2312"/>
          <w:color w:val="auto"/>
          <w:sz w:val="32"/>
          <w:szCs w:val="32"/>
          <w:highlight w:val="none"/>
          <w:lang w:val="en-US" w:eastAsia="zh-CN"/>
        </w:rPr>
        <w:t>9</w:t>
      </w:r>
      <w:r>
        <w:rPr>
          <w:rFonts w:hint="eastAsia" w:ascii="仿宋_GB2312" w:eastAsia="仿宋_GB2312"/>
          <w:color w:val="auto"/>
          <w:sz w:val="32"/>
          <w:szCs w:val="32"/>
          <w:highlight w:val="none"/>
        </w:rPr>
        <w:t>辆，其中：越野车</w:t>
      </w:r>
      <w:r>
        <w:rPr>
          <w:rFonts w:hint="eastAsia" w:ascii="仿宋_GB2312" w:eastAsia="仿宋_GB2312"/>
          <w:color w:val="auto"/>
          <w:sz w:val="32"/>
          <w:szCs w:val="32"/>
          <w:highlight w:val="none"/>
          <w:lang w:val="en-US" w:eastAsia="zh-CN"/>
        </w:rPr>
        <w:t>8</w:t>
      </w:r>
      <w:r>
        <w:rPr>
          <w:rFonts w:hint="eastAsia" w:ascii="仿宋_GB2312" w:eastAsia="仿宋_GB2312"/>
          <w:color w:val="auto"/>
          <w:sz w:val="32"/>
          <w:szCs w:val="32"/>
          <w:highlight w:val="none"/>
        </w:rPr>
        <w:t>辆</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lang w:val="en-US" w:eastAsia="zh-CN"/>
        </w:rPr>
        <w:t>商务车1辆</w:t>
      </w:r>
      <w:r>
        <w:rPr>
          <w:rFonts w:hint="eastAsia" w:ascii="仿宋_GB2312" w:eastAsia="仿宋_GB2312"/>
          <w:color w:val="auto"/>
          <w:sz w:val="32"/>
          <w:szCs w:val="32"/>
          <w:highlight w:val="none"/>
          <w:lang w:eastAsia="zh-CN"/>
        </w:rPr>
        <w:t>。</w:t>
      </w:r>
    </w:p>
    <w:p w14:paraId="45E29E8A">
      <w:pPr>
        <w:keepNext w:val="0"/>
        <w:keepLines w:val="0"/>
        <w:pageBreakBefore w:val="0"/>
        <w:widowControl w:val="0"/>
        <w:shd w:val="clear"/>
        <w:kinsoku/>
        <w:wordWrap/>
        <w:overflowPunct/>
        <w:topLinePunct w:val="0"/>
        <w:bidi w:val="0"/>
        <w:snapToGrid/>
        <w:spacing w:line="576" w:lineRule="exact"/>
        <w:ind w:left="0" w:leftChars="0" w:right="0" w:firstLine="643" w:firstLineChars="200"/>
        <w:jc w:val="both"/>
        <w:textAlignment w:val="auto"/>
        <w:rPr>
          <w:rFonts w:hint="eastAsia" w:eastAsia="仿宋_GB2312"/>
          <w:color w:val="auto"/>
          <w:highlight w:val="none"/>
          <w:lang w:eastAsia="zh-CN"/>
        </w:rPr>
      </w:pPr>
      <w:r>
        <w:rPr>
          <w:rFonts w:hint="eastAsia" w:ascii="仿宋_GB2312" w:eastAsia="仿宋_GB2312"/>
          <w:b/>
          <w:color w:val="auto"/>
          <w:sz w:val="32"/>
          <w:szCs w:val="32"/>
          <w:highlight w:val="none"/>
        </w:rPr>
        <w:t>公务用车运行维护费支出</w:t>
      </w:r>
      <w:r>
        <w:rPr>
          <w:rFonts w:hint="eastAsia" w:ascii="仿宋_GB2312" w:eastAsia="仿宋_GB2312"/>
          <w:b/>
          <w:color w:val="auto"/>
          <w:sz w:val="32"/>
          <w:szCs w:val="32"/>
          <w:highlight w:val="none"/>
          <w:lang w:val="en-US" w:eastAsia="zh-CN"/>
        </w:rPr>
        <w:t>37.8</w:t>
      </w:r>
      <w:r>
        <w:rPr>
          <w:rFonts w:hint="eastAsia" w:ascii="仿宋_GB2312" w:eastAsia="仿宋_GB2312"/>
          <w:color w:val="auto"/>
          <w:sz w:val="32"/>
          <w:szCs w:val="32"/>
          <w:highlight w:val="none"/>
        </w:rPr>
        <w:t>万元。主要用于</w:t>
      </w:r>
      <w:r>
        <w:rPr>
          <w:rFonts w:hint="eastAsia" w:ascii="仿宋_GB2312" w:hAnsi="仿宋_GB2312" w:eastAsia="仿宋_GB2312" w:cs="仿宋_GB2312"/>
          <w:color w:val="auto"/>
          <w:sz w:val="32"/>
          <w:szCs w:val="32"/>
          <w:highlight w:val="none"/>
        </w:rPr>
        <w:t>开展自然资源管理工作、</w:t>
      </w:r>
      <w:r>
        <w:rPr>
          <w:rFonts w:hint="eastAsia" w:ascii="仿宋_GB2312" w:hAnsi="仿宋_GB2312" w:eastAsia="仿宋_GB2312" w:cs="仿宋_GB2312"/>
          <w:color w:val="auto"/>
          <w:sz w:val="32"/>
          <w:szCs w:val="32"/>
          <w:highlight w:val="none"/>
          <w:lang w:val="en-US" w:eastAsia="zh-CN"/>
        </w:rPr>
        <w:t>地质灾害防治、耕地保护、矿业权管理、地籍测绘、土地整理、土地储备、乡村振兴</w:t>
      </w:r>
      <w:r>
        <w:rPr>
          <w:rFonts w:hint="eastAsia" w:ascii="仿宋_GB2312" w:hAnsi="仿宋_GB2312" w:eastAsia="仿宋_GB2312" w:cs="仿宋_GB2312"/>
          <w:color w:val="auto"/>
          <w:sz w:val="32"/>
          <w:szCs w:val="32"/>
          <w:highlight w:val="none"/>
        </w:rPr>
        <w:t>、下乡帮扶等所需的公务用车燃料费、维修费、过路过桥费、保险费等支出</w:t>
      </w:r>
      <w:r>
        <w:rPr>
          <w:rFonts w:hint="eastAsia" w:ascii="仿宋_GB2312" w:hAnsi="仿宋_GB2312" w:eastAsia="仿宋_GB2312" w:cs="仿宋_GB2312"/>
          <w:color w:val="auto"/>
          <w:sz w:val="32"/>
          <w:szCs w:val="32"/>
          <w:highlight w:val="none"/>
          <w:lang w:eastAsia="zh-CN"/>
        </w:rPr>
        <w:t>。</w:t>
      </w:r>
    </w:p>
    <w:p w14:paraId="79114724">
      <w:pPr>
        <w:keepNext w:val="0"/>
        <w:keepLines w:val="0"/>
        <w:pageBreakBefore w:val="0"/>
        <w:widowControl w:val="0"/>
        <w:shd w:val="clear"/>
        <w:kinsoku/>
        <w:wordWrap/>
        <w:overflowPunct/>
        <w:topLinePunct w:val="0"/>
        <w:bidi w:val="0"/>
        <w:snapToGrid/>
        <w:spacing w:line="576" w:lineRule="exact"/>
        <w:ind w:left="0" w:leftChars="0" w:right="0" w:firstLine="643" w:firstLineChars="200"/>
        <w:jc w:val="both"/>
        <w:textAlignment w:val="auto"/>
        <w:rPr>
          <w:rFonts w:ascii="仿宋_GB2312" w:eastAsia="仿宋_GB2312"/>
          <w:color w:val="auto"/>
          <w:sz w:val="32"/>
          <w:szCs w:val="32"/>
          <w:highlight w:val="none"/>
        </w:rPr>
      </w:pPr>
      <w:r>
        <w:rPr>
          <w:rFonts w:hint="eastAsia" w:ascii="仿宋_GB2312" w:eastAsia="仿宋_GB2312"/>
          <w:b/>
          <w:color w:val="auto"/>
          <w:sz w:val="32"/>
          <w:szCs w:val="32"/>
          <w:highlight w:val="none"/>
          <w:lang w:val="en-US" w:eastAsia="zh-CN"/>
        </w:rPr>
        <w:t>3</w:t>
      </w:r>
      <w:r>
        <w:rPr>
          <w:rFonts w:ascii="仿宋_GB2312" w:eastAsia="仿宋_GB2312"/>
          <w:b/>
          <w:color w:val="auto"/>
          <w:sz w:val="32"/>
          <w:szCs w:val="32"/>
          <w:highlight w:val="none"/>
        </w:rPr>
        <w:t>.</w:t>
      </w:r>
      <w:r>
        <w:rPr>
          <w:rFonts w:hint="eastAsia" w:ascii="仿宋_GB2312" w:eastAsia="仿宋_GB2312"/>
          <w:b/>
          <w:color w:val="auto"/>
          <w:sz w:val="32"/>
          <w:szCs w:val="32"/>
          <w:highlight w:val="none"/>
        </w:rPr>
        <w:t>公务接待费支出</w:t>
      </w:r>
      <w:r>
        <w:rPr>
          <w:rFonts w:hint="eastAsia" w:ascii="仿宋_GB2312" w:eastAsia="仿宋_GB2312"/>
          <w:b/>
          <w:color w:val="auto"/>
          <w:sz w:val="32"/>
          <w:szCs w:val="32"/>
          <w:highlight w:val="none"/>
          <w:lang w:val="en-US" w:eastAsia="zh-CN"/>
        </w:rPr>
        <w:t>14.65</w:t>
      </w:r>
      <w:r>
        <w:rPr>
          <w:rFonts w:hint="eastAsia" w:ascii="仿宋_GB2312" w:eastAsia="仿宋_GB2312"/>
          <w:color w:val="auto"/>
          <w:sz w:val="32"/>
          <w:szCs w:val="32"/>
          <w:highlight w:val="none"/>
        </w:rPr>
        <w:t>万元，</w:t>
      </w:r>
      <w:r>
        <w:rPr>
          <w:rStyle w:val="20"/>
          <w:rFonts w:hint="eastAsia" w:ascii="仿宋" w:hAnsi="仿宋" w:eastAsia="仿宋"/>
          <w:b w:val="0"/>
          <w:bCs/>
          <w:color w:val="auto"/>
          <w:sz w:val="32"/>
          <w:szCs w:val="32"/>
          <w:highlight w:val="none"/>
        </w:rPr>
        <w:t>完成预算</w:t>
      </w:r>
      <w:r>
        <w:rPr>
          <w:rStyle w:val="20"/>
          <w:rFonts w:hint="eastAsia" w:ascii="仿宋" w:hAnsi="仿宋" w:eastAsia="仿宋"/>
          <w:b w:val="0"/>
          <w:bCs/>
          <w:color w:val="auto"/>
          <w:sz w:val="32"/>
          <w:szCs w:val="32"/>
          <w:highlight w:val="none"/>
          <w:lang w:val="en-US" w:eastAsia="zh-CN"/>
        </w:rPr>
        <w:t>81.16</w:t>
      </w:r>
      <w:r>
        <w:rPr>
          <w:rStyle w:val="20"/>
          <w:rFonts w:ascii="仿宋" w:hAnsi="仿宋" w:eastAsia="仿宋"/>
          <w:b w:val="0"/>
          <w:bCs/>
          <w:color w:val="auto"/>
          <w:sz w:val="32"/>
          <w:szCs w:val="32"/>
          <w:highlight w:val="none"/>
        </w:rPr>
        <w:t>%</w:t>
      </w:r>
      <w:r>
        <w:rPr>
          <w:rStyle w:val="20"/>
          <w:rFonts w:hint="eastAsia" w:ascii="仿宋" w:hAnsi="仿宋" w:eastAsia="仿宋"/>
          <w:b w:val="0"/>
          <w:bCs/>
          <w:color w:val="auto"/>
          <w:sz w:val="32"/>
          <w:szCs w:val="32"/>
          <w:highlight w:val="none"/>
        </w:rPr>
        <w:t>。</w:t>
      </w:r>
      <w:r>
        <w:rPr>
          <w:rFonts w:hint="eastAsia" w:ascii="仿宋_GB2312" w:eastAsia="仿宋_GB2312"/>
          <w:color w:val="auto"/>
          <w:sz w:val="32"/>
          <w:szCs w:val="32"/>
          <w:highlight w:val="none"/>
        </w:rPr>
        <w:t>公务接待费支出决算比</w:t>
      </w: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22</w:t>
      </w:r>
      <w:r>
        <w:rPr>
          <w:rFonts w:hint="eastAsia" w:ascii="仿宋_GB2312" w:eastAsia="仿宋_GB2312"/>
          <w:color w:val="auto"/>
          <w:sz w:val="32"/>
          <w:szCs w:val="32"/>
          <w:highlight w:val="none"/>
        </w:rPr>
        <w:t>年</w:t>
      </w:r>
      <w:r>
        <w:rPr>
          <w:rFonts w:hint="eastAsia" w:ascii="仿宋_GB2312" w:eastAsia="仿宋_GB2312"/>
          <w:color w:val="auto"/>
          <w:sz w:val="32"/>
          <w:szCs w:val="32"/>
          <w:highlight w:val="none"/>
          <w:lang w:val="en-US" w:eastAsia="zh-CN"/>
        </w:rPr>
        <w:t>增加8.24</w:t>
      </w:r>
      <w:r>
        <w:rPr>
          <w:rFonts w:hint="eastAsia" w:ascii="仿宋_GB2312" w:eastAsia="仿宋_GB2312"/>
          <w:color w:val="auto"/>
          <w:sz w:val="32"/>
          <w:szCs w:val="32"/>
          <w:highlight w:val="none"/>
        </w:rPr>
        <w:t>万元，</w:t>
      </w:r>
      <w:r>
        <w:rPr>
          <w:rFonts w:hint="eastAsia" w:ascii="仿宋_GB2312" w:eastAsia="仿宋_GB2312"/>
          <w:color w:val="auto"/>
          <w:sz w:val="32"/>
          <w:szCs w:val="32"/>
          <w:highlight w:val="none"/>
          <w:lang w:val="en-US" w:eastAsia="zh-CN"/>
        </w:rPr>
        <w:t>增长126</w:t>
      </w:r>
      <w:r>
        <w:rPr>
          <w:rFonts w:ascii="仿宋_GB2312" w:eastAsia="仿宋_GB2312"/>
          <w:color w:val="auto"/>
          <w:sz w:val="32"/>
          <w:szCs w:val="32"/>
          <w:highlight w:val="none"/>
        </w:rPr>
        <w:t>%</w:t>
      </w:r>
      <w:r>
        <w:rPr>
          <w:rFonts w:hint="eastAsia" w:ascii="仿宋_GB2312" w:eastAsia="仿宋_GB2312"/>
          <w:color w:val="auto"/>
          <w:sz w:val="32"/>
          <w:szCs w:val="32"/>
          <w:highlight w:val="none"/>
        </w:rPr>
        <w:t>。主要原因是</w:t>
      </w:r>
      <w:r>
        <w:rPr>
          <w:rFonts w:hint="eastAsia" w:ascii="仿宋_GB2312" w:eastAsia="仿宋_GB2312"/>
          <w:color w:val="auto"/>
          <w:sz w:val="32"/>
          <w:szCs w:val="32"/>
          <w:highlight w:val="none"/>
          <w:lang w:val="en-US" w:eastAsia="zh-CN"/>
        </w:rPr>
        <w:t>用</w:t>
      </w:r>
      <w:r>
        <w:rPr>
          <w:rFonts w:hint="eastAsia" w:ascii="仿宋_GB2312" w:eastAsia="仿宋_GB2312"/>
          <w:color w:val="auto"/>
          <w:sz w:val="32"/>
          <w:szCs w:val="32"/>
          <w:highlight w:val="none"/>
        </w:rPr>
        <w:t>于</w:t>
      </w:r>
      <w:r>
        <w:rPr>
          <w:rFonts w:hint="eastAsia" w:ascii="仿宋_GB2312" w:hAnsi="仿宋_GB2312" w:eastAsia="仿宋_GB2312" w:cs="仿宋_GB2312"/>
          <w:color w:val="auto"/>
          <w:sz w:val="32"/>
          <w:szCs w:val="32"/>
          <w:highlight w:val="none"/>
        </w:rPr>
        <w:t>自然资源</w:t>
      </w:r>
      <w:r>
        <w:rPr>
          <w:rFonts w:hint="eastAsia" w:ascii="仿宋_GB2312" w:hAnsi="仿宋_GB2312" w:eastAsia="仿宋_GB2312" w:cs="仿宋_GB2312"/>
          <w:color w:val="auto"/>
          <w:sz w:val="32"/>
          <w:szCs w:val="32"/>
          <w:highlight w:val="none"/>
          <w:lang w:val="en-US" w:eastAsia="zh-CN"/>
        </w:rPr>
        <w:t>部</w:t>
      </w:r>
      <w:r>
        <w:rPr>
          <w:rFonts w:hint="eastAsia" w:ascii="仿宋_GB2312" w:hAnsi="仿宋_GB2312" w:eastAsia="仿宋_GB2312" w:cs="仿宋_GB2312"/>
          <w:color w:val="auto"/>
          <w:sz w:val="32"/>
          <w:szCs w:val="32"/>
          <w:highlight w:val="none"/>
        </w:rPr>
        <w:t>、上级部门及其他市州的各类检查、督查、调研和县区自然资源局来我局交流汇报等</w:t>
      </w:r>
      <w:r>
        <w:rPr>
          <w:rFonts w:hint="eastAsia" w:ascii="仿宋_GB2312" w:eastAsia="仿宋_GB2312"/>
          <w:color w:val="auto"/>
          <w:sz w:val="32"/>
          <w:szCs w:val="32"/>
          <w:highlight w:val="none"/>
        </w:rPr>
        <w:t>执行公务、开展业务活动</w:t>
      </w:r>
      <w:r>
        <w:rPr>
          <w:rFonts w:hint="eastAsia" w:ascii="仿宋_GB2312" w:eastAsia="仿宋_GB2312"/>
          <w:color w:val="auto"/>
          <w:sz w:val="32"/>
          <w:szCs w:val="32"/>
          <w:highlight w:val="none"/>
          <w:lang w:val="en-US" w:eastAsia="zh-CN"/>
        </w:rPr>
        <w:t>增加。</w:t>
      </w:r>
      <w:r>
        <w:rPr>
          <w:rFonts w:hint="eastAsia" w:ascii="仿宋_GB2312" w:eastAsia="仿宋_GB2312"/>
          <w:color w:val="auto"/>
          <w:sz w:val="32"/>
          <w:szCs w:val="32"/>
          <w:highlight w:val="none"/>
        </w:rPr>
        <w:t>其中：</w:t>
      </w:r>
    </w:p>
    <w:p w14:paraId="214E18FF">
      <w:pPr>
        <w:keepNext w:val="0"/>
        <w:keepLines w:val="0"/>
        <w:pageBreakBefore w:val="0"/>
        <w:widowControl w:val="0"/>
        <w:shd w:val="clear"/>
        <w:kinsoku/>
        <w:wordWrap/>
        <w:overflowPunct/>
        <w:topLinePunct w:val="0"/>
        <w:bidi w:val="0"/>
        <w:snapToGrid/>
        <w:spacing w:line="576" w:lineRule="exact"/>
        <w:ind w:left="0" w:leftChars="0" w:right="0" w:firstLine="643" w:firstLineChars="200"/>
        <w:jc w:val="both"/>
        <w:textAlignment w:val="auto"/>
        <w:rPr>
          <w:rFonts w:hint="default" w:ascii="仿宋_GB2312" w:eastAsia="仿宋_GB2312"/>
          <w:color w:val="auto"/>
          <w:sz w:val="32"/>
          <w:szCs w:val="32"/>
          <w:highlight w:val="none"/>
          <w:lang w:val="en-US" w:eastAsia="zh-CN"/>
        </w:rPr>
      </w:pPr>
      <w:r>
        <w:rPr>
          <w:rFonts w:hint="eastAsia" w:ascii="仿宋" w:hAnsi="仿宋" w:eastAsia="仿宋"/>
          <w:b/>
          <w:color w:val="auto"/>
          <w:sz w:val="32"/>
          <w:szCs w:val="32"/>
          <w:highlight w:val="none"/>
        </w:rPr>
        <w:t>国内公务接待支出</w:t>
      </w:r>
      <w:r>
        <w:rPr>
          <w:rFonts w:hint="eastAsia" w:ascii="仿宋" w:hAnsi="仿宋" w:eastAsia="仿宋"/>
          <w:b/>
          <w:color w:val="auto"/>
          <w:sz w:val="32"/>
          <w:szCs w:val="32"/>
          <w:highlight w:val="none"/>
          <w:lang w:val="en-US" w:eastAsia="zh-CN"/>
        </w:rPr>
        <w:t>14.65</w:t>
      </w:r>
      <w:r>
        <w:rPr>
          <w:rFonts w:hint="eastAsia" w:ascii="仿宋_GB2312" w:eastAsia="仿宋_GB2312"/>
          <w:color w:val="auto"/>
          <w:sz w:val="32"/>
          <w:szCs w:val="32"/>
          <w:highlight w:val="none"/>
        </w:rPr>
        <w:t>万元，主要用于</w:t>
      </w:r>
      <w:r>
        <w:rPr>
          <w:rFonts w:hint="eastAsia" w:ascii="仿宋_GB2312" w:hAnsi="仿宋_GB2312" w:eastAsia="仿宋_GB2312" w:cs="仿宋_GB2312"/>
          <w:color w:val="auto"/>
          <w:sz w:val="32"/>
          <w:szCs w:val="32"/>
          <w:highlight w:val="none"/>
        </w:rPr>
        <w:t>自然资源</w:t>
      </w:r>
      <w:r>
        <w:rPr>
          <w:rFonts w:hint="eastAsia" w:ascii="仿宋_GB2312" w:hAnsi="仿宋_GB2312" w:eastAsia="仿宋_GB2312" w:cs="仿宋_GB2312"/>
          <w:color w:val="auto"/>
          <w:sz w:val="32"/>
          <w:szCs w:val="32"/>
          <w:highlight w:val="none"/>
          <w:lang w:val="en-US" w:eastAsia="zh-CN"/>
        </w:rPr>
        <w:t>部</w:t>
      </w:r>
      <w:r>
        <w:rPr>
          <w:rFonts w:hint="eastAsia" w:ascii="仿宋_GB2312" w:hAnsi="仿宋_GB2312" w:eastAsia="仿宋_GB2312" w:cs="仿宋_GB2312"/>
          <w:color w:val="auto"/>
          <w:sz w:val="32"/>
          <w:szCs w:val="32"/>
          <w:highlight w:val="none"/>
        </w:rPr>
        <w:t>、上级部门及其他市州的各类检查、督查、调研和县区自然资源局来我局交流汇报等</w:t>
      </w:r>
      <w:r>
        <w:rPr>
          <w:rFonts w:hint="eastAsia" w:ascii="仿宋_GB2312" w:eastAsia="仿宋_GB2312"/>
          <w:color w:val="auto"/>
          <w:sz w:val="32"/>
          <w:szCs w:val="32"/>
          <w:highlight w:val="none"/>
        </w:rPr>
        <w:t>执行公务、开展业务活动开支的交通费、住宿费、用餐费等。国内公务接待</w:t>
      </w:r>
      <w:r>
        <w:rPr>
          <w:rFonts w:hint="eastAsia" w:ascii="仿宋_GB2312" w:eastAsia="仿宋_GB2312"/>
          <w:color w:val="auto"/>
          <w:sz w:val="32"/>
          <w:szCs w:val="32"/>
          <w:highlight w:val="none"/>
          <w:lang w:val="en-US" w:eastAsia="zh-CN"/>
        </w:rPr>
        <w:t>110</w:t>
      </w:r>
      <w:r>
        <w:rPr>
          <w:rFonts w:hint="eastAsia" w:ascii="仿宋_GB2312" w:eastAsia="仿宋_GB2312"/>
          <w:color w:val="auto"/>
          <w:sz w:val="32"/>
          <w:szCs w:val="32"/>
          <w:highlight w:val="none"/>
        </w:rPr>
        <w:t>批次，</w:t>
      </w:r>
      <w:r>
        <w:rPr>
          <w:rFonts w:hint="eastAsia" w:ascii="仿宋_GB2312" w:eastAsia="仿宋_GB2312"/>
          <w:color w:val="auto"/>
          <w:sz w:val="32"/>
          <w:szCs w:val="32"/>
          <w:highlight w:val="none"/>
          <w:lang w:val="en-US" w:eastAsia="zh-CN"/>
        </w:rPr>
        <w:t>1109</w:t>
      </w:r>
      <w:r>
        <w:rPr>
          <w:rFonts w:hint="eastAsia" w:ascii="仿宋_GB2312" w:eastAsia="仿宋_GB2312"/>
          <w:color w:val="auto"/>
          <w:sz w:val="32"/>
          <w:szCs w:val="32"/>
          <w:highlight w:val="none"/>
        </w:rPr>
        <w:t>人次（不包括陪同人员），共计支出</w:t>
      </w:r>
      <w:r>
        <w:rPr>
          <w:rFonts w:hint="eastAsia" w:ascii="仿宋_GB2312" w:eastAsia="仿宋_GB2312"/>
          <w:color w:val="auto"/>
          <w:sz w:val="32"/>
          <w:szCs w:val="32"/>
          <w:highlight w:val="none"/>
          <w:lang w:val="en-US" w:eastAsia="zh-CN"/>
        </w:rPr>
        <w:t>14.65</w:t>
      </w:r>
      <w:r>
        <w:rPr>
          <w:rFonts w:hint="eastAsia" w:ascii="仿宋_GB2312" w:eastAsia="仿宋_GB2312"/>
          <w:color w:val="auto"/>
          <w:sz w:val="32"/>
          <w:szCs w:val="32"/>
          <w:highlight w:val="none"/>
        </w:rPr>
        <w:t>万元，具体内容包括：</w:t>
      </w:r>
      <w:r>
        <w:rPr>
          <w:rFonts w:hint="eastAsia" w:ascii="仿宋_GB2312" w:eastAsia="仿宋_GB2312"/>
          <w:color w:val="auto"/>
          <w:sz w:val="32"/>
          <w:szCs w:val="32"/>
          <w:highlight w:val="none"/>
          <w:lang w:val="en-US" w:eastAsia="zh-CN"/>
        </w:rPr>
        <w:t>自然资源部、省自然资源厅来广督导调研国土空间规划、国土空间生态修复和地质灾害防治、金矿专项整治、普法立法及督察执法等接待费；其他地市州局来广考察交流、县区局来人汇报衔接工作等接待费。</w:t>
      </w:r>
    </w:p>
    <w:p w14:paraId="2098C9C5">
      <w:pPr>
        <w:keepNext w:val="0"/>
        <w:keepLines w:val="0"/>
        <w:pageBreakBefore w:val="0"/>
        <w:widowControl w:val="0"/>
        <w:shd w:val="clear"/>
        <w:kinsoku/>
        <w:wordWrap/>
        <w:overflowPunct/>
        <w:topLinePunct w:val="0"/>
        <w:bidi w:val="0"/>
        <w:snapToGrid/>
        <w:spacing w:line="576" w:lineRule="exact"/>
        <w:ind w:left="0" w:leftChars="0" w:right="0" w:firstLine="643" w:firstLineChars="200"/>
        <w:jc w:val="both"/>
        <w:textAlignment w:val="auto"/>
        <w:rPr>
          <w:rFonts w:hint="eastAsia" w:ascii="仿宋_GB2312" w:eastAsia="仿宋_GB2312"/>
          <w:color w:val="auto"/>
          <w:sz w:val="32"/>
          <w:szCs w:val="32"/>
          <w:highlight w:val="none"/>
        </w:rPr>
      </w:pPr>
      <w:r>
        <w:rPr>
          <w:rFonts w:hint="eastAsia" w:ascii="仿宋" w:hAnsi="仿宋" w:eastAsia="仿宋"/>
          <w:b/>
          <w:color w:val="auto"/>
          <w:sz w:val="32"/>
          <w:szCs w:val="32"/>
          <w:highlight w:val="none"/>
        </w:rPr>
        <w:t>外事接待支出</w:t>
      </w:r>
      <w:r>
        <w:rPr>
          <w:rFonts w:hint="eastAsia" w:ascii="仿宋" w:hAnsi="仿宋" w:eastAsia="仿宋"/>
          <w:b/>
          <w:color w:val="auto"/>
          <w:sz w:val="32"/>
          <w:szCs w:val="32"/>
          <w:highlight w:val="none"/>
          <w:lang w:val="en-US" w:eastAsia="zh-CN"/>
        </w:rPr>
        <w:t>0</w:t>
      </w:r>
      <w:r>
        <w:rPr>
          <w:rFonts w:hint="eastAsia" w:ascii="仿宋_GB2312" w:eastAsia="仿宋_GB2312"/>
          <w:color w:val="auto"/>
          <w:sz w:val="32"/>
          <w:szCs w:val="32"/>
          <w:highlight w:val="none"/>
        </w:rPr>
        <w:t>万</w:t>
      </w:r>
      <w:r>
        <w:rPr>
          <w:rFonts w:hint="eastAsia" w:ascii="仿宋_GB2312" w:eastAsia="仿宋_GB2312"/>
          <w:color w:val="auto"/>
          <w:sz w:val="32"/>
          <w:szCs w:val="32"/>
          <w:highlight w:val="none"/>
          <w:lang w:val="en-US" w:eastAsia="zh-CN"/>
        </w:rPr>
        <w:t>元</w:t>
      </w:r>
      <w:r>
        <w:rPr>
          <w:rFonts w:hint="eastAsia" w:ascii="仿宋_GB2312" w:eastAsia="仿宋_GB2312"/>
          <w:color w:val="auto"/>
          <w:sz w:val="32"/>
          <w:szCs w:val="32"/>
          <w:highlight w:val="none"/>
          <w:lang w:eastAsia="zh-CN"/>
        </w:rPr>
        <w:t>。</w:t>
      </w:r>
    </w:p>
    <w:p w14:paraId="42835B49">
      <w:pPr>
        <w:keepNext w:val="0"/>
        <w:keepLines w:val="0"/>
        <w:pageBreakBefore w:val="0"/>
        <w:widowControl w:val="0"/>
        <w:shd w:val="clear"/>
        <w:kinsoku/>
        <w:wordWrap/>
        <w:overflowPunct/>
        <w:topLinePunct w:val="0"/>
        <w:bidi w:val="0"/>
        <w:snapToGrid/>
        <w:spacing w:line="576" w:lineRule="exact"/>
        <w:ind w:left="0" w:leftChars="0" w:right="0" w:firstLine="640" w:firstLineChars="200"/>
        <w:jc w:val="both"/>
        <w:textAlignment w:val="auto"/>
        <w:outlineLvl w:val="1"/>
        <w:rPr>
          <w:rStyle w:val="23"/>
          <w:rFonts w:ascii="黑体" w:hAnsi="黑体" w:eastAsia="黑体"/>
          <w:color w:val="auto"/>
          <w:highlight w:val="none"/>
        </w:rPr>
      </w:pPr>
      <w:bookmarkStart w:id="61" w:name="_Toc24925"/>
      <w:bookmarkStart w:id="62" w:name="_Toc15377218"/>
      <w:bookmarkStart w:id="63" w:name="_Toc15396610"/>
      <w:r>
        <w:rPr>
          <w:rFonts w:hint="eastAsia" w:ascii="黑体" w:eastAsia="黑体"/>
          <w:color w:val="auto"/>
          <w:sz w:val="32"/>
          <w:szCs w:val="32"/>
          <w:highlight w:val="none"/>
        </w:rPr>
        <w:t>八、</w:t>
      </w:r>
      <w:r>
        <w:rPr>
          <w:rStyle w:val="23"/>
          <w:rFonts w:hint="eastAsia" w:ascii="黑体" w:hAnsi="黑体" w:eastAsia="黑体"/>
          <w:b w:val="0"/>
          <w:color w:val="auto"/>
          <w:highlight w:val="none"/>
        </w:rPr>
        <w:t>政府性基金预算支出决算情况说明</w:t>
      </w:r>
      <w:bookmarkEnd w:id="61"/>
      <w:bookmarkEnd w:id="62"/>
      <w:bookmarkEnd w:id="63"/>
    </w:p>
    <w:p w14:paraId="76E83C40">
      <w:pPr>
        <w:keepNext w:val="0"/>
        <w:keepLines w:val="0"/>
        <w:pageBreakBefore w:val="0"/>
        <w:widowControl w:val="0"/>
        <w:shd w:val="clear"/>
        <w:kinsoku/>
        <w:wordWrap/>
        <w:overflowPunct/>
        <w:topLinePunct w:val="0"/>
        <w:bidi w:val="0"/>
        <w:snapToGrid/>
        <w:spacing w:line="576" w:lineRule="exact"/>
        <w:ind w:left="0" w:leftChars="0" w:right="0" w:firstLine="640" w:firstLineChars="200"/>
        <w:jc w:val="both"/>
        <w:textAlignment w:val="auto"/>
        <w:rPr>
          <w:rFonts w:ascii="仿宋_GB2312" w:eastAsia="仿宋_GB2312"/>
          <w:color w:val="auto"/>
          <w:sz w:val="32"/>
          <w:szCs w:val="32"/>
          <w:highlight w:val="none"/>
        </w:rPr>
      </w:pP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23</w:t>
      </w:r>
      <w:r>
        <w:rPr>
          <w:rFonts w:hint="eastAsia" w:ascii="仿宋_GB2312" w:eastAsia="仿宋_GB2312"/>
          <w:color w:val="auto"/>
          <w:sz w:val="32"/>
          <w:szCs w:val="32"/>
          <w:highlight w:val="none"/>
        </w:rPr>
        <w:t>年政府性基金预算</w:t>
      </w:r>
      <w:r>
        <w:rPr>
          <w:rFonts w:hint="eastAsia" w:ascii="仿宋_GB2312" w:eastAsia="仿宋_GB2312"/>
          <w:color w:val="auto"/>
          <w:sz w:val="32"/>
          <w:szCs w:val="32"/>
          <w:highlight w:val="none"/>
          <w:lang w:eastAsia="zh-CN"/>
        </w:rPr>
        <w:t>财政</w:t>
      </w:r>
      <w:r>
        <w:rPr>
          <w:rFonts w:hint="eastAsia" w:ascii="仿宋_GB2312" w:eastAsia="仿宋_GB2312"/>
          <w:color w:val="auto"/>
          <w:sz w:val="32"/>
          <w:szCs w:val="32"/>
          <w:highlight w:val="none"/>
        </w:rPr>
        <w:t>拨款支出</w:t>
      </w:r>
      <w:r>
        <w:rPr>
          <w:rFonts w:hint="eastAsia" w:ascii="仿宋_GB2312" w:eastAsia="仿宋_GB2312"/>
          <w:color w:val="auto"/>
          <w:sz w:val="32"/>
          <w:szCs w:val="32"/>
          <w:highlight w:val="none"/>
          <w:lang w:val="en-US" w:eastAsia="zh-CN"/>
        </w:rPr>
        <w:t>16408.7</w:t>
      </w:r>
      <w:r>
        <w:rPr>
          <w:rFonts w:hint="eastAsia" w:ascii="仿宋_GB2312" w:eastAsia="仿宋_GB2312"/>
          <w:color w:val="auto"/>
          <w:sz w:val="32"/>
          <w:szCs w:val="32"/>
          <w:highlight w:val="none"/>
        </w:rPr>
        <w:t>万元。</w:t>
      </w:r>
    </w:p>
    <w:p w14:paraId="114A0C70">
      <w:pPr>
        <w:keepNext w:val="0"/>
        <w:keepLines w:val="0"/>
        <w:pageBreakBefore w:val="0"/>
        <w:widowControl w:val="0"/>
        <w:numPr>
          <w:ilvl w:val="0"/>
          <w:numId w:val="1"/>
        </w:numPr>
        <w:shd w:val="clear"/>
        <w:kinsoku/>
        <w:wordWrap/>
        <w:overflowPunct/>
        <w:topLinePunct w:val="0"/>
        <w:bidi w:val="0"/>
        <w:snapToGrid/>
        <w:spacing w:line="576" w:lineRule="exact"/>
        <w:ind w:left="0" w:leftChars="0" w:right="0" w:firstLine="640" w:firstLineChars="200"/>
        <w:jc w:val="both"/>
        <w:textAlignment w:val="auto"/>
        <w:outlineLvl w:val="1"/>
        <w:rPr>
          <w:rStyle w:val="23"/>
          <w:rFonts w:ascii="黑体" w:hAnsi="黑体" w:eastAsia="黑体"/>
          <w:b w:val="0"/>
          <w:color w:val="auto"/>
          <w:highlight w:val="none"/>
        </w:rPr>
      </w:pPr>
      <w:bookmarkStart w:id="64" w:name="_Toc4864"/>
      <w:bookmarkStart w:id="65" w:name="_Toc15377219"/>
      <w:bookmarkStart w:id="66" w:name="_Toc15396611"/>
      <w:r>
        <w:rPr>
          <w:rStyle w:val="23"/>
          <w:rFonts w:hint="eastAsia" w:ascii="黑体" w:hAnsi="黑体" w:eastAsia="黑体"/>
          <w:b w:val="0"/>
          <w:color w:val="auto"/>
          <w:highlight w:val="none"/>
        </w:rPr>
        <w:t>国有资本经营预算支出决算情况说明</w:t>
      </w:r>
      <w:bookmarkEnd w:id="64"/>
      <w:bookmarkEnd w:id="65"/>
      <w:bookmarkEnd w:id="66"/>
    </w:p>
    <w:p w14:paraId="4E8FF5AC">
      <w:pPr>
        <w:keepNext w:val="0"/>
        <w:keepLines w:val="0"/>
        <w:pageBreakBefore w:val="0"/>
        <w:widowControl w:val="0"/>
        <w:shd w:val="clear"/>
        <w:kinsoku/>
        <w:wordWrap/>
        <w:overflowPunct/>
        <w:topLinePunct w:val="0"/>
        <w:bidi w:val="0"/>
        <w:snapToGrid/>
        <w:spacing w:line="576" w:lineRule="exact"/>
        <w:ind w:left="0" w:leftChars="0" w:right="0" w:firstLine="640" w:firstLineChars="200"/>
        <w:jc w:val="both"/>
        <w:textAlignment w:val="auto"/>
        <w:rPr>
          <w:rFonts w:ascii="仿宋_GB2312" w:eastAsia="仿宋_GB2312"/>
          <w:color w:val="auto"/>
          <w:sz w:val="32"/>
          <w:szCs w:val="32"/>
          <w:highlight w:val="none"/>
        </w:rPr>
      </w:pP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23</w:t>
      </w:r>
      <w:r>
        <w:rPr>
          <w:rFonts w:hint="eastAsia" w:ascii="仿宋_GB2312" w:eastAsia="仿宋_GB2312"/>
          <w:color w:val="auto"/>
          <w:sz w:val="32"/>
          <w:szCs w:val="32"/>
          <w:highlight w:val="none"/>
        </w:rPr>
        <w:t>年国有资本经营预算</w:t>
      </w:r>
      <w:r>
        <w:rPr>
          <w:rFonts w:hint="eastAsia" w:ascii="仿宋_GB2312" w:eastAsia="仿宋_GB2312"/>
          <w:color w:val="auto"/>
          <w:sz w:val="32"/>
          <w:szCs w:val="32"/>
          <w:highlight w:val="none"/>
          <w:lang w:eastAsia="zh-CN"/>
        </w:rPr>
        <w:t>财政</w:t>
      </w:r>
      <w:r>
        <w:rPr>
          <w:rFonts w:hint="eastAsia" w:ascii="仿宋_GB2312" w:eastAsia="仿宋_GB2312"/>
          <w:color w:val="auto"/>
          <w:sz w:val="32"/>
          <w:szCs w:val="32"/>
          <w:highlight w:val="none"/>
        </w:rPr>
        <w:t>拨款支出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p>
    <w:p w14:paraId="3314A944">
      <w:pPr>
        <w:keepNext w:val="0"/>
        <w:keepLines w:val="0"/>
        <w:pageBreakBefore w:val="0"/>
        <w:widowControl w:val="0"/>
        <w:numPr>
          <w:ilvl w:val="0"/>
          <w:numId w:val="1"/>
        </w:numPr>
        <w:shd w:val="clear"/>
        <w:kinsoku/>
        <w:wordWrap/>
        <w:overflowPunct/>
        <w:topLinePunct w:val="0"/>
        <w:bidi w:val="0"/>
        <w:snapToGrid/>
        <w:spacing w:line="576" w:lineRule="exact"/>
        <w:ind w:left="0" w:leftChars="0" w:right="0" w:firstLine="640" w:firstLineChars="200"/>
        <w:jc w:val="both"/>
        <w:textAlignment w:val="auto"/>
        <w:outlineLvl w:val="1"/>
        <w:rPr>
          <w:rStyle w:val="23"/>
          <w:rFonts w:hint="eastAsia" w:ascii="黑体" w:hAnsi="黑体" w:eastAsia="黑体"/>
          <w:b w:val="0"/>
          <w:color w:val="auto"/>
          <w:highlight w:val="none"/>
        </w:rPr>
      </w:pPr>
      <w:bookmarkStart w:id="67" w:name="_Toc23636"/>
      <w:bookmarkStart w:id="68" w:name="_Toc15377221"/>
      <w:bookmarkStart w:id="69" w:name="_Toc15396612"/>
      <w:r>
        <w:rPr>
          <w:rStyle w:val="23"/>
          <w:rFonts w:hint="eastAsia" w:ascii="黑体" w:hAnsi="黑体" w:eastAsia="黑体"/>
          <w:b w:val="0"/>
          <w:color w:val="auto"/>
          <w:highlight w:val="none"/>
        </w:rPr>
        <w:t>其他重要事项的情况说明</w:t>
      </w:r>
      <w:bookmarkEnd w:id="67"/>
      <w:bookmarkEnd w:id="68"/>
      <w:bookmarkEnd w:id="69"/>
    </w:p>
    <w:p w14:paraId="75A87E1F">
      <w:pPr>
        <w:keepNext w:val="0"/>
        <w:keepLines w:val="0"/>
        <w:pageBreakBefore w:val="0"/>
        <w:widowControl w:val="0"/>
        <w:shd w:val="clear"/>
        <w:kinsoku/>
        <w:wordWrap/>
        <w:overflowPunct/>
        <w:topLinePunct w:val="0"/>
        <w:bidi w:val="0"/>
        <w:snapToGrid/>
        <w:spacing w:line="576" w:lineRule="exact"/>
        <w:ind w:left="0" w:leftChars="0" w:right="0" w:firstLine="643" w:firstLineChars="200"/>
        <w:jc w:val="both"/>
        <w:textAlignment w:val="auto"/>
        <w:outlineLvl w:val="2"/>
        <w:rPr>
          <w:rFonts w:hint="eastAsia" w:ascii="楷体_GB2312" w:hAnsi="楷体_GB2312" w:eastAsia="楷体_GB2312" w:cs="楷体_GB2312"/>
          <w:color w:val="auto"/>
          <w:sz w:val="32"/>
          <w:szCs w:val="32"/>
          <w:highlight w:val="none"/>
        </w:rPr>
      </w:pPr>
      <w:bookmarkStart w:id="70" w:name="_Toc15377222"/>
      <w:r>
        <w:rPr>
          <w:rFonts w:hint="eastAsia" w:ascii="楷体_GB2312" w:hAnsi="楷体_GB2312" w:eastAsia="楷体_GB2312" w:cs="楷体_GB2312"/>
          <w:b/>
          <w:color w:val="auto"/>
          <w:sz w:val="32"/>
          <w:szCs w:val="32"/>
          <w:highlight w:val="none"/>
        </w:rPr>
        <w:t>（一）机关运行经费支出情况</w:t>
      </w:r>
      <w:bookmarkEnd w:id="70"/>
    </w:p>
    <w:p w14:paraId="719D882D">
      <w:pPr>
        <w:keepNext w:val="0"/>
        <w:keepLines w:val="0"/>
        <w:pageBreakBefore w:val="0"/>
        <w:widowControl w:val="0"/>
        <w:shd w:val="clear"/>
        <w:kinsoku/>
        <w:wordWrap/>
        <w:overflowPunct/>
        <w:topLinePunct w:val="0"/>
        <w:bidi w:val="0"/>
        <w:snapToGrid/>
        <w:spacing w:line="576" w:lineRule="exact"/>
        <w:ind w:left="0" w:leftChars="0" w:right="0" w:firstLine="640" w:firstLineChars="200"/>
        <w:jc w:val="both"/>
        <w:textAlignment w:val="auto"/>
        <w:rPr>
          <w:rFonts w:hint="eastAsia" w:ascii="仿宋_GB2312" w:eastAsia="仿宋_GB2312"/>
          <w:color w:val="auto"/>
          <w:sz w:val="32"/>
          <w:szCs w:val="32"/>
          <w:highlight w:val="none"/>
          <w:lang w:eastAsia="zh-CN"/>
        </w:rPr>
      </w:pP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23</w:t>
      </w:r>
      <w:r>
        <w:rPr>
          <w:rFonts w:hint="eastAsia" w:ascii="仿宋_GB2312" w:eastAsia="仿宋_GB2312"/>
          <w:color w:val="auto"/>
          <w:sz w:val="32"/>
          <w:szCs w:val="32"/>
          <w:highlight w:val="none"/>
        </w:rPr>
        <w:t>年，</w:t>
      </w:r>
      <w:r>
        <w:rPr>
          <w:rFonts w:hint="eastAsia" w:ascii="仿宋_GB2312" w:eastAsia="仿宋_GB2312"/>
          <w:color w:val="auto"/>
          <w:sz w:val="32"/>
          <w:szCs w:val="32"/>
          <w:highlight w:val="none"/>
          <w:lang w:val="en-US" w:eastAsia="zh-CN"/>
        </w:rPr>
        <w:t>广元市自然资源局机关</w:t>
      </w:r>
      <w:r>
        <w:rPr>
          <w:rFonts w:hint="eastAsia" w:ascii="仿宋_GB2312" w:eastAsia="仿宋_GB2312"/>
          <w:color w:val="auto"/>
          <w:sz w:val="32"/>
          <w:szCs w:val="32"/>
          <w:highlight w:val="none"/>
        </w:rPr>
        <w:t>运行经费支出</w:t>
      </w:r>
      <w:r>
        <w:rPr>
          <w:rFonts w:hint="eastAsia" w:ascii="仿宋_GB2312" w:eastAsia="仿宋_GB2312"/>
          <w:color w:val="auto"/>
          <w:sz w:val="32"/>
          <w:szCs w:val="32"/>
          <w:highlight w:val="none"/>
          <w:lang w:val="en-US" w:eastAsia="zh-CN"/>
        </w:rPr>
        <w:t>252.52</w:t>
      </w:r>
      <w:r>
        <w:rPr>
          <w:rFonts w:hint="eastAsia" w:ascii="仿宋_GB2312" w:eastAsia="仿宋_GB2312"/>
          <w:color w:val="auto"/>
          <w:sz w:val="32"/>
          <w:szCs w:val="32"/>
          <w:highlight w:val="none"/>
        </w:rPr>
        <w:t>万元，比</w:t>
      </w: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22</w:t>
      </w:r>
      <w:r>
        <w:rPr>
          <w:rFonts w:hint="eastAsia" w:ascii="仿宋_GB2312" w:eastAsia="仿宋_GB2312"/>
          <w:color w:val="auto"/>
          <w:sz w:val="32"/>
          <w:szCs w:val="32"/>
          <w:highlight w:val="none"/>
        </w:rPr>
        <w:t>年</w:t>
      </w:r>
      <w:r>
        <w:rPr>
          <w:rFonts w:hint="eastAsia" w:ascii="仿宋_GB2312" w:eastAsia="仿宋_GB2312"/>
          <w:color w:val="auto"/>
          <w:sz w:val="32"/>
          <w:szCs w:val="32"/>
          <w:highlight w:val="none"/>
          <w:lang w:val="en-US" w:eastAsia="zh-CN"/>
        </w:rPr>
        <w:t>减少5.58</w:t>
      </w:r>
      <w:r>
        <w:rPr>
          <w:rFonts w:hint="eastAsia" w:ascii="仿宋_GB2312" w:eastAsia="仿宋_GB2312"/>
          <w:color w:val="auto"/>
          <w:sz w:val="32"/>
          <w:szCs w:val="32"/>
          <w:highlight w:val="none"/>
        </w:rPr>
        <w:t>万元，</w:t>
      </w:r>
      <w:r>
        <w:rPr>
          <w:rFonts w:hint="eastAsia" w:ascii="仿宋_GB2312" w:eastAsia="仿宋_GB2312"/>
          <w:color w:val="auto"/>
          <w:sz w:val="32"/>
          <w:szCs w:val="32"/>
          <w:highlight w:val="none"/>
          <w:lang w:val="en-US" w:eastAsia="zh-CN"/>
        </w:rPr>
        <w:t>下降2.16</w:t>
      </w:r>
      <w:r>
        <w:rPr>
          <w:rFonts w:ascii="仿宋_GB2312" w:eastAsia="仿宋_GB2312"/>
          <w:color w:val="auto"/>
          <w:sz w:val="32"/>
          <w:szCs w:val="32"/>
          <w:highlight w:val="none"/>
        </w:rPr>
        <w:t>%</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rPr>
        <w:t>主要</w:t>
      </w:r>
      <w:r>
        <w:rPr>
          <w:rFonts w:hint="eastAsia" w:ascii="仿宋" w:hAnsi="仿宋" w:eastAsia="仿宋"/>
          <w:color w:val="auto"/>
          <w:sz w:val="32"/>
          <w:szCs w:val="32"/>
          <w:highlight w:val="none"/>
          <w:lang w:val="en-US" w:eastAsia="zh-CN"/>
        </w:rPr>
        <w:t>厉行勤俭节约，压缩开支。</w:t>
      </w:r>
    </w:p>
    <w:p w14:paraId="043B2AE8">
      <w:pPr>
        <w:keepNext w:val="0"/>
        <w:keepLines w:val="0"/>
        <w:pageBreakBefore w:val="0"/>
        <w:widowControl w:val="0"/>
        <w:shd w:val="clear"/>
        <w:kinsoku/>
        <w:wordWrap/>
        <w:overflowPunct/>
        <w:topLinePunct w:val="0"/>
        <w:autoSpaceDE w:val="0"/>
        <w:autoSpaceDN w:val="0"/>
        <w:bidi w:val="0"/>
        <w:adjustRightInd w:val="0"/>
        <w:snapToGrid/>
        <w:spacing w:line="576" w:lineRule="exact"/>
        <w:ind w:left="0" w:leftChars="0" w:right="0" w:firstLine="643" w:firstLineChars="200"/>
        <w:jc w:val="both"/>
        <w:textAlignment w:val="auto"/>
        <w:outlineLvl w:val="2"/>
        <w:rPr>
          <w:rFonts w:hint="eastAsia" w:ascii="楷体_GB2312" w:hAnsi="楷体_GB2312" w:eastAsia="楷体_GB2312" w:cs="楷体_GB2312"/>
          <w:b/>
          <w:color w:val="auto"/>
          <w:sz w:val="32"/>
          <w:szCs w:val="32"/>
          <w:highlight w:val="none"/>
        </w:rPr>
      </w:pPr>
      <w:bookmarkStart w:id="71" w:name="_Toc15377223"/>
      <w:r>
        <w:rPr>
          <w:rFonts w:hint="eastAsia" w:ascii="楷体_GB2312" w:hAnsi="楷体_GB2312" w:eastAsia="楷体_GB2312" w:cs="楷体_GB2312"/>
          <w:b/>
          <w:color w:val="auto"/>
          <w:sz w:val="32"/>
          <w:szCs w:val="32"/>
          <w:highlight w:val="none"/>
        </w:rPr>
        <w:t>（二）政府采购支出情况</w:t>
      </w:r>
      <w:bookmarkEnd w:id="71"/>
    </w:p>
    <w:p w14:paraId="1F4FA480">
      <w:pPr>
        <w:keepNext w:val="0"/>
        <w:keepLines w:val="0"/>
        <w:pageBreakBefore w:val="0"/>
        <w:widowControl w:val="0"/>
        <w:shd w:val="clear"/>
        <w:kinsoku/>
        <w:wordWrap/>
        <w:overflowPunct/>
        <w:topLinePunct w:val="0"/>
        <w:bidi w:val="0"/>
        <w:snapToGrid/>
        <w:spacing w:line="576" w:lineRule="exact"/>
        <w:ind w:left="0" w:leftChars="0" w:right="0" w:firstLine="640" w:firstLineChars="200"/>
        <w:jc w:val="both"/>
        <w:textAlignment w:val="auto"/>
        <w:rPr>
          <w:rFonts w:ascii="仿宋_GB2312" w:eastAsia="仿宋_GB2312"/>
          <w:color w:val="auto"/>
          <w:sz w:val="32"/>
          <w:szCs w:val="32"/>
          <w:highlight w:val="none"/>
        </w:rPr>
      </w:pP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23</w:t>
      </w:r>
      <w:r>
        <w:rPr>
          <w:rFonts w:hint="eastAsia" w:ascii="仿宋_GB2312" w:eastAsia="仿宋_GB2312"/>
          <w:color w:val="auto"/>
          <w:sz w:val="32"/>
          <w:szCs w:val="32"/>
          <w:highlight w:val="none"/>
        </w:rPr>
        <w:t>年，</w:t>
      </w:r>
      <w:r>
        <w:rPr>
          <w:rFonts w:hint="eastAsia" w:ascii="仿宋_GB2312" w:eastAsia="仿宋_GB2312"/>
          <w:color w:val="auto"/>
          <w:sz w:val="32"/>
          <w:szCs w:val="32"/>
          <w:highlight w:val="none"/>
          <w:lang w:val="en-US" w:eastAsia="zh-CN"/>
        </w:rPr>
        <w:t>广元市自然资源局</w:t>
      </w:r>
      <w:r>
        <w:rPr>
          <w:rFonts w:hint="eastAsia" w:ascii="仿宋_GB2312" w:eastAsia="仿宋_GB2312"/>
          <w:color w:val="auto"/>
          <w:sz w:val="32"/>
          <w:szCs w:val="32"/>
          <w:highlight w:val="none"/>
        </w:rPr>
        <w:t>政府采购支出总额</w:t>
      </w:r>
      <w:r>
        <w:rPr>
          <w:rFonts w:hint="eastAsia" w:ascii="仿宋_GB2312" w:eastAsia="仿宋_GB2312"/>
          <w:color w:val="auto"/>
          <w:sz w:val="32"/>
          <w:szCs w:val="32"/>
          <w:highlight w:val="none"/>
          <w:lang w:val="en-US" w:eastAsia="zh-CN"/>
        </w:rPr>
        <w:t>189.92</w:t>
      </w:r>
      <w:r>
        <w:rPr>
          <w:rFonts w:hint="eastAsia" w:ascii="仿宋_GB2312" w:eastAsia="仿宋_GB2312"/>
          <w:color w:val="auto"/>
          <w:sz w:val="32"/>
          <w:szCs w:val="32"/>
          <w:highlight w:val="none"/>
        </w:rPr>
        <w:t>万元</w:t>
      </w:r>
      <w:r>
        <w:rPr>
          <w:rFonts w:hint="eastAsia" w:ascii="仿宋_GB2312" w:eastAsia="仿宋_GB2312"/>
          <w:color w:val="auto"/>
          <w:sz w:val="32"/>
          <w:szCs w:val="32"/>
          <w:highlight w:val="none"/>
          <w:lang w:eastAsia="zh-CN"/>
        </w:rPr>
        <w:t>。</w:t>
      </w:r>
      <w:bookmarkStart w:id="109" w:name="_GoBack"/>
      <w:r>
        <w:rPr>
          <w:rFonts w:hint="eastAsia" w:ascii="仿宋_GB2312" w:eastAsia="仿宋_GB2312"/>
          <w:color w:val="auto"/>
          <w:sz w:val="32"/>
          <w:szCs w:val="32"/>
          <w:highlight w:val="none"/>
        </w:rPr>
        <w:t>其中：政府采购货物支出</w:t>
      </w:r>
      <w:r>
        <w:rPr>
          <w:rFonts w:hint="eastAsia" w:ascii="仿宋_GB2312" w:eastAsia="仿宋_GB2312"/>
          <w:color w:val="auto"/>
          <w:sz w:val="32"/>
          <w:szCs w:val="32"/>
          <w:highlight w:val="none"/>
          <w:lang w:val="en-US" w:eastAsia="zh-CN"/>
        </w:rPr>
        <w:t>57.92</w:t>
      </w:r>
      <w:r>
        <w:rPr>
          <w:rFonts w:hint="eastAsia" w:ascii="仿宋_GB2312" w:eastAsia="仿宋_GB2312"/>
          <w:color w:val="auto"/>
          <w:sz w:val="32"/>
          <w:szCs w:val="32"/>
          <w:highlight w:val="none"/>
        </w:rPr>
        <w:t>万元、政府采购服务支出</w:t>
      </w:r>
      <w:r>
        <w:rPr>
          <w:rFonts w:hint="eastAsia" w:ascii="仿宋_GB2312" w:eastAsia="仿宋_GB2312"/>
          <w:color w:val="auto"/>
          <w:sz w:val="32"/>
          <w:szCs w:val="32"/>
          <w:highlight w:val="none"/>
          <w:lang w:val="en-US" w:eastAsia="zh-CN"/>
        </w:rPr>
        <w:t>132</w:t>
      </w:r>
      <w:r>
        <w:rPr>
          <w:rFonts w:hint="eastAsia" w:ascii="仿宋_GB2312" w:eastAsia="仿宋_GB2312"/>
          <w:color w:val="auto"/>
          <w:sz w:val="32"/>
          <w:szCs w:val="32"/>
          <w:highlight w:val="none"/>
        </w:rPr>
        <w:t>万元。</w:t>
      </w:r>
      <w:r>
        <w:rPr>
          <w:rFonts w:hint="eastAsia" w:ascii="仿宋_GB2312" w:eastAsia="仿宋_GB2312"/>
          <w:color w:val="auto"/>
          <w:sz w:val="32"/>
          <w:szCs w:val="32"/>
          <w:highlight w:val="none"/>
          <w:lang w:val="en-US" w:eastAsia="zh-CN"/>
        </w:rPr>
        <w:t>货物</w:t>
      </w:r>
      <w:r>
        <w:rPr>
          <w:rFonts w:hint="eastAsia" w:ascii="仿宋_GB2312" w:eastAsia="仿宋_GB2312"/>
          <w:color w:val="auto"/>
          <w:sz w:val="32"/>
          <w:szCs w:val="32"/>
          <w:highlight w:val="none"/>
        </w:rPr>
        <w:t>主要用于</w:t>
      </w:r>
      <w:r>
        <w:rPr>
          <w:rFonts w:hint="eastAsia" w:ascii="仿宋_GB2312" w:eastAsia="仿宋_GB2312"/>
          <w:color w:val="auto"/>
          <w:sz w:val="32"/>
          <w:szCs w:val="32"/>
          <w:highlight w:val="none"/>
          <w:lang w:val="en-US" w:eastAsia="zh-CN"/>
        </w:rPr>
        <w:t>购置办公设备和无人机飞行器；服务采购主要用于矿产资源调查、自然资源视频会议系统升级和广元市园林草分等定级项目技术服务费</w:t>
      </w:r>
      <w:r>
        <w:rPr>
          <w:rFonts w:hint="eastAsia" w:ascii="仿宋_GB2312" w:eastAsia="仿宋_GB2312"/>
          <w:color w:val="auto"/>
          <w:sz w:val="32"/>
          <w:szCs w:val="32"/>
          <w:highlight w:val="none"/>
        </w:rPr>
        <w:t>。授予中小企业合同金额</w:t>
      </w:r>
      <w:r>
        <w:rPr>
          <w:rFonts w:hint="eastAsia" w:ascii="仿宋_GB2312" w:eastAsia="仿宋_GB2312"/>
          <w:color w:val="auto"/>
          <w:sz w:val="32"/>
          <w:szCs w:val="32"/>
          <w:highlight w:val="none"/>
          <w:lang w:val="en-US" w:eastAsia="zh-CN"/>
        </w:rPr>
        <w:t>141.64</w:t>
      </w:r>
      <w:r>
        <w:rPr>
          <w:rFonts w:hint="eastAsia" w:ascii="仿宋_GB2312" w:eastAsia="仿宋_GB2312"/>
          <w:color w:val="auto"/>
          <w:sz w:val="32"/>
          <w:szCs w:val="32"/>
          <w:highlight w:val="none"/>
        </w:rPr>
        <w:t>万元，占政府采购支出总额的</w:t>
      </w:r>
      <w:r>
        <w:rPr>
          <w:rFonts w:hint="eastAsia" w:ascii="仿宋_GB2312" w:eastAsia="仿宋_GB2312"/>
          <w:color w:val="auto"/>
          <w:sz w:val="32"/>
          <w:szCs w:val="32"/>
          <w:highlight w:val="none"/>
          <w:lang w:val="en-US" w:eastAsia="zh-CN"/>
        </w:rPr>
        <w:t>100</w:t>
      </w:r>
      <w:r>
        <w:rPr>
          <w:rFonts w:ascii="仿宋_GB2312" w:eastAsia="仿宋_GB2312"/>
          <w:color w:val="auto"/>
          <w:sz w:val="32"/>
          <w:szCs w:val="32"/>
          <w:highlight w:val="none"/>
        </w:rPr>
        <w:t>%</w:t>
      </w:r>
      <w:r>
        <w:rPr>
          <w:rFonts w:hint="eastAsia" w:ascii="仿宋_GB2312" w:eastAsia="仿宋_GB2312"/>
          <w:color w:val="auto"/>
          <w:sz w:val="32"/>
          <w:szCs w:val="32"/>
          <w:highlight w:val="none"/>
        </w:rPr>
        <w:t>，其中：授予小微企业合同金额</w:t>
      </w:r>
      <w:r>
        <w:rPr>
          <w:rFonts w:hint="eastAsia" w:ascii="仿宋_GB2312" w:eastAsia="仿宋_GB2312"/>
          <w:color w:val="auto"/>
          <w:sz w:val="32"/>
          <w:szCs w:val="32"/>
          <w:highlight w:val="none"/>
          <w:lang w:val="en-US" w:eastAsia="zh-CN"/>
        </w:rPr>
        <w:t>141.64</w:t>
      </w:r>
      <w:r>
        <w:rPr>
          <w:rFonts w:hint="eastAsia" w:ascii="仿宋_GB2312" w:eastAsia="仿宋_GB2312"/>
          <w:color w:val="auto"/>
          <w:sz w:val="32"/>
          <w:szCs w:val="32"/>
          <w:highlight w:val="none"/>
        </w:rPr>
        <w:t>万元，占政府采购支出总额的</w:t>
      </w:r>
      <w:r>
        <w:rPr>
          <w:rFonts w:hint="eastAsia" w:ascii="仿宋_GB2312" w:eastAsia="仿宋_GB2312"/>
          <w:color w:val="auto"/>
          <w:sz w:val="32"/>
          <w:szCs w:val="32"/>
          <w:highlight w:val="none"/>
          <w:lang w:val="en-US" w:eastAsia="zh-CN"/>
        </w:rPr>
        <w:t>100</w:t>
      </w:r>
      <w:r>
        <w:rPr>
          <w:rFonts w:ascii="仿宋_GB2312" w:eastAsia="仿宋_GB2312"/>
          <w:color w:val="auto"/>
          <w:sz w:val="32"/>
          <w:szCs w:val="32"/>
          <w:highlight w:val="none"/>
        </w:rPr>
        <w:t>%</w:t>
      </w:r>
      <w:r>
        <w:rPr>
          <w:rFonts w:hint="eastAsia" w:ascii="仿宋_GB2312" w:eastAsia="仿宋_GB2312"/>
          <w:color w:val="auto"/>
          <w:sz w:val="32"/>
          <w:szCs w:val="32"/>
          <w:highlight w:val="none"/>
        </w:rPr>
        <w:t>。</w:t>
      </w:r>
    </w:p>
    <w:bookmarkEnd w:id="109"/>
    <w:p w14:paraId="7B675665">
      <w:pPr>
        <w:keepNext w:val="0"/>
        <w:keepLines w:val="0"/>
        <w:pageBreakBefore w:val="0"/>
        <w:widowControl w:val="0"/>
        <w:shd w:val="clear"/>
        <w:kinsoku/>
        <w:wordWrap/>
        <w:overflowPunct/>
        <w:topLinePunct w:val="0"/>
        <w:autoSpaceDE w:val="0"/>
        <w:autoSpaceDN w:val="0"/>
        <w:bidi w:val="0"/>
        <w:adjustRightInd w:val="0"/>
        <w:snapToGrid/>
        <w:spacing w:line="576" w:lineRule="exact"/>
        <w:ind w:left="0" w:leftChars="0" w:right="0" w:firstLine="643" w:firstLineChars="200"/>
        <w:jc w:val="both"/>
        <w:textAlignment w:val="auto"/>
        <w:outlineLvl w:val="2"/>
        <w:rPr>
          <w:rFonts w:hint="eastAsia" w:ascii="楷体_GB2312" w:hAnsi="楷体_GB2312" w:eastAsia="楷体_GB2312" w:cs="楷体_GB2312"/>
          <w:b/>
          <w:color w:val="auto"/>
          <w:sz w:val="32"/>
          <w:szCs w:val="32"/>
          <w:highlight w:val="none"/>
        </w:rPr>
      </w:pPr>
      <w:bookmarkStart w:id="72" w:name="_Toc15377224"/>
      <w:r>
        <w:rPr>
          <w:rFonts w:hint="eastAsia" w:ascii="楷体_GB2312" w:hAnsi="楷体_GB2312" w:eastAsia="楷体_GB2312" w:cs="楷体_GB2312"/>
          <w:b/>
          <w:color w:val="auto"/>
          <w:sz w:val="32"/>
          <w:szCs w:val="32"/>
          <w:highlight w:val="none"/>
        </w:rPr>
        <w:t>（三）国有资产占有使用情况</w:t>
      </w:r>
      <w:bookmarkEnd w:id="72"/>
    </w:p>
    <w:p w14:paraId="008AA1F7">
      <w:pPr>
        <w:keepNext w:val="0"/>
        <w:keepLines w:val="0"/>
        <w:pageBreakBefore w:val="0"/>
        <w:widowControl w:val="0"/>
        <w:shd w:val="clear"/>
        <w:kinsoku/>
        <w:wordWrap/>
        <w:overflowPunct/>
        <w:topLinePunct w:val="0"/>
        <w:autoSpaceDE w:val="0"/>
        <w:autoSpaceDN w:val="0"/>
        <w:bidi w:val="0"/>
        <w:adjustRightInd w:val="0"/>
        <w:snapToGrid/>
        <w:spacing w:line="576" w:lineRule="exact"/>
        <w:ind w:left="0" w:leftChars="0" w:right="0" w:firstLine="640" w:firstLineChars="200"/>
        <w:jc w:val="both"/>
        <w:textAlignment w:val="auto"/>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截至</w:t>
      </w: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23</w:t>
      </w:r>
      <w:r>
        <w:rPr>
          <w:rFonts w:hint="eastAsia" w:ascii="仿宋_GB2312" w:eastAsia="仿宋_GB2312"/>
          <w:color w:val="auto"/>
          <w:sz w:val="32"/>
          <w:szCs w:val="32"/>
          <w:highlight w:val="none"/>
        </w:rPr>
        <w:t>年</w:t>
      </w:r>
      <w:r>
        <w:rPr>
          <w:rFonts w:ascii="仿宋_GB2312" w:eastAsia="仿宋_GB2312"/>
          <w:color w:val="auto"/>
          <w:sz w:val="32"/>
          <w:szCs w:val="32"/>
          <w:highlight w:val="none"/>
        </w:rPr>
        <w:t>12</w:t>
      </w:r>
      <w:r>
        <w:rPr>
          <w:rFonts w:hint="eastAsia" w:ascii="仿宋_GB2312" w:eastAsia="仿宋_GB2312"/>
          <w:color w:val="auto"/>
          <w:sz w:val="32"/>
          <w:szCs w:val="32"/>
          <w:highlight w:val="none"/>
        </w:rPr>
        <w:t>月</w:t>
      </w:r>
      <w:r>
        <w:rPr>
          <w:rFonts w:ascii="仿宋_GB2312" w:eastAsia="仿宋_GB2312"/>
          <w:color w:val="auto"/>
          <w:sz w:val="32"/>
          <w:szCs w:val="32"/>
          <w:highlight w:val="none"/>
        </w:rPr>
        <w:t>31</w:t>
      </w:r>
      <w:r>
        <w:rPr>
          <w:rFonts w:hint="eastAsia" w:ascii="仿宋_GB2312" w:eastAsia="仿宋_GB2312"/>
          <w:color w:val="auto"/>
          <w:sz w:val="32"/>
          <w:szCs w:val="32"/>
          <w:highlight w:val="none"/>
        </w:rPr>
        <w:t>日，</w:t>
      </w:r>
      <w:r>
        <w:rPr>
          <w:rFonts w:hint="eastAsia" w:ascii="仿宋_GB2312" w:eastAsia="仿宋_GB2312"/>
          <w:color w:val="auto"/>
          <w:sz w:val="32"/>
          <w:szCs w:val="32"/>
          <w:highlight w:val="none"/>
          <w:lang w:val="en-US" w:eastAsia="zh-CN"/>
        </w:rPr>
        <w:t>广元市自然资源局</w:t>
      </w:r>
      <w:r>
        <w:rPr>
          <w:rFonts w:hint="eastAsia" w:ascii="仿宋_GB2312" w:eastAsia="仿宋_GB2312"/>
          <w:color w:val="auto"/>
          <w:sz w:val="32"/>
          <w:szCs w:val="32"/>
          <w:highlight w:val="none"/>
        </w:rPr>
        <w:t>共有车辆</w:t>
      </w:r>
      <w:r>
        <w:rPr>
          <w:rFonts w:hint="eastAsia" w:ascii="仿宋_GB2312" w:eastAsia="仿宋_GB2312"/>
          <w:color w:val="auto"/>
          <w:sz w:val="32"/>
          <w:szCs w:val="32"/>
          <w:highlight w:val="none"/>
          <w:lang w:val="en-US" w:eastAsia="zh-CN"/>
        </w:rPr>
        <w:t>9</w:t>
      </w:r>
      <w:r>
        <w:rPr>
          <w:rFonts w:hint="eastAsia" w:ascii="仿宋_GB2312" w:eastAsia="仿宋_GB2312"/>
          <w:color w:val="auto"/>
          <w:sz w:val="32"/>
          <w:szCs w:val="32"/>
          <w:highlight w:val="none"/>
        </w:rPr>
        <w:t>辆，其中：其他用车</w:t>
      </w:r>
      <w:r>
        <w:rPr>
          <w:rFonts w:hint="eastAsia" w:ascii="仿宋_GB2312" w:eastAsia="仿宋_GB2312"/>
          <w:color w:val="auto"/>
          <w:sz w:val="32"/>
          <w:szCs w:val="32"/>
          <w:highlight w:val="none"/>
          <w:lang w:val="en-US" w:eastAsia="zh-CN"/>
        </w:rPr>
        <w:t>9</w:t>
      </w:r>
      <w:r>
        <w:rPr>
          <w:rFonts w:hint="eastAsia" w:ascii="仿宋_GB2312" w:eastAsia="仿宋_GB2312"/>
          <w:color w:val="auto"/>
          <w:sz w:val="32"/>
          <w:szCs w:val="32"/>
          <w:highlight w:val="none"/>
        </w:rPr>
        <w:t>辆</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rPr>
        <w:t>其他用车主要是</w:t>
      </w:r>
      <w:r>
        <w:rPr>
          <w:rFonts w:hint="eastAsia" w:ascii="仿宋_GB2312" w:eastAsia="仿宋_GB2312"/>
          <w:color w:val="auto"/>
          <w:sz w:val="32"/>
          <w:szCs w:val="32"/>
          <w:highlight w:val="none"/>
          <w:lang w:eastAsia="zh-CN"/>
        </w:rPr>
        <w:t>用于</w:t>
      </w:r>
      <w:r>
        <w:rPr>
          <w:rFonts w:hint="eastAsia" w:ascii="仿宋_GB2312" w:eastAsia="仿宋_GB2312"/>
          <w:color w:val="auto"/>
          <w:sz w:val="32"/>
          <w:szCs w:val="32"/>
          <w:highlight w:val="none"/>
          <w:lang w:val="en-US" w:eastAsia="zh-CN"/>
        </w:rPr>
        <w:t>一般公务、业务用车</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rPr>
        <w:t>单价</w:t>
      </w:r>
      <w:r>
        <w:rPr>
          <w:rFonts w:ascii="仿宋_GB2312" w:eastAsia="仿宋_GB2312"/>
          <w:color w:val="auto"/>
          <w:sz w:val="32"/>
          <w:szCs w:val="32"/>
          <w:highlight w:val="none"/>
        </w:rPr>
        <w:t>100</w:t>
      </w:r>
      <w:r>
        <w:rPr>
          <w:rFonts w:hint="eastAsia" w:ascii="仿宋_GB2312" w:eastAsia="仿宋_GB2312"/>
          <w:color w:val="auto"/>
          <w:sz w:val="32"/>
          <w:szCs w:val="32"/>
          <w:highlight w:val="none"/>
        </w:rPr>
        <w:t>万元以上专用设备</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台（套）。</w:t>
      </w:r>
    </w:p>
    <w:p w14:paraId="1262E6B8">
      <w:pPr>
        <w:keepNext w:val="0"/>
        <w:keepLines w:val="0"/>
        <w:pageBreakBefore w:val="0"/>
        <w:widowControl w:val="0"/>
        <w:shd w:val="clear"/>
        <w:kinsoku/>
        <w:wordWrap/>
        <w:overflowPunct/>
        <w:topLinePunct w:val="0"/>
        <w:autoSpaceDE w:val="0"/>
        <w:autoSpaceDN w:val="0"/>
        <w:bidi w:val="0"/>
        <w:adjustRightInd w:val="0"/>
        <w:snapToGrid/>
        <w:spacing w:line="576" w:lineRule="exact"/>
        <w:ind w:left="0" w:leftChars="0" w:right="0" w:firstLine="643" w:firstLineChars="200"/>
        <w:jc w:val="both"/>
        <w:textAlignment w:val="auto"/>
        <w:outlineLvl w:val="2"/>
        <w:rPr>
          <w:rFonts w:hint="eastAsia" w:ascii="楷体_GB2312" w:hAnsi="楷体_GB2312" w:eastAsia="楷体_GB2312" w:cs="楷体_GB2312"/>
          <w:b/>
          <w:color w:val="auto"/>
          <w:sz w:val="32"/>
          <w:szCs w:val="32"/>
          <w:highlight w:val="none"/>
        </w:rPr>
      </w:pPr>
      <w:r>
        <w:rPr>
          <w:rFonts w:hint="eastAsia" w:ascii="楷体_GB2312" w:hAnsi="楷体_GB2312" w:eastAsia="楷体_GB2312" w:cs="楷体_GB2312"/>
          <w:b/>
          <w:color w:val="auto"/>
          <w:sz w:val="32"/>
          <w:szCs w:val="32"/>
          <w:highlight w:val="none"/>
        </w:rPr>
        <w:t>（四）预算绩效管理情况</w:t>
      </w:r>
    </w:p>
    <w:p w14:paraId="10A9E6A1">
      <w:pPr>
        <w:keepNext w:val="0"/>
        <w:keepLines w:val="0"/>
        <w:pageBreakBefore w:val="0"/>
        <w:widowControl w:val="0"/>
        <w:shd w:val="clear"/>
        <w:kinsoku/>
        <w:wordWrap/>
        <w:overflowPunct/>
        <w:topLinePunct w:val="0"/>
        <w:autoSpaceDE/>
        <w:autoSpaceDN/>
        <w:bidi w:val="0"/>
        <w:adjustRightInd/>
        <w:snapToGrid/>
        <w:spacing w:line="576" w:lineRule="exact"/>
        <w:ind w:left="0" w:leftChars="0" w:right="0"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根据预算绩效管理要求，本部门在202</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年度预算编制阶段，组织对</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pacing w:val="0"/>
          <w:sz w:val="32"/>
          <w:szCs w:val="32"/>
          <w:highlight w:val="none"/>
          <w:lang w:val="en-US" w:eastAsia="zh-CN"/>
        </w:rPr>
        <w:t>地灾防治工作经费”等</w:t>
      </w:r>
      <w:r>
        <w:rPr>
          <w:rFonts w:hint="eastAsia" w:ascii="仿宋_GB2312" w:hAnsi="仿宋_GB2312" w:eastAsia="仿宋_GB2312" w:cs="仿宋_GB2312"/>
          <w:color w:val="auto"/>
          <w:sz w:val="32"/>
          <w:szCs w:val="32"/>
          <w:highlight w:val="none"/>
          <w:lang w:val="en-US" w:eastAsia="zh-CN"/>
        </w:rPr>
        <w:t>59</w:t>
      </w:r>
      <w:r>
        <w:rPr>
          <w:rFonts w:hint="eastAsia" w:ascii="仿宋_GB2312" w:hAnsi="仿宋_GB2312" w:eastAsia="仿宋_GB2312" w:cs="仿宋_GB2312"/>
          <w:color w:val="auto"/>
          <w:sz w:val="32"/>
          <w:szCs w:val="32"/>
          <w:highlight w:val="none"/>
        </w:rPr>
        <w:t>个项目开展了预算事前绩效评估，对</w:t>
      </w:r>
      <w:r>
        <w:rPr>
          <w:rFonts w:hint="eastAsia" w:ascii="仿宋_GB2312" w:hAnsi="仿宋_GB2312" w:eastAsia="仿宋_GB2312" w:cs="仿宋_GB2312"/>
          <w:color w:val="auto"/>
          <w:sz w:val="32"/>
          <w:szCs w:val="32"/>
          <w:highlight w:val="none"/>
          <w:lang w:val="en-US" w:eastAsia="zh-CN"/>
        </w:rPr>
        <w:t>59</w:t>
      </w:r>
      <w:r>
        <w:rPr>
          <w:rFonts w:hint="eastAsia" w:ascii="仿宋_GB2312" w:hAnsi="仿宋_GB2312" w:eastAsia="仿宋_GB2312" w:cs="仿宋_GB2312"/>
          <w:color w:val="auto"/>
          <w:sz w:val="32"/>
          <w:szCs w:val="32"/>
          <w:highlight w:val="none"/>
        </w:rPr>
        <w:t>个项目编制了绩效目标，预算执行过程中，选取</w:t>
      </w:r>
      <w:r>
        <w:rPr>
          <w:rFonts w:hint="eastAsia" w:ascii="仿宋_GB2312" w:hAnsi="仿宋_GB2312" w:eastAsia="仿宋_GB2312" w:cs="仿宋_GB2312"/>
          <w:color w:val="auto"/>
          <w:sz w:val="32"/>
          <w:szCs w:val="32"/>
          <w:highlight w:val="none"/>
          <w:lang w:val="en-US" w:eastAsia="zh-CN"/>
        </w:rPr>
        <w:t>59</w:t>
      </w:r>
      <w:r>
        <w:rPr>
          <w:rFonts w:hint="eastAsia" w:ascii="仿宋_GB2312" w:hAnsi="仿宋_GB2312" w:eastAsia="仿宋_GB2312" w:cs="仿宋_GB2312"/>
          <w:color w:val="auto"/>
          <w:sz w:val="32"/>
          <w:szCs w:val="32"/>
          <w:highlight w:val="none"/>
        </w:rPr>
        <w:t>个项目开展绩效监控。</w:t>
      </w:r>
    </w:p>
    <w:p w14:paraId="6636D3FB">
      <w:pPr>
        <w:keepNext w:val="0"/>
        <w:keepLines w:val="0"/>
        <w:pageBreakBefore w:val="0"/>
        <w:widowControl w:val="0"/>
        <w:shd w:val="clear"/>
        <w:kinsoku/>
        <w:wordWrap/>
        <w:overflowPunct/>
        <w:topLinePunct w:val="0"/>
        <w:autoSpaceDE/>
        <w:autoSpaceDN/>
        <w:bidi w:val="0"/>
        <w:adjustRightInd/>
        <w:snapToGrid/>
        <w:spacing w:line="576" w:lineRule="exact"/>
        <w:ind w:left="0" w:leftChars="0" w:right="0" w:firstLine="640" w:firstLineChars="200"/>
        <w:jc w:val="both"/>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组织对202</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年度一般公共预算、政府性基金预算等全面开展绩效自评，形成</w:t>
      </w:r>
      <w:r>
        <w:rPr>
          <w:rFonts w:hint="eastAsia" w:ascii="仿宋_GB2312" w:hAnsi="仿宋_GB2312" w:eastAsia="仿宋_GB2312" w:cs="仿宋_GB2312"/>
          <w:color w:val="auto"/>
          <w:sz w:val="32"/>
          <w:szCs w:val="32"/>
          <w:highlight w:val="none"/>
          <w:lang w:val="en-US" w:eastAsia="zh-CN"/>
        </w:rPr>
        <w:t>广元市自然资源局</w:t>
      </w:r>
      <w:r>
        <w:rPr>
          <w:rFonts w:hint="eastAsia" w:ascii="仿宋_GB2312" w:hAnsi="仿宋_GB2312" w:eastAsia="仿宋_GB2312" w:cs="仿宋_GB2312"/>
          <w:color w:val="auto"/>
          <w:sz w:val="32"/>
          <w:szCs w:val="32"/>
          <w:highlight w:val="none"/>
        </w:rPr>
        <w:t>部门整体（含部门预算项目）绩效自评报告</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pacing w:val="0"/>
          <w:sz w:val="32"/>
          <w:szCs w:val="32"/>
          <w:highlight w:val="none"/>
          <w:lang w:val="en-US" w:eastAsia="zh-CN"/>
        </w:rPr>
        <w:t>地灾防治工作经费”</w:t>
      </w:r>
      <w:r>
        <w:rPr>
          <w:rFonts w:hint="eastAsia" w:ascii="仿宋_GB2312" w:hAnsi="仿宋_GB2312" w:eastAsia="仿宋_GB2312" w:cs="仿宋_GB2312"/>
          <w:color w:val="auto"/>
          <w:sz w:val="32"/>
          <w:szCs w:val="32"/>
          <w:highlight w:val="none"/>
        </w:rPr>
        <w:t>等</w:t>
      </w:r>
      <w:r>
        <w:rPr>
          <w:rFonts w:hint="eastAsia" w:ascii="仿宋_GB2312" w:hAnsi="仿宋_GB2312" w:eastAsia="仿宋_GB2312" w:cs="仿宋_GB2312"/>
          <w:color w:val="auto"/>
          <w:sz w:val="32"/>
          <w:szCs w:val="32"/>
          <w:highlight w:val="none"/>
          <w:lang w:val="en-US" w:eastAsia="zh-CN"/>
        </w:rPr>
        <w:t>59个</w:t>
      </w:r>
      <w:r>
        <w:rPr>
          <w:rFonts w:hint="eastAsia" w:ascii="仿宋_GB2312" w:hAnsi="仿宋_GB2312" w:eastAsia="仿宋_GB2312" w:cs="仿宋_GB2312"/>
          <w:color w:val="auto"/>
          <w:sz w:val="32"/>
          <w:szCs w:val="32"/>
          <w:highlight w:val="none"/>
        </w:rPr>
        <w:t>专项预算项目绩效自评报告，其中，</w:t>
      </w:r>
      <w:r>
        <w:rPr>
          <w:rFonts w:hint="eastAsia" w:ascii="仿宋_GB2312" w:hAnsi="仿宋_GB2312" w:eastAsia="仿宋_GB2312" w:cs="仿宋_GB2312"/>
          <w:color w:val="auto"/>
          <w:sz w:val="32"/>
          <w:szCs w:val="32"/>
          <w:highlight w:val="none"/>
          <w:lang w:val="en-US" w:eastAsia="zh-CN"/>
        </w:rPr>
        <w:t>广元市自然资源局</w:t>
      </w:r>
      <w:r>
        <w:rPr>
          <w:rFonts w:hint="eastAsia" w:ascii="仿宋_GB2312" w:hAnsi="仿宋_GB2312" w:eastAsia="仿宋_GB2312" w:cs="仿宋_GB2312"/>
          <w:color w:val="auto"/>
          <w:sz w:val="32"/>
          <w:szCs w:val="32"/>
          <w:highlight w:val="none"/>
        </w:rPr>
        <w:t>部门整体（含部门预算项目）绩效自评得分为</w:t>
      </w:r>
      <w:r>
        <w:rPr>
          <w:rFonts w:hint="eastAsia" w:ascii="仿宋_GB2312" w:hAnsi="仿宋_GB2312" w:eastAsia="仿宋_GB2312" w:cs="仿宋_GB2312"/>
          <w:color w:val="auto"/>
          <w:sz w:val="32"/>
          <w:szCs w:val="32"/>
          <w:highlight w:val="none"/>
          <w:lang w:val="en-US" w:eastAsia="zh-CN"/>
        </w:rPr>
        <w:t>100</w:t>
      </w:r>
      <w:r>
        <w:rPr>
          <w:rFonts w:hint="eastAsia" w:ascii="仿宋_GB2312" w:hAnsi="仿宋_GB2312" w:eastAsia="仿宋_GB2312" w:cs="仿宋_GB2312"/>
          <w:color w:val="auto"/>
          <w:sz w:val="32"/>
          <w:szCs w:val="32"/>
          <w:highlight w:val="none"/>
        </w:rPr>
        <w:t>分，绩效自评综述：</w:t>
      </w:r>
      <w:r>
        <w:rPr>
          <w:rFonts w:hint="eastAsia" w:ascii="仿宋_GB2312" w:hAnsi="仿宋_GB2312" w:eastAsia="仿宋_GB2312" w:cs="仿宋_GB2312"/>
          <w:color w:val="auto"/>
          <w:sz w:val="32"/>
          <w:szCs w:val="32"/>
          <w:highlight w:val="none"/>
          <w:lang w:val="en-US" w:eastAsia="zh-CN"/>
        </w:rPr>
        <w:t>2023年，广元市自然资源局（含机关和下属单位）制定的目标绩效实现率为95.14%。一是</w:t>
      </w:r>
      <w:r>
        <w:rPr>
          <w:rFonts w:hint="eastAsia" w:ascii="仿宋_GB2312" w:hAnsi="仿宋_GB2312" w:eastAsia="仿宋_GB2312" w:cs="仿宋_GB2312"/>
          <w:color w:val="auto"/>
          <w:sz w:val="32"/>
          <w:szCs w:val="32"/>
          <w:highlight w:val="none"/>
          <w:lang w:eastAsia="zh-CN"/>
        </w:rPr>
        <w:t>人员经费支出</w:t>
      </w:r>
      <w:r>
        <w:rPr>
          <w:rFonts w:hint="eastAsia" w:ascii="仿宋_GB2312" w:hAnsi="仿宋_GB2312" w:eastAsia="仿宋_GB2312" w:cs="仿宋_GB2312"/>
          <w:color w:val="auto"/>
          <w:sz w:val="32"/>
          <w:szCs w:val="32"/>
          <w:highlight w:val="none"/>
          <w:lang w:val="en-US" w:eastAsia="zh-CN"/>
        </w:rPr>
        <w:t>3131.42</w:t>
      </w:r>
      <w:r>
        <w:rPr>
          <w:rFonts w:hint="eastAsia" w:ascii="仿宋_GB2312" w:hAnsi="仿宋_GB2312" w:eastAsia="仿宋_GB2312" w:cs="仿宋_GB2312"/>
          <w:color w:val="auto"/>
          <w:sz w:val="32"/>
          <w:szCs w:val="32"/>
          <w:highlight w:val="none"/>
          <w:lang w:eastAsia="zh-CN"/>
        </w:rPr>
        <w:t>万元，按时发放职工工资、津补贴、奖金等工资福利，人员经费预算执行率为</w:t>
      </w:r>
      <w:r>
        <w:rPr>
          <w:rFonts w:hint="eastAsia" w:ascii="仿宋_GB2312" w:hAnsi="仿宋_GB2312" w:eastAsia="仿宋_GB2312" w:cs="仿宋_GB2312"/>
          <w:color w:val="auto"/>
          <w:sz w:val="32"/>
          <w:szCs w:val="32"/>
          <w:highlight w:val="none"/>
          <w:lang w:val="en-US" w:eastAsia="zh-CN"/>
        </w:rPr>
        <w:t>100%。二是</w:t>
      </w:r>
      <w:r>
        <w:rPr>
          <w:rFonts w:hint="eastAsia" w:ascii="仿宋_GB2312" w:hAnsi="仿宋_GB2312" w:eastAsia="仿宋_GB2312" w:cs="仿宋_GB2312"/>
          <w:color w:val="auto"/>
          <w:sz w:val="32"/>
          <w:szCs w:val="32"/>
          <w:highlight w:val="none"/>
          <w:lang w:eastAsia="zh-CN"/>
        </w:rPr>
        <w:t>日常公用经费支出</w:t>
      </w:r>
      <w:r>
        <w:rPr>
          <w:rFonts w:hint="eastAsia" w:ascii="仿宋_GB2312" w:hAnsi="仿宋_GB2312" w:eastAsia="仿宋_GB2312" w:cs="仿宋_GB2312"/>
          <w:color w:val="auto"/>
          <w:sz w:val="32"/>
          <w:szCs w:val="32"/>
          <w:highlight w:val="none"/>
          <w:lang w:val="en-US" w:eastAsia="zh-CN"/>
        </w:rPr>
        <w:t>392.05</w:t>
      </w:r>
      <w:r>
        <w:rPr>
          <w:rFonts w:hint="eastAsia" w:ascii="仿宋_GB2312" w:hAnsi="仿宋_GB2312" w:eastAsia="仿宋_GB2312" w:cs="仿宋_GB2312"/>
          <w:color w:val="auto"/>
          <w:sz w:val="32"/>
          <w:szCs w:val="32"/>
          <w:highlight w:val="none"/>
          <w:lang w:eastAsia="zh-CN"/>
        </w:rPr>
        <w:t>万元，主要用于支付开展工作所需的办公费、会议费、印刷费、差旅费等，有效保障了机关日常运转，运转保障率</w:t>
      </w:r>
      <w:r>
        <w:rPr>
          <w:rFonts w:hint="eastAsia" w:ascii="仿宋_GB2312" w:hAnsi="仿宋_GB2312" w:eastAsia="仿宋_GB2312" w:cs="仿宋_GB2312"/>
          <w:color w:val="auto"/>
          <w:sz w:val="32"/>
          <w:szCs w:val="32"/>
          <w:highlight w:val="none"/>
          <w:lang w:val="en-US" w:eastAsia="zh-CN"/>
        </w:rPr>
        <w:t>100%。</w:t>
      </w:r>
      <w:r>
        <w:rPr>
          <w:rFonts w:hint="eastAsia" w:ascii="仿宋_GB2312" w:hAnsi="仿宋_GB2312" w:eastAsia="仿宋_GB2312" w:cs="仿宋_GB2312"/>
          <w:color w:val="auto"/>
          <w:sz w:val="32"/>
          <w:szCs w:val="32"/>
          <w:highlight w:val="none"/>
          <w:lang w:eastAsia="zh-CN"/>
        </w:rPr>
        <w:t>三是特定项目类支出</w:t>
      </w:r>
      <w:r>
        <w:rPr>
          <w:rFonts w:hint="eastAsia" w:ascii="仿宋_GB2312" w:hAnsi="仿宋_GB2312" w:eastAsia="仿宋_GB2312" w:cs="仿宋_GB2312"/>
          <w:color w:val="auto"/>
          <w:sz w:val="32"/>
          <w:szCs w:val="32"/>
          <w:highlight w:val="none"/>
          <w:lang w:val="en-US" w:eastAsia="zh-CN"/>
        </w:rPr>
        <w:t>18409.99</w:t>
      </w:r>
      <w:r>
        <w:rPr>
          <w:rFonts w:hint="eastAsia" w:ascii="仿宋_GB2312" w:hAnsi="仿宋_GB2312" w:eastAsia="仿宋_GB2312" w:cs="仿宋_GB2312"/>
          <w:color w:val="auto"/>
          <w:sz w:val="32"/>
          <w:szCs w:val="32"/>
          <w:highlight w:val="none"/>
        </w:rPr>
        <w:t>万元</w:t>
      </w:r>
      <w:r>
        <w:rPr>
          <w:rFonts w:hint="eastAsia" w:ascii="仿宋_GB2312" w:hAnsi="仿宋_GB2312" w:eastAsia="仿宋_GB2312" w:cs="仿宋_GB2312"/>
          <w:color w:val="auto"/>
          <w:sz w:val="32"/>
          <w:szCs w:val="32"/>
          <w:highlight w:val="none"/>
          <w:lang w:eastAsia="zh-CN"/>
        </w:rPr>
        <w:t>，包括</w:t>
      </w:r>
      <w:r>
        <w:rPr>
          <w:rFonts w:hint="eastAsia" w:ascii="仿宋_GB2312" w:hAnsi="仿宋_GB2312" w:eastAsia="仿宋_GB2312" w:cs="仿宋_GB2312"/>
          <w:color w:val="auto"/>
          <w:sz w:val="32"/>
          <w:szCs w:val="32"/>
          <w:highlight w:val="none"/>
          <w:lang w:val="en-US" w:eastAsia="zh-CN"/>
        </w:rPr>
        <w:t>局机关及下属单位地灾防治、耕地保护和土地报征、矿业权管理、信息化建设、空间规划一张图建设、地籍测绘、不动产登记等59个特定项目，包括设置的产出指标、效益指标、满意度指标等三个方面共50个三级绩效目标均已实现，完成率95%</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59个</w:t>
      </w:r>
      <w:r>
        <w:rPr>
          <w:rFonts w:hint="eastAsia" w:ascii="仿宋_GB2312" w:hAnsi="仿宋_GB2312" w:eastAsia="仿宋_GB2312" w:cs="仿宋_GB2312"/>
          <w:color w:val="auto"/>
          <w:sz w:val="32"/>
          <w:szCs w:val="32"/>
          <w:highlight w:val="none"/>
        </w:rPr>
        <w:t>专项预算项目绩效自评得分</w:t>
      </w:r>
      <w:r>
        <w:rPr>
          <w:rFonts w:hint="eastAsia" w:ascii="仿宋_GB2312" w:hAnsi="仿宋_GB2312" w:eastAsia="仿宋_GB2312" w:cs="仿宋_GB2312"/>
          <w:color w:val="auto"/>
          <w:sz w:val="32"/>
          <w:szCs w:val="32"/>
          <w:highlight w:val="none"/>
          <w:lang w:val="en-US" w:eastAsia="zh-CN"/>
        </w:rPr>
        <w:t>平均95</w:t>
      </w:r>
      <w:r>
        <w:rPr>
          <w:rFonts w:hint="eastAsia" w:ascii="仿宋_GB2312" w:hAnsi="仿宋_GB2312" w:eastAsia="仿宋_GB2312" w:cs="仿宋_GB2312"/>
          <w:color w:val="auto"/>
          <w:sz w:val="32"/>
          <w:szCs w:val="32"/>
          <w:highlight w:val="none"/>
        </w:rPr>
        <w:t>分，绩效自评综述</w:t>
      </w:r>
      <w:r>
        <w:rPr>
          <w:rFonts w:hint="eastAsia" w:ascii="仿宋_GB2312" w:hAnsi="仿宋_GB2312" w:eastAsia="仿宋_GB2312" w:cs="仿宋_GB2312"/>
          <w:color w:val="auto"/>
          <w:sz w:val="32"/>
          <w:szCs w:val="32"/>
          <w:highlight w:val="none"/>
          <w:lang w:eastAsia="zh-CN"/>
        </w:rPr>
        <w:t>：</w:t>
      </w:r>
      <w:r>
        <w:rPr>
          <w:rFonts w:hint="eastAsia" w:ascii="仿宋_GB2312" w:hAnsi="仿宋" w:eastAsia="仿宋_GB2312" w:cs="仿宋_GB2312"/>
          <w:color w:val="auto"/>
          <w:sz w:val="32"/>
          <w:szCs w:val="32"/>
          <w:highlight w:val="none"/>
        </w:rPr>
        <w:t>202</w:t>
      </w:r>
      <w:r>
        <w:rPr>
          <w:rFonts w:hint="eastAsia" w:ascii="仿宋_GB2312" w:hAnsi="仿宋" w:eastAsia="仿宋_GB2312" w:cs="仿宋_GB2312"/>
          <w:color w:val="auto"/>
          <w:sz w:val="32"/>
          <w:szCs w:val="32"/>
          <w:highlight w:val="none"/>
          <w:lang w:val="en-US" w:eastAsia="zh-CN"/>
        </w:rPr>
        <w:t>3</w:t>
      </w:r>
      <w:r>
        <w:rPr>
          <w:rFonts w:hint="eastAsia" w:ascii="仿宋_GB2312" w:hAnsi="仿宋" w:eastAsia="仿宋_GB2312" w:cs="仿宋_GB2312"/>
          <w:color w:val="auto"/>
          <w:sz w:val="32"/>
          <w:szCs w:val="32"/>
          <w:highlight w:val="none"/>
        </w:rPr>
        <w:t>年专项预算绩效目标</w:t>
      </w:r>
      <w:r>
        <w:rPr>
          <w:rFonts w:hint="eastAsia" w:ascii="仿宋_GB2312" w:hAnsi="仿宋" w:eastAsia="仿宋_GB2312" w:cs="仿宋_GB2312"/>
          <w:color w:val="auto"/>
          <w:sz w:val="32"/>
          <w:szCs w:val="32"/>
          <w:highlight w:val="none"/>
          <w:lang w:eastAsia="zh-CN"/>
        </w:rPr>
        <w:t>管理工作</w:t>
      </w:r>
      <w:r>
        <w:rPr>
          <w:rFonts w:hint="eastAsia" w:ascii="仿宋_GB2312" w:hAnsi="仿宋" w:eastAsia="仿宋_GB2312" w:cs="仿宋_GB2312"/>
          <w:color w:val="auto"/>
          <w:sz w:val="32"/>
          <w:szCs w:val="32"/>
          <w:highlight w:val="none"/>
        </w:rPr>
        <w:t>程序严密、规划合理、分配科学，按进度实施</w:t>
      </w:r>
      <w:r>
        <w:rPr>
          <w:rFonts w:hint="eastAsia" w:ascii="仿宋_GB2312" w:hAnsi="仿宋" w:eastAsia="仿宋_GB2312" w:cs="仿宋_GB2312"/>
          <w:color w:val="auto"/>
          <w:sz w:val="32"/>
          <w:szCs w:val="32"/>
          <w:highlight w:val="none"/>
          <w:lang w:eastAsia="zh-CN"/>
        </w:rPr>
        <w:t>完成</w:t>
      </w:r>
      <w:r>
        <w:rPr>
          <w:rFonts w:hint="eastAsia" w:ascii="仿宋_GB2312" w:hAnsi="仿宋" w:eastAsia="仿宋_GB2312" w:cs="仿宋_GB2312"/>
          <w:color w:val="auto"/>
          <w:sz w:val="32"/>
          <w:szCs w:val="32"/>
          <w:highlight w:val="none"/>
        </w:rPr>
        <w:t>，执行过程中未发生违规</w:t>
      </w:r>
      <w:r>
        <w:rPr>
          <w:rFonts w:hint="eastAsia" w:ascii="仿宋_GB2312" w:hAnsi="仿宋" w:eastAsia="仿宋_GB2312" w:cs="仿宋_GB2312"/>
          <w:color w:val="auto"/>
          <w:sz w:val="32"/>
          <w:szCs w:val="32"/>
          <w:highlight w:val="none"/>
          <w:lang w:eastAsia="zh-CN"/>
        </w:rPr>
        <w:t>行为</w:t>
      </w:r>
      <w:r>
        <w:rPr>
          <w:rFonts w:hint="eastAsia" w:ascii="仿宋_GB2312" w:hAnsi="仿宋_GB2312" w:eastAsia="仿宋_GB2312" w:cs="仿宋_GB2312"/>
          <w:color w:val="auto"/>
          <w:sz w:val="32"/>
          <w:szCs w:val="32"/>
          <w:highlight w:val="none"/>
        </w:rPr>
        <w:t>。绩效自评报告详见附件</w:t>
      </w:r>
      <w:r>
        <w:rPr>
          <w:rFonts w:hint="eastAsia" w:ascii="仿宋_GB2312" w:hAnsi="仿宋_GB2312" w:eastAsia="仿宋_GB2312" w:cs="仿宋_GB2312"/>
          <w:color w:val="auto"/>
          <w:sz w:val="32"/>
          <w:szCs w:val="32"/>
          <w:highlight w:val="none"/>
          <w:lang w:eastAsia="zh-CN"/>
        </w:rPr>
        <w:t>。</w:t>
      </w:r>
    </w:p>
    <w:p w14:paraId="795F821C">
      <w:pPr>
        <w:keepNext w:val="0"/>
        <w:keepLines w:val="0"/>
        <w:pageBreakBefore w:val="0"/>
        <w:widowControl w:val="0"/>
        <w:shd w:val="clear"/>
        <w:kinsoku/>
        <w:wordWrap/>
        <w:overflowPunct/>
        <w:topLinePunct w:val="0"/>
        <w:autoSpaceDE/>
        <w:autoSpaceDN/>
        <w:bidi w:val="0"/>
        <w:adjustRightInd/>
        <w:snapToGrid/>
        <w:spacing w:line="576" w:lineRule="exact"/>
        <w:ind w:left="0" w:leftChars="0" w:right="0" w:firstLine="643" w:firstLineChars="200"/>
        <w:jc w:val="both"/>
        <w:textAlignment w:val="auto"/>
        <w:rPr>
          <w:rFonts w:ascii="仿宋_GB2312" w:eastAsia="仿宋_GB2312"/>
          <w:b/>
          <w:color w:val="auto"/>
          <w:sz w:val="32"/>
          <w:szCs w:val="32"/>
          <w:highlight w:val="none"/>
        </w:rPr>
      </w:pPr>
      <w:r>
        <w:rPr>
          <w:rFonts w:ascii="仿宋_GB2312" w:eastAsia="仿宋_GB2312"/>
          <w:b/>
          <w:color w:val="auto"/>
          <w:sz w:val="32"/>
          <w:szCs w:val="32"/>
          <w:highlight w:val="none"/>
        </w:rPr>
        <w:br w:type="page"/>
      </w:r>
    </w:p>
    <w:p w14:paraId="5BA37EE5">
      <w:pPr>
        <w:pStyle w:val="32"/>
        <w:keepNext w:val="0"/>
        <w:keepLines w:val="0"/>
        <w:pageBreakBefore w:val="0"/>
        <w:widowControl w:val="0"/>
        <w:shd w:val="clear"/>
        <w:kinsoku/>
        <w:wordWrap/>
        <w:overflowPunct/>
        <w:topLinePunct w:val="0"/>
        <w:bidi w:val="0"/>
        <w:snapToGrid/>
        <w:spacing w:line="576" w:lineRule="exact"/>
        <w:ind w:right="0"/>
        <w:jc w:val="center"/>
        <w:textAlignment w:val="auto"/>
        <w:outlineLvl w:val="0"/>
        <w:rPr>
          <w:rStyle w:val="22"/>
          <w:rFonts w:hint="eastAsia" w:ascii="黑体" w:hAnsi="黑体" w:eastAsia="黑体"/>
          <w:b w:val="0"/>
          <w:color w:val="auto"/>
          <w:highlight w:val="none"/>
        </w:rPr>
      </w:pPr>
      <w:bookmarkStart w:id="73" w:name="_Toc15377225"/>
      <w:bookmarkStart w:id="74" w:name="_Toc8591"/>
      <w:bookmarkStart w:id="75" w:name="_Toc15396613"/>
      <w:r>
        <w:rPr>
          <w:rFonts w:hint="eastAsia" w:ascii="黑体" w:hAnsi="黑体" w:eastAsia="黑体"/>
          <w:color w:val="auto"/>
          <w:sz w:val="44"/>
          <w:szCs w:val="44"/>
          <w:highlight w:val="none"/>
          <w:lang w:eastAsia="zh-CN"/>
        </w:rPr>
        <w:t>第三部分</w:t>
      </w:r>
      <w:r>
        <w:rPr>
          <w:rFonts w:hint="eastAsia" w:ascii="黑体" w:hAnsi="黑体" w:eastAsia="黑体"/>
          <w:color w:val="auto"/>
          <w:sz w:val="44"/>
          <w:szCs w:val="44"/>
          <w:highlight w:val="none"/>
        </w:rPr>
        <w:t>名</w:t>
      </w:r>
      <w:r>
        <w:rPr>
          <w:rStyle w:val="22"/>
          <w:rFonts w:hint="eastAsia" w:ascii="黑体" w:hAnsi="黑体" w:eastAsia="黑体"/>
          <w:b w:val="0"/>
          <w:color w:val="auto"/>
          <w:highlight w:val="none"/>
        </w:rPr>
        <w:t>词解释</w:t>
      </w:r>
      <w:bookmarkEnd w:id="73"/>
      <w:bookmarkEnd w:id="74"/>
      <w:bookmarkEnd w:id="75"/>
    </w:p>
    <w:p w14:paraId="38C6247F">
      <w:pPr>
        <w:pStyle w:val="32"/>
        <w:keepNext w:val="0"/>
        <w:keepLines w:val="0"/>
        <w:pageBreakBefore w:val="0"/>
        <w:widowControl w:val="0"/>
        <w:shd w:val="clear"/>
        <w:kinsoku/>
        <w:wordWrap/>
        <w:overflowPunct/>
        <w:topLinePunct w:val="0"/>
        <w:bidi w:val="0"/>
        <w:snapToGrid/>
        <w:spacing w:line="576" w:lineRule="exact"/>
        <w:ind w:right="0"/>
        <w:jc w:val="center"/>
        <w:textAlignment w:val="auto"/>
        <w:rPr>
          <w:rStyle w:val="22"/>
          <w:rFonts w:hint="eastAsia" w:ascii="黑体" w:hAnsi="黑体" w:eastAsia="黑体"/>
          <w:b w:val="0"/>
          <w:color w:val="auto"/>
          <w:highlight w:val="none"/>
          <w:lang w:eastAsia="zh-CN"/>
        </w:rPr>
      </w:pPr>
    </w:p>
    <w:p w14:paraId="1E50F5A4">
      <w:pPr>
        <w:pStyle w:val="32"/>
        <w:keepNext w:val="0"/>
        <w:keepLines w:val="0"/>
        <w:pageBreakBefore w:val="0"/>
        <w:widowControl w:val="0"/>
        <w:numPr>
          <w:ilvl w:val="0"/>
          <w:numId w:val="2"/>
        </w:numPr>
        <w:shd w:val="clear"/>
        <w:kinsoku/>
        <w:wordWrap/>
        <w:overflowPunct/>
        <w:topLinePunct w:val="0"/>
        <w:bidi w:val="0"/>
        <w:snapToGrid/>
        <w:spacing w:line="576" w:lineRule="exact"/>
        <w:ind w:left="0" w:leftChars="0" w:right="0" w:firstLine="400" w:firstLineChars="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财政拨款收入：指单位从同级财政部门取得的财政预算资金。</w:t>
      </w:r>
    </w:p>
    <w:p w14:paraId="259B95C3">
      <w:pPr>
        <w:pStyle w:val="32"/>
        <w:keepNext w:val="0"/>
        <w:keepLines w:val="0"/>
        <w:pageBreakBefore w:val="0"/>
        <w:widowControl w:val="0"/>
        <w:numPr>
          <w:ilvl w:val="0"/>
          <w:numId w:val="2"/>
        </w:numPr>
        <w:shd w:val="clear"/>
        <w:kinsoku/>
        <w:wordWrap/>
        <w:overflowPunct/>
        <w:topLinePunct w:val="0"/>
        <w:bidi w:val="0"/>
        <w:snapToGrid/>
        <w:spacing w:line="576" w:lineRule="exact"/>
        <w:ind w:left="0" w:leftChars="0" w:right="0" w:firstLine="400" w:firstLineChars="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其他收入：指单位取得的除上述收入以外的各项收入。</w:t>
      </w:r>
    </w:p>
    <w:p w14:paraId="480EFE01">
      <w:pPr>
        <w:pStyle w:val="32"/>
        <w:keepNext w:val="0"/>
        <w:keepLines w:val="0"/>
        <w:pageBreakBefore w:val="0"/>
        <w:widowControl w:val="0"/>
        <w:numPr>
          <w:ilvl w:val="0"/>
          <w:numId w:val="2"/>
        </w:numPr>
        <w:shd w:val="clear"/>
        <w:kinsoku/>
        <w:wordWrap/>
        <w:overflowPunct/>
        <w:topLinePunct w:val="0"/>
        <w:bidi w:val="0"/>
        <w:snapToGrid/>
        <w:spacing w:line="576" w:lineRule="exact"/>
        <w:ind w:left="0" w:leftChars="0" w:right="0" w:firstLine="400" w:firstLineChars="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年初结转和结余：指以前年度尚未完成、结转到本年按有关规定继续使用的资金。</w:t>
      </w:r>
    </w:p>
    <w:p w14:paraId="312B7682">
      <w:pPr>
        <w:pStyle w:val="32"/>
        <w:keepNext w:val="0"/>
        <w:keepLines w:val="0"/>
        <w:pageBreakBefore w:val="0"/>
        <w:widowControl w:val="0"/>
        <w:numPr>
          <w:ilvl w:val="0"/>
          <w:numId w:val="2"/>
        </w:numPr>
        <w:shd w:val="clear"/>
        <w:kinsoku/>
        <w:wordWrap/>
        <w:overflowPunct/>
        <w:topLinePunct w:val="0"/>
        <w:bidi w:val="0"/>
        <w:snapToGrid/>
        <w:spacing w:line="576" w:lineRule="exact"/>
        <w:ind w:left="0" w:leftChars="0" w:right="0" w:firstLine="400" w:firstLineChars="0"/>
        <w:jc w:val="both"/>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rPr>
        <w:t>社会保障和就业</w:t>
      </w:r>
      <w:r>
        <w:rPr>
          <w:rFonts w:hint="eastAsia" w:ascii="仿宋_GB2312" w:hAnsi="仿宋_GB2312" w:eastAsia="仿宋_GB2312" w:cs="仿宋_GB2312"/>
          <w:color w:val="auto"/>
          <w:sz w:val="32"/>
          <w:szCs w:val="32"/>
          <w:highlight w:val="none"/>
          <w:lang w:val="en-US" w:eastAsia="zh-CN"/>
        </w:rPr>
        <w:t>支出</w:t>
      </w:r>
      <w:r>
        <w:rPr>
          <w:rFonts w:hint="eastAsia" w:ascii="仿宋_GB2312" w:hAnsi="仿宋_GB2312" w:eastAsia="仿宋_GB2312" w:cs="仿宋_GB2312"/>
          <w:color w:val="auto"/>
          <w:sz w:val="32"/>
          <w:szCs w:val="32"/>
          <w:highlight w:val="none"/>
        </w:rPr>
        <w:t>（类）</w:t>
      </w:r>
      <w:r>
        <w:rPr>
          <w:rFonts w:hint="eastAsia" w:ascii="仿宋_GB2312" w:hAnsi="仿宋_GB2312" w:eastAsia="仿宋_GB2312" w:cs="仿宋_GB2312"/>
          <w:color w:val="auto"/>
          <w:sz w:val="32"/>
          <w:szCs w:val="32"/>
          <w:highlight w:val="none"/>
          <w:lang w:val="en-US" w:eastAsia="zh-CN"/>
        </w:rPr>
        <w:t>人力资源和社会保障管理事务</w:t>
      </w:r>
      <w:r>
        <w:rPr>
          <w:rFonts w:hint="eastAsia" w:ascii="仿宋_GB2312" w:hAnsi="仿宋_GB2312" w:eastAsia="仿宋_GB2312" w:cs="仿宋_GB2312"/>
          <w:color w:val="auto"/>
          <w:sz w:val="32"/>
          <w:szCs w:val="32"/>
          <w:highlight w:val="none"/>
        </w:rPr>
        <w:t>（款）</w:t>
      </w:r>
      <w:r>
        <w:rPr>
          <w:rFonts w:hint="eastAsia" w:ascii="仿宋_GB2312" w:hAnsi="仿宋_GB2312" w:eastAsia="仿宋_GB2312" w:cs="仿宋_GB2312"/>
          <w:color w:val="auto"/>
          <w:sz w:val="32"/>
          <w:szCs w:val="32"/>
          <w:highlight w:val="none"/>
          <w:lang w:val="en-US" w:eastAsia="zh-CN"/>
        </w:rPr>
        <w:t>引进人才费用</w:t>
      </w:r>
      <w:r>
        <w:rPr>
          <w:rFonts w:hint="eastAsia" w:ascii="仿宋_GB2312" w:hAnsi="仿宋_GB2312" w:eastAsia="仿宋_GB2312" w:cs="仿宋_GB2312"/>
          <w:color w:val="auto"/>
          <w:sz w:val="32"/>
          <w:szCs w:val="32"/>
          <w:highlight w:val="none"/>
        </w:rPr>
        <w:t>（项）</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指引进人才的安家补助和生活补助。</w:t>
      </w:r>
    </w:p>
    <w:p w14:paraId="416F739C">
      <w:pPr>
        <w:pStyle w:val="32"/>
        <w:keepNext w:val="0"/>
        <w:keepLines w:val="0"/>
        <w:pageBreakBefore w:val="0"/>
        <w:widowControl w:val="0"/>
        <w:numPr>
          <w:ilvl w:val="0"/>
          <w:numId w:val="2"/>
        </w:numPr>
        <w:shd w:val="clear"/>
        <w:kinsoku/>
        <w:wordWrap/>
        <w:overflowPunct/>
        <w:topLinePunct w:val="0"/>
        <w:bidi w:val="0"/>
        <w:snapToGrid/>
        <w:spacing w:line="576" w:lineRule="exact"/>
        <w:ind w:left="0" w:leftChars="0" w:right="0" w:firstLine="400" w:firstLineChars="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社会保障和就业</w:t>
      </w:r>
      <w:r>
        <w:rPr>
          <w:rFonts w:hint="eastAsia" w:ascii="仿宋_GB2312" w:hAnsi="仿宋_GB2312" w:eastAsia="仿宋_GB2312" w:cs="仿宋_GB2312"/>
          <w:color w:val="auto"/>
          <w:sz w:val="32"/>
          <w:szCs w:val="32"/>
          <w:highlight w:val="none"/>
          <w:lang w:val="en-US" w:eastAsia="zh-CN"/>
        </w:rPr>
        <w:t>支出</w:t>
      </w:r>
      <w:r>
        <w:rPr>
          <w:rFonts w:hint="eastAsia" w:ascii="仿宋_GB2312" w:hAnsi="仿宋_GB2312" w:eastAsia="仿宋_GB2312" w:cs="仿宋_GB2312"/>
          <w:color w:val="auto"/>
          <w:sz w:val="32"/>
          <w:szCs w:val="32"/>
          <w:highlight w:val="none"/>
        </w:rPr>
        <w:t>（类）</w:t>
      </w:r>
      <w:r>
        <w:rPr>
          <w:rFonts w:hint="eastAsia" w:ascii="仿宋_GB2312" w:hAnsi="仿宋_GB2312" w:eastAsia="仿宋_GB2312" w:cs="仿宋_GB2312"/>
          <w:color w:val="auto"/>
          <w:sz w:val="32"/>
          <w:szCs w:val="32"/>
          <w:highlight w:val="none"/>
          <w:lang w:val="en-US" w:eastAsia="zh-CN"/>
        </w:rPr>
        <w:t>人力资源和社会保障管理事务</w:t>
      </w:r>
      <w:r>
        <w:rPr>
          <w:rFonts w:hint="eastAsia" w:ascii="仿宋_GB2312" w:hAnsi="仿宋_GB2312" w:eastAsia="仿宋_GB2312" w:cs="仿宋_GB2312"/>
          <w:color w:val="auto"/>
          <w:sz w:val="32"/>
          <w:szCs w:val="32"/>
          <w:highlight w:val="none"/>
        </w:rPr>
        <w:t>（款）</w:t>
      </w:r>
      <w:r>
        <w:rPr>
          <w:rFonts w:hint="eastAsia" w:ascii="仿宋_GB2312" w:hAnsi="仿宋_GB2312" w:eastAsia="仿宋_GB2312" w:cs="仿宋_GB2312"/>
          <w:color w:val="auto"/>
          <w:sz w:val="32"/>
          <w:szCs w:val="32"/>
          <w:highlight w:val="none"/>
          <w:lang w:val="en-US" w:eastAsia="zh-CN"/>
        </w:rPr>
        <w:t>其他人力资源和社会保障管理事务</w:t>
      </w:r>
      <w:r>
        <w:rPr>
          <w:rFonts w:hint="eastAsia" w:ascii="仿宋_GB2312" w:hAnsi="仿宋_GB2312" w:eastAsia="仿宋_GB2312" w:cs="仿宋_GB2312"/>
          <w:color w:val="auto"/>
          <w:sz w:val="32"/>
          <w:szCs w:val="32"/>
          <w:highlight w:val="none"/>
        </w:rPr>
        <w:t>支出（项）</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其他用于人力资源和社会保障管理事务方面的支出。</w:t>
      </w:r>
    </w:p>
    <w:p w14:paraId="0A8C2205">
      <w:pPr>
        <w:pStyle w:val="32"/>
        <w:keepNext w:val="0"/>
        <w:keepLines w:val="0"/>
        <w:pageBreakBefore w:val="0"/>
        <w:widowControl w:val="0"/>
        <w:numPr>
          <w:ilvl w:val="0"/>
          <w:numId w:val="2"/>
        </w:numPr>
        <w:shd w:val="clear"/>
        <w:kinsoku/>
        <w:wordWrap/>
        <w:overflowPunct/>
        <w:topLinePunct w:val="0"/>
        <w:bidi w:val="0"/>
        <w:snapToGrid/>
        <w:spacing w:line="576" w:lineRule="exact"/>
        <w:ind w:left="0" w:leftChars="0" w:right="0" w:firstLine="400" w:firstLineChars="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社会保障和就业</w:t>
      </w:r>
      <w:r>
        <w:rPr>
          <w:rFonts w:hint="eastAsia" w:ascii="仿宋_GB2312" w:hAnsi="仿宋_GB2312" w:eastAsia="仿宋_GB2312" w:cs="仿宋_GB2312"/>
          <w:color w:val="auto"/>
          <w:sz w:val="32"/>
          <w:szCs w:val="32"/>
          <w:highlight w:val="none"/>
          <w:lang w:val="en-US" w:eastAsia="zh-CN"/>
        </w:rPr>
        <w:t>支出</w:t>
      </w:r>
      <w:r>
        <w:rPr>
          <w:rFonts w:hint="eastAsia" w:ascii="仿宋_GB2312" w:hAnsi="仿宋_GB2312" w:eastAsia="仿宋_GB2312" w:cs="仿宋_GB2312"/>
          <w:color w:val="auto"/>
          <w:sz w:val="32"/>
          <w:szCs w:val="32"/>
          <w:highlight w:val="none"/>
        </w:rPr>
        <w:t>（类）行政事业单位</w:t>
      </w:r>
      <w:r>
        <w:rPr>
          <w:rFonts w:hint="eastAsia" w:ascii="仿宋_GB2312" w:hAnsi="仿宋_GB2312" w:eastAsia="仿宋_GB2312" w:cs="仿宋_GB2312"/>
          <w:color w:val="auto"/>
          <w:sz w:val="32"/>
          <w:szCs w:val="32"/>
          <w:highlight w:val="none"/>
          <w:lang w:val="en-US" w:eastAsia="zh-CN"/>
        </w:rPr>
        <w:t>养老支出</w:t>
      </w:r>
      <w:r>
        <w:rPr>
          <w:rFonts w:hint="eastAsia" w:ascii="仿宋_GB2312" w:hAnsi="仿宋_GB2312" w:eastAsia="仿宋_GB2312" w:cs="仿宋_GB2312"/>
          <w:color w:val="auto"/>
          <w:sz w:val="32"/>
          <w:szCs w:val="32"/>
          <w:highlight w:val="none"/>
        </w:rPr>
        <w:t>（款）</w:t>
      </w:r>
      <w:r>
        <w:rPr>
          <w:rFonts w:hint="eastAsia" w:ascii="仿宋_GB2312" w:hAnsi="仿宋_GB2312" w:eastAsia="仿宋_GB2312" w:cs="仿宋_GB2312"/>
          <w:color w:val="auto"/>
          <w:sz w:val="32"/>
          <w:szCs w:val="32"/>
          <w:highlight w:val="none"/>
          <w:lang w:val="en-US" w:eastAsia="zh-CN"/>
        </w:rPr>
        <w:t>行政单位离退休</w:t>
      </w:r>
      <w:r>
        <w:rPr>
          <w:rFonts w:hint="eastAsia" w:ascii="仿宋_GB2312" w:hAnsi="仿宋_GB2312" w:eastAsia="仿宋_GB2312" w:cs="仿宋_GB2312"/>
          <w:color w:val="auto"/>
          <w:sz w:val="32"/>
          <w:szCs w:val="32"/>
          <w:highlight w:val="none"/>
        </w:rPr>
        <w:t>（项）</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指</w:t>
      </w:r>
      <w:r>
        <w:rPr>
          <w:rFonts w:hint="eastAsia" w:ascii="仿宋_GB2312" w:hAnsi="仿宋_GB2312" w:eastAsia="仿宋_GB2312" w:cs="仿宋_GB2312"/>
          <w:color w:val="auto"/>
          <w:sz w:val="32"/>
          <w:szCs w:val="32"/>
          <w:highlight w:val="none"/>
          <w:lang w:val="en-US" w:eastAsia="zh-CN"/>
        </w:rPr>
        <w:t>行政事业单位退休职工生活补助</w:t>
      </w:r>
      <w:r>
        <w:rPr>
          <w:rFonts w:hint="eastAsia" w:ascii="仿宋_GB2312" w:hAnsi="仿宋_GB2312" w:eastAsia="仿宋_GB2312" w:cs="仿宋_GB2312"/>
          <w:color w:val="auto"/>
          <w:sz w:val="32"/>
          <w:szCs w:val="32"/>
          <w:highlight w:val="none"/>
        </w:rPr>
        <w:t>。</w:t>
      </w:r>
    </w:p>
    <w:p w14:paraId="40319BB5">
      <w:pPr>
        <w:pStyle w:val="32"/>
        <w:keepNext w:val="0"/>
        <w:keepLines w:val="0"/>
        <w:pageBreakBefore w:val="0"/>
        <w:widowControl w:val="0"/>
        <w:numPr>
          <w:ilvl w:val="0"/>
          <w:numId w:val="2"/>
        </w:numPr>
        <w:shd w:val="clear"/>
        <w:kinsoku/>
        <w:wordWrap/>
        <w:overflowPunct/>
        <w:topLinePunct w:val="0"/>
        <w:bidi w:val="0"/>
        <w:snapToGrid/>
        <w:spacing w:line="576" w:lineRule="exact"/>
        <w:ind w:left="0" w:leftChars="0" w:right="0" w:firstLine="400" w:firstLineChars="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社会保障和就业</w:t>
      </w:r>
      <w:r>
        <w:rPr>
          <w:rFonts w:hint="eastAsia" w:ascii="仿宋_GB2312" w:hAnsi="仿宋_GB2312" w:eastAsia="仿宋_GB2312" w:cs="仿宋_GB2312"/>
          <w:color w:val="auto"/>
          <w:sz w:val="32"/>
          <w:szCs w:val="32"/>
          <w:highlight w:val="none"/>
          <w:lang w:val="en-US" w:eastAsia="zh-CN"/>
        </w:rPr>
        <w:t>支出</w:t>
      </w:r>
      <w:r>
        <w:rPr>
          <w:rFonts w:hint="eastAsia" w:ascii="仿宋_GB2312" w:hAnsi="仿宋_GB2312" w:eastAsia="仿宋_GB2312" w:cs="仿宋_GB2312"/>
          <w:color w:val="auto"/>
          <w:sz w:val="32"/>
          <w:szCs w:val="32"/>
          <w:highlight w:val="none"/>
        </w:rPr>
        <w:t>（类）</w:t>
      </w:r>
      <w:r>
        <w:rPr>
          <w:rFonts w:hint="eastAsia" w:ascii="仿宋_GB2312" w:hAnsi="仿宋_GB2312" w:eastAsia="仿宋_GB2312" w:cs="仿宋_GB2312"/>
          <w:color w:val="auto"/>
          <w:sz w:val="32"/>
          <w:szCs w:val="32"/>
          <w:highlight w:val="none"/>
          <w:lang w:val="en-US" w:eastAsia="zh-CN"/>
        </w:rPr>
        <w:t>行政</w:t>
      </w:r>
      <w:r>
        <w:rPr>
          <w:rFonts w:hint="eastAsia" w:ascii="仿宋_GB2312" w:hAnsi="仿宋_GB2312" w:eastAsia="仿宋_GB2312" w:cs="仿宋_GB2312"/>
          <w:color w:val="auto"/>
          <w:sz w:val="32"/>
          <w:szCs w:val="32"/>
          <w:highlight w:val="none"/>
        </w:rPr>
        <w:t>事业单位</w:t>
      </w:r>
      <w:r>
        <w:rPr>
          <w:rFonts w:hint="eastAsia" w:ascii="仿宋_GB2312" w:hAnsi="仿宋_GB2312" w:eastAsia="仿宋_GB2312" w:cs="仿宋_GB2312"/>
          <w:color w:val="auto"/>
          <w:sz w:val="32"/>
          <w:szCs w:val="32"/>
          <w:highlight w:val="none"/>
          <w:lang w:val="en-US" w:eastAsia="zh-CN"/>
        </w:rPr>
        <w:t>养老支出</w:t>
      </w:r>
      <w:r>
        <w:rPr>
          <w:rFonts w:hint="eastAsia" w:ascii="仿宋_GB2312" w:hAnsi="仿宋_GB2312" w:eastAsia="仿宋_GB2312" w:cs="仿宋_GB2312"/>
          <w:color w:val="auto"/>
          <w:sz w:val="32"/>
          <w:szCs w:val="32"/>
          <w:highlight w:val="none"/>
        </w:rPr>
        <w:t>（款）</w:t>
      </w:r>
      <w:r>
        <w:rPr>
          <w:rFonts w:hint="eastAsia" w:ascii="仿宋_GB2312" w:hAnsi="仿宋_GB2312" w:eastAsia="仿宋_GB2312" w:cs="仿宋_GB2312"/>
          <w:color w:val="auto"/>
          <w:sz w:val="32"/>
          <w:szCs w:val="32"/>
          <w:highlight w:val="none"/>
          <w:lang w:val="en-US" w:eastAsia="zh-CN"/>
        </w:rPr>
        <w:t>事业单位离退休</w:t>
      </w:r>
      <w:r>
        <w:rPr>
          <w:rFonts w:hint="eastAsia" w:ascii="仿宋_GB2312" w:hAnsi="仿宋_GB2312" w:eastAsia="仿宋_GB2312" w:cs="仿宋_GB2312"/>
          <w:color w:val="auto"/>
          <w:sz w:val="32"/>
          <w:szCs w:val="32"/>
          <w:highlight w:val="none"/>
        </w:rPr>
        <w:t>（项）</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指</w:t>
      </w:r>
      <w:r>
        <w:rPr>
          <w:rFonts w:hint="eastAsia" w:ascii="仿宋_GB2312" w:hAnsi="仿宋_GB2312" w:eastAsia="仿宋_GB2312" w:cs="仿宋_GB2312"/>
          <w:color w:val="auto"/>
          <w:sz w:val="32"/>
          <w:szCs w:val="32"/>
          <w:highlight w:val="none"/>
          <w:lang w:val="en-US" w:eastAsia="zh-CN"/>
        </w:rPr>
        <w:t>事业单位退休职工生活补助</w:t>
      </w:r>
      <w:r>
        <w:rPr>
          <w:rFonts w:hint="eastAsia" w:ascii="仿宋_GB2312" w:hAnsi="仿宋_GB2312" w:eastAsia="仿宋_GB2312" w:cs="仿宋_GB2312"/>
          <w:color w:val="auto"/>
          <w:sz w:val="32"/>
          <w:szCs w:val="32"/>
          <w:highlight w:val="none"/>
        </w:rPr>
        <w:t>。</w:t>
      </w:r>
    </w:p>
    <w:p w14:paraId="546827C0">
      <w:pPr>
        <w:pStyle w:val="32"/>
        <w:keepNext w:val="0"/>
        <w:keepLines w:val="0"/>
        <w:pageBreakBefore w:val="0"/>
        <w:widowControl w:val="0"/>
        <w:numPr>
          <w:ilvl w:val="0"/>
          <w:numId w:val="2"/>
        </w:numPr>
        <w:shd w:val="clear"/>
        <w:kinsoku/>
        <w:wordWrap/>
        <w:overflowPunct/>
        <w:topLinePunct w:val="0"/>
        <w:bidi w:val="0"/>
        <w:snapToGrid/>
        <w:spacing w:line="576" w:lineRule="exact"/>
        <w:ind w:left="0" w:leftChars="0" w:right="0" w:firstLine="400" w:firstLineChars="0"/>
        <w:jc w:val="both"/>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社会保障和就业</w:t>
      </w:r>
      <w:r>
        <w:rPr>
          <w:rFonts w:hint="eastAsia" w:ascii="仿宋_GB2312" w:hAnsi="仿宋_GB2312" w:eastAsia="仿宋_GB2312" w:cs="仿宋_GB2312"/>
          <w:color w:val="auto"/>
          <w:sz w:val="32"/>
          <w:szCs w:val="32"/>
          <w:highlight w:val="none"/>
          <w:lang w:val="en-US" w:eastAsia="zh-CN"/>
        </w:rPr>
        <w:t>支出</w:t>
      </w:r>
      <w:r>
        <w:rPr>
          <w:rFonts w:hint="eastAsia" w:ascii="仿宋_GB2312" w:hAnsi="仿宋_GB2312" w:eastAsia="仿宋_GB2312" w:cs="仿宋_GB2312"/>
          <w:color w:val="auto"/>
          <w:sz w:val="32"/>
          <w:szCs w:val="32"/>
          <w:highlight w:val="none"/>
        </w:rPr>
        <w:t>（类）行政事业单位</w:t>
      </w:r>
      <w:r>
        <w:rPr>
          <w:rFonts w:hint="eastAsia" w:ascii="仿宋_GB2312" w:hAnsi="仿宋_GB2312" w:eastAsia="仿宋_GB2312" w:cs="仿宋_GB2312"/>
          <w:color w:val="auto"/>
          <w:sz w:val="32"/>
          <w:szCs w:val="32"/>
          <w:highlight w:val="none"/>
          <w:lang w:val="en-US" w:eastAsia="zh-CN"/>
        </w:rPr>
        <w:t>养老支出</w:t>
      </w:r>
      <w:r>
        <w:rPr>
          <w:rFonts w:hint="eastAsia" w:ascii="仿宋_GB2312" w:hAnsi="仿宋_GB2312" w:eastAsia="仿宋_GB2312" w:cs="仿宋_GB2312"/>
          <w:color w:val="auto"/>
          <w:sz w:val="32"/>
          <w:szCs w:val="32"/>
          <w:highlight w:val="none"/>
        </w:rPr>
        <w:t>（款）</w:t>
      </w:r>
      <w:r>
        <w:rPr>
          <w:rFonts w:hint="eastAsia" w:ascii="仿宋_GB2312" w:hAnsi="仿宋_GB2312" w:eastAsia="仿宋_GB2312" w:cs="仿宋_GB2312"/>
          <w:color w:val="auto"/>
          <w:sz w:val="32"/>
          <w:szCs w:val="32"/>
          <w:highlight w:val="none"/>
          <w:lang w:val="en-US" w:eastAsia="zh-CN"/>
        </w:rPr>
        <w:t>机关事业单位基本养老保险缴费支出</w:t>
      </w:r>
      <w:r>
        <w:rPr>
          <w:rFonts w:hint="eastAsia" w:ascii="仿宋_GB2312" w:hAnsi="仿宋_GB2312" w:eastAsia="仿宋_GB2312" w:cs="仿宋_GB2312"/>
          <w:color w:val="auto"/>
          <w:sz w:val="32"/>
          <w:szCs w:val="32"/>
          <w:highlight w:val="none"/>
        </w:rPr>
        <w:t>（项）</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指机关事业单位实施养老保险制度由单位缴纳的基本养老保险费支出</w:t>
      </w:r>
      <w:r>
        <w:rPr>
          <w:rFonts w:hint="eastAsia" w:ascii="仿宋_GB2312" w:hAnsi="仿宋_GB2312" w:eastAsia="仿宋_GB2312" w:cs="仿宋_GB2312"/>
          <w:color w:val="auto"/>
          <w:sz w:val="32"/>
          <w:szCs w:val="32"/>
          <w:highlight w:val="none"/>
          <w:lang w:eastAsia="zh-CN"/>
        </w:rPr>
        <w:t>。</w:t>
      </w:r>
    </w:p>
    <w:p w14:paraId="7285FEFC">
      <w:pPr>
        <w:pStyle w:val="32"/>
        <w:keepNext w:val="0"/>
        <w:keepLines w:val="0"/>
        <w:pageBreakBefore w:val="0"/>
        <w:widowControl w:val="0"/>
        <w:numPr>
          <w:ilvl w:val="0"/>
          <w:numId w:val="2"/>
        </w:numPr>
        <w:shd w:val="clear"/>
        <w:kinsoku/>
        <w:wordWrap/>
        <w:overflowPunct/>
        <w:topLinePunct w:val="0"/>
        <w:bidi w:val="0"/>
        <w:snapToGrid/>
        <w:spacing w:line="576" w:lineRule="exact"/>
        <w:ind w:left="0" w:leftChars="0" w:right="0" w:firstLine="400" w:firstLineChars="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社会保障和就业</w:t>
      </w:r>
      <w:r>
        <w:rPr>
          <w:rFonts w:hint="eastAsia" w:ascii="仿宋_GB2312" w:hAnsi="仿宋_GB2312" w:eastAsia="仿宋_GB2312" w:cs="仿宋_GB2312"/>
          <w:color w:val="auto"/>
          <w:sz w:val="32"/>
          <w:szCs w:val="32"/>
          <w:highlight w:val="none"/>
          <w:lang w:val="en-US" w:eastAsia="zh-CN"/>
        </w:rPr>
        <w:t>支出</w:t>
      </w:r>
      <w:r>
        <w:rPr>
          <w:rFonts w:hint="eastAsia" w:ascii="仿宋_GB2312" w:hAnsi="仿宋_GB2312" w:eastAsia="仿宋_GB2312" w:cs="仿宋_GB2312"/>
          <w:color w:val="auto"/>
          <w:sz w:val="32"/>
          <w:szCs w:val="32"/>
          <w:highlight w:val="none"/>
        </w:rPr>
        <w:t>（类）行政事业单位</w:t>
      </w:r>
      <w:r>
        <w:rPr>
          <w:rFonts w:hint="eastAsia" w:ascii="仿宋_GB2312" w:hAnsi="仿宋_GB2312" w:eastAsia="仿宋_GB2312" w:cs="仿宋_GB2312"/>
          <w:color w:val="auto"/>
          <w:sz w:val="32"/>
          <w:szCs w:val="32"/>
          <w:highlight w:val="none"/>
          <w:lang w:val="en-US" w:eastAsia="zh-CN"/>
        </w:rPr>
        <w:t>养老支出</w:t>
      </w:r>
      <w:r>
        <w:rPr>
          <w:rFonts w:hint="eastAsia" w:ascii="仿宋_GB2312" w:hAnsi="仿宋_GB2312" w:eastAsia="仿宋_GB2312" w:cs="仿宋_GB2312"/>
          <w:color w:val="auto"/>
          <w:sz w:val="32"/>
          <w:szCs w:val="32"/>
          <w:highlight w:val="none"/>
        </w:rPr>
        <w:t>（款）机关事业单位职业年金缴费支出（项）</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指机关事业单位实施养老保险制度由单位实际缴纳的职业年金支出。</w:t>
      </w:r>
    </w:p>
    <w:p w14:paraId="3F96BB4D">
      <w:pPr>
        <w:pStyle w:val="32"/>
        <w:keepNext w:val="0"/>
        <w:keepLines w:val="0"/>
        <w:pageBreakBefore w:val="0"/>
        <w:widowControl w:val="0"/>
        <w:numPr>
          <w:ilvl w:val="0"/>
          <w:numId w:val="2"/>
        </w:numPr>
        <w:shd w:val="clear"/>
        <w:kinsoku/>
        <w:wordWrap/>
        <w:overflowPunct/>
        <w:topLinePunct w:val="0"/>
        <w:bidi w:val="0"/>
        <w:snapToGrid/>
        <w:spacing w:line="576" w:lineRule="exact"/>
        <w:ind w:left="0" w:leftChars="0" w:right="0" w:firstLine="400" w:firstLineChars="0"/>
        <w:jc w:val="both"/>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rPr>
        <w:t>社会保障和就业</w:t>
      </w:r>
      <w:r>
        <w:rPr>
          <w:rFonts w:hint="eastAsia" w:ascii="仿宋_GB2312" w:hAnsi="仿宋_GB2312" w:eastAsia="仿宋_GB2312" w:cs="仿宋_GB2312"/>
          <w:color w:val="auto"/>
          <w:sz w:val="32"/>
          <w:szCs w:val="32"/>
          <w:highlight w:val="none"/>
          <w:lang w:val="en-US" w:eastAsia="zh-CN"/>
        </w:rPr>
        <w:t>支出（类）其他</w:t>
      </w:r>
      <w:r>
        <w:rPr>
          <w:rFonts w:hint="eastAsia" w:ascii="仿宋_GB2312" w:hAnsi="仿宋_GB2312" w:eastAsia="仿宋_GB2312" w:cs="仿宋_GB2312"/>
          <w:color w:val="auto"/>
          <w:sz w:val="32"/>
          <w:szCs w:val="32"/>
          <w:highlight w:val="none"/>
        </w:rPr>
        <w:t>社会保障和就业</w:t>
      </w:r>
      <w:r>
        <w:rPr>
          <w:rFonts w:hint="eastAsia" w:ascii="仿宋_GB2312" w:hAnsi="仿宋_GB2312" w:eastAsia="仿宋_GB2312" w:cs="仿宋_GB2312"/>
          <w:color w:val="auto"/>
          <w:sz w:val="32"/>
          <w:szCs w:val="32"/>
          <w:highlight w:val="none"/>
          <w:lang w:val="en-US" w:eastAsia="zh-CN"/>
        </w:rPr>
        <w:t>支出（款）其他</w:t>
      </w:r>
      <w:r>
        <w:rPr>
          <w:rFonts w:hint="eastAsia" w:ascii="仿宋_GB2312" w:hAnsi="仿宋_GB2312" w:eastAsia="仿宋_GB2312" w:cs="仿宋_GB2312"/>
          <w:color w:val="auto"/>
          <w:sz w:val="32"/>
          <w:szCs w:val="32"/>
          <w:highlight w:val="none"/>
        </w:rPr>
        <w:t>社会保障和就业</w:t>
      </w:r>
      <w:r>
        <w:rPr>
          <w:rFonts w:hint="eastAsia" w:ascii="仿宋_GB2312" w:hAnsi="仿宋_GB2312" w:eastAsia="仿宋_GB2312" w:cs="仿宋_GB2312"/>
          <w:color w:val="auto"/>
          <w:sz w:val="32"/>
          <w:szCs w:val="32"/>
          <w:highlight w:val="none"/>
          <w:lang w:val="en-US" w:eastAsia="zh-CN"/>
        </w:rPr>
        <w:t>支出（项）：指其他用于社会保障和就业方面的支出。</w:t>
      </w:r>
    </w:p>
    <w:p w14:paraId="6AC702D1">
      <w:pPr>
        <w:pStyle w:val="32"/>
        <w:keepNext w:val="0"/>
        <w:keepLines w:val="0"/>
        <w:pageBreakBefore w:val="0"/>
        <w:widowControl w:val="0"/>
        <w:numPr>
          <w:ilvl w:val="0"/>
          <w:numId w:val="2"/>
        </w:numPr>
        <w:shd w:val="clear"/>
        <w:kinsoku/>
        <w:wordWrap/>
        <w:overflowPunct/>
        <w:topLinePunct w:val="0"/>
        <w:bidi w:val="0"/>
        <w:snapToGrid/>
        <w:spacing w:line="576" w:lineRule="exact"/>
        <w:ind w:left="0" w:leftChars="0" w:right="0" w:firstLine="400" w:firstLineChars="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卫生健康</w:t>
      </w:r>
      <w:r>
        <w:rPr>
          <w:rFonts w:hint="eastAsia" w:ascii="仿宋_GB2312" w:hAnsi="仿宋_GB2312" w:eastAsia="仿宋_GB2312" w:cs="仿宋_GB2312"/>
          <w:color w:val="auto"/>
          <w:sz w:val="32"/>
          <w:szCs w:val="32"/>
          <w:highlight w:val="none"/>
          <w:lang w:val="en-US" w:eastAsia="zh-CN"/>
        </w:rPr>
        <w:t>支出</w:t>
      </w:r>
      <w:r>
        <w:rPr>
          <w:rFonts w:hint="eastAsia" w:ascii="仿宋_GB2312" w:hAnsi="仿宋_GB2312" w:eastAsia="仿宋_GB2312" w:cs="仿宋_GB2312"/>
          <w:color w:val="auto"/>
          <w:sz w:val="32"/>
          <w:szCs w:val="32"/>
          <w:highlight w:val="none"/>
        </w:rPr>
        <w:t>（类）行政事业单位医疗（款）行政单位医疗（项）：指</w:t>
      </w:r>
      <w:r>
        <w:rPr>
          <w:rFonts w:hint="eastAsia" w:ascii="仿宋_GB2312" w:hAnsi="仿宋_GB2312" w:eastAsia="仿宋_GB2312" w:cs="仿宋_GB2312"/>
          <w:color w:val="auto"/>
          <w:sz w:val="32"/>
          <w:szCs w:val="32"/>
          <w:highlight w:val="none"/>
          <w:lang w:val="en-US" w:eastAsia="zh-CN"/>
        </w:rPr>
        <w:t>财政部门安排的行政单位（包括实行公务员管理的事业单位）基本医疗保险缴费经费。</w:t>
      </w:r>
    </w:p>
    <w:p w14:paraId="32217DE6">
      <w:pPr>
        <w:pStyle w:val="32"/>
        <w:keepNext w:val="0"/>
        <w:keepLines w:val="0"/>
        <w:pageBreakBefore w:val="0"/>
        <w:widowControl w:val="0"/>
        <w:numPr>
          <w:ilvl w:val="0"/>
          <w:numId w:val="2"/>
        </w:numPr>
        <w:shd w:val="clear"/>
        <w:kinsoku/>
        <w:wordWrap/>
        <w:overflowPunct/>
        <w:topLinePunct w:val="0"/>
        <w:bidi w:val="0"/>
        <w:snapToGrid/>
        <w:spacing w:line="576" w:lineRule="exact"/>
        <w:ind w:left="0" w:leftChars="0" w:right="0" w:firstLine="400" w:firstLineChars="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卫生健康</w:t>
      </w:r>
      <w:r>
        <w:rPr>
          <w:rFonts w:hint="eastAsia" w:ascii="仿宋_GB2312" w:hAnsi="仿宋_GB2312" w:eastAsia="仿宋_GB2312" w:cs="仿宋_GB2312"/>
          <w:color w:val="auto"/>
          <w:sz w:val="32"/>
          <w:szCs w:val="32"/>
          <w:highlight w:val="none"/>
          <w:lang w:val="en-US" w:eastAsia="zh-CN"/>
        </w:rPr>
        <w:t>支出</w:t>
      </w:r>
      <w:r>
        <w:rPr>
          <w:rFonts w:hint="eastAsia" w:ascii="仿宋_GB2312" w:hAnsi="仿宋_GB2312" w:eastAsia="仿宋_GB2312" w:cs="仿宋_GB2312"/>
          <w:color w:val="auto"/>
          <w:sz w:val="32"/>
          <w:szCs w:val="32"/>
          <w:highlight w:val="none"/>
        </w:rPr>
        <w:t>（类）行政事业单位医疗（款）事业单位医疗（项）：指</w:t>
      </w:r>
      <w:r>
        <w:rPr>
          <w:rFonts w:hint="eastAsia" w:ascii="仿宋_GB2312" w:hAnsi="仿宋_GB2312" w:eastAsia="仿宋_GB2312" w:cs="仿宋_GB2312"/>
          <w:color w:val="auto"/>
          <w:sz w:val="32"/>
          <w:szCs w:val="32"/>
          <w:highlight w:val="none"/>
          <w:lang w:val="en-US" w:eastAsia="zh-CN"/>
        </w:rPr>
        <w:t>财政部门安排的</w:t>
      </w:r>
      <w:r>
        <w:rPr>
          <w:rFonts w:hint="eastAsia" w:ascii="仿宋_GB2312" w:hAnsi="仿宋_GB2312" w:eastAsia="仿宋_GB2312" w:cs="仿宋_GB2312"/>
          <w:color w:val="auto"/>
          <w:sz w:val="32"/>
          <w:szCs w:val="32"/>
          <w:highlight w:val="none"/>
        </w:rPr>
        <w:t>事业单位</w:t>
      </w:r>
      <w:r>
        <w:rPr>
          <w:rFonts w:hint="eastAsia" w:ascii="仿宋_GB2312" w:hAnsi="仿宋_GB2312" w:eastAsia="仿宋_GB2312" w:cs="仿宋_GB2312"/>
          <w:color w:val="auto"/>
          <w:sz w:val="32"/>
          <w:szCs w:val="32"/>
          <w:highlight w:val="none"/>
          <w:lang w:val="en-US" w:eastAsia="zh-CN"/>
        </w:rPr>
        <w:t>基本医疗保险缴费经费</w:t>
      </w:r>
      <w:r>
        <w:rPr>
          <w:rFonts w:hint="eastAsia" w:ascii="仿宋_GB2312" w:hAnsi="仿宋_GB2312" w:eastAsia="仿宋_GB2312" w:cs="仿宋_GB2312"/>
          <w:color w:val="auto"/>
          <w:sz w:val="32"/>
          <w:szCs w:val="32"/>
          <w:highlight w:val="none"/>
        </w:rPr>
        <w:t>。</w:t>
      </w:r>
    </w:p>
    <w:p w14:paraId="3AE622DF">
      <w:pPr>
        <w:pStyle w:val="32"/>
        <w:keepNext w:val="0"/>
        <w:keepLines w:val="0"/>
        <w:pageBreakBefore w:val="0"/>
        <w:widowControl w:val="0"/>
        <w:numPr>
          <w:ilvl w:val="0"/>
          <w:numId w:val="2"/>
        </w:numPr>
        <w:shd w:val="clear"/>
        <w:kinsoku/>
        <w:wordWrap/>
        <w:overflowPunct/>
        <w:topLinePunct w:val="0"/>
        <w:bidi w:val="0"/>
        <w:snapToGrid/>
        <w:spacing w:line="576" w:lineRule="exact"/>
        <w:ind w:left="0" w:leftChars="0" w:right="0" w:firstLine="400" w:firstLineChars="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节能环保支出（类）自然生态保护（款）生态保护（项）：指用于生态功能区、生态示范区等生态修复支出。</w:t>
      </w:r>
    </w:p>
    <w:p w14:paraId="3413690C">
      <w:pPr>
        <w:pStyle w:val="32"/>
        <w:keepNext w:val="0"/>
        <w:keepLines w:val="0"/>
        <w:pageBreakBefore w:val="0"/>
        <w:widowControl w:val="0"/>
        <w:numPr>
          <w:ilvl w:val="0"/>
          <w:numId w:val="2"/>
        </w:numPr>
        <w:shd w:val="clear"/>
        <w:kinsoku/>
        <w:wordWrap/>
        <w:overflowPunct/>
        <w:topLinePunct w:val="0"/>
        <w:bidi w:val="0"/>
        <w:snapToGrid/>
        <w:spacing w:line="576" w:lineRule="exact"/>
        <w:ind w:left="0" w:leftChars="0" w:right="0" w:firstLine="400" w:firstLineChars="0"/>
        <w:jc w:val="both"/>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城区社区</w:t>
      </w:r>
      <w:r>
        <w:rPr>
          <w:rFonts w:hint="eastAsia" w:ascii="仿宋_GB2312" w:hAnsi="仿宋_GB2312" w:eastAsia="仿宋_GB2312" w:cs="仿宋_GB2312"/>
          <w:color w:val="auto"/>
          <w:sz w:val="32"/>
          <w:szCs w:val="32"/>
          <w:highlight w:val="none"/>
          <w:lang w:val="en-US" w:eastAsia="zh-CN"/>
        </w:rPr>
        <w:t>支出</w:t>
      </w:r>
      <w:r>
        <w:rPr>
          <w:rFonts w:hint="eastAsia" w:ascii="仿宋_GB2312" w:hAnsi="仿宋_GB2312" w:eastAsia="仿宋_GB2312" w:cs="仿宋_GB2312"/>
          <w:color w:val="auto"/>
          <w:sz w:val="32"/>
          <w:szCs w:val="32"/>
          <w:highlight w:val="none"/>
        </w:rPr>
        <w:t>（类）</w:t>
      </w:r>
      <w:r>
        <w:rPr>
          <w:rFonts w:hint="eastAsia" w:ascii="仿宋_GB2312" w:hAnsi="仿宋_GB2312" w:eastAsia="仿宋_GB2312" w:cs="仿宋_GB2312"/>
          <w:color w:val="auto"/>
          <w:sz w:val="32"/>
          <w:szCs w:val="32"/>
          <w:highlight w:val="none"/>
          <w:lang w:val="en-US" w:eastAsia="zh-CN"/>
        </w:rPr>
        <w:t>国有土地使用权出让收入安排的支出</w:t>
      </w:r>
      <w:r>
        <w:rPr>
          <w:rFonts w:hint="eastAsia" w:ascii="仿宋_GB2312" w:hAnsi="仿宋_GB2312" w:eastAsia="仿宋_GB2312" w:cs="仿宋_GB2312"/>
          <w:color w:val="auto"/>
          <w:sz w:val="32"/>
          <w:szCs w:val="32"/>
          <w:highlight w:val="none"/>
        </w:rPr>
        <w:t>（款）</w:t>
      </w:r>
      <w:r>
        <w:rPr>
          <w:rFonts w:hint="eastAsia" w:ascii="仿宋_GB2312" w:hAnsi="仿宋_GB2312" w:eastAsia="仿宋_GB2312" w:cs="仿宋_GB2312"/>
          <w:color w:val="auto"/>
          <w:sz w:val="32"/>
          <w:szCs w:val="32"/>
          <w:highlight w:val="none"/>
          <w:lang w:val="en-US" w:eastAsia="zh-CN"/>
        </w:rPr>
        <w:t>征地和拆迁补偿</w:t>
      </w:r>
      <w:r>
        <w:rPr>
          <w:rFonts w:hint="eastAsia" w:ascii="仿宋_GB2312" w:hAnsi="仿宋_GB2312" w:eastAsia="仿宋_GB2312" w:cs="仿宋_GB2312"/>
          <w:color w:val="auto"/>
          <w:sz w:val="32"/>
          <w:szCs w:val="32"/>
          <w:highlight w:val="none"/>
        </w:rPr>
        <w:t>支出（项）：</w:t>
      </w:r>
      <w:r>
        <w:rPr>
          <w:rFonts w:hint="eastAsia" w:ascii="仿宋_GB2312" w:hAnsi="仿宋_GB2312" w:eastAsia="仿宋_GB2312" w:cs="仿宋_GB2312"/>
          <w:color w:val="auto"/>
          <w:sz w:val="32"/>
          <w:szCs w:val="32"/>
          <w:highlight w:val="none"/>
          <w:lang w:val="en-US" w:eastAsia="zh-CN"/>
        </w:rPr>
        <w:t>指地方政府在征地和收购土地过程中支付的土地补偿费、安置补助费、地上附着物和青苗补偿费、拆迁补偿费支出。</w:t>
      </w:r>
    </w:p>
    <w:p w14:paraId="1EDC26C4">
      <w:pPr>
        <w:pStyle w:val="32"/>
        <w:keepNext w:val="0"/>
        <w:keepLines w:val="0"/>
        <w:pageBreakBefore w:val="0"/>
        <w:widowControl w:val="0"/>
        <w:numPr>
          <w:ilvl w:val="0"/>
          <w:numId w:val="2"/>
        </w:numPr>
        <w:shd w:val="clear"/>
        <w:kinsoku/>
        <w:wordWrap/>
        <w:overflowPunct/>
        <w:topLinePunct w:val="0"/>
        <w:bidi w:val="0"/>
        <w:snapToGrid/>
        <w:spacing w:line="576" w:lineRule="exact"/>
        <w:ind w:left="0" w:leftChars="0" w:right="0" w:firstLine="400" w:firstLineChars="0"/>
        <w:jc w:val="both"/>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rPr>
        <w:t>城区社区</w:t>
      </w:r>
      <w:r>
        <w:rPr>
          <w:rFonts w:hint="eastAsia" w:ascii="仿宋_GB2312" w:hAnsi="仿宋_GB2312" w:eastAsia="仿宋_GB2312" w:cs="仿宋_GB2312"/>
          <w:color w:val="auto"/>
          <w:sz w:val="32"/>
          <w:szCs w:val="32"/>
          <w:highlight w:val="none"/>
          <w:lang w:val="en-US" w:eastAsia="zh-CN"/>
        </w:rPr>
        <w:t>支出</w:t>
      </w:r>
      <w:r>
        <w:rPr>
          <w:rFonts w:hint="eastAsia" w:ascii="仿宋_GB2312" w:hAnsi="仿宋_GB2312" w:eastAsia="仿宋_GB2312" w:cs="仿宋_GB2312"/>
          <w:color w:val="auto"/>
          <w:sz w:val="32"/>
          <w:szCs w:val="32"/>
          <w:highlight w:val="none"/>
        </w:rPr>
        <w:t>（类）</w:t>
      </w:r>
      <w:r>
        <w:rPr>
          <w:rFonts w:hint="eastAsia" w:ascii="仿宋_GB2312" w:hAnsi="仿宋_GB2312" w:eastAsia="仿宋_GB2312" w:cs="仿宋_GB2312"/>
          <w:color w:val="auto"/>
          <w:sz w:val="32"/>
          <w:szCs w:val="32"/>
          <w:highlight w:val="none"/>
          <w:lang w:val="en-US" w:eastAsia="zh-CN"/>
        </w:rPr>
        <w:t>国有土地使用权出让收入安排的支出</w:t>
      </w:r>
      <w:r>
        <w:rPr>
          <w:rFonts w:hint="eastAsia" w:ascii="仿宋_GB2312" w:hAnsi="仿宋_GB2312" w:eastAsia="仿宋_GB2312" w:cs="仿宋_GB2312"/>
          <w:color w:val="auto"/>
          <w:sz w:val="32"/>
          <w:szCs w:val="32"/>
          <w:highlight w:val="none"/>
        </w:rPr>
        <w:t>（款）</w:t>
      </w:r>
      <w:r>
        <w:rPr>
          <w:rFonts w:hint="eastAsia" w:ascii="仿宋_GB2312" w:hAnsi="仿宋_GB2312" w:eastAsia="仿宋_GB2312" w:cs="仿宋_GB2312"/>
          <w:color w:val="auto"/>
          <w:sz w:val="32"/>
          <w:szCs w:val="32"/>
          <w:highlight w:val="none"/>
          <w:lang w:val="en-US" w:eastAsia="zh-CN"/>
        </w:rPr>
        <w:t>土地开发支出</w:t>
      </w:r>
      <w:r>
        <w:rPr>
          <w:rFonts w:hint="eastAsia" w:ascii="仿宋_GB2312" w:hAnsi="仿宋_GB2312" w:eastAsia="仿宋_GB2312" w:cs="仿宋_GB2312"/>
          <w:color w:val="auto"/>
          <w:sz w:val="32"/>
          <w:szCs w:val="32"/>
          <w:highlight w:val="none"/>
        </w:rPr>
        <w:t>（项）：</w:t>
      </w:r>
      <w:r>
        <w:rPr>
          <w:rFonts w:hint="eastAsia" w:ascii="仿宋_GB2312" w:hAnsi="仿宋_GB2312" w:eastAsia="仿宋_GB2312" w:cs="仿宋_GB2312"/>
          <w:color w:val="auto"/>
          <w:sz w:val="32"/>
          <w:szCs w:val="32"/>
          <w:highlight w:val="none"/>
          <w:lang w:val="en-US" w:eastAsia="zh-CN"/>
        </w:rPr>
        <w:t>指土地开发出让项目发生的支出。</w:t>
      </w:r>
    </w:p>
    <w:p w14:paraId="25BB9A40">
      <w:pPr>
        <w:pStyle w:val="32"/>
        <w:keepNext w:val="0"/>
        <w:keepLines w:val="0"/>
        <w:pageBreakBefore w:val="0"/>
        <w:widowControl w:val="0"/>
        <w:numPr>
          <w:ilvl w:val="0"/>
          <w:numId w:val="2"/>
        </w:numPr>
        <w:shd w:val="clear"/>
        <w:kinsoku/>
        <w:wordWrap/>
        <w:overflowPunct/>
        <w:topLinePunct w:val="0"/>
        <w:bidi w:val="0"/>
        <w:snapToGrid/>
        <w:spacing w:line="576" w:lineRule="exact"/>
        <w:ind w:left="0" w:leftChars="0" w:right="0" w:firstLine="400" w:firstLineChars="0"/>
        <w:jc w:val="both"/>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rPr>
        <w:t>城区社区</w:t>
      </w:r>
      <w:r>
        <w:rPr>
          <w:rFonts w:hint="eastAsia" w:ascii="仿宋_GB2312" w:hAnsi="仿宋_GB2312" w:eastAsia="仿宋_GB2312" w:cs="仿宋_GB2312"/>
          <w:color w:val="auto"/>
          <w:sz w:val="32"/>
          <w:szCs w:val="32"/>
          <w:highlight w:val="none"/>
          <w:lang w:val="en-US" w:eastAsia="zh-CN"/>
        </w:rPr>
        <w:t>支出</w:t>
      </w:r>
      <w:r>
        <w:rPr>
          <w:rFonts w:hint="eastAsia" w:ascii="仿宋_GB2312" w:hAnsi="仿宋_GB2312" w:eastAsia="仿宋_GB2312" w:cs="仿宋_GB2312"/>
          <w:color w:val="auto"/>
          <w:sz w:val="32"/>
          <w:szCs w:val="32"/>
          <w:highlight w:val="none"/>
        </w:rPr>
        <w:t>（类）</w:t>
      </w:r>
      <w:r>
        <w:rPr>
          <w:rFonts w:hint="eastAsia" w:ascii="仿宋_GB2312" w:hAnsi="仿宋_GB2312" w:eastAsia="仿宋_GB2312" w:cs="仿宋_GB2312"/>
          <w:color w:val="auto"/>
          <w:sz w:val="32"/>
          <w:szCs w:val="32"/>
          <w:highlight w:val="none"/>
          <w:lang w:val="en-US" w:eastAsia="zh-CN"/>
        </w:rPr>
        <w:t>国有土地使用权出让收入安排的支出</w:t>
      </w:r>
      <w:r>
        <w:rPr>
          <w:rFonts w:hint="eastAsia" w:ascii="仿宋_GB2312" w:hAnsi="仿宋_GB2312" w:eastAsia="仿宋_GB2312" w:cs="仿宋_GB2312"/>
          <w:color w:val="auto"/>
          <w:sz w:val="32"/>
          <w:szCs w:val="32"/>
          <w:highlight w:val="none"/>
        </w:rPr>
        <w:t>（款）</w:t>
      </w:r>
      <w:r>
        <w:rPr>
          <w:rFonts w:hint="eastAsia" w:ascii="仿宋_GB2312" w:hAnsi="仿宋_GB2312" w:eastAsia="仿宋_GB2312" w:cs="仿宋_GB2312"/>
          <w:color w:val="auto"/>
          <w:sz w:val="32"/>
          <w:szCs w:val="32"/>
          <w:highlight w:val="none"/>
          <w:lang w:val="en-US" w:eastAsia="zh-CN"/>
        </w:rPr>
        <w:t>农村基础设施建设支出</w:t>
      </w:r>
      <w:r>
        <w:rPr>
          <w:rFonts w:hint="eastAsia" w:ascii="仿宋_GB2312" w:hAnsi="仿宋_GB2312" w:eastAsia="仿宋_GB2312" w:cs="仿宋_GB2312"/>
          <w:color w:val="auto"/>
          <w:sz w:val="32"/>
          <w:szCs w:val="32"/>
          <w:highlight w:val="none"/>
        </w:rPr>
        <w:t>（项）：</w:t>
      </w:r>
      <w:r>
        <w:rPr>
          <w:rFonts w:hint="eastAsia" w:ascii="仿宋_GB2312" w:hAnsi="仿宋_GB2312" w:eastAsia="仿宋_GB2312" w:cs="仿宋_GB2312"/>
          <w:color w:val="auto"/>
          <w:sz w:val="32"/>
          <w:szCs w:val="32"/>
          <w:highlight w:val="none"/>
          <w:lang w:val="en-US" w:eastAsia="zh-CN"/>
        </w:rPr>
        <w:t>指土地出让收入用于农村供水保障、村庄公共设施建设和管护以及与农业农村直接相关的以工代赈等方面的支出。</w:t>
      </w:r>
    </w:p>
    <w:p w14:paraId="51274A3B">
      <w:pPr>
        <w:pStyle w:val="32"/>
        <w:keepNext w:val="0"/>
        <w:keepLines w:val="0"/>
        <w:pageBreakBefore w:val="0"/>
        <w:widowControl w:val="0"/>
        <w:numPr>
          <w:ilvl w:val="0"/>
          <w:numId w:val="2"/>
        </w:numPr>
        <w:shd w:val="clear"/>
        <w:kinsoku/>
        <w:wordWrap/>
        <w:overflowPunct/>
        <w:topLinePunct w:val="0"/>
        <w:bidi w:val="0"/>
        <w:snapToGrid/>
        <w:spacing w:line="576" w:lineRule="exact"/>
        <w:ind w:left="0" w:leftChars="0" w:right="0" w:firstLine="400" w:firstLineChars="0"/>
        <w:jc w:val="both"/>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rPr>
        <w:t>城区社区</w:t>
      </w:r>
      <w:r>
        <w:rPr>
          <w:rFonts w:hint="eastAsia" w:ascii="仿宋_GB2312" w:hAnsi="仿宋_GB2312" w:eastAsia="仿宋_GB2312" w:cs="仿宋_GB2312"/>
          <w:color w:val="auto"/>
          <w:sz w:val="32"/>
          <w:szCs w:val="32"/>
          <w:highlight w:val="none"/>
          <w:lang w:val="en-US" w:eastAsia="zh-CN"/>
        </w:rPr>
        <w:t>支出</w:t>
      </w:r>
      <w:r>
        <w:rPr>
          <w:rFonts w:hint="eastAsia" w:ascii="仿宋_GB2312" w:hAnsi="仿宋_GB2312" w:eastAsia="仿宋_GB2312" w:cs="仿宋_GB2312"/>
          <w:color w:val="auto"/>
          <w:sz w:val="32"/>
          <w:szCs w:val="32"/>
          <w:highlight w:val="none"/>
        </w:rPr>
        <w:t>（类）</w:t>
      </w:r>
      <w:r>
        <w:rPr>
          <w:rFonts w:hint="eastAsia" w:ascii="仿宋_GB2312" w:hAnsi="仿宋_GB2312" w:eastAsia="仿宋_GB2312" w:cs="仿宋_GB2312"/>
          <w:color w:val="auto"/>
          <w:sz w:val="32"/>
          <w:szCs w:val="32"/>
          <w:highlight w:val="none"/>
          <w:lang w:val="en-US" w:eastAsia="zh-CN"/>
        </w:rPr>
        <w:t>国有土地使用权出让收入安排的支出</w:t>
      </w:r>
      <w:r>
        <w:rPr>
          <w:rFonts w:hint="eastAsia" w:ascii="仿宋_GB2312" w:hAnsi="仿宋_GB2312" w:eastAsia="仿宋_GB2312" w:cs="仿宋_GB2312"/>
          <w:color w:val="auto"/>
          <w:sz w:val="32"/>
          <w:szCs w:val="32"/>
          <w:highlight w:val="none"/>
        </w:rPr>
        <w:t>（款）</w:t>
      </w:r>
      <w:r>
        <w:rPr>
          <w:rFonts w:hint="eastAsia" w:ascii="仿宋_GB2312" w:hAnsi="仿宋_GB2312" w:eastAsia="仿宋_GB2312" w:cs="仿宋_GB2312"/>
          <w:color w:val="auto"/>
          <w:sz w:val="32"/>
          <w:szCs w:val="32"/>
          <w:highlight w:val="none"/>
          <w:lang w:val="en-US" w:eastAsia="zh-CN"/>
        </w:rPr>
        <w:t>补助被征地农民支出</w:t>
      </w:r>
      <w:r>
        <w:rPr>
          <w:rFonts w:hint="eastAsia" w:ascii="仿宋_GB2312" w:hAnsi="仿宋_GB2312" w:eastAsia="仿宋_GB2312" w:cs="仿宋_GB2312"/>
          <w:color w:val="auto"/>
          <w:sz w:val="32"/>
          <w:szCs w:val="32"/>
          <w:highlight w:val="none"/>
        </w:rPr>
        <w:t>（项）：</w:t>
      </w:r>
      <w:r>
        <w:rPr>
          <w:rFonts w:hint="eastAsia" w:ascii="仿宋_GB2312" w:hAnsi="仿宋_GB2312" w:eastAsia="仿宋_GB2312" w:cs="仿宋_GB2312"/>
          <w:color w:val="auto"/>
          <w:sz w:val="32"/>
          <w:szCs w:val="32"/>
          <w:highlight w:val="none"/>
          <w:lang w:val="en-US" w:eastAsia="zh-CN"/>
        </w:rPr>
        <w:t>指广元市利州区2023年第5批次建设用地被征地农民社保资金预存款。</w:t>
      </w:r>
    </w:p>
    <w:p w14:paraId="07ACF359">
      <w:pPr>
        <w:pStyle w:val="32"/>
        <w:keepNext w:val="0"/>
        <w:keepLines w:val="0"/>
        <w:pageBreakBefore w:val="0"/>
        <w:widowControl w:val="0"/>
        <w:numPr>
          <w:ilvl w:val="0"/>
          <w:numId w:val="2"/>
        </w:numPr>
        <w:shd w:val="clear"/>
        <w:kinsoku/>
        <w:wordWrap/>
        <w:overflowPunct/>
        <w:topLinePunct w:val="0"/>
        <w:bidi w:val="0"/>
        <w:snapToGrid/>
        <w:spacing w:line="576" w:lineRule="exact"/>
        <w:ind w:left="0" w:leftChars="0" w:right="0" w:firstLine="400" w:firstLineChars="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城区社区</w:t>
      </w:r>
      <w:r>
        <w:rPr>
          <w:rFonts w:hint="eastAsia" w:ascii="仿宋_GB2312" w:hAnsi="仿宋_GB2312" w:eastAsia="仿宋_GB2312" w:cs="仿宋_GB2312"/>
          <w:color w:val="auto"/>
          <w:sz w:val="32"/>
          <w:szCs w:val="32"/>
          <w:highlight w:val="none"/>
          <w:lang w:val="en-US" w:eastAsia="zh-CN"/>
        </w:rPr>
        <w:t>支出</w:t>
      </w:r>
      <w:r>
        <w:rPr>
          <w:rFonts w:hint="eastAsia" w:ascii="仿宋_GB2312" w:hAnsi="仿宋_GB2312" w:eastAsia="仿宋_GB2312" w:cs="仿宋_GB2312"/>
          <w:color w:val="auto"/>
          <w:sz w:val="32"/>
          <w:szCs w:val="32"/>
          <w:highlight w:val="none"/>
        </w:rPr>
        <w:t>（类）</w:t>
      </w:r>
      <w:r>
        <w:rPr>
          <w:rFonts w:hint="eastAsia" w:ascii="仿宋_GB2312" w:hAnsi="仿宋_GB2312" w:eastAsia="仿宋_GB2312" w:cs="仿宋_GB2312"/>
          <w:color w:val="auto"/>
          <w:sz w:val="32"/>
          <w:szCs w:val="32"/>
          <w:highlight w:val="none"/>
          <w:lang w:val="en-US" w:eastAsia="zh-CN"/>
        </w:rPr>
        <w:t>国有土地使用权出让收入安排的支出</w:t>
      </w:r>
      <w:r>
        <w:rPr>
          <w:rFonts w:hint="eastAsia" w:ascii="仿宋_GB2312" w:hAnsi="仿宋_GB2312" w:eastAsia="仿宋_GB2312" w:cs="仿宋_GB2312"/>
          <w:color w:val="auto"/>
          <w:sz w:val="32"/>
          <w:szCs w:val="32"/>
          <w:highlight w:val="none"/>
        </w:rPr>
        <w:t>（款）</w:t>
      </w:r>
      <w:r>
        <w:rPr>
          <w:rFonts w:hint="eastAsia" w:ascii="仿宋_GB2312" w:hAnsi="仿宋_GB2312" w:eastAsia="仿宋_GB2312" w:cs="仿宋_GB2312"/>
          <w:color w:val="auto"/>
          <w:sz w:val="32"/>
          <w:szCs w:val="32"/>
          <w:highlight w:val="none"/>
          <w:lang w:val="en-US" w:eastAsia="zh-CN"/>
        </w:rPr>
        <w:t>土地出让业务支出</w:t>
      </w:r>
      <w:r>
        <w:rPr>
          <w:rFonts w:hint="eastAsia" w:ascii="仿宋_GB2312" w:hAnsi="仿宋_GB2312" w:eastAsia="仿宋_GB2312" w:cs="仿宋_GB2312"/>
          <w:color w:val="auto"/>
          <w:sz w:val="32"/>
          <w:szCs w:val="32"/>
          <w:highlight w:val="none"/>
        </w:rPr>
        <w:t>（项）：</w:t>
      </w:r>
      <w:r>
        <w:rPr>
          <w:rFonts w:hint="eastAsia" w:ascii="仿宋_GB2312" w:hAnsi="仿宋_GB2312" w:eastAsia="仿宋_GB2312" w:cs="仿宋_GB2312"/>
          <w:color w:val="auto"/>
          <w:sz w:val="32"/>
          <w:szCs w:val="32"/>
          <w:highlight w:val="none"/>
          <w:lang w:val="en-US" w:eastAsia="zh-CN"/>
        </w:rPr>
        <w:t>指土地出让收入用于土地</w:t>
      </w:r>
      <w:r>
        <w:rPr>
          <w:rFonts w:hint="eastAsia" w:ascii="仿宋_GB2312" w:hAnsi="仿宋_GB2312" w:eastAsia="仿宋_GB2312" w:cs="仿宋_GB2312"/>
          <w:color w:val="auto"/>
          <w:sz w:val="32"/>
          <w:szCs w:val="32"/>
          <w:highlight w:val="none"/>
        </w:rPr>
        <w:t>出让</w:t>
      </w:r>
      <w:r>
        <w:rPr>
          <w:rFonts w:hint="eastAsia" w:ascii="仿宋_GB2312" w:hAnsi="仿宋_GB2312" w:eastAsia="仿宋_GB2312" w:cs="仿宋_GB2312"/>
          <w:color w:val="auto"/>
          <w:sz w:val="32"/>
          <w:szCs w:val="32"/>
          <w:highlight w:val="none"/>
          <w:lang w:val="en-US" w:eastAsia="zh-CN"/>
        </w:rPr>
        <w:t>业务费用的开支。</w:t>
      </w:r>
    </w:p>
    <w:p w14:paraId="7A59B505">
      <w:pPr>
        <w:pStyle w:val="32"/>
        <w:keepNext w:val="0"/>
        <w:keepLines w:val="0"/>
        <w:pageBreakBefore w:val="0"/>
        <w:widowControl w:val="0"/>
        <w:numPr>
          <w:ilvl w:val="0"/>
          <w:numId w:val="2"/>
        </w:numPr>
        <w:shd w:val="clear"/>
        <w:kinsoku/>
        <w:wordWrap/>
        <w:overflowPunct/>
        <w:topLinePunct w:val="0"/>
        <w:bidi w:val="0"/>
        <w:snapToGrid/>
        <w:spacing w:line="576" w:lineRule="exact"/>
        <w:ind w:left="0" w:leftChars="0" w:right="0" w:firstLine="400" w:firstLineChars="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城区社区</w:t>
      </w:r>
      <w:r>
        <w:rPr>
          <w:rFonts w:hint="eastAsia" w:ascii="仿宋_GB2312" w:hAnsi="仿宋_GB2312" w:eastAsia="仿宋_GB2312" w:cs="仿宋_GB2312"/>
          <w:color w:val="auto"/>
          <w:sz w:val="32"/>
          <w:szCs w:val="32"/>
          <w:highlight w:val="none"/>
          <w:lang w:val="en-US" w:eastAsia="zh-CN"/>
        </w:rPr>
        <w:t>支出</w:t>
      </w:r>
      <w:r>
        <w:rPr>
          <w:rFonts w:hint="eastAsia" w:ascii="仿宋_GB2312" w:hAnsi="仿宋_GB2312" w:eastAsia="仿宋_GB2312" w:cs="仿宋_GB2312"/>
          <w:color w:val="auto"/>
          <w:sz w:val="32"/>
          <w:szCs w:val="32"/>
          <w:highlight w:val="none"/>
        </w:rPr>
        <w:t>（类）</w:t>
      </w:r>
      <w:r>
        <w:rPr>
          <w:rFonts w:hint="eastAsia" w:ascii="仿宋_GB2312" w:hAnsi="仿宋_GB2312" w:eastAsia="仿宋_GB2312" w:cs="仿宋_GB2312"/>
          <w:color w:val="auto"/>
          <w:sz w:val="32"/>
          <w:szCs w:val="32"/>
          <w:highlight w:val="none"/>
          <w:lang w:val="en-US" w:eastAsia="zh-CN"/>
        </w:rPr>
        <w:t>国有土地使用权出让收入安排的支出</w:t>
      </w:r>
      <w:r>
        <w:rPr>
          <w:rFonts w:hint="eastAsia" w:ascii="仿宋_GB2312" w:hAnsi="仿宋_GB2312" w:eastAsia="仿宋_GB2312" w:cs="仿宋_GB2312"/>
          <w:color w:val="auto"/>
          <w:sz w:val="32"/>
          <w:szCs w:val="32"/>
          <w:highlight w:val="none"/>
        </w:rPr>
        <w:t>（款）</w:t>
      </w:r>
      <w:r>
        <w:rPr>
          <w:rFonts w:hint="eastAsia" w:ascii="仿宋_GB2312" w:hAnsi="仿宋_GB2312" w:eastAsia="仿宋_GB2312" w:cs="仿宋_GB2312"/>
          <w:color w:val="auto"/>
          <w:sz w:val="32"/>
          <w:szCs w:val="32"/>
          <w:highlight w:val="none"/>
          <w:lang w:val="en-US" w:eastAsia="zh-CN"/>
        </w:rPr>
        <w:t>农业生产发展支出</w:t>
      </w:r>
      <w:r>
        <w:rPr>
          <w:rFonts w:hint="eastAsia" w:ascii="仿宋_GB2312" w:hAnsi="仿宋_GB2312" w:eastAsia="仿宋_GB2312" w:cs="仿宋_GB2312"/>
          <w:color w:val="auto"/>
          <w:sz w:val="32"/>
          <w:szCs w:val="32"/>
          <w:highlight w:val="none"/>
        </w:rPr>
        <w:t>（项）：</w:t>
      </w:r>
      <w:r>
        <w:rPr>
          <w:rFonts w:hint="eastAsia" w:ascii="仿宋_GB2312" w:hAnsi="仿宋_GB2312" w:eastAsia="仿宋_GB2312" w:cs="仿宋_GB2312"/>
          <w:color w:val="auto"/>
          <w:sz w:val="32"/>
          <w:szCs w:val="32"/>
          <w:highlight w:val="none"/>
          <w:lang w:val="en-US" w:eastAsia="zh-CN"/>
        </w:rPr>
        <w:t>指建设项目用地增减挂钩项目核查开支。</w:t>
      </w:r>
    </w:p>
    <w:p w14:paraId="623DE41B">
      <w:pPr>
        <w:pStyle w:val="32"/>
        <w:keepNext w:val="0"/>
        <w:keepLines w:val="0"/>
        <w:pageBreakBefore w:val="0"/>
        <w:widowControl w:val="0"/>
        <w:numPr>
          <w:ilvl w:val="0"/>
          <w:numId w:val="2"/>
        </w:numPr>
        <w:shd w:val="clear"/>
        <w:kinsoku/>
        <w:wordWrap/>
        <w:overflowPunct/>
        <w:topLinePunct w:val="0"/>
        <w:bidi w:val="0"/>
        <w:snapToGrid/>
        <w:spacing w:line="576" w:lineRule="exact"/>
        <w:ind w:left="0" w:leftChars="0" w:right="0" w:firstLine="400" w:firstLineChars="0"/>
        <w:jc w:val="both"/>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城区社区</w:t>
      </w:r>
      <w:r>
        <w:rPr>
          <w:rFonts w:hint="eastAsia" w:ascii="仿宋_GB2312" w:hAnsi="仿宋_GB2312" w:eastAsia="仿宋_GB2312" w:cs="仿宋_GB2312"/>
          <w:color w:val="auto"/>
          <w:sz w:val="32"/>
          <w:szCs w:val="32"/>
          <w:highlight w:val="none"/>
          <w:lang w:val="en-US" w:eastAsia="zh-CN"/>
        </w:rPr>
        <w:t>支出</w:t>
      </w:r>
      <w:r>
        <w:rPr>
          <w:rFonts w:hint="eastAsia" w:ascii="仿宋_GB2312" w:hAnsi="仿宋_GB2312" w:eastAsia="仿宋_GB2312" w:cs="仿宋_GB2312"/>
          <w:color w:val="auto"/>
          <w:sz w:val="32"/>
          <w:szCs w:val="32"/>
          <w:highlight w:val="none"/>
        </w:rPr>
        <w:t>（类）</w:t>
      </w:r>
      <w:r>
        <w:rPr>
          <w:rFonts w:hint="eastAsia" w:ascii="仿宋_GB2312" w:hAnsi="仿宋_GB2312" w:eastAsia="仿宋_GB2312" w:cs="仿宋_GB2312"/>
          <w:color w:val="auto"/>
          <w:sz w:val="32"/>
          <w:szCs w:val="32"/>
          <w:highlight w:val="none"/>
          <w:lang w:val="en-US" w:eastAsia="zh-CN"/>
        </w:rPr>
        <w:t>国有土地使用权出让收入安排的支出</w:t>
      </w:r>
      <w:r>
        <w:rPr>
          <w:rFonts w:hint="eastAsia" w:ascii="仿宋_GB2312" w:hAnsi="仿宋_GB2312" w:eastAsia="仿宋_GB2312" w:cs="仿宋_GB2312"/>
          <w:color w:val="auto"/>
          <w:sz w:val="32"/>
          <w:szCs w:val="32"/>
          <w:highlight w:val="none"/>
        </w:rPr>
        <w:t>（款）</w:t>
      </w:r>
      <w:r>
        <w:rPr>
          <w:rFonts w:hint="eastAsia" w:ascii="仿宋_GB2312" w:hAnsi="仿宋_GB2312" w:eastAsia="仿宋_GB2312" w:cs="仿宋_GB2312"/>
          <w:color w:val="auto"/>
          <w:sz w:val="32"/>
          <w:szCs w:val="32"/>
          <w:highlight w:val="none"/>
          <w:lang w:val="en-US" w:eastAsia="zh-CN"/>
        </w:rPr>
        <w:t>其他国有土地使用权出让收入安排的支出</w:t>
      </w:r>
      <w:r>
        <w:rPr>
          <w:rFonts w:hint="eastAsia" w:ascii="仿宋_GB2312" w:hAnsi="仿宋_GB2312" w:eastAsia="仿宋_GB2312" w:cs="仿宋_GB2312"/>
          <w:color w:val="auto"/>
          <w:sz w:val="32"/>
          <w:szCs w:val="32"/>
          <w:highlight w:val="none"/>
        </w:rPr>
        <w:t>（项）：</w:t>
      </w:r>
      <w:r>
        <w:rPr>
          <w:rFonts w:hint="eastAsia" w:ascii="仿宋_GB2312" w:hAnsi="仿宋_GB2312" w:eastAsia="仿宋_GB2312" w:cs="仿宋_GB2312"/>
          <w:color w:val="auto"/>
          <w:sz w:val="32"/>
          <w:szCs w:val="32"/>
          <w:highlight w:val="none"/>
          <w:lang w:val="en-US" w:eastAsia="zh-CN"/>
        </w:rPr>
        <w:t>指土地出让收入用于其他方面的支出</w:t>
      </w:r>
      <w:r>
        <w:rPr>
          <w:rFonts w:hint="eastAsia" w:ascii="仿宋_GB2312" w:hAnsi="仿宋_GB2312" w:eastAsia="仿宋_GB2312" w:cs="仿宋_GB2312"/>
          <w:color w:val="auto"/>
          <w:sz w:val="32"/>
          <w:szCs w:val="32"/>
          <w:highlight w:val="none"/>
        </w:rPr>
        <w:t>。</w:t>
      </w:r>
    </w:p>
    <w:p w14:paraId="032C5F20">
      <w:pPr>
        <w:pStyle w:val="32"/>
        <w:keepNext w:val="0"/>
        <w:keepLines w:val="0"/>
        <w:pageBreakBefore w:val="0"/>
        <w:widowControl w:val="0"/>
        <w:numPr>
          <w:ilvl w:val="0"/>
          <w:numId w:val="2"/>
        </w:numPr>
        <w:shd w:val="clear"/>
        <w:kinsoku/>
        <w:wordWrap/>
        <w:overflowPunct/>
        <w:topLinePunct w:val="0"/>
        <w:bidi w:val="0"/>
        <w:snapToGrid/>
        <w:spacing w:line="576" w:lineRule="exact"/>
        <w:ind w:left="0" w:leftChars="0" w:right="0" w:firstLine="400" w:firstLineChars="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自然资源海洋气象等（类）自然资源事务（款）行政运行（项）：指局</w:t>
      </w:r>
      <w:r>
        <w:rPr>
          <w:rFonts w:hint="eastAsia" w:ascii="仿宋_GB2312" w:hAnsi="仿宋_GB2312" w:eastAsia="仿宋_GB2312" w:cs="仿宋_GB2312"/>
          <w:color w:val="auto"/>
          <w:sz w:val="32"/>
          <w:szCs w:val="32"/>
          <w:highlight w:val="none"/>
          <w:lang w:val="en-US" w:eastAsia="zh-CN"/>
        </w:rPr>
        <w:t>机关及局属参公管理的事业单位</w:t>
      </w:r>
      <w:r>
        <w:rPr>
          <w:rFonts w:hint="eastAsia" w:ascii="仿宋_GB2312" w:hAnsi="仿宋_GB2312" w:eastAsia="仿宋_GB2312" w:cs="仿宋_GB2312"/>
          <w:color w:val="auto"/>
          <w:sz w:val="32"/>
          <w:szCs w:val="32"/>
          <w:highlight w:val="none"/>
        </w:rPr>
        <w:t>用于保障机构正常运行、开展日常工作的基本支出。</w:t>
      </w:r>
    </w:p>
    <w:p w14:paraId="0CEA021F">
      <w:pPr>
        <w:pStyle w:val="32"/>
        <w:keepNext w:val="0"/>
        <w:keepLines w:val="0"/>
        <w:pageBreakBefore w:val="0"/>
        <w:widowControl w:val="0"/>
        <w:numPr>
          <w:ilvl w:val="0"/>
          <w:numId w:val="2"/>
        </w:numPr>
        <w:shd w:val="clear"/>
        <w:kinsoku/>
        <w:wordWrap/>
        <w:overflowPunct/>
        <w:topLinePunct w:val="0"/>
        <w:bidi w:val="0"/>
        <w:snapToGrid/>
        <w:spacing w:line="576" w:lineRule="exact"/>
        <w:ind w:left="0" w:leftChars="0" w:right="0" w:firstLine="400" w:firstLineChars="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自然资源海洋气象等（类）自然资源事务（款</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一般行政管理事务行（项）：指局</w:t>
      </w:r>
      <w:r>
        <w:rPr>
          <w:rFonts w:hint="eastAsia" w:ascii="仿宋_GB2312" w:hAnsi="仿宋_GB2312" w:eastAsia="仿宋_GB2312" w:cs="仿宋_GB2312"/>
          <w:color w:val="auto"/>
          <w:sz w:val="32"/>
          <w:szCs w:val="32"/>
          <w:highlight w:val="none"/>
          <w:lang w:val="en-US" w:eastAsia="zh-CN"/>
        </w:rPr>
        <w:t>行政单位（包括实行公务员管理的事业单位）未单独设置项级科目的其他项目</w:t>
      </w:r>
      <w:r>
        <w:rPr>
          <w:rFonts w:hint="eastAsia" w:ascii="仿宋_GB2312" w:hAnsi="仿宋_GB2312" w:eastAsia="仿宋_GB2312" w:cs="仿宋_GB2312"/>
          <w:color w:val="auto"/>
          <w:sz w:val="32"/>
          <w:szCs w:val="32"/>
          <w:highlight w:val="none"/>
        </w:rPr>
        <w:t>支出。</w:t>
      </w:r>
    </w:p>
    <w:p w14:paraId="719518FF">
      <w:pPr>
        <w:pStyle w:val="32"/>
        <w:keepNext w:val="0"/>
        <w:keepLines w:val="0"/>
        <w:pageBreakBefore w:val="0"/>
        <w:widowControl w:val="0"/>
        <w:numPr>
          <w:ilvl w:val="0"/>
          <w:numId w:val="2"/>
        </w:numPr>
        <w:shd w:val="clear"/>
        <w:kinsoku/>
        <w:wordWrap/>
        <w:overflowPunct/>
        <w:topLinePunct w:val="0"/>
        <w:bidi w:val="0"/>
        <w:snapToGrid/>
        <w:spacing w:line="576" w:lineRule="exact"/>
        <w:ind w:left="0" w:leftChars="0" w:right="0" w:firstLine="400" w:firstLineChars="0"/>
        <w:jc w:val="both"/>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rPr>
        <w:t>自然资源海洋气象等（类）自然资源事务（款</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自然资源利用与保护</w:t>
      </w:r>
      <w:r>
        <w:rPr>
          <w:rFonts w:hint="eastAsia" w:ascii="仿宋_GB2312" w:hAnsi="仿宋_GB2312" w:eastAsia="仿宋_GB2312" w:cs="仿宋_GB2312"/>
          <w:color w:val="auto"/>
          <w:sz w:val="32"/>
          <w:szCs w:val="32"/>
          <w:highlight w:val="none"/>
        </w:rPr>
        <w:t>（项）：</w:t>
      </w:r>
      <w:r>
        <w:rPr>
          <w:rFonts w:hint="eastAsia" w:ascii="仿宋_GB2312" w:hAnsi="仿宋_GB2312" w:eastAsia="仿宋_GB2312" w:cs="仿宋_GB2312"/>
          <w:color w:val="auto"/>
          <w:sz w:val="32"/>
          <w:szCs w:val="32"/>
          <w:highlight w:val="none"/>
          <w:lang w:val="en-US" w:eastAsia="zh-CN"/>
        </w:rPr>
        <w:t>指用于自然资源有偿使用与合理开发利用，国土空间生态修复，国土整治，耕地保护等方面的支出。</w:t>
      </w:r>
    </w:p>
    <w:p w14:paraId="536B7435">
      <w:pPr>
        <w:pStyle w:val="32"/>
        <w:keepNext w:val="0"/>
        <w:keepLines w:val="0"/>
        <w:pageBreakBefore w:val="0"/>
        <w:widowControl w:val="0"/>
        <w:numPr>
          <w:ilvl w:val="0"/>
          <w:numId w:val="2"/>
        </w:numPr>
        <w:shd w:val="clear"/>
        <w:kinsoku/>
        <w:wordWrap/>
        <w:overflowPunct/>
        <w:topLinePunct w:val="0"/>
        <w:bidi w:val="0"/>
        <w:snapToGrid/>
        <w:spacing w:line="576" w:lineRule="exact"/>
        <w:ind w:left="0" w:leftChars="0" w:right="0" w:firstLine="400" w:firstLineChars="0"/>
        <w:jc w:val="both"/>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rPr>
        <w:t>自然资源海洋气象等支出（类）自然资源事务（款）</w:t>
      </w:r>
      <w:r>
        <w:rPr>
          <w:rFonts w:hint="eastAsia" w:ascii="仿宋_GB2312" w:hAnsi="仿宋_GB2312" w:eastAsia="仿宋_GB2312" w:cs="仿宋_GB2312"/>
          <w:color w:val="auto"/>
          <w:sz w:val="32"/>
          <w:szCs w:val="32"/>
          <w:highlight w:val="none"/>
          <w:lang w:val="en-US" w:eastAsia="zh-CN"/>
        </w:rPr>
        <w:t>自然资源行业业务管理</w:t>
      </w:r>
      <w:r>
        <w:rPr>
          <w:rFonts w:hint="eastAsia" w:ascii="仿宋_GB2312" w:hAnsi="仿宋_GB2312" w:eastAsia="仿宋_GB2312" w:cs="仿宋_GB2312"/>
          <w:color w:val="auto"/>
          <w:sz w:val="32"/>
          <w:szCs w:val="32"/>
          <w:highlight w:val="none"/>
        </w:rPr>
        <w:t>（项）：指</w:t>
      </w:r>
      <w:r>
        <w:rPr>
          <w:rFonts w:hint="eastAsia" w:ascii="仿宋_GB2312" w:hAnsi="仿宋_GB2312" w:eastAsia="仿宋_GB2312" w:cs="仿宋_GB2312"/>
          <w:color w:val="auto"/>
          <w:sz w:val="32"/>
          <w:szCs w:val="32"/>
          <w:highlight w:val="none"/>
          <w:lang w:val="en-US" w:eastAsia="zh-CN"/>
        </w:rPr>
        <w:t>用于自然资源行业业务管理经费，包括政策法规、审计监督、队伍建设等方面的支出。</w:t>
      </w:r>
    </w:p>
    <w:p w14:paraId="7EFBAA3D">
      <w:pPr>
        <w:pStyle w:val="32"/>
        <w:keepNext w:val="0"/>
        <w:keepLines w:val="0"/>
        <w:pageBreakBefore w:val="0"/>
        <w:widowControl w:val="0"/>
        <w:numPr>
          <w:ilvl w:val="0"/>
          <w:numId w:val="2"/>
        </w:numPr>
        <w:shd w:val="clear"/>
        <w:kinsoku/>
        <w:wordWrap/>
        <w:overflowPunct/>
        <w:topLinePunct w:val="0"/>
        <w:bidi w:val="0"/>
        <w:snapToGrid/>
        <w:spacing w:line="576" w:lineRule="exact"/>
        <w:ind w:left="0" w:leftChars="0" w:right="0" w:firstLine="400" w:firstLineChars="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自然资源海洋气象等支出（类）自然资源事务（款）地质勘察与矿产资源管理（项）：指矿业权管理、矿产资源合理利用和保护方面的支出。</w:t>
      </w:r>
    </w:p>
    <w:p w14:paraId="7E97C130">
      <w:pPr>
        <w:pStyle w:val="32"/>
        <w:keepNext w:val="0"/>
        <w:keepLines w:val="0"/>
        <w:pageBreakBefore w:val="0"/>
        <w:widowControl w:val="0"/>
        <w:numPr>
          <w:ilvl w:val="0"/>
          <w:numId w:val="2"/>
        </w:numPr>
        <w:shd w:val="clear"/>
        <w:kinsoku/>
        <w:wordWrap/>
        <w:overflowPunct/>
        <w:topLinePunct w:val="0"/>
        <w:bidi w:val="0"/>
        <w:snapToGrid/>
        <w:spacing w:line="576" w:lineRule="exact"/>
        <w:ind w:left="0" w:leftChars="0" w:right="0" w:firstLine="400" w:firstLineChars="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自然资源海洋气象等（类）自然资源事务（款</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事业运行（项）：指局事业单位用于保障机构正常运行、开展日常工作的基本支出。</w:t>
      </w:r>
    </w:p>
    <w:p w14:paraId="6C06D00F">
      <w:pPr>
        <w:pStyle w:val="32"/>
        <w:keepNext w:val="0"/>
        <w:keepLines w:val="0"/>
        <w:pageBreakBefore w:val="0"/>
        <w:widowControl w:val="0"/>
        <w:numPr>
          <w:ilvl w:val="0"/>
          <w:numId w:val="2"/>
        </w:numPr>
        <w:shd w:val="clear"/>
        <w:kinsoku/>
        <w:wordWrap/>
        <w:overflowPunct/>
        <w:topLinePunct w:val="0"/>
        <w:bidi w:val="0"/>
        <w:snapToGrid/>
        <w:spacing w:line="576" w:lineRule="exact"/>
        <w:ind w:left="0" w:leftChars="0" w:right="0" w:firstLine="400" w:firstLineChars="0"/>
        <w:jc w:val="both"/>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rPr>
        <w:t>自然资源海洋气象等支出（类）自然资源事务（款）其他自然资源事务（项）：指除</w:t>
      </w:r>
      <w:r>
        <w:rPr>
          <w:rFonts w:hint="eastAsia" w:ascii="仿宋_GB2312" w:hAnsi="仿宋_GB2312" w:eastAsia="仿宋_GB2312" w:cs="仿宋_GB2312"/>
          <w:color w:val="auto"/>
          <w:sz w:val="32"/>
          <w:szCs w:val="32"/>
          <w:highlight w:val="none"/>
          <w:lang w:val="en-US" w:eastAsia="zh-CN"/>
        </w:rPr>
        <w:t>上述项目以外其他用于自然资源海洋气象等方面的支出。</w:t>
      </w:r>
    </w:p>
    <w:p w14:paraId="5A0B3DF7">
      <w:pPr>
        <w:pStyle w:val="32"/>
        <w:keepNext w:val="0"/>
        <w:keepLines w:val="0"/>
        <w:pageBreakBefore w:val="0"/>
        <w:widowControl w:val="0"/>
        <w:numPr>
          <w:ilvl w:val="0"/>
          <w:numId w:val="2"/>
        </w:numPr>
        <w:shd w:val="clear"/>
        <w:kinsoku/>
        <w:wordWrap/>
        <w:overflowPunct/>
        <w:topLinePunct w:val="0"/>
        <w:bidi w:val="0"/>
        <w:snapToGrid/>
        <w:spacing w:line="576" w:lineRule="exact"/>
        <w:ind w:left="0" w:leftChars="0" w:right="0" w:firstLine="400" w:firstLineChars="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住房保障（类）住房改革支出（款）住房公积金（项）：指按行政事业单位按人力资源部和社会保障部、财政部规定的基本工资和津贴补贴以及规定比例为职工缴纳的住房公积金。</w:t>
      </w:r>
    </w:p>
    <w:p w14:paraId="4ED8CEC4">
      <w:pPr>
        <w:pStyle w:val="32"/>
        <w:keepNext w:val="0"/>
        <w:keepLines w:val="0"/>
        <w:pageBreakBefore w:val="0"/>
        <w:widowControl w:val="0"/>
        <w:numPr>
          <w:ilvl w:val="0"/>
          <w:numId w:val="2"/>
        </w:numPr>
        <w:shd w:val="clear"/>
        <w:kinsoku/>
        <w:wordWrap/>
        <w:overflowPunct/>
        <w:topLinePunct w:val="0"/>
        <w:bidi w:val="0"/>
        <w:snapToGrid/>
        <w:spacing w:line="576" w:lineRule="exact"/>
        <w:ind w:left="0" w:leftChars="0" w:right="0" w:firstLine="400" w:firstLineChars="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粮油物资储备支出（类）粮油物资事务（款）事业运行（项）：指我局事业单位储备交易中心用于其他公用经费方面的支出。</w:t>
      </w:r>
    </w:p>
    <w:p w14:paraId="5E6B4118">
      <w:pPr>
        <w:pStyle w:val="32"/>
        <w:keepNext w:val="0"/>
        <w:keepLines w:val="0"/>
        <w:pageBreakBefore w:val="0"/>
        <w:widowControl w:val="0"/>
        <w:numPr>
          <w:ilvl w:val="0"/>
          <w:numId w:val="2"/>
        </w:numPr>
        <w:shd w:val="clear"/>
        <w:kinsoku/>
        <w:wordWrap/>
        <w:overflowPunct/>
        <w:topLinePunct w:val="0"/>
        <w:bidi w:val="0"/>
        <w:snapToGrid/>
        <w:spacing w:line="576" w:lineRule="exact"/>
        <w:ind w:left="0" w:leftChars="0" w:right="0" w:firstLine="400" w:firstLineChars="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灾害防治及应急管理（类）自然灾害防治（款）地质灾害防治（项）：指用于地质灾害防治方面的支出。</w:t>
      </w:r>
    </w:p>
    <w:p w14:paraId="1298BDB6">
      <w:pPr>
        <w:pStyle w:val="32"/>
        <w:keepNext w:val="0"/>
        <w:keepLines w:val="0"/>
        <w:pageBreakBefore w:val="0"/>
        <w:widowControl w:val="0"/>
        <w:numPr>
          <w:ilvl w:val="0"/>
          <w:numId w:val="2"/>
        </w:numPr>
        <w:shd w:val="clear"/>
        <w:kinsoku/>
        <w:wordWrap/>
        <w:overflowPunct/>
        <w:topLinePunct w:val="0"/>
        <w:bidi w:val="0"/>
        <w:snapToGrid/>
        <w:spacing w:line="576" w:lineRule="exact"/>
        <w:ind w:left="0" w:leftChars="0" w:right="0" w:firstLine="400" w:firstLineChars="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其他支出（类）其他政府性基金及对应专项债务收入安排的支出（款）其他地方自行试点项目收益专项债券收入安排的支出（项）：指互联网加不动产登记优化服务数据安全清欠方面的支出。</w:t>
      </w:r>
    </w:p>
    <w:p w14:paraId="71611811">
      <w:pPr>
        <w:keepNext w:val="0"/>
        <w:keepLines w:val="0"/>
        <w:pageBreakBefore w:val="0"/>
        <w:widowControl w:val="0"/>
        <w:numPr>
          <w:ilvl w:val="0"/>
          <w:numId w:val="2"/>
        </w:numPr>
        <w:shd w:val="clear"/>
        <w:kinsoku/>
        <w:wordWrap/>
        <w:overflowPunct/>
        <w:topLinePunct w:val="0"/>
        <w:bidi w:val="0"/>
        <w:snapToGrid/>
        <w:spacing w:line="576" w:lineRule="exact"/>
        <w:ind w:left="0" w:leftChars="0" w:right="0" w:firstLine="400" w:firstLineChars="0"/>
        <w:jc w:val="both"/>
        <w:textAlignment w:val="auto"/>
        <w:rPr>
          <w:rFonts w:ascii="仿宋_GB2312" w:eastAsia="仿宋_GB2312"/>
          <w:color w:val="auto"/>
          <w:sz w:val="32"/>
          <w:szCs w:val="32"/>
          <w:highlight w:val="none"/>
        </w:rPr>
      </w:pPr>
      <w:r>
        <w:rPr>
          <w:rFonts w:hint="eastAsia" w:ascii="仿宋_GB2312" w:eastAsia="仿宋_GB2312"/>
          <w:color w:val="auto"/>
          <w:sz w:val="32"/>
          <w:szCs w:val="32"/>
          <w:highlight w:val="none"/>
        </w:rPr>
        <w:t>基本支出：指为保障机构正常运转、完成日常工作任务而发生的人员支出和公用支出。</w:t>
      </w:r>
    </w:p>
    <w:p w14:paraId="7EF990D7">
      <w:pPr>
        <w:keepNext w:val="0"/>
        <w:keepLines w:val="0"/>
        <w:pageBreakBefore w:val="0"/>
        <w:widowControl w:val="0"/>
        <w:numPr>
          <w:ilvl w:val="0"/>
          <w:numId w:val="2"/>
        </w:numPr>
        <w:shd w:val="clear"/>
        <w:kinsoku/>
        <w:wordWrap/>
        <w:overflowPunct/>
        <w:topLinePunct w:val="0"/>
        <w:bidi w:val="0"/>
        <w:snapToGrid/>
        <w:spacing w:line="576" w:lineRule="exact"/>
        <w:ind w:left="0" w:leftChars="0" w:right="0" w:firstLine="400" w:firstLineChars="0"/>
        <w:jc w:val="both"/>
        <w:textAlignment w:val="auto"/>
        <w:rPr>
          <w:rFonts w:ascii="仿宋_GB2312" w:eastAsia="仿宋_GB2312"/>
          <w:color w:val="auto"/>
          <w:sz w:val="32"/>
          <w:szCs w:val="32"/>
          <w:highlight w:val="none"/>
        </w:rPr>
      </w:pPr>
      <w:r>
        <w:rPr>
          <w:rFonts w:hint="eastAsia" w:ascii="仿宋_GB2312" w:eastAsia="仿宋_GB2312"/>
          <w:color w:val="auto"/>
          <w:sz w:val="32"/>
          <w:szCs w:val="32"/>
          <w:highlight w:val="none"/>
        </w:rPr>
        <w:t>项目支出：指在基本支出之外为完成特定行政任务和事业发展目标所发生的支出。</w:t>
      </w:r>
    </w:p>
    <w:p w14:paraId="326D1EDC">
      <w:pPr>
        <w:pStyle w:val="32"/>
        <w:keepNext w:val="0"/>
        <w:keepLines w:val="0"/>
        <w:pageBreakBefore w:val="0"/>
        <w:widowControl w:val="0"/>
        <w:numPr>
          <w:ilvl w:val="0"/>
          <w:numId w:val="2"/>
        </w:numPr>
        <w:shd w:val="clear"/>
        <w:kinsoku/>
        <w:wordWrap/>
        <w:overflowPunct/>
        <w:topLinePunct w:val="0"/>
        <w:bidi w:val="0"/>
        <w:snapToGrid/>
        <w:spacing w:line="576" w:lineRule="exact"/>
        <w:ind w:left="0" w:leftChars="0" w:right="0" w:firstLine="400" w:firstLineChars="0"/>
        <w:jc w:val="both"/>
        <w:textAlignment w:val="auto"/>
        <w:rPr>
          <w:rFonts w:ascii="仿宋_GB2312" w:eastAsia="仿宋_GB2312"/>
          <w:color w:val="auto"/>
          <w:sz w:val="32"/>
          <w:szCs w:val="32"/>
          <w:highlight w:val="none"/>
        </w:rPr>
      </w:pPr>
      <w:r>
        <w:rPr>
          <w:rFonts w:hint="eastAsia" w:ascii="仿宋_GB2312" w:eastAsia="仿宋_GB2312"/>
          <w:color w:val="auto"/>
          <w:sz w:val="32"/>
          <w:szCs w:val="32"/>
          <w:highlight w:val="none"/>
        </w:rPr>
        <w:t>“三公”经费：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14:paraId="2B5B7EA9">
      <w:pPr>
        <w:keepNext w:val="0"/>
        <w:keepLines w:val="0"/>
        <w:pageBreakBefore w:val="0"/>
        <w:widowControl w:val="0"/>
        <w:numPr>
          <w:ilvl w:val="0"/>
          <w:numId w:val="2"/>
        </w:numPr>
        <w:shd w:val="clear"/>
        <w:kinsoku/>
        <w:wordWrap/>
        <w:overflowPunct/>
        <w:topLinePunct w:val="0"/>
        <w:bidi w:val="0"/>
        <w:snapToGrid/>
        <w:spacing w:line="576" w:lineRule="exact"/>
        <w:ind w:left="0" w:leftChars="0" w:right="0" w:firstLine="400" w:firstLineChars="0"/>
        <w:jc w:val="both"/>
        <w:textAlignment w:val="auto"/>
        <w:outlineLvl w:val="0"/>
        <w:rPr>
          <w:rFonts w:hint="eastAsia" w:ascii="仿宋_GB2312" w:eastAsia="仿宋_GB2312"/>
          <w:color w:val="auto"/>
          <w:sz w:val="32"/>
          <w:szCs w:val="32"/>
          <w:highlight w:val="none"/>
          <w:lang w:eastAsia="zh-CN"/>
        </w:rPr>
      </w:pPr>
      <w:bookmarkStart w:id="76" w:name="_Toc31341"/>
      <w:r>
        <w:rPr>
          <w:rFonts w:hint="eastAsia" w:ascii="仿宋_GB2312" w:eastAsia="仿宋_GB2312"/>
          <w:color w:val="auto"/>
          <w:sz w:val="32"/>
          <w:szCs w:val="32"/>
          <w:highlight w:val="none"/>
        </w:rPr>
        <w:t>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bookmarkEnd w:id="76"/>
      <w:bookmarkStart w:id="77" w:name="_Toc15377226"/>
    </w:p>
    <w:p w14:paraId="234A0228">
      <w:pPr>
        <w:pStyle w:val="2"/>
        <w:rPr>
          <w:rFonts w:hint="default" w:eastAsia="仿宋_GB2312"/>
          <w:lang w:val="en-US" w:eastAsia="zh-CN"/>
        </w:rPr>
      </w:pPr>
    </w:p>
    <w:p w14:paraId="62B80A6B">
      <w:pPr>
        <w:pStyle w:val="2"/>
        <w:keepNext w:val="0"/>
        <w:keepLines w:val="0"/>
        <w:pageBreakBefore w:val="0"/>
        <w:widowControl w:val="0"/>
        <w:shd w:val="clear"/>
        <w:kinsoku/>
        <w:wordWrap/>
        <w:overflowPunct/>
        <w:topLinePunct w:val="0"/>
        <w:bidi w:val="0"/>
        <w:snapToGrid/>
        <w:spacing w:line="576" w:lineRule="exact"/>
        <w:ind w:leftChars="0" w:firstLine="420" w:firstLineChars="200"/>
        <w:jc w:val="both"/>
        <w:textAlignment w:val="auto"/>
        <w:rPr>
          <w:rFonts w:hint="eastAsia"/>
          <w:color w:val="auto"/>
          <w:highlight w:val="none"/>
          <w:lang w:eastAsia="zh-CN"/>
        </w:rPr>
      </w:pPr>
    </w:p>
    <w:p w14:paraId="6B5A82A1">
      <w:pPr>
        <w:pageBreakBefore w:val="0"/>
        <w:widowControl w:val="0"/>
        <w:shd w:val="clear"/>
        <w:kinsoku/>
        <w:wordWrap/>
        <w:overflowPunct/>
        <w:topLinePunct w:val="0"/>
        <w:bidi w:val="0"/>
        <w:spacing w:line="576" w:lineRule="exact"/>
        <w:ind w:right="0"/>
        <w:jc w:val="center"/>
        <w:textAlignment w:val="auto"/>
        <w:outlineLvl w:val="0"/>
        <w:rPr>
          <w:rStyle w:val="22"/>
          <w:rFonts w:hint="eastAsia" w:ascii="黑体" w:hAnsi="黑体" w:eastAsia="黑体"/>
          <w:b w:val="0"/>
          <w:color w:val="auto"/>
          <w:highlight w:val="none"/>
          <w:lang w:eastAsia="zh-CN"/>
        </w:rPr>
      </w:pPr>
      <w:r>
        <w:rPr>
          <w:rFonts w:ascii="宋体"/>
          <w:b/>
          <w:color w:val="auto"/>
          <w:sz w:val="44"/>
          <w:szCs w:val="44"/>
          <w:highlight w:val="none"/>
        </w:rPr>
        <w:br w:type="page"/>
      </w:r>
      <w:bookmarkStart w:id="78" w:name="_Toc4498"/>
      <w:bookmarkStart w:id="79" w:name="_Toc15396614"/>
      <w:r>
        <w:rPr>
          <w:rFonts w:hint="eastAsia" w:ascii="黑体" w:hAnsi="黑体" w:eastAsia="黑体"/>
          <w:color w:val="auto"/>
          <w:sz w:val="44"/>
          <w:szCs w:val="44"/>
          <w:highlight w:val="none"/>
        </w:rPr>
        <w:t>第</w:t>
      </w:r>
      <w:r>
        <w:rPr>
          <w:rStyle w:val="22"/>
          <w:rFonts w:hint="eastAsia" w:ascii="黑体" w:hAnsi="黑体" w:eastAsia="黑体"/>
          <w:b w:val="0"/>
          <w:color w:val="auto"/>
          <w:highlight w:val="none"/>
        </w:rPr>
        <w:t>四部分附件</w:t>
      </w:r>
      <w:bookmarkEnd w:id="78"/>
      <w:bookmarkEnd w:id="79"/>
    </w:p>
    <w:p w14:paraId="171F0B87">
      <w:pPr>
        <w:pageBreakBefore w:val="0"/>
        <w:widowControl w:val="0"/>
        <w:shd w:val="clear"/>
        <w:kinsoku/>
        <w:wordWrap/>
        <w:overflowPunct/>
        <w:topLinePunct w:val="0"/>
        <w:bidi w:val="0"/>
        <w:spacing w:line="576" w:lineRule="exact"/>
        <w:ind w:right="0"/>
        <w:jc w:val="both"/>
        <w:textAlignment w:val="auto"/>
        <w:rPr>
          <w:rStyle w:val="22"/>
          <w:rFonts w:hint="eastAsia" w:ascii="黑体" w:hAnsi="黑体" w:eastAsia="黑体"/>
          <w:b w:val="0"/>
          <w:color w:val="auto"/>
          <w:highlight w:val="none"/>
          <w:lang w:val="en-US" w:eastAsia="zh-CN"/>
        </w:rPr>
      </w:pPr>
      <w:r>
        <w:rPr>
          <w:rStyle w:val="22"/>
          <w:rFonts w:hint="eastAsia" w:ascii="黑体" w:hAnsi="黑体" w:eastAsia="黑体"/>
          <w:b w:val="0"/>
          <w:color w:val="auto"/>
          <w:highlight w:val="none"/>
          <w:lang w:val="en-US" w:eastAsia="zh-CN"/>
        </w:rPr>
        <w:t>附件1</w:t>
      </w:r>
    </w:p>
    <w:p w14:paraId="65B6471C">
      <w:pPr>
        <w:pageBreakBefore w:val="0"/>
        <w:widowControl w:val="0"/>
        <w:kinsoku/>
        <w:wordWrap/>
        <w:overflowPunct/>
        <w:topLinePunct w:val="0"/>
        <w:autoSpaceDE/>
        <w:autoSpaceDN/>
        <w:bidi w:val="0"/>
        <w:spacing w:line="576" w:lineRule="exact"/>
        <w:ind w:firstLine="0" w:firstLineChars="0"/>
        <w:contextualSpacing/>
        <w:jc w:val="center"/>
        <w:textAlignment w:val="auto"/>
        <w:rPr>
          <w:rFonts w:hint="eastAsia" w:ascii="方正小标宋_GBK" w:hAnsi="方正小标宋_GBK" w:eastAsia="方正小标宋_GBK" w:cs="方正小标宋_GBK"/>
          <w:b w:val="0"/>
          <w:bCs/>
          <w:sz w:val="44"/>
          <w:szCs w:val="44"/>
          <w:shd w:val="clear" w:color="auto" w:fill="FFFFFF"/>
        </w:rPr>
      </w:pPr>
      <w:r>
        <w:rPr>
          <w:rFonts w:hint="eastAsia" w:ascii="方正小标宋_GBK" w:hAnsi="方正小标宋_GBK" w:eastAsia="方正小标宋_GBK" w:cs="方正小标宋_GBK"/>
          <w:b w:val="0"/>
          <w:bCs/>
          <w:sz w:val="44"/>
          <w:szCs w:val="44"/>
          <w:shd w:val="clear" w:color="auto" w:fill="FFFFFF"/>
        </w:rPr>
        <w:t>广元市自然资源局</w:t>
      </w:r>
    </w:p>
    <w:p w14:paraId="2C5BB5A2">
      <w:pPr>
        <w:pageBreakBefore w:val="0"/>
        <w:widowControl w:val="0"/>
        <w:kinsoku/>
        <w:wordWrap/>
        <w:overflowPunct/>
        <w:topLinePunct w:val="0"/>
        <w:autoSpaceDE/>
        <w:autoSpaceDN/>
        <w:bidi w:val="0"/>
        <w:spacing w:line="576" w:lineRule="exact"/>
        <w:ind w:firstLine="0" w:firstLineChars="0"/>
        <w:contextualSpacing/>
        <w:jc w:val="center"/>
        <w:textAlignment w:val="auto"/>
        <w:rPr>
          <w:rFonts w:hint="eastAsia" w:ascii="方正小标宋_GBK" w:hAnsi="方正小标宋_GBK" w:eastAsia="方正小标宋_GBK" w:cs="方正小标宋_GBK"/>
          <w:b w:val="0"/>
          <w:bCs/>
          <w:sz w:val="44"/>
          <w:szCs w:val="44"/>
          <w:shd w:val="clear" w:color="auto" w:fill="FFFFFF"/>
        </w:rPr>
      </w:pPr>
      <w:r>
        <w:rPr>
          <w:rFonts w:hint="eastAsia" w:ascii="方正小标宋_GBK" w:hAnsi="方正小标宋_GBK" w:eastAsia="方正小标宋_GBK" w:cs="方正小标宋_GBK"/>
          <w:b w:val="0"/>
          <w:bCs/>
          <w:sz w:val="44"/>
          <w:szCs w:val="44"/>
          <w:shd w:val="clear" w:color="auto" w:fill="FFFFFF"/>
        </w:rPr>
        <w:t>2023年部门整体预算绩效评价报告</w:t>
      </w:r>
    </w:p>
    <w:p w14:paraId="748945DE">
      <w:pPr>
        <w:pageBreakBefore w:val="0"/>
        <w:widowControl w:val="0"/>
        <w:kinsoku/>
        <w:wordWrap/>
        <w:overflowPunct/>
        <w:topLinePunct w:val="0"/>
        <w:autoSpaceDE/>
        <w:autoSpaceDN/>
        <w:bidi w:val="0"/>
        <w:adjustRightInd w:val="0"/>
        <w:snapToGrid w:val="0"/>
        <w:spacing w:line="576" w:lineRule="exact"/>
        <w:ind w:firstLine="0" w:firstLineChars="0"/>
        <w:contextualSpacing/>
        <w:jc w:val="both"/>
        <w:textAlignment w:val="auto"/>
        <w:rPr>
          <w:rFonts w:hint="eastAsia" w:ascii="仿宋_GB2312" w:hAnsi="仿宋_GB2312" w:eastAsia="仿宋_GB2312" w:cs="仿宋_GB2312"/>
          <w:b w:val="0"/>
          <w:bCs/>
          <w:color w:val="000000"/>
          <w:kern w:val="0"/>
          <w:sz w:val="32"/>
          <w:szCs w:val="32"/>
          <w:shd w:val="clear" w:color="auto" w:fill="FFFFFF"/>
        </w:rPr>
      </w:pPr>
    </w:p>
    <w:p w14:paraId="6C6148D1">
      <w:pPr>
        <w:pageBreakBefore w:val="0"/>
        <w:widowControl w:val="0"/>
        <w:kinsoku/>
        <w:wordWrap/>
        <w:overflowPunct/>
        <w:topLinePunct w:val="0"/>
        <w:autoSpaceDE/>
        <w:autoSpaceDN/>
        <w:bidi w:val="0"/>
        <w:adjustRightInd w:val="0"/>
        <w:snapToGrid w:val="0"/>
        <w:spacing w:line="576" w:lineRule="exact"/>
        <w:ind w:firstLine="640" w:firstLineChars="200"/>
        <w:contextualSpacing/>
        <w:jc w:val="both"/>
        <w:textAlignment w:val="auto"/>
        <w:rPr>
          <w:rFonts w:hint="eastAsia" w:ascii="黑体" w:hAnsi="黑体" w:eastAsia="黑体" w:cs="黑体"/>
          <w:b w:val="0"/>
          <w:bCs/>
          <w:sz w:val="32"/>
          <w:szCs w:val="32"/>
        </w:rPr>
      </w:pPr>
      <w:r>
        <w:rPr>
          <w:rFonts w:hint="eastAsia" w:ascii="黑体" w:hAnsi="黑体" w:eastAsia="黑体" w:cs="黑体"/>
          <w:b w:val="0"/>
          <w:bCs/>
          <w:color w:val="000000"/>
          <w:kern w:val="0"/>
          <w:sz w:val="32"/>
          <w:szCs w:val="32"/>
          <w:shd w:val="clear" w:color="auto" w:fill="FFFFFF"/>
          <w:lang w:val="zh-CN"/>
        </w:rPr>
        <w:t>一、基本情况</w:t>
      </w:r>
    </w:p>
    <w:p w14:paraId="234CE305">
      <w:pPr>
        <w:pageBreakBefore w:val="0"/>
        <w:widowControl w:val="0"/>
        <w:kinsoku/>
        <w:wordWrap/>
        <w:overflowPunct/>
        <w:topLinePunct w:val="0"/>
        <w:autoSpaceDE/>
        <w:autoSpaceDN/>
        <w:bidi w:val="0"/>
        <w:spacing w:line="576" w:lineRule="exact"/>
        <w:ind w:firstLine="640" w:firstLineChars="200"/>
        <w:jc w:val="both"/>
        <w:textAlignment w:val="auto"/>
        <w:rPr>
          <w:rFonts w:hint="eastAsia" w:ascii="仿宋_GB2312" w:hAnsi="仿宋_GB2312" w:eastAsia="仿宋_GB2312" w:cs="仿宋_GB2312"/>
          <w:b w:val="0"/>
          <w:bCs/>
          <w:sz w:val="32"/>
          <w:szCs w:val="32"/>
        </w:rPr>
      </w:pPr>
      <w:r>
        <w:rPr>
          <w:rFonts w:hint="eastAsia" w:ascii="楷体_GB2312" w:hAnsi="楷体_GB2312" w:eastAsia="楷体_GB2312" w:cs="楷体_GB2312"/>
          <w:b w:val="0"/>
          <w:bCs/>
          <w:color w:val="000000"/>
          <w:kern w:val="0"/>
          <w:sz w:val="32"/>
          <w:szCs w:val="32"/>
          <w:shd w:val="clear" w:color="auto" w:fill="FFFFFF"/>
          <w:lang w:val="zh-CN"/>
        </w:rPr>
        <w:t>（一）机构组成。</w:t>
      </w:r>
      <w:r>
        <w:rPr>
          <w:rFonts w:hint="eastAsia" w:ascii="仿宋_GB2312" w:hAnsi="仿宋_GB2312" w:eastAsia="仿宋_GB2312" w:cs="仿宋_GB2312"/>
          <w:b w:val="0"/>
          <w:bCs/>
          <w:sz w:val="32"/>
          <w:szCs w:val="32"/>
        </w:rPr>
        <w:t>广元市自然资源局属广元市人民政府工作职能部门，为市财政一级预算的行政单位。根据中共广元市委办公室关于印发《广元市自然资源局职能配置、内设机构和人员编制制定的通知》（广委办</w:t>
      </w:r>
      <w:r>
        <w:rPr>
          <w:rFonts w:hint="eastAsia" w:ascii="仿宋_GB2312" w:hAnsi="仿宋_GB2312" w:cs="仿宋_GB2312"/>
          <w:b w:val="0"/>
          <w:bCs/>
          <w:sz w:val="32"/>
          <w:szCs w:val="32"/>
          <w:lang w:val="en-US" w:eastAsia="zh-CN"/>
        </w:rPr>
        <w:t>函</w:t>
      </w:r>
      <w:r>
        <w:rPr>
          <w:rFonts w:hint="eastAsia" w:ascii="仿宋_GB2312" w:hAnsi="仿宋_GB2312" w:eastAsia="仿宋_GB2312" w:cs="仿宋_GB2312"/>
          <w:b w:val="0"/>
          <w:bCs/>
          <w:sz w:val="32"/>
          <w:szCs w:val="32"/>
        </w:rPr>
        <w:t>[2019]41号），局机关内设机构共17个，分别为：办公室、机关党委、政策法规与执法监督科（行政审批科）、调查监测与确权登记科、自然资源所有者权益和审计科、自然资源开发利用科、国土空间规划科、国土空间用途管制科、国土空间生态修复科、规划管理科、耕地保护监督科、矿产资源管理科、地质灾害防治科、测绘地理信息管理科、督查信访科、财务与资金运用科、人事科。</w:t>
      </w:r>
    </w:p>
    <w:p w14:paraId="601A837D">
      <w:pPr>
        <w:pageBreakBefore w:val="0"/>
        <w:widowControl w:val="0"/>
        <w:kinsoku/>
        <w:wordWrap/>
        <w:overflowPunct/>
        <w:topLinePunct w:val="0"/>
        <w:autoSpaceDE/>
        <w:autoSpaceDN/>
        <w:bidi w:val="0"/>
        <w:spacing w:line="576" w:lineRule="exact"/>
        <w:ind w:firstLine="640" w:firstLineChars="200"/>
        <w:jc w:val="both"/>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局属独立核算的事业单位7个，分别为广元市自然资源局经济开发区事务中心、广元市地质环境监测站、广元市不动产登记中心、广元市自然资源储备交易中心、广元市国土整治中心、广元市地籍地政事务中心、广元市测绘地理信息中心；纳入局机关统一核算的事业单位2个，分别是广元市自然资源信息档案中心、广元市自然资源综合行政执法支队。</w:t>
      </w:r>
    </w:p>
    <w:p w14:paraId="7B93648B">
      <w:pPr>
        <w:pageBreakBefore w:val="0"/>
        <w:widowControl w:val="0"/>
        <w:kinsoku/>
        <w:wordWrap/>
        <w:overflowPunct/>
        <w:topLinePunct w:val="0"/>
        <w:autoSpaceDE/>
        <w:autoSpaceDN/>
        <w:bidi w:val="0"/>
        <w:spacing w:line="576" w:lineRule="exact"/>
        <w:ind w:firstLine="640" w:firstLineChars="200"/>
        <w:jc w:val="both"/>
        <w:textAlignment w:val="auto"/>
        <w:rPr>
          <w:rFonts w:hint="eastAsia" w:ascii="仿宋_GB2312" w:hAnsi="仿宋_GB2312" w:eastAsia="仿宋_GB2312" w:cs="仿宋_GB2312"/>
          <w:b w:val="0"/>
          <w:bCs/>
          <w:sz w:val="32"/>
          <w:szCs w:val="32"/>
        </w:rPr>
      </w:pPr>
      <w:r>
        <w:rPr>
          <w:rFonts w:hint="eastAsia" w:ascii="楷体_GB2312" w:hAnsi="楷体_GB2312" w:eastAsia="楷体_GB2312" w:cs="楷体_GB2312"/>
          <w:b w:val="0"/>
          <w:bCs/>
          <w:color w:val="000000"/>
          <w:kern w:val="0"/>
          <w:sz w:val="32"/>
          <w:szCs w:val="32"/>
          <w:shd w:val="clear" w:color="auto" w:fill="FFFFFF"/>
          <w:lang w:val="zh-CN"/>
        </w:rPr>
        <w:t>（二）机构职能。</w:t>
      </w:r>
      <w:r>
        <w:rPr>
          <w:rFonts w:hint="eastAsia" w:ascii="仿宋_GB2312" w:hAnsi="仿宋_GB2312" w:eastAsia="仿宋_GB2312" w:cs="仿宋_GB2312"/>
          <w:b w:val="0"/>
          <w:bCs/>
          <w:sz w:val="32"/>
          <w:szCs w:val="32"/>
        </w:rPr>
        <w:t>广元市自然资源局的主要职责：</w:t>
      </w:r>
    </w:p>
    <w:p w14:paraId="561F82A1">
      <w:pPr>
        <w:pageBreakBefore w:val="0"/>
        <w:widowControl w:val="0"/>
        <w:kinsoku/>
        <w:wordWrap/>
        <w:overflowPunct/>
        <w:topLinePunct w:val="0"/>
        <w:autoSpaceDE/>
        <w:autoSpaceDN/>
        <w:bidi w:val="0"/>
        <w:spacing w:line="576" w:lineRule="exact"/>
        <w:ind w:firstLine="640" w:firstLineChars="200"/>
        <w:jc w:val="both"/>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1.按照规定权限，履行全民所有土地、矿产、森林、湿地、水等自然资源资产所有者职责和所有国土空间用途管制职责。拟订全市自然资源和国土空间规划地方性法规、政策规章草案，制定有关政策措施并监督检查执行情况。</w:t>
      </w:r>
    </w:p>
    <w:p w14:paraId="2FCA79DE">
      <w:pPr>
        <w:pageBreakBefore w:val="0"/>
        <w:widowControl w:val="0"/>
        <w:kinsoku/>
        <w:wordWrap/>
        <w:overflowPunct/>
        <w:topLinePunct w:val="0"/>
        <w:autoSpaceDE/>
        <w:autoSpaceDN/>
        <w:bidi w:val="0"/>
        <w:spacing w:line="576" w:lineRule="exact"/>
        <w:ind w:firstLine="640" w:firstLineChars="200"/>
        <w:jc w:val="both"/>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2.负责全市自然资源调查监测评价。依照自然资源调查监测评价的指标体系和统计标准，建立统一的自然资源调查监测评价制度。实施自然资源基础调查、专项调查和监测。负责自然资源调查监测评价成果的监督管理和信息发布。指导县区自然资源调查监测评价工作。</w:t>
      </w:r>
    </w:p>
    <w:p w14:paraId="58A7EAC0">
      <w:pPr>
        <w:pageBreakBefore w:val="0"/>
        <w:widowControl w:val="0"/>
        <w:kinsoku/>
        <w:wordWrap/>
        <w:overflowPunct/>
        <w:topLinePunct w:val="0"/>
        <w:autoSpaceDE/>
        <w:autoSpaceDN/>
        <w:bidi w:val="0"/>
        <w:spacing w:line="576" w:lineRule="exact"/>
        <w:ind w:firstLine="640" w:firstLineChars="200"/>
        <w:jc w:val="both"/>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3.负责全市自然资源统一确权登记工作。组织实施各类自然资源和不动产统一确权登记、权籍调查、不动产测绘、争议调处、成果应用的制度、标准、规范。建立健全全市自然资源和不动产登记信息管理基础平台。负责自然资源和不动产登记资料收集、整理、共享、汇交管理等。指导监督自然资源和不动产确权登记工作。</w:t>
      </w:r>
    </w:p>
    <w:p w14:paraId="671FD503">
      <w:pPr>
        <w:pageBreakBefore w:val="0"/>
        <w:widowControl w:val="0"/>
        <w:kinsoku/>
        <w:wordWrap/>
        <w:overflowPunct/>
        <w:topLinePunct w:val="0"/>
        <w:autoSpaceDE/>
        <w:autoSpaceDN/>
        <w:bidi w:val="0"/>
        <w:spacing w:line="576" w:lineRule="exact"/>
        <w:ind w:firstLine="640" w:firstLineChars="200"/>
        <w:jc w:val="both"/>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4.负责全市自然资源资产有偿使用工作。建立全民所有自然资源资产统计制度，负责全民所有自然资源资产核算。编制全民所有自然资源资产负债表，依照有关标准组织考核。按照规定权限，制定全民所有自然资源资产划拨、出让、租赁、作价出资和土地储备政策，合理配置全民所有自然资源资产。负责自然资源资产价值评估管理，依法收缴相关资产收益。</w:t>
      </w:r>
    </w:p>
    <w:p w14:paraId="796A6554">
      <w:pPr>
        <w:pageBreakBefore w:val="0"/>
        <w:widowControl w:val="0"/>
        <w:kinsoku/>
        <w:wordWrap/>
        <w:overflowPunct/>
        <w:topLinePunct w:val="0"/>
        <w:autoSpaceDE/>
        <w:autoSpaceDN/>
        <w:bidi w:val="0"/>
        <w:spacing w:line="576" w:lineRule="exact"/>
        <w:ind w:firstLine="640" w:firstLineChars="200"/>
        <w:jc w:val="both"/>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5.负责全市自然资源的合理开发利用。组织拟订并实施自然资源发展规划和战略，建立政府公示自然资源价格体系，组织开展自然资源分等定级价格评估，开展自然资源利用评价考核，指导节约集约利用。负责自然资源市场监管。组织研究自然资源管理涉及宏观调控、区域协调和城乡统筹的政策措施。</w:t>
      </w:r>
    </w:p>
    <w:p w14:paraId="55205122">
      <w:pPr>
        <w:pageBreakBefore w:val="0"/>
        <w:widowControl w:val="0"/>
        <w:kinsoku/>
        <w:wordWrap/>
        <w:overflowPunct/>
        <w:topLinePunct w:val="0"/>
        <w:autoSpaceDE/>
        <w:autoSpaceDN/>
        <w:bidi w:val="0"/>
        <w:spacing w:line="576" w:lineRule="exact"/>
        <w:ind w:firstLine="640" w:firstLineChars="200"/>
        <w:jc w:val="both"/>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6.负责建立全市空间规划体系并监督实施。推进主体功能区战略和制度，组织编制并监督实施国土空间规划和相关专项规划。开展国土空间开发适宜性评价，建立国土空间规划实施监测、评估和预警体系。组织划定生态保护红线、永久基本农田、城镇开发边界等控制线，构建节约资源和保护环境的生产、生活、生态空间布局。建立健全国土空间用途管制制度，研究拟订城乡规划政策并监督实施。组织拟订并实施土地等自然资源年度利用计划。负责土地等国土空间用途转用工作。负责土地征收征用管理。</w:t>
      </w:r>
    </w:p>
    <w:p w14:paraId="2FE253E1">
      <w:pPr>
        <w:pageBreakBefore w:val="0"/>
        <w:widowControl w:val="0"/>
        <w:kinsoku/>
        <w:wordWrap/>
        <w:overflowPunct/>
        <w:topLinePunct w:val="0"/>
        <w:autoSpaceDE/>
        <w:autoSpaceDN/>
        <w:bidi w:val="0"/>
        <w:spacing w:line="576" w:lineRule="exact"/>
        <w:ind w:firstLine="640" w:firstLineChars="200"/>
        <w:jc w:val="both"/>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7.负责统筹全市国土空间生态修复。牵头组织编制全市国土空间生态修复规划并实施有关生态修复重大工程。负责开展国土空间综合整治、土地整理复垦、矿山地质环境恢复治理等工作。牵头建立和实施生态保护补偿制度，制定合理利用社会资金进行生态修复的政策措施，提出重大备选项目。</w:t>
      </w:r>
    </w:p>
    <w:p w14:paraId="7AF607ED">
      <w:pPr>
        <w:pageBreakBefore w:val="0"/>
        <w:widowControl w:val="0"/>
        <w:kinsoku/>
        <w:wordWrap/>
        <w:overflowPunct/>
        <w:topLinePunct w:val="0"/>
        <w:autoSpaceDE/>
        <w:autoSpaceDN/>
        <w:bidi w:val="0"/>
        <w:spacing w:line="576" w:lineRule="exact"/>
        <w:ind w:firstLine="640" w:firstLineChars="200"/>
        <w:jc w:val="both"/>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8.负责组织实施最严格的耕地保护制度。牵头拟订并实施全市耕地保护政策，负责耕地数量、质量、生态保护。组织实施耕地保护责任目标考核和永久基本农田特殊保护。完善耕地占补平衡制度，监督占用耕地补偿制度执行情况。</w:t>
      </w:r>
    </w:p>
    <w:p w14:paraId="33D03FAB">
      <w:pPr>
        <w:pageBreakBefore w:val="0"/>
        <w:widowControl w:val="0"/>
        <w:kinsoku/>
        <w:wordWrap/>
        <w:overflowPunct/>
        <w:topLinePunct w:val="0"/>
        <w:autoSpaceDE/>
        <w:autoSpaceDN/>
        <w:bidi w:val="0"/>
        <w:spacing w:line="576" w:lineRule="exact"/>
        <w:ind w:firstLine="640" w:firstLineChars="200"/>
        <w:jc w:val="both"/>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9.负责管理全市地质勘察和地质工作。拟订全市地质勘查规划并监督检查执行情况。组织实施重大地质矿产勘查专项。负责地质灾害预防和治理，监督管理地下水过量开采及引发的地面沉降等地质问题。负责古生物化石的监督管理。</w:t>
      </w:r>
    </w:p>
    <w:p w14:paraId="624F2F76">
      <w:pPr>
        <w:pageBreakBefore w:val="0"/>
        <w:widowControl w:val="0"/>
        <w:kinsoku/>
        <w:wordWrap/>
        <w:overflowPunct/>
        <w:topLinePunct w:val="0"/>
        <w:autoSpaceDE/>
        <w:autoSpaceDN/>
        <w:bidi w:val="0"/>
        <w:spacing w:line="576" w:lineRule="exact"/>
        <w:ind w:firstLine="640" w:firstLineChars="200"/>
        <w:jc w:val="both"/>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10.负责落实综合防灾减灾规划相关要求，组织编制并实施地质灾害防治规划。组织、指导、协调和监督地质灾害调查评价及隐患的普查、详查、排查。组织、指导开展群测群防、专业监测和预报预警等工作，组织、指导开展地质灾害工程治理工作。承担地质灾害应急救援的技术保障工作。</w:t>
      </w:r>
    </w:p>
    <w:p w14:paraId="2B43CFE9">
      <w:pPr>
        <w:pageBreakBefore w:val="0"/>
        <w:widowControl w:val="0"/>
        <w:kinsoku/>
        <w:wordWrap/>
        <w:overflowPunct/>
        <w:topLinePunct w:val="0"/>
        <w:autoSpaceDE/>
        <w:autoSpaceDN/>
        <w:bidi w:val="0"/>
        <w:spacing w:line="576" w:lineRule="exact"/>
        <w:ind w:firstLine="640" w:firstLineChars="200"/>
        <w:jc w:val="both"/>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11.负责全市矿产资源管理工作。负责矿产资源储量管理及压覆矿产资源审核报批。负责矿业权管理。会同有关部门承担保护性开采的特定矿种、优势矿产的调控及相关管理工作。监督指导矿产资源合理利用和保护。</w:t>
      </w:r>
    </w:p>
    <w:p w14:paraId="7FC5D940">
      <w:pPr>
        <w:pageBreakBefore w:val="0"/>
        <w:widowControl w:val="0"/>
        <w:kinsoku/>
        <w:wordWrap/>
        <w:overflowPunct/>
        <w:topLinePunct w:val="0"/>
        <w:autoSpaceDE/>
        <w:autoSpaceDN/>
        <w:bidi w:val="0"/>
        <w:spacing w:line="576" w:lineRule="exact"/>
        <w:ind w:firstLine="640" w:firstLineChars="200"/>
        <w:jc w:val="both"/>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12.推动全市自然资源领域科技发展和对外合作。制定并实施全市自然资源领域科技创新发展和人才培养规划、计划。组织实施重大科技专项及创新能力建设，推进自然资源信息化和信息资料的公共服务。组织开展全市自然资源系统对外交流合作。</w:t>
      </w:r>
    </w:p>
    <w:p w14:paraId="55670B52">
      <w:pPr>
        <w:pageBreakBefore w:val="0"/>
        <w:widowControl w:val="0"/>
        <w:kinsoku/>
        <w:wordWrap/>
        <w:overflowPunct/>
        <w:topLinePunct w:val="0"/>
        <w:autoSpaceDE/>
        <w:autoSpaceDN/>
        <w:bidi w:val="0"/>
        <w:spacing w:line="576" w:lineRule="exact"/>
        <w:ind w:firstLine="640" w:firstLineChars="200"/>
        <w:jc w:val="both"/>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13.配合国家对县区政府落实党中央、国务院关于自然资源和国土空间规划的重大方针政策、决策部署及法律法规执行情况进行督察。按照市委、市政府安排，组织实施自然资源督查相关工作。查处全市自然资源开发利用、国土空间规划等领域重大违法案件。指导县区有关行政执法工作。</w:t>
      </w:r>
    </w:p>
    <w:p w14:paraId="5824981C">
      <w:pPr>
        <w:pageBreakBefore w:val="0"/>
        <w:widowControl w:val="0"/>
        <w:kinsoku/>
        <w:wordWrap/>
        <w:overflowPunct/>
        <w:topLinePunct w:val="0"/>
        <w:autoSpaceDE/>
        <w:autoSpaceDN/>
        <w:bidi w:val="0"/>
        <w:spacing w:line="576" w:lineRule="exact"/>
        <w:ind w:firstLine="640" w:firstLineChars="200"/>
        <w:jc w:val="both"/>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14.负责职责范围内的安全生产和职业健康、生态环境保护、审批服务便民化等工作。</w:t>
      </w:r>
    </w:p>
    <w:p w14:paraId="6A3499D4">
      <w:pPr>
        <w:pageBreakBefore w:val="0"/>
        <w:widowControl w:val="0"/>
        <w:kinsoku/>
        <w:wordWrap/>
        <w:overflowPunct/>
        <w:topLinePunct w:val="0"/>
        <w:autoSpaceDE/>
        <w:autoSpaceDN/>
        <w:bidi w:val="0"/>
        <w:spacing w:line="576" w:lineRule="exact"/>
        <w:ind w:firstLine="640" w:firstLineChars="200"/>
        <w:jc w:val="both"/>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15.负责测绘地理信息管理。负责基础测绘和测绘行业管理。监督管理全市测绘地理信息安全和市场秩序。负责地理信息公共服务管理和测量标志保护。</w:t>
      </w:r>
    </w:p>
    <w:p w14:paraId="52EE9CBC">
      <w:pPr>
        <w:pageBreakBefore w:val="0"/>
        <w:widowControl w:val="0"/>
        <w:kinsoku/>
        <w:wordWrap/>
        <w:overflowPunct/>
        <w:topLinePunct w:val="0"/>
        <w:autoSpaceDE/>
        <w:autoSpaceDN/>
        <w:bidi w:val="0"/>
        <w:spacing w:line="576" w:lineRule="exact"/>
        <w:ind w:firstLine="640" w:firstLineChars="200"/>
        <w:jc w:val="both"/>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16.统一领导和管理广元市林业局（简称林业局）。</w:t>
      </w:r>
    </w:p>
    <w:p w14:paraId="230D5887">
      <w:pPr>
        <w:pageBreakBefore w:val="0"/>
        <w:widowControl w:val="0"/>
        <w:kinsoku/>
        <w:wordWrap/>
        <w:overflowPunct/>
        <w:topLinePunct w:val="0"/>
        <w:autoSpaceDE/>
        <w:autoSpaceDN/>
        <w:bidi w:val="0"/>
        <w:spacing w:line="576" w:lineRule="exact"/>
        <w:ind w:firstLine="640" w:firstLineChars="200"/>
        <w:jc w:val="both"/>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17.完成市委、市政府交办的其他任务。</w:t>
      </w:r>
    </w:p>
    <w:p w14:paraId="0DFE2717">
      <w:pPr>
        <w:pageBreakBefore w:val="0"/>
        <w:widowControl w:val="0"/>
        <w:kinsoku/>
        <w:wordWrap/>
        <w:overflowPunct/>
        <w:topLinePunct w:val="0"/>
        <w:autoSpaceDE/>
        <w:autoSpaceDN/>
        <w:bidi w:val="0"/>
        <w:spacing w:line="576" w:lineRule="exact"/>
        <w:ind w:firstLine="640" w:firstLineChars="200"/>
        <w:jc w:val="both"/>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18.职能转变。落实关于统一行使全民所有自然资源资产所有者职责，统一行使所有国土空间用途管制和生态修复职责的要求，发挥国土空间规划的管控作用，为保护合理开发利用自然资源提供科学指引。</w:t>
      </w:r>
    </w:p>
    <w:p w14:paraId="507F3F18">
      <w:pPr>
        <w:pageBreakBefore w:val="0"/>
        <w:widowControl w:val="0"/>
        <w:kinsoku/>
        <w:wordWrap/>
        <w:overflowPunct/>
        <w:topLinePunct w:val="0"/>
        <w:autoSpaceDE/>
        <w:autoSpaceDN/>
        <w:bidi w:val="0"/>
        <w:spacing w:line="576" w:lineRule="exact"/>
        <w:ind w:firstLine="640" w:firstLineChars="200"/>
        <w:jc w:val="both"/>
        <w:textAlignment w:val="auto"/>
        <w:rPr>
          <w:rFonts w:hint="eastAsia" w:ascii="仿宋_GB2312" w:hAnsi="仿宋_GB2312" w:eastAsia="仿宋_GB2312" w:cs="仿宋_GB2312"/>
          <w:b w:val="0"/>
          <w:bCs/>
          <w:sz w:val="32"/>
          <w:szCs w:val="32"/>
        </w:rPr>
      </w:pPr>
      <w:r>
        <w:rPr>
          <w:rFonts w:hint="eastAsia" w:ascii="楷体_GB2312" w:hAnsi="楷体_GB2312" w:eastAsia="楷体_GB2312" w:cs="楷体_GB2312"/>
          <w:b w:val="0"/>
          <w:bCs/>
          <w:color w:val="000000"/>
          <w:kern w:val="0"/>
          <w:sz w:val="32"/>
          <w:szCs w:val="32"/>
          <w:shd w:val="clear" w:color="auto" w:fill="FFFFFF"/>
          <w:lang w:val="zh-CN"/>
        </w:rPr>
        <w:t>（三）人员概况。</w:t>
      </w:r>
      <w:r>
        <w:rPr>
          <w:rFonts w:hint="eastAsia" w:ascii="仿宋_GB2312" w:hAnsi="仿宋_GB2312" w:eastAsia="仿宋_GB2312" w:cs="仿宋_GB2312"/>
          <w:b w:val="0"/>
          <w:bCs/>
          <w:sz w:val="32"/>
          <w:szCs w:val="32"/>
        </w:rPr>
        <w:t>截至2023年末，广元市自然资源局及下属事业单位总编制175名，其中:行政编制34名，工勤编制3名，参公人员38名，其他事业编制100名。年末在职人员173人，其中行政人员39人（含派驻纪检组），工勤人员4人，参公人员36人，其他事业人员94人。</w:t>
      </w:r>
    </w:p>
    <w:p w14:paraId="0AD48D98">
      <w:pPr>
        <w:pageBreakBefore w:val="0"/>
        <w:widowControl w:val="0"/>
        <w:kinsoku/>
        <w:wordWrap/>
        <w:overflowPunct/>
        <w:topLinePunct w:val="0"/>
        <w:autoSpaceDE/>
        <w:autoSpaceDN/>
        <w:bidi w:val="0"/>
        <w:adjustRightInd w:val="0"/>
        <w:snapToGrid w:val="0"/>
        <w:spacing w:line="576" w:lineRule="exact"/>
        <w:ind w:firstLine="640" w:firstLineChars="200"/>
        <w:contextualSpacing/>
        <w:jc w:val="both"/>
        <w:textAlignment w:val="auto"/>
        <w:rPr>
          <w:rFonts w:hint="eastAsia" w:ascii="黑体" w:hAnsi="黑体" w:eastAsia="黑体" w:cs="黑体"/>
          <w:b w:val="0"/>
          <w:bCs/>
          <w:color w:val="000000"/>
          <w:kern w:val="0"/>
          <w:sz w:val="32"/>
          <w:szCs w:val="32"/>
          <w:shd w:val="clear" w:color="auto" w:fill="FFFFFF"/>
          <w:lang w:val="zh-CN"/>
        </w:rPr>
      </w:pPr>
      <w:r>
        <w:rPr>
          <w:rFonts w:hint="eastAsia" w:ascii="黑体" w:hAnsi="黑体" w:eastAsia="黑体" w:cs="黑体"/>
          <w:b w:val="0"/>
          <w:bCs/>
          <w:color w:val="000000"/>
          <w:kern w:val="0"/>
          <w:sz w:val="32"/>
          <w:szCs w:val="32"/>
          <w:shd w:val="clear" w:color="auto" w:fill="FFFFFF"/>
          <w:lang w:val="zh-CN"/>
        </w:rPr>
        <w:t>二、部门资金收支情况</w:t>
      </w:r>
    </w:p>
    <w:p w14:paraId="68BD1F6F">
      <w:pPr>
        <w:pageBreakBefore w:val="0"/>
        <w:widowControl w:val="0"/>
        <w:kinsoku/>
        <w:wordWrap/>
        <w:overflowPunct/>
        <w:topLinePunct w:val="0"/>
        <w:autoSpaceDE/>
        <w:autoSpaceDN/>
        <w:bidi w:val="0"/>
        <w:adjustRightInd w:val="0"/>
        <w:snapToGrid w:val="0"/>
        <w:spacing w:line="576" w:lineRule="exact"/>
        <w:ind w:firstLine="640" w:firstLineChars="200"/>
        <w:contextualSpacing/>
        <w:jc w:val="both"/>
        <w:textAlignment w:val="auto"/>
        <w:rPr>
          <w:rFonts w:hint="eastAsia" w:ascii="仿宋_GB2312" w:hAnsi="仿宋_GB2312" w:eastAsia="仿宋_GB2312" w:cs="仿宋_GB2312"/>
          <w:b w:val="0"/>
          <w:bCs/>
          <w:sz w:val="32"/>
          <w:szCs w:val="32"/>
        </w:rPr>
      </w:pPr>
      <w:r>
        <w:rPr>
          <w:rFonts w:hint="eastAsia" w:ascii="楷体_GB2312" w:hAnsi="楷体_GB2312" w:eastAsia="楷体_GB2312" w:cs="楷体_GB2312"/>
          <w:b w:val="0"/>
          <w:bCs/>
          <w:color w:val="000000"/>
          <w:kern w:val="0"/>
          <w:sz w:val="32"/>
          <w:szCs w:val="32"/>
          <w:shd w:val="clear" w:color="auto" w:fill="FFFFFF"/>
          <w:lang w:val="zh-CN"/>
        </w:rPr>
        <w:t>（一）收入情况。</w:t>
      </w:r>
      <w:r>
        <w:rPr>
          <w:rFonts w:hint="eastAsia" w:ascii="仿宋_GB2312" w:hAnsi="仿宋_GB2312" w:eastAsia="仿宋_GB2312" w:cs="仿宋_GB2312"/>
          <w:b w:val="0"/>
          <w:bCs/>
          <w:sz w:val="32"/>
          <w:szCs w:val="32"/>
        </w:rPr>
        <w:t>广元市自然资源局及下属事业单位2023年年初预算收入</w:t>
      </w:r>
      <w:r>
        <w:rPr>
          <w:rFonts w:hint="eastAsia" w:ascii="仿宋_GB2312" w:hAnsi="仿宋_GB2312" w:eastAsia="仿宋_GB2312" w:cs="仿宋_GB2312"/>
          <w:b w:val="0"/>
          <w:bCs/>
          <w:sz w:val="32"/>
          <w:szCs w:val="32"/>
          <w:lang w:val="en-US" w:eastAsia="zh-CN"/>
        </w:rPr>
        <w:t>7881.49</w:t>
      </w:r>
      <w:r>
        <w:rPr>
          <w:rFonts w:hint="eastAsia" w:ascii="仿宋_GB2312" w:hAnsi="仿宋_GB2312" w:eastAsia="仿宋_GB2312" w:cs="仿宋_GB2312"/>
          <w:b w:val="0"/>
          <w:bCs/>
          <w:sz w:val="32"/>
          <w:szCs w:val="32"/>
        </w:rPr>
        <w:t>万元。其中：财政拨款收入</w:t>
      </w:r>
      <w:r>
        <w:rPr>
          <w:rFonts w:hint="eastAsia" w:ascii="仿宋_GB2312" w:hAnsi="仿宋_GB2312" w:eastAsia="仿宋_GB2312" w:cs="仿宋_GB2312"/>
          <w:b w:val="0"/>
          <w:bCs/>
          <w:sz w:val="32"/>
          <w:szCs w:val="32"/>
          <w:lang w:val="en-US" w:eastAsia="zh-CN"/>
        </w:rPr>
        <w:t>7845.33</w:t>
      </w:r>
      <w:r>
        <w:rPr>
          <w:rFonts w:hint="eastAsia" w:ascii="仿宋_GB2312" w:hAnsi="仿宋_GB2312" w:eastAsia="仿宋_GB2312" w:cs="仿宋_GB2312"/>
          <w:b w:val="0"/>
          <w:bCs/>
          <w:sz w:val="32"/>
          <w:szCs w:val="32"/>
        </w:rPr>
        <w:t>万元，其他收入</w:t>
      </w:r>
      <w:r>
        <w:rPr>
          <w:rFonts w:hint="eastAsia" w:ascii="仿宋_GB2312" w:hAnsi="仿宋_GB2312" w:eastAsia="仿宋_GB2312" w:cs="仿宋_GB2312"/>
          <w:b w:val="0"/>
          <w:bCs/>
          <w:sz w:val="32"/>
          <w:szCs w:val="32"/>
          <w:lang w:val="en-US" w:eastAsia="zh-CN"/>
        </w:rPr>
        <w:t>36.16</w:t>
      </w:r>
      <w:r>
        <w:rPr>
          <w:rFonts w:hint="eastAsia" w:ascii="仿宋_GB2312" w:hAnsi="仿宋_GB2312" w:eastAsia="仿宋_GB2312" w:cs="仿宋_GB2312"/>
          <w:b w:val="0"/>
          <w:bCs/>
          <w:sz w:val="32"/>
          <w:szCs w:val="32"/>
        </w:rPr>
        <w:t>万元；决算报表收入21933.46万元。其中：财政拨款收入21588.7</w:t>
      </w:r>
      <w:r>
        <w:rPr>
          <w:rFonts w:hint="eastAsia" w:ascii="仿宋_GB2312" w:hAnsi="仿宋_GB2312" w:eastAsia="仿宋_GB2312" w:cs="仿宋_GB2312"/>
          <w:b w:val="0"/>
          <w:bCs/>
          <w:sz w:val="32"/>
          <w:szCs w:val="32"/>
          <w:lang w:val="en-US" w:eastAsia="zh-CN"/>
        </w:rPr>
        <w:t>9</w:t>
      </w:r>
      <w:r>
        <w:rPr>
          <w:rFonts w:hint="eastAsia" w:ascii="仿宋_GB2312" w:hAnsi="仿宋_GB2312" w:eastAsia="仿宋_GB2312" w:cs="仿宋_GB2312"/>
          <w:b w:val="0"/>
          <w:bCs/>
          <w:sz w:val="32"/>
          <w:szCs w:val="32"/>
        </w:rPr>
        <w:t>万元，存量资金安排149.08万元，其他收入195.60万元。</w:t>
      </w:r>
    </w:p>
    <w:p w14:paraId="2B380D49">
      <w:pPr>
        <w:pageBreakBefore w:val="0"/>
        <w:widowControl w:val="0"/>
        <w:kinsoku/>
        <w:wordWrap/>
        <w:overflowPunct/>
        <w:topLinePunct w:val="0"/>
        <w:autoSpaceDE/>
        <w:autoSpaceDN/>
        <w:bidi w:val="0"/>
        <w:adjustRightInd w:val="0"/>
        <w:snapToGrid w:val="0"/>
        <w:spacing w:line="576" w:lineRule="exact"/>
        <w:ind w:firstLine="640" w:firstLineChars="200"/>
        <w:contextualSpacing/>
        <w:jc w:val="both"/>
        <w:textAlignment w:val="auto"/>
        <w:rPr>
          <w:rFonts w:hint="eastAsia" w:ascii="仿宋_GB2312" w:hAnsi="仿宋_GB2312" w:eastAsia="仿宋_GB2312" w:cs="仿宋_GB2312"/>
          <w:b w:val="0"/>
          <w:bCs/>
          <w:sz w:val="32"/>
          <w:szCs w:val="32"/>
          <w:lang w:val="zh-CN"/>
        </w:rPr>
      </w:pPr>
      <w:r>
        <w:rPr>
          <w:rFonts w:hint="eastAsia" w:ascii="楷体_GB2312" w:hAnsi="楷体_GB2312" w:eastAsia="楷体_GB2312" w:cs="楷体_GB2312"/>
          <w:b w:val="0"/>
          <w:bCs/>
          <w:color w:val="000000"/>
          <w:kern w:val="0"/>
          <w:sz w:val="32"/>
          <w:szCs w:val="32"/>
          <w:shd w:val="clear" w:color="auto" w:fill="FFFFFF"/>
          <w:lang w:val="zh-CN"/>
        </w:rPr>
        <w:t>（二）支出情况。</w:t>
      </w:r>
      <w:r>
        <w:rPr>
          <w:rFonts w:hint="eastAsia" w:ascii="仿宋_GB2312" w:hAnsi="仿宋_GB2312" w:eastAsia="仿宋_GB2312" w:cs="仿宋_GB2312"/>
          <w:b w:val="0"/>
          <w:bCs/>
          <w:sz w:val="32"/>
          <w:szCs w:val="32"/>
        </w:rPr>
        <w:t>广元市自然资源局及下属事业单位2023年年初预算支出</w:t>
      </w:r>
      <w:r>
        <w:rPr>
          <w:rFonts w:hint="eastAsia" w:ascii="仿宋_GB2312" w:hAnsi="仿宋_GB2312" w:eastAsia="仿宋_GB2312" w:cs="仿宋_GB2312"/>
          <w:b w:val="0"/>
          <w:bCs/>
          <w:sz w:val="32"/>
          <w:szCs w:val="32"/>
          <w:lang w:val="en-US" w:eastAsia="zh-CN"/>
        </w:rPr>
        <w:t>7881.49</w:t>
      </w:r>
      <w:r>
        <w:rPr>
          <w:rFonts w:hint="eastAsia" w:ascii="仿宋_GB2312" w:hAnsi="仿宋_GB2312" w:eastAsia="仿宋_GB2312" w:cs="仿宋_GB2312"/>
          <w:b w:val="0"/>
          <w:bCs/>
          <w:sz w:val="32"/>
          <w:szCs w:val="32"/>
        </w:rPr>
        <w:t>万元，其中基本支出3</w:t>
      </w:r>
      <w:r>
        <w:rPr>
          <w:rFonts w:hint="eastAsia" w:ascii="仿宋_GB2312" w:hAnsi="仿宋_GB2312" w:eastAsia="仿宋_GB2312" w:cs="仿宋_GB2312"/>
          <w:b w:val="0"/>
          <w:bCs/>
          <w:sz w:val="32"/>
          <w:szCs w:val="32"/>
          <w:lang w:val="en-US" w:eastAsia="zh-CN"/>
        </w:rPr>
        <w:t>205.45</w:t>
      </w:r>
      <w:r>
        <w:rPr>
          <w:rFonts w:hint="eastAsia" w:ascii="仿宋_GB2312" w:hAnsi="仿宋_GB2312" w:eastAsia="仿宋_GB2312" w:cs="仿宋_GB2312"/>
          <w:b w:val="0"/>
          <w:bCs/>
          <w:sz w:val="32"/>
          <w:szCs w:val="32"/>
        </w:rPr>
        <w:t>万元，项目支出</w:t>
      </w:r>
      <w:r>
        <w:rPr>
          <w:rFonts w:hint="eastAsia" w:ascii="仿宋_GB2312" w:hAnsi="仿宋_GB2312" w:eastAsia="仿宋_GB2312" w:cs="仿宋_GB2312"/>
          <w:b w:val="0"/>
          <w:bCs/>
          <w:sz w:val="32"/>
          <w:szCs w:val="32"/>
          <w:lang w:val="en-US" w:eastAsia="zh-CN"/>
        </w:rPr>
        <w:t>4676.04</w:t>
      </w:r>
      <w:r>
        <w:rPr>
          <w:rFonts w:hint="eastAsia" w:ascii="仿宋_GB2312" w:hAnsi="仿宋_GB2312" w:eastAsia="仿宋_GB2312" w:cs="仿宋_GB2312"/>
          <w:b w:val="0"/>
          <w:bCs/>
          <w:sz w:val="32"/>
          <w:szCs w:val="32"/>
        </w:rPr>
        <w:t>万元；决算报表</w:t>
      </w:r>
      <w:r>
        <w:rPr>
          <w:rFonts w:hint="eastAsia" w:ascii="仿宋_GB2312" w:hAnsi="仿宋_GB2312" w:eastAsia="仿宋_GB2312" w:cs="仿宋_GB2312"/>
          <w:b w:val="0"/>
          <w:bCs/>
          <w:sz w:val="32"/>
          <w:szCs w:val="32"/>
          <w:lang w:val="en-US" w:eastAsia="zh-CN"/>
        </w:rPr>
        <w:t>支出21933.47万元，其中</w:t>
      </w:r>
      <w:r>
        <w:rPr>
          <w:rFonts w:hint="eastAsia" w:ascii="仿宋_GB2312" w:hAnsi="仿宋_GB2312" w:eastAsia="仿宋_GB2312" w:cs="仿宋_GB2312"/>
          <w:b w:val="0"/>
          <w:bCs/>
          <w:sz w:val="32"/>
          <w:szCs w:val="32"/>
        </w:rPr>
        <w:t>基本支出3523.47万元，项目支出184</w:t>
      </w:r>
      <w:r>
        <w:rPr>
          <w:rFonts w:hint="eastAsia" w:ascii="仿宋_GB2312" w:hAnsi="仿宋_GB2312" w:eastAsia="仿宋_GB2312" w:cs="仿宋_GB2312"/>
          <w:b w:val="0"/>
          <w:bCs/>
          <w:sz w:val="32"/>
          <w:szCs w:val="32"/>
          <w:lang w:val="en-US" w:eastAsia="zh-CN"/>
        </w:rPr>
        <w:t>10</w:t>
      </w:r>
      <w:r>
        <w:rPr>
          <w:rFonts w:hint="eastAsia" w:ascii="仿宋_GB2312" w:hAnsi="仿宋_GB2312" w:eastAsia="仿宋_GB2312" w:cs="仿宋_GB2312"/>
          <w:b w:val="0"/>
          <w:bCs/>
          <w:sz w:val="32"/>
          <w:szCs w:val="32"/>
        </w:rPr>
        <w:t>万元。</w:t>
      </w:r>
    </w:p>
    <w:p w14:paraId="6A5EF639">
      <w:pPr>
        <w:pageBreakBefore w:val="0"/>
        <w:widowControl w:val="0"/>
        <w:kinsoku/>
        <w:wordWrap/>
        <w:overflowPunct/>
        <w:topLinePunct w:val="0"/>
        <w:autoSpaceDE/>
        <w:autoSpaceDN/>
        <w:bidi w:val="0"/>
        <w:adjustRightInd w:val="0"/>
        <w:snapToGrid w:val="0"/>
        <w:spacing w:line="576" w:lineRule="exact"/>
        <w:ind w:firstLine="640" w:firstLineChars="200"/>
        <w:contextualSpacing/>
        <w:jc w:val="both"/>
        <w:textAlignment w:val="auto"/>
        <w:rPr>
          <w:rFonts w:hint="eastAsia" w:ascii="仿宋_GB2312" w:hAnsi="仿宋_GB2312" w:eastAsia="仿宋_GB2312" w:cs="仿宋_GB2312"/>
          <w:b w:val="0"/>
          <w:bCs/>
          <w:sz w:val="32"/>
          <w:szCs w:val="32"/>
          <w:lang w:val="zh-CN"/>
        </w:rPr>
      </w:pPr>
      <w:r>
        <w:rPr>
          <w:rFonts w:hint="eastAsia" w:ascii="楷体_GB2312" w:hAnsi="楷体_GB2312" w:eastAsia="楷体_GB2312" w:cs="楷体_GB2312"/>
          <w:b w:val="0"/>
          <w:bCs/>
          <w:color w:val="000000"/>
          <w:kern w:val="0"/>
          <w:sz w:val="32"/>
          <w:szCs w:val="32"/>
          <w:shd w:val="clear" w:color="auto" w:fill="FFFFFF"/>
          <w:lang w:val="zh-CN"/>
        </w:rPr>
        <w:t>（三）结转结余情况。</w:t>
      </w:r>
      <w:r>
        <w:rPr>
          <w:rFonts w:hint="eastAsia" w:ascii="仿宋_GB2312" w:hAnsi="仿宋_GB2312" w:eastAsia="仿宋_GB2312" w:cs="仿宋_GB2312"/>
          <w:b w:val="0"/>
          <w:bCs/>
          <w:sz w:val="32"/>
          <w:szCs w:val="32"/>
        </w:rPr>
        <w:t>广元市自然资源局及下属事业单位2023年决算报表结转结余为0。</w:t>
      </w:r>
    </w:p>
    <w:p w14:paraId="4C753192">
      <w:pPr>
        <w:pageBreakBefore w:val="0"/>
        <w:widowControl w:val="0"/>
        <w:kinsoku/>
        <w:wordWrap/>
        <w:overflowPunct/>
        <w:topLinePunct w:val="0"/>
        <w:autoSpaceDE/>
        <w:autoSpaceDN/>
        <w:bidi w:val="0"/>
        <w:adjustRightInd w:val="0"/>
        <w:snapToGrid w:val="0"/>
        <w:spacing w:line="576" w:lineRule="exact"/>
        <w:ind w:firstLine="640" w:firstLineChars="200"/>
        <w:contextualSpacing/>
        <w:jc w:val="both"/>
        <w:textAlignment w:val="auto"/>
        <w:rPr>
          <w:rFonts w:hint="eastAsia" w:ascii="黑体" w:hAnsi="黑体" w:eastAsia="黑体" w:cs="黑体"/>
          <w:b w:val="0"/>
          <w:bCs/>
          <w:color w:val="000000"/>
          <w:kern w:val="0"/>
          <w:sz w:val="32"/>
          <w:szCs w:val="32"/>
          <w:shd w:val="clear" w:color="auto" w:fill="FFFFFF"/>
          <w:lang w:val="zh-CN"/>
        </w:rPr>
      </w:pPr>
      <w:r>
        <w:rPr>
          <w:rFonts w:hint="eastAsia" w:ascii="黑体" w:hAnsi="黑体" w:eastAsia="黑体" w:cs="黑体"/>
          <w:b w:val="0"/>
          <w:bCs/>
          <w:color w:val="000000"/>
          <w:kern w:val="0"/>
          <w:sz w:val="32"/>
          <w:szCs w:val="32"/>
          <w:shd w:val="clear" w:color="auto" w:fill="FFFFFF"/>
          <w:lang w:val="zh-CN"/>
        </w:rPr>
        <w:t>三、部门预算绩效分析</w:t>
      </w:r>
    </w:p>
    <w:p w14:paraId="0A7C9EDE">
      <w:pPr>
        <w:pageBreakBefore w:val="0"/>
        <w:widowControl w:val="0"/>
        <w:kinsoku/>
        <w:wordWrap/>
        <w:overflowPunct/>
        <w:topLinePunct w:val="0"/>
        <w:autoSpaceDE/>
        <w:autoSpaceDN/>
        <w:bidi w:val="0"/>
        <w:spacing w:line="576" w:lineRule="exact"/>
        <w:ind w:firstLine="640" w:firstLineChars="200"/>
        <w:jc w:val="both"/>
        <w:textAlignment w:val="auto"/>
        <w:rPr>
          <w:rFonts w:hint="eastAsia" w:ascii="楷体_GB2312" w:hAnsi="楷体_GB2312" w:eastAsia="楷体_GB2312" w:cs="楷体_GB2312"/>
          <w:b w:val="0"/>
          <w:bCs/>
          <w:color w:val="000000"/>
          <w:kern w:val="0"/>
          <w:sz w:val="32"/>
          <w:szCs w:val="32"/>
          <w:shd w:val="clear" w:color="auto" w:fill="FFFFFF"/>
          <w:lang w:val="zh-CN"/>
        </w:rPr>
      </w:pPr>
      <w:r>
        <w:rPr>
          <w:rFonts w:hint="eastAsia" w:ascii="楷体_GB2312" w:hAnsi="楷体_GB2312" w:eastAsia="楷体_GB2312" w:cs="楷体_GB2312"/>
          <w:b w:val="0"/>
          <w:bCs/>
          <w:color w:val="000000"/>
          <w:kern w:val="0"/>
          <w:sz w:val="32"/>
          <w:szCs w:val="32"/>
          <w:shd w:val="clear" w:color="auto" w:fill="FFFFFF"/>
          <w:lang w:val="zh-CN"/>
        </w:rPr>
        <w:t>（一）部门预算总体绩效分析。</w:t>
      </w:r>
    </w:p>
    <w:p w14:paraId="2D1D3B72">
      <w:pPr>
        <w:pageBreakBefore w:val="0"/>
        <w:widowControl w:val="0"/>
        <w:kinsoku/>
        <w:wordWrap/>
        <w:overflowPunct/>
        <w:topLinePunct w:val="0"/>
        <w:autoSpaceDE/>
        <w:autoSpaceDN/>
        <w:bidi w:val="0"/>
        <w:spacing w:line="576" w:lineRule="exact"/>
        <w:ind w:firstLine="640" w:firstLineChars="200"/>
        <w:jc w:val="both"/>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1.</w:t>
      </w:r>
      <w:r>
        <w:rPr>
          <w:rFonts w:hint="eastAsia" w:ascii="仿宋_GB2312" w:hAnsi="仿宋_GB2312" w:eastAsia="仿宋_GB2312" w:cs="仿宋_GB2312"/>
          <w:b w:val="0"/>
          <w:bCs/>
          <w:sz w:val="32"/>
          <w:szCs w:val="32"/>
          <w:lang w:val="zh-CN"/>
        </w:rPr>
        <w:t>履职效能。</w:t>
      </w:r>
      <w:r>
        <w:rPr>
          <w:rFonts w:hint="eastAsia" w:ascii="仿宋_GB2312" w:hAnsi="仿宋_GB2312" w:eastAsia="仿宋_GB2312" w:cs="仿宋_GB2312"/>
          <w:b w:val="0"/>
          <w:bCs/>
          <w:sz w:val="32"/>
          <w:szCs w:val="32"/>
        </w:rPr>
        <w:t>2023年，在市委市政府和省自然资源厅的坚强领导下，我局坚定以习近平新时代中国特色社会主义思想为指导，深入学习贯彻习近平总书记来川来广视察重要指示精神及关于自然资源管理的重要论述，大力弘扬“爱国奉献、开拓创新、艰苦奋斗”优良传统，严守资源安全底线、优化国土空间格局、促进绿色低碳发展、维护资源资产权益，紧紧围绕“1345”发展战略，牢牢把握构建“1+3+3”工业优势主导产业体系主攻方向，以全市自然资源系统“争先提能”行动、全市自然资源系统治理“深入整治年”活动两条主线为抓手，认真履行“两统一”职责。</w:t>
      </w:r>
    </w:p>
    <w:p w14:paraId="218E85A4">
      <w:pPr>
        <w:pageBreakBefore w:val="0"/>
        <w:widowControl w:val="0"/>
        <w:kinsoku/>
        <w:wordWrap/>
        <w:overflowPunct/>
        <w:topLinePunct w:val="0"/>
        <w:autoSpaceDE/>
        <w:autoSpaceDN/>
        <w:bidi w:val="0"/>
        <w:spacing w:line="576" w:lineRule="exact"/>
        <w:ind w:firstLine="640" w:firstLineChars="200"/>
        <w:jc w:val="both"/>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1）耕地保护工作。一是积极做好2023年度耕地保护和粮食安全责任制考核“迎考”工作。二是落实最严格的耕地保护制度，出台《广元市田长制运行规则（试行）》等五项制度，构建市县乡村四级田长责任体系，形成全覆盖、无缝隙的耕地保护管理体系。三是全面加强耕地用途管制。有序推进一至五阶段流出耕地整改恢复，共整改恢复9.8万亩。四是组织补充耕地项目。高质量做好179个土地整理补充耕地项目排查整改，整改方案全部通过省整治中心审查。大力实施土地开发复垦项目，全市共立项项目43个，批复新增耕地潜力1.13万亩，立项批复新增耕地数量达省厅下达目标任务的394%，7个项目已竣工待验收，25个项目正开展施工。</w:t>
      </w:r>
    </w:p>
    <w:p w14:paraId="0BBA0EAB">
      <w:pPr>
        <w:pageBreakBefore w:val="0"/>
        <w:widowControl w:val="0"/>
        <w:kinsoku/>
        <w:wordWrap/>
        <w:overflowPunct/>
        <w:topLinePunct w:val="0"/>
        <w:autoSpaceDE/>
        <w:autoSpaceDN/>
        <w:bidi w:val="0"/>
        <w:spacing w:line="576" w:lineRule="exact"/>
        <w:ind w:firstLine="640" w:firstLineChars="200"/>
        <w:jc w:val="both"/>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2）自然资源督察反馈问题整改工作。全年累计召开整改调度会28次，现场督导50余次。2021年反馈问题中：已销号100个；暂未完成整改1个。2022年反馈问题中：已销号73个；已整改待销号3个；暂未完成整改8个。2023年反馈问题中：已销号7个；已整改待销号4个；暂未完成整改14个。</w:t>
      </w:r>
    </w:p>
    <w:p w14:paraId="5BAE52C0">
      <w:pPr>
        <w:pageBreakBefore w:val="0"/>
        <w:widowControl w:val="0"/>
        <w:kinsoku/>
        <w:wordWrap/>
        <w:overflowPunct/>
        <w:topLinePunct w:val="0"/>
        <w:autoSpaceDE/>
        <w:autoSpaceDN/>
        <w:bidi w:val="0"/>
        <w:spacing w:line="576" w:lineRule="exact"/>
        <w:ind w:firstLine="640" w:firstLineChars="200"/>
        <w:jc w:val="both"/>
        <w:textAlignment w:val="auto"/>
        <w:rPr>
          <w:rFonts w:hint="default"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rPr>
        <w:t>（3）2023年度卫片执法及违法案件查处工作。一是完成卫</w:t>
      </w:r>
      <w:r>
        <w:rPr>
          <w:rFonts w:hint="eastAsia" w:ascii="仿宋_GB2312" w:hAnsi="仿宋_GB2312" w:eastAsia="仿宋_GB2312" w:cs="仿宋_GB2312"/>
          <w:b w:val="0"/>
          <w:bCs/>
          <w:sz w:val="32"/>
          <w:szCs w:val="32"/>
          <w:lang w:val="en-US" w:eastAsia="zh-CN"/>
        </w:rPr>
        <w:t>片图斑核查2351个，其中土地卫片图斑2313个，矿产卫片图斑38个；二是核查省级执法月度自主监测15768个；三是对面积较大的130余个重点图斑进行了实地核查和内业核查。四是立案查处自然资源违法案件74件，其中土地违法案件61件，面积906.83亩，收缴罚没款7194.08万元；矿产违法案件11件，没收矿产品5907吨，收缴罚没款59.16万元。四是整改2018-2021年存量违法用地问题241个，面积7500余亩；整改2022年存量违法用地问题85个，面积810余亩。2023年我市土地卫片执法纳入问责计算的违法占用耕地面积145.13亩，违法占耕地比例为5.38%，市、县（区）均低于国家问责标准。</w:t>
      </w:r>
    </w:p>
    <w:p w14:paraId="2DB8443B">
      <w:pPr>
        <w:pageBreakBefore w:val="0"/>
        <w:widowControl w:val="0"/>
        <w:kinsoku/>
        <w:wordWrap/>
        <w:overflowPunct/>
        <w:topLinePunct w:val="0"/>
        <w:autoSpaceDE/>
        <w:autoSpaceDN/>
        <w:bidi w:val="0"/>
        <w:spacing w:line="576" w:lineRule="exact"/>
        <w:ind w:firstLine="640" w:firstLineChars="200"/>
        <w:jc w:val="both"/>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lang w:val="en-US" w:eastAsia="zh-CN"/>
        </w:rPr>
        <w:t>（4）国土空间总体规划编制工作。市、县级国</w:t>
      </w:r>
      <w:r>
        <w:rPr>
          <w:rFonts w:hint="eastAsia" w:ascii="仿宋_GB2312" w:hAnsi="仿宋_GB2312" w:eastAsia="仿宋_GB2312" w:cs="仿宋_GB2312"/>
          <w:b w:val="0"/>
          <w:bCs/>
          <w:sz w:val="32"/>
          <w:szCs w:val="32"/>
        </w:rPr>
        <w:t>土空间总体规划已上报省政府审查。全面完成33个乡镇级片区规划、50个村级规划编制，其中今年完成5个乡镇级片区规划、11个村级规划编制工作。全面启动中心城区详细规划编制前期工作，完成凤凰山棚户区控规调整，大石前进片区控规调整及城市设计已通过市专委会议审查。《广元市中心城区户外广告规划（2022-2035年）》《广元市中心城区电动汽车充电基础设施专项规划（2022-2035年）》《广元市中心城区停车场规划（2021-2035年）》《广元市中心城区照明专项规划（2021-2035年）》已通过市规委会议审议。</w:t>
      </w:r>
    </w:p>
    <w:p w14:paraId="10633BEC">
      <w:pPr>
        <w:pageBreakBefore w:val="0"/>
        <w:widowControl w:val="0"/>
        <w:kinsoku/>
        <w:wordWrap/>
        <w:overflowPunct/>
        <w:topLinePunct w:val="0"/>
        <w:autoSpaceDE/>
        <w:autoSpaceDN/>
        <w:bidi w:val="0"/>
        <w:spacing w:line="576" w:lineRule="exact"/>
        <w:ind w:firstLine="640" w:firstLineChars="200"/>
        <w:jc w:val="both"/>
        <w:textAlignment w:val="auto"/>
        <w:rPr>
          <w:rFonts w:hint="default"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rPr>
        <w:t>（5）土地供应、项目用地保障工作。编制并印发2023年国有建设用地供地计划，</w:t>
      </w:r>
      <w:r>
        <w:rPr>
          <w:rFonts w:hint="eastAsia" w:ascii="仿宋_GB2312" w:hAnsi="仿宋_GB2312" w:eastAsia="仿宋_GB2312" w:cs="仿宋_GB2312"/>
          <w:b w:val="0"/>
          <w:bCs/>
          <w:sz w:val="32"/>
          <w:szCs w:val="32"/>
          <w:lang w:val="en-US" w:eastAsia="zh-CN"/>
        </w:rPr>
        <w:t>市本级已成交经营性土地14宗358.86亩，土地出让收入入库7.4亿元。</w:t>
      </w:r>
      <w:r>
        <w:rPr>
          <w:rFonts w:hint="eastAsia" w:ascii="仿宋_GB2312" w:hAnsi="仿宋_GB2312" w:eastAsia="仿宋_GB2312" w:cs="仿宋_GB2312"/>
          <w:b w:val="0"/>
          <w:bCs/>
          <w:sz w:val="32"/>
          <w:szCs w:val="32"/>
        </w:rPr>
        <w:t>市本级实现土地出让收入30.7328亿元。加大“标准地”改革力度，完成指标体系全覆盖，实现省级及以上开发区100%“标准地”供应目标，2023年已供应12宗1610亩。</w:t>
      </w:r>
      <w:r>
        <w:rPr>
          <w:rFonts w:hint="eastAsia" w:ascii="仿宋_GB2312" w:hAnsi="仿宋_GB2312" w:eastAsia="仿宋_GB2312" w:cs="仿宋_GB2312"/>
          <w:b w:val="0"/>
          <w:bCs/>
          <w:sz w:val="32"/>
          <w:szCs w:val="32"/>
          <w:lang w:val="en-US" w:eastAsia="zh-CN"/>
        </w:rPr>
        <w:t>加强</w:t>
      </w:r>
      <w:r>
        <w:rPr>
          <w:rFonts w:hint="eastAsia" w:ascii="仿宋_GB2312" w:hAnsi="仿宋_GB2312" w:eastAsia="仿宋_GB2312" w:cs="仿宋_GB2312"/>
          <w:b w:val="0"/>
          <w:bCs/>
          <w:sz w:val="32"/>
          <w:szCs w:val="32"/>
        </w:rPr>
        <w:t>批而未供和闲置土地处置，处置批而未供</w:t>
      </w:r>
      <w:r>
        <w:rPr>
          <w:rFonts w:hint="eastAsia" w:ascii="仿宋_GB2312" w:hAnsi="仿宋_GB2312" w:eastAsia="仿宋_GB2312" w:cs="仿宋_GB2312"/>
          <w:b w:val="0"/>
          <w:bCs/>
          <w:sz w:val="32"/>
          <w:szCs w:val="32"/>
          <w:lang w:val="en-US" w:eastAsia="zh-CN"/>
        </w:rPr>
        <w:t>土地</w:t>
      </w:r>
      <w:r>
        <w:rPr>
          <w:rFonts w:hint="eastAsia" w:ascii="仿宋_GB2312" w:hAnsi="仿宋_GB2312" w:eastAsia="仿宋_GB2312" w:cs="仿宋_GB2312"/>
          <w:b w:val="0"/>
          <w:bCs/>
          <w:sz w:val="32"/>
          <w:szCs w:val="32"/>
        </w:rPr>
        <w:t>2.4万亩，处置率30.7%，处置闲置土地577.8亩，处置率34%。承办“大美广元 邀您来宿”2023年广元市民宿投资成都、杭州推介会，推介民宿招商地块62宗1206亩，签约项目18个，签约资金74.1亿元。</w:t>
      </w:r>
      <w:r>
        <w:rPr>
          <w:rFonts w:hint="eastAsia" w:ascii="仿宋_GB2312" w:hAnsi="仿宋_GB2312" w:eastAsia="仿宋_GB2312" w:cs="仿宋_GB2312"/>
          <w:b w:val="0"/>
          <w:bCs/>
          <w:sz w:val="32"/>
          <w:szCs w:val="32"/>
          <w:lang w:val="en-US" w:eastAsia="zh-CN"/>
        </w:rPr>
        <w:t>全市通过批而未供和闲置土地处置及“增存挂钩”机制产生、乡村振兴专项指标下达、获得四川省第四批天府旅游名县和自然资源节约集约示范县（市）奖励共取得新增建设用地计划指标1.2万亩，已统筹保障0.43万亩。</w:t>
      </w:r>
      <w:r>
        <w:rPr>
          <w:rFonts w:hint="eastAsia" w:ascii="仿宋_GB2312" w:hAnsi="仿宋_GB2312" w:eastAsia="仿宋_GB2312" w:cs="仿宋_GB2312"/>
          <w:b w:val="0"/>
          <w:bCs/>
          <w:sz w:val="32"/>
          <w:szCs w:val="32"/>
        </w:rPr>
        <w:t>取得土地报征批文44件次，面积1.46万亩，有力保障G5京昆高速汉广段扩容工程、黑曾路、元柳工业园（一期）基础设施、广元石盘产城融合园、中欧国际木材物流园、金剑工业园等重大项目用地</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lang w:val="en-US" w:eastAsia="zh-CN"/>
        </w:rPr>
        <w:t>切实强化了自然资源要素保障。</w:t>
      </w:r>
    </w:p>
    <w:p w14:paraId="618ADD37">
      <w:pPr>
        <w:pageBreakBefore w:val="0"/>
        <w:widowControl w:val="0"/>
        <w:kinsoku/>
        <w:wordWrap/>
        <w:overflowPunct/>
        <w:topLinePunct w:val="0"/>
        <w:autoSpaceDE/>
        <w:autoSpaceDN/>
        <w:bidi w:val="0"/>
        <w:spacing w:line="576" w:lineRule="exact"/>
        <w:ind w:firstLine="640" w:firstLineChars="200"/>
        <w:jc w:val="both"/>
        <w:textAlignment w:val="auto"/>
        <w:rPr>
          <w:rFonts w:hint="default"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rPr>
        <w:t>（6）硅基专班和矿产资源</w:t>
      </w:r>
      <w:r>
        <w:rPr>
          <w:rFonts w:hint="eastAsia" w:ascii="仿宋_GB2312" w:hAnsi="仿宋_GB2312" w:eastAsia="仿宋_GB2312" w:cs="仿宋_GB2312"/>
          <w:b w:val="0"/>
          <w:bCs/>
          <w:sz w:val="32"/>
          <w:szCs w:val="32"/>
          <w:lang w:val="en-US" w:eastAsia="zh-CN"/>
        </w:rPr>
        <w:t>管理</w:t>
      </w:r>
      <w:r>
        <w:rPr>
          <w:rFonts w:hint="eastAsia" w:ascii="仿宋_GB2312" w:hAnsi="仿宋_GB2312" w:eastAsia="仿宋_GB2312" w:cs="仿宋_GB2312"/>
          <w:b w:val="0"/>
          <w:bCs/>
          <w:sz w:val="32"/>
          <w:szCs w:val="32"/>
        </w:rPr>
        <w:t>工作。全年组织专班召开工作会议13次，现场调度25次</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rPr>
        <w:t>带头对接洽谈项目62个，概算投资630亿元，签约项目13个，签约资金291.1亿元。全年新开工7个，重点项目2个，分别为投资10亿元的广西华纳年产30万吨纳米碳酸钙项目，投资28亿元的通威一期绿色基材工业硅项目。编制完成《广元地区石英砂资源调查评价报告》，查明我市石英砂储量3.9亿吨，“十四五”期间规划储量1.85亿吨，全力保障重点项目资源需求。</w:t>
      </w:r>
      <w:r>
        <w:rPr>
          <w:rFonts w:hint="eastAsia" w:ascii="仿宋_GB2312" w:hAnsi="仿宋_GB2312" w:eastAsia="仿宋_GB2312" w:cs="仿宋_GB2312"/>
          <w:b w:val="0"/>
          <w:bCs/>
          <w:sz w:val="32"/>
          <w:szCs w:val="32"/>
          <w:lang w:val="en-US" w:eastAsia="zh-CN"/>
        </w:rPr>
        <w:t>坚持推动绿色可持续发展，健全生态修复体系，印发实施《广元市国土空间生态修复规划（2021-2023年）》。深入开展矿山生态修复问题排查整治专项行动、历史遗留矿山生态修复项目“回头看”、生态保护红线内矿业权退出等工作，积极探索历史遗留废弃矿山生态修复与补充耕地相结合。我局在全市生态环境保护大会上作交流发言。</w:t>
      </w:r>
    </w:p>
    <w:p w14:paraId="49B23D06">
      <w:pPr>
        <w:pageBreakBefore w:val="0"/>
        <w:widowControl w:val="0"/>
        <w:kinsoku/>
        <w:wordWrap/>
        <w:overflowPunct/>
        <w:topLinePunct w:val="0"/>
        <w:autoSpaceDE/>
        <w:autoSpaceDN/>
        <w:bidi w:val="0"/>
        <w:spacing w:line="576" w:lineRule="exact"/>
        <w:ind w:firstLine="640" w:firstLineChars="200"/>
        <w:jc w:val="both"/>
        <w:textAlignment w:val="auto"/>
        <w:rPr>
          <w:rFonts w:hint="default"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rPr>
        <w:t>（</w:t>
      </w:r>
      <w:r>
        <w:rPr>
          <w:rFonts w:hint="eastAsia" w:ascii="仿宋_GB2312" w:hAnsi="仿宋_GB2312" w:eastAsia="仿宋_GB2312" w:cs="仿宋_GB2312"/>
          <w:b w:val="0"/>
          <w:bCs/>
          <w:sz w:val="32"/>
          <w:szCs w:val="32"/>
          <w:lang w:val="en-US" w:eastAsia="zh-CN"/>
        </w:rPr>
        <w:t>7</w:t>
      </w:r>
      <w:r>
        <w:rPr>
          <w:rFonts w:hint="eastAsia" w:ascii="仿宋_GB2312" w:hAnsi="仿宋_GB2312" w:eastAsia="仿宋_GB2312" w:cs="仿宋_GB2312"/>
          <w:b w:val="0"/>
          <w:bCs/>
          <w:sz w:val="32"/>
          <w:szCs w:val="32"/>
        </w:rPr>
        <w:t>）优化营商环境工作。一是加速推进环境优势向竞争优势转变，打造“梨即登”“便利登”等多个“党建+不动产登记”品牌，创新推出“阆苍南”不动产登记协同办理。</w:t>
      </w:r>
      <w:r>
        <w:rPr>
          <w:rFonts w:hint="eastAsia" w:ascii="仿宋_GB2312" w:hAnsi="仿宋_GB2312" w:eastAsia="仿宋_GB2312" w:cs="仿宋_GB2312"/>
          <w:b w:val="0"/>
          <w:bCs/>
          <w:sz w:val="32"/>
          <w:szCs w:val="32"/>
          <w:lang w:val="en-US" w:eastAsia="zh-CN"/>
        </w:rPr>
        <w:t>探索开展智能化工作模式、开发不动产登记信息及地籍图可视化查询系统、建立全市不动产登记中心数据库等新技术，实现业务受理压缩至20分钟以内、不动产登记“看图查询”、市、县不动产登记数据库统一管理。</w:t>
      </w:r>
      <w:r>
        <w:rPr>
          <w:rFonts w:hint="eastAsia" w:ascii="仿宋_GB2312" w:hAnsi="仿宋_GB2312" w:eastAsia="仿宋_GB2312" w:cs="仿宋_GB2312"/>
          <w:b w:val="0"/>
          <w:bCs/>
          <w:sz w:val="32"/>
          <w:szCs w:val="32"/>
        </w:rPr>
        <w:t>二是深入实施民生保障提质行动。积极推进“交地即交证”“交房即交证”工作，今年以来全市实现“交地即交证”23宗、“交房即交证”10宗。</w:t>
      </w:r>
      <w:r>
        <w:rPr>
          <w:rFonts w:hint="eastAsia" w:ascii="仿宋_GB2312" w:hAnsi="仿宋_GB2312" w:eastAsia="仿宋_GB2312" w:cs="仿宋_GB2312"/>
          <w:b w:val="0"/>
          <w:bCs/>
          <w:sz w:val="32"/>
          <w:szCs w:val="32"/>
          <w:lang w:val="en-US" w:eastAsia="zh-CN"/>
        </w:rPr>
        <w:t>积极化解不动产登记历史遗留问题，解决云栈园、新民翠屏社区棚户区改造一期等20个不动产“登记难”问题，为3110户群众办理不动产登记。</w:t>
      </w:r>
    </w:p>
    <w:p w14:paraId="5DE85537">
      <w:pPr>
        <w:pageBreakBefore w:val="0"/>
        <w:widowControl w:val="0"/>
        <w:kinsoku/>
        <w:wordWrap/>
        <w:overflowPunct/>
        <w:topLinePunct w:val="0"/>
        <w:autoSpaceDE/>
        <w:autoSpaceDN/>
        <w:bidi w:val="0"/>
        <w:spacing w:line="576" w:lineRule="exact"/>
        <w:ind w:firstLine="640" w:firstLineChars="200"/>
        <w:jc w:val="both"/>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lang w:val="en-US" w:eastAsia="zh-CN"/>
        </w:rPr>
        <w:t>（8</w:t>
      </w:r>
      <w:r>
        <w:rPr>
          <w:rFonts w:hint="eastAsia" w:ascii="仿宋_GB2312" w:hAnsi="仿宋_GB2312" w:eastAsia="仿宋_GB2312" w:cs="仿宋_GB2312"/>
          <w:b w:val="0"/>
          <w:bCs/>
          <w:sz w:val="32"/>
          <w:szCs w:val="32"/>
        </w:rPr>
        <w:t>）地灾防治工作。立足防大汛、抢大险、救大灾，切实将习近平总书记来川来广视察重要指示精神贯穿地灾防治工作始终，成功承办2023年全省地灾防治工作现场培训会议，印发《广元市“十四五”地质灾害防治规划》，我市地灾治理工程项目建设“三早”“四强化”措施被省自然资源厅在全省推广。一是全面排查隐患。共排查隐患点位1.4万余处(次)、在建工程2102处(次)。二是精准监测预警。全市1526套监测设备实时监测611处隐患点变化情况。市县(区)及时发布地灾气象风险预警135次、预警信息71078条。三是突出培训演练。全覆盖开展隐患点宣传培训及避险演练，重点开展夜间演练和“三断”等极端条件下的演练。累计培训3982场次、6.7万余人次，演练3961场次、参与演练5.7万余人次。四是果断避险转移。累计避险转移8892户26531人(次)，有效保障群众生命</w:t>
      </w:r>
      <w:r>
        <w:rPr>
          <w:rFonts w:hint="eastAsia" w:ascii="仿宋_GB2312" w:hAnsi="仿宋_GB2312" w:eastAsia="仿宋_GB2312" w:cs="仿宋_GB2312"/>
          <w:b w:val="0"/>
          <w:bCs/>
          <w:sz w:val="32"/>
          <w:szCs w:val="32"/>
          <w:lang w:val="en-US" w:eastAsia="zh-CN"/>
        </w:rPr>
        <w:t>财产</w:t>
      </w:r>
      <w:r>
        <w:rPr>
          <w:rFonts w:hint="eastAsia" w:ascii="仿宋_GB2312" w:hAnsi="仿宋_GB2312" w:eastAsia="仿宋_GB2312" w:cs="仿宋_GB2312"/>
          <w:b w:val="0"/>
          <w:bCs/>
          <w:sz w:val="32"/>
          <w:szCs w:val="32"/>
        </w:rPr>
        <w:t>安全。五是抓牢综合整治。争取到位中省地灾防治补助资金1亿余元，完成威胁50人以上重大地灾隐患治理排危65处、避险搬迁19处480户，完成威胁50人以下地灾隐患治理排危182处、避险搬迁19处61户，消除地灾隐患333处，减少受威胁群众8312人。</w:t>
      </w:r>
    </w:p>
    <w:p w14:paraId="5412BDCC">
      <w:pPr>
        <w:pageBreakBefore w:val="0"/>
        <w:widowControl w:val="0"/>
        <w:kinsoku/>
        <w:wordWrap/>
        <w:overflowPunct/>
        <w:topLinePunct w:val="0"/>
        <w:autoSpaceDE/>
        <w:autoSpaceDN/>
        <w:bidi w:val="0"/>
        <w:spacing w:line="576" w:lineRule="exact"/>
        <w:ind w:firstLine="640" w:firstLineChars="200"/>
        <w:jc w:val="both"/>
        <w:textAlignment w:val="auto"/>
        <w:rPr>
          <w:rFonts w:hint="eastAsia" w:ascii="仿宋_GB2312" w:hAnsi="仿宋_GB2312" w:eastAsia="仿宋_GB2312" w:cs="仿宋_GB2312"/>
          <w:b w:val="0"/>
          <w:bCs/>
          <w:sz w:val="32"/>
          <w:szCs w:val="32"/>
          <w:lang w:val="zh-CN"/>
        </w:rPr>
      </w:pPr>
      <w:r>
        <w:rPr>
          <w:rFonts w:hint="eastAsia" w:ascii="仿宋_GB2312" w:hAnsi="仿宋_GB2312" w:eastAsia="仿宋_GB2312" w:cs="仿宋_GB2312"/>
          <w:b w:val="0"/>
          <w:bCs/>
          <w:sz w:val="32"/>
          <w:szCs w:val="32"/>
        </w:rPr>
        <w:t>2.</w:t>
      </w:r>
      <w:r>
        <w:rPr>
          <w:rFonts w:hint="eastAsia" w:ascii="仿宋_GB2312" w:hAnsi="仿宋_GB2312" w:eastAsia="仿宋_GB2312" w:cs="仿宋_GB2312"/>
          <w:b w:val="0"/>
          <w:bCs/>
          <w:sz w:val="32"/>
          <w:szCs w:val="32"/>
          <w:lang w:val="zh-CN"/>
        </w:rPr>
        <w:t>预算管理。</w:t>
      </w:r>
    </w:p>
    <w:p w14:paraId="48B7DF17">
      <w:pPr>
        <w:pageBreakBefore w:val="0"/>
        <w:widowControl w:val="0"/>
        <w:kinsoku/>
        <w:wordWrap/>
        <w:overflowPunct/>
        <w:topLinePunct w:val="0"/>
        <w:autoSpaceDE/>
        <w:autoSpaceDN/>
        <w:bidi w:val="0"/>
        <w:spacing w:line="576" w:lineRule="exact"/>
        <w:ind w:firstLine="640" w:firstLineChars="200"/>
        <w:jc w:val="both"/>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一是严格编制部门预算，做到编制完整无漏项，基本支出按人员编制和定额标准，项目支出按照本单位的职能职责和上级部门下达的工作目标任务编制，做到了资料完整、依据充分。二是按照《预算法》《会计法》和政府会计准则的要求，强化预算意识，严格按照2023年部门预算执行支出，加强预算执行过程的控制和结果反馈，及时采取措施纠正执行偏差，促进预算目标的全面完成。全年执行进度为95.14%，年终无预算</w:t>
      </w:r>
      <w:r>
        <w:rPr>
          <w:rFonts w:hint="eastAsia" w:ascii="仿宋_GB2312" w:hAnsi="仿宋_GB2312" w:eastAsia="仿宋_GB2312" w:cs="仿宋_GB2312"/>
          <w:b w:val="0"/>
          <w:bCs/>
          <w:sz w:val="32"/>
          <w:szCs w:val="32"/>
          <w:lang w:val="en-US" w:eastAsia="zh-CN"/>
        </w:rPr>
        <w:t>结</w:t>
      </w:r>
      <w:r>
        <w:rPr>
          <w:rFonts w:hint="eastAsia" w:ascii="仿宋_GB2312" w:hAnsi="仿宋_GB2312" w:eastAsia="仿宋_GB2312" w:cs="仿宋_GB2312"/>
          <w:b w:val="0"/>
          <w:bCs/>
          <w:sz w:val="32"/>
          <w:szCs w:val="32"/>
        </w:rPr>
        <w:t>余。</w:t>
      </w:r>
    </w:p>
    <w:p w14:paraId="102B1FDA">
      <w:pPr>
        <w:pageBreakBefore w:val="0"/>
        <w:widowControl w:val="0"/>
        <w:kinsoku/>
        <w:wordWrap/>
        <w:overflowPunct/>
        <w:topLinePunct w:val="0"/>
        <w:autoSpaceDE/>
        <w:autoSpaceDN/>
        <w:bidi w:val="0"/>
        <w:spacing w:line="576" w:lineRule="exact"/>
        <w:ind w:firstLine="640" w:firstLineChars="200"/>
        <w:jc w:val="both"/>
        <w:textAlignment w:val="auto"/>
        <w:rPr>
          <w:rFonts w:hint="eastAsia" w:ascii="仿宋_GB2312" w:hAnsi="仿宋_GB2312" w:eastAsia="仿宋_GB2312" w:cs="仿宋_GB2312"/>
          <w:b w:val="0"/>
          <w:bCs/>
          <w:sz w:val="32"/>
          <w:szCs w:val="32"/>
          <w:lang w:val="zh-CN"/>
        </w:rPr>
      </w:pPr>
      <w:r>
        <w:rPr>
          <w:rFonts w:hint="eastAsia" w:ascii="仿宋_GB2312" w:hAnsi="仿宋_GB2312" w:eastAsia="仿宋_GB2312" w:cs="仿宋_GB2312"/>
          <w:b w:val="0"/>
          <w:bCs/>
          <w:sz w:val="32"/>
          <w:szCs w:val="32"/>
        </w:rPr>
        <w:t>3.</w:t>
      </w:r>
      <w:r>
        <w:rPr>
          <w:rFonts w:hint="eastAsia" w:ascii="仿宋_GB2312" w:hAnsi="仿宋_GB2312" w:eastAsia="仿宋_GB2312" w:cs="仿宋_GB2312"/>
          <w:b w:val="0"/>
          <w:bCs/>
          <w:sz w:val="32"/>
          <w:szCs w:val="32"/>
          <w:lang w:val="zh-CN"/>
        </w:rPr>
        <w:t>财务管理。</w:t>
      </w:r>
    </w:p>
    <w:p w14:paraId="016FDB19">
      <w:pPr>
        <w:pageBreakBefore w:val="0"/>
        <w:widowControl w:val="0"/>
        <w:kinsoku/>
        <w:wordWrap/>
        <w:overflowPunct/>
        <w:topLinePunct w:val="0"/>
        <w:autoSpaceDE/>
        <w:autoSpaceDN/>
        <w:bidi w:val="0"/>
        <w:spacing w:line="576" w:lineRule="exact"/>
        <w:ind w:firstLine="640" w:firstLineChars="200"/>
        <w:jc w:val="both"/>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(1)会计机构和会计人员。设立财务与资金运用科，负责本部门财务收支核算和管理工作。会计人员有从业资格，会计出纳分设，监督和执行岗位健全，会计机构负责人符合任职资格条件，并按照相关文件要求进行了备案。</w:t>
      </w:r>
    </w:p>
    <w:p w14:paraId="7C68930A">
      <w:pPr>
        <w:pageBreakBefore w:val="0"/>
        <w:widowControl w:val="0"/>
        <w:kinsoku/>
        <w:wordWrap/>
        <w:overflowPunct/>
        <w:topLinePunct w:val="0"/>
        <w:autoSpaceDE/>
        <w:autoSpaceDN/>
        <w:bidi w:val="0"/>
        <w:spacing w:line="576" w:lineRule="exact"/>
        <w:ind w:firstLine="640" w:firstLineChars="200"/>
        <w:jc w:val="both"/>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2）内部管理制度。内部管理制度健全，主要有《广元市自然资源局财务管理制度》《广元市自然资源局预算管理办法》《广元市自然资源局资产管理办法》《广元市自然资源局政府采购内控管理制度》《广元市自然资源局“三重一大”集体决策制度》《广元市自然资源局自行采购管理办法》等内部控制制度，在2023年度未发现因内部控制制度不健全或执行不到位造成单位出现廉政风险或发生重大责任事故的情形。</w:t>
      </w:r>
    </w:p>
    <w:p w14:paraId="3D4F2249">
      <w:pPr>
        <w:pageBreakBefore w:val="0"/>
        <w:widowControl w:val="0"/>
        <w:kinsoku/>
        <w:wordWrap/>
        <w:overflowPunct/>
        <w:topLinePunct w:val="0"/>
        <w:autoSpaceDE/>
        <w:autoSpaceDN/>
        <w:bidi w:val="0"/>
        <w:spacing w:line="576" w:lineRule="exact"/>
        <w:ind w:firstLine="640" w:firstLineChars="200"/>
        <w:jc w:val="both"/>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（3）会计核算。依法建账，使用符合规定的会计准则制度，建立《总账》《现金日记账》《银行存款日记账》以及相应的《明细分类账》，</w:t>
      </w:r>
      <w:r>
        <w:rPr>
          <w:rFonts w:hint="eastAsia" w:ascii="仿宋_GB2312" w:hAnsi="仿宋_GB2312" w:eastAsia="仿宋_GB2312" w:cs="仿宋_GB2312"/>
          <w:b w:val="0"/>
          <w:bCs/>
          <w:sz w:val="32"/>
          <w:szCs w:val="32"/>
          <w:lang w:val="en-US" w:eastAsia="zh-CN"/>
        </w:rPr>
        <w:t>严格按照《预算法》《政府会计准则制度》设立会计科目并进行会计核算，</w:t>
      </w:r>
      <w:r>
        <w:rPr>
          <w:rFonts w:hint="eastAsia" w:ascii="仿宋_GB2312" w:hAnsi="仿宋_GB2312" w:eastAsia="仿宋_GB2312" w:cs="仿宋_GB2312"/>
          <w:b w:val="0"/>
          <w:bCs/>
          <w:sz w:val="32"/>
          <w:szCs w:val="32"/>
        </w:rPr>
        <w:t>资金支付均坚持“先有预算、后有支出”，并严格执行资金支付审批流程。</w:t>
      </w:r>
    </w:p>
    <w:p w14:paraId="1ECD9E90">
      <w:pPr>
        <w:pageBreakBefore w:val="0"/>
        <w:widowControl w:val="0"/>
        <w:kinsoku/>
        <w:wordWrap/>
        <w:overflowPunct/>
        <w:topLinePunct w:val="0"/>
        <w:autoSpaceDE/>
        <w:autoSpaceDN/>
        <w:bidi w:val="0"/>
        <w:spacing w:line="576" w:lineRule="exact"/>
        <w:ind w:firstLine="640" w:firstLineChars="200"/>
        <w:jc w:val="both"/>
        <w:textAlignment w:val="auto"/>
        <w:rPr>
          <w:rFonts w:hint="eastAsia" w:ascii="仿宋_GB2312" w:hAnsi="仿宋_GB2312" w:eastAsia="仿宋_GB2312" w:cs="仿宋_GB2312"/>
          <w:b w:val="0"/>
          <w:bCs/>
          <w:sz w:val="32"/>
          <w:szCs w:val="32"/>
          <w:lang w:val="zh-CN"/>
        </w:rPr>
      </w:pPr>
      <w:r>
        <w:rPr>
          <w:rFonts w:hint="eastAsia" w:ascii="仿宋_GB2312" w:hAnsi="仿宋_GB2312" w:eastAsia="仿宋_GB2312" w:cs="仿宋_GB2312"/>
          <w:b w:val="0"/>
          <w:bCs/>
          <w:sz w:val="32"/>
          <w:szCs w:val="32"/>
        </w:rPr>
        <w:t>4.</w:t>
      </w:r>
      <w:r>
        <w:rPr>
          <w:rFonts w:hint="eastAsia" w:ascii="仿宋_GB2312" w:hAnsi="仿宋_GB2312" w:eastAsia="仿宋_GB2312" w:cs="仿宋_GB2312"/>
          <w:b w:val="0"/>
          <w:bCs/>
          <w:sz w:val="32"/>
          <w:szCs w:val="32"/>
          <w:lang w:val="zh-CN"/>
        </w:rPr>
        <w:t>资产管理。</w:t>
      </w:r>
    </w:p>
    <w:p w14:paraId="74E8930F">
      <w:pPr>
        <w:pageBreakBefore w:val="0"/>
        <w:widowControl w:val="0"/>
        <w:kinsoku/>
        <w:wordWrap/>
        <w:overflowPunct/>
        <w:topLinePunct w:val="0"/>
        <w:autoSpaceDE/>
        <w:autoSpaceDN/>
        <w:bidi w:val="0"/>
        <w:spacing w:line="576" w:lineRule="exact"/>
        <w:ind w:firstLine="640" w:firstLineChars="200"/>
        <w:jc w:val="both"/>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一是严格执行固定资产管理制度，所有固定资产按种类、数量、金额登记明细账和编制卡片录入资产管理系统，确保账实相符</w:t>
      </w:r>
      <w:r>
        <w:rPr>
          <w:rFonts w:hint="eastAsia" w:ascii="仿宋_GB2312" w:hAnsi="仿宋_GB2312" w:eastAsia="仿宋_GB2312" w:cs="仿宋_GB2312"/>
          <w:b w:val="0"/>
          <w:bCs/>
          <w:sz w:val="32"/>
          <w:szCs w:val="32"/>
          <w:lang w:val="en-US" w:eastAsia="zh-CN"/>
        </w:rPr>
        <w:t>;</w:t>
      </w:r>
      <w:r>
        <w:rPr>
          <w:rFonts w:hint="eastAsia" w:ascii="仿宋_GB2312" w:hAnsi="仿宋_GB2312" w:eastAsia="仿宋_GB2312" w:cs="仿宋_GB2312"/>
          <w:b w:val="0"/>
          <w:bCs/>
          <w:sz w:val="32"/>
          <w:szCs w:val="32"/>
        </w:rPr>
        <w:t>二是加强程序管理，从资产采购、入库、领用到处置报废，均按照财政和机关事务中心有关规定执行</w:t>
      </w:r>
      <w:r>
        <w:rPr>
          <w:rFonts w:hint="eastAsia" w:ascii="仿宋_GB2312" w:hAnsi="仿宋_GB2312" w:eastAsia="仿宋_GB2312" w:cs="仿宋_GB2312"/>
          <w:b w:val="0"/>
          <w:bCs/>
          <w:sz w:val="32"/>
          <w:szCs w:val="32"/>
          <w:lang w:val="en-US" w:eastAsia="zh-CN"/>
        </w:rPr>
        <w:t>;</w:t>
      </w:r>
      <w:r>
        <w:rPr>
          <w:rFonts w:hint="eastAsia" w:ascii="仿宋_GB2312" w:hAnsi="仿宋_GB2312" w:eastAsia="仿宋_GB2312" w:cs="仿宋_GB2312"/>
          <w:b w:val="0"/>
          <w:bCs/>
          <w:sz w:val="32"/>
          <w:szCs w:val="32"/>
        </w:rPr>
        <w:t>三是加强内部监督，定期或不定期对资产使用管理情况进行抽查，严防国有资产流失。  截至2023年12月31日，广元市自然资源局（含下属事业单位）资产总额（账面净值）2,787.91万，较上年增长-41.99%。负债总额1,489.40万元,较上年增长-53.74%。净资产1,298.51万元,较上年增长-18.17%。资产利用率98.61%，资产盘活率100%。</w:t>
      </w:r>
    </w:p>
    <w:p w14:paraId="3594ED54">
      <w:pPr>
        <w:pageBreakBefore w:val="0"/>
        <w:widowControl w:val="0"/>
        <w:kinsoku/>
        <w:wordWrap/>
        <w:overflowPunct/>
        <w:topLinePunct w:val="0"/>
        <w:autoSpaceDE/>
        <w:autoSpaceDN/>
        <w:bidi w:val="0"/>
        <w:spacing w:line="576" w:lineRule="exact"/>
        <w:ind w:firstLine="640" w:firstLineChars="200"/>
        <w:jc w:val="both"/>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5.采购管理。</w:t>
      </w:r>
    </w:p>
    <w:p w14:paraId="3E76FB4E">
      <w:pPr>
        <w:pageBreakBefore w:val="0"/>
        <w:widowControl w:val="0"/>
        <w:kinsoku/>
        <w:wordWrap/>
        <w:overflowPunct/>
        <w:topLinePunct w:val="0"/>
        <w:autoSpaceDE/>
        <w:autoSpaceDN/>
        <w:bidi w:val="0"/>
        <w:spacing w:line="576" w:lineRule="exact"/>
        <w:ind w:firstLine="640" w:firstLineChars="200"/>
        <w:jc w:val="both"/>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（1）政府采购实施计划编制。2023年广元市自然资源局（含下属事业单位）政府采购年初预算纳入部门经费和基建预算，并单独编制了政府采购预算，实施计划及备案金额为635.93万元。</w:t>
      </w:r>
    </w:p>
    <w:p w14:paraId="17C86D6A">
      <w:pPr>
        <w:pageBreakBefore w:val="0"/>
        <w:widowControl w:val="0"/>
        <w:kinsoku/>
        <w:wordWrap/>
        <w:overflowPunct/>
        <w:topLinePunct w:val="0"/>
        <w:autoSpaceDE/>
        <w:autoSpaceDN/>
        <w:bidi w:val="0"/>
        <w:spacing w:line="576" w:lineRule="exact"/>
        <w:ind w:firstLine="640" w:firstLineChars="200"/>
        <w:jc w:val="both"/>
        <w:textAlignment w:val="auto"/>
        <w:rPr>
          <w:rFonts w:hint="eastAsia" w:ascii="仿宋_GB2312" w:hAnsi="仿宋_GB2312" w:eastAsia="仿宋_GB2312" w:cs="仿宋_GB2312"/>
          <w:b w:val="0"/>
          <w:bCs/>
          <w:sz w:val="32"/>
          <w:szCs w:val="32"/>
          <w:lang w:val="zh-CN"/>
        </w:rPr>
      </w:pPr>
      <w:r>
        <w:rPr>
          <w:rFonts w:hint="eastAsia" w:ascii="仿宋_GB2312" w:hAnsi="仿宋_GB2312" w:eastAsia="仿宋_GB2312" w:cs="仿宋_GB2312"/>
          <w:b w:val="0"/>
          <w:bCs/>
          <w:sz w:val="32"/>
          <w:szCs w:val="32"/>
          <w:lang w:val="zh-CN"/>
        </w:rPr>
        <w:t>（2）政府采购实施计划执行。广元市自然资源局2023年政府采购纳入年初部门预算和基建预算，经备案的政府采购实施计划为635.93万元，实际执行政府采购金额为189.92万元，其中政府采购授予中小企业合同金额141.64万元，执行实施计划与备案的实施计划一致率为29.87%，执行率低的原因是有些采购项目属于跨年度项目，按照合同约定及进度支付款项。</w:t>
      </w:r>
    </w:p>
    <w:p w14:paraId="5238FDEA">
      <w:pPr>
        <w:pageBreakBefore w:val="0"/>
        <w:widowControl w:val="0"/>
        <w:kinsoku/>
        <w:wordWrap/>
        <w:overflowPunct/>
        <w:topLinePunct w:val="0"/>
        <w:autoSpaceDE/>
        <w:autoSpaceDN/>
        <w:bidi w:val="0"/>
        <w:spacing w:line="576" w:lineRule="exact"/>
        <w:ind w:firstLine="640" w:firstLineChars="200"/>
        <w:jc w:val="both"/>
        <w:textAlignment w:val="auto"/>
        <w:rPr>
          <w:rFonts w:hint="eastAsia" w:ascii="黑体" w:hAnsi="黑体" w:eastAsia="黑体" w:cs="黑体"/>
          <w:b w:val="0"/>
          <w:bCs/>
          <w:sz w:val="32"/>
          <w:szCs w:val="32"/>
        </w:rPr>
      </w:pPr>
      <w:r>
        <w:rPr>
          <w:rFonts w:hint="eastAsia" w:ascii="黑体" w:hAnsi="黑体" w:eastAsia="黑体" w:cs="黑体"/>
          <w:b w:val="0"/>
          <w:bCs/>
          <w:sz w:val="32"/>
          <w:szCs w:val="32"/>
          <w:lang w:val="zh-CN"/>
        </w:rPr>
        <w:t>（二）部门预算项目绩效分析。</w:t>
      </w:r>
    </w:p>
    <w:p w14:paraId="43B141BE">
      <w:pPr>
        <w:pageBreakBefore w:val="0"/>
        <w:widowControl w:val="0"/>
        <w:kinsoku/>
        <w:wordWrap/>
        <w:overflowPunct/>
        <w:topLinePunct w:val="0"/>
        <w:autoSpaceDE/>
        <w:autoSpaceDN/>
        <w:bidi w:val="0"/>
        <w:spacing w:line="576" w:lineRule="exact"/>
        <w:ind w:firstLine="640" w:firstLineChars="200"/>
        <w:jc w:val="both"/>
        <w:textAlignment w:val="auto"/>
        <w:rPr>
          <w:rFonts w:hint="default"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zh-CN"/>
        </w:rPr>
        <w:t>2023年度广元市自然资源局（含下属事业单位）</w:t>
      </w:r>
      <w:r>
        <w:rPr>
          <w:rFonts w:hint="eastAsia" w:ascii="仿宋_GB2312" w:hAnsi="仿宋_GB2312" w:eastAsia="仿宋_GB2312" w:cs="仿宋_GB2312"/>
          <w:b w:val="0"/>
          <w:bCs/>
          <w:sz w:val="32"/>
          <w:szCs w:val="32"/>
          <w:lang w:val="en-US" w:eastAsia="zh-CN"/>
        </w:rPr>
        <w:t>涉及</w:t>
      </w:r>
      <w:r>
        <w:rPr>
          <w:rFonts w:hint="eastAsia" w:ascii="仿宋_GB2312" w:hAnsi="仿宋_GB2312" w:eastAsia="仿宋_GB2312" w:cs="仿宋_GB2312"/>
          <w:b w:val="0"/>
          <w:bCs/>
          <w:sz w:val="32"/>
          <w:szCs w:val="32"/>
          <w:lang w:val="zh-CN"/>
        </w:rPr>
        <w:t>项目总数</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b w:val="0"/>
          <w:bCs/>
          <w:sz w:val="32"/>
          <w:szCs w:val="32"/>
          <w:lang w:val="en-US" w:eastAsia="zh-CN"/>
        </w:rPr>
        <w:t>81</w:t>
      </w:r>
      <w:r>
        <w:rPr>
          <w:rFonts w:hint="eastAsia" w:ascii="仿宋_GB2312" w:hAnsi="仿宋_GB2312" w:eastAsia="仿宋_GB2312" w:cs="仿宋_GB2312"/>
          <w:b w:val="0"/>
          <w:bCs/>
          <w:sz w:val="32"/>
          <w:szCs w:val="32"/>
          <w:lang w:val="zh-CN"/>
        </w:rPr>
        <w:t>个，涉及预算总金额</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b w:val="0"/>
          <w:bCs/>
          <w:sz w:val="32"/>
          <w:szCs w:val="32"/>
          <w:lang w:val="en-US" w:eastAsia="zh-CN"/>
        </w:rPr>
        <w:t>21933.47</w:t>
      </w:r>
      <w:r>
        <w:rPr>
          <w:rFonts w:hint="eastAsia" w:ascii="仿宋_GB2312" w:hAnsi="仿宋_GB2312" w:eastAsia="仿宋_GB2312" w:cs="仿宋_GB2312"/>
          <w:b w:val="0"/>
          <w:bCs/>
          <w:sz w:val="32"/>
          <w:szCs w:val="32"/>
          <w:lang w:val="zh-CN"/>
        </w:rPr>
        <w:t>万元，1—1</w:t>
      </w:r>
      <w:r>
        <w:rPr>
          <w:rFonts w:hint="eastAsia" w:ascii="仿宋_GB2312" w:hAnsi="仿宋_GB2312" w:eastAsia="仿宋_GB2312" w:cs="仿宋_GB2312"/>
          <w:b w:val="0"/>
          <w:bCs/>
          <w:sz w:val="32"/>
          <w:szCs w:val="32"/>
        </w:rPr>
        <w:t>2</w:t>
      </w:r>
      <w:r>
        <w:rPr>
          <w:rFonts w:hint="eastAsia" w:ascii="仿宋_GB2312" w:hAnsi="仿宋_GB2312" w:eastAsia="仿宋_GB2312" w:cs="仿宋_GB2312"/>
          <w:b w:val="0"/>
          <w:bCs/>
          <w:sz w:val="32"/>
          <w:szCs w:val="32"/>
          <w:lang w:val="zh-CN"/>
        </w:rPr>
        <w:t>月预算执行总体进度为</w:t>
      </w:r>
      <w:r>
        <w:rPr>
          <w:rFonts w:hint="eastAsia" w:ascii="仿宋_GB2312" w:hAnsi="仿宋_GB2312" w:eastAsia="仿宋_GB2312" w:cs="仿宋_GB2312"/>
          <w:b w:val="0"/>
          <w:bCs/>
          <w:sz w:val="32"/>
          <w:szCs w:val="32"/>
        </w:rPr>
        <w:t xml:space="preserve"> 95.14</w:t>
      </w:r>
      <w:r>
        <w:rPr>
          <w:rFonts w:hint="eastAsia" w:ascii="仿宋_GB2312" w:hAnsi="仿宋_GB2312" w:eastAsia="仿宋_GB2312" w:cs="仿宋_GB2312"/>
          <w:b w:val="0"/>
          <w:bCs/>
          <w:sz w:val="32"/>
          <w:szCs w:val="32"/>
          <w:lang w:val="zh-CN"/>
        </w:rPr>
        <w:t>%，其中：没有预算结余率大于</w:t>
      </w:r>
      <w:r>
        <w:rPr>
          <w:rFonts w:hint="eastAsia" w:ascii="仿宋_GB2312" w:hAnsi="仿宋_GB2312" w:eastAsia="仿宋_GB2312" w:cs="仿宋_GB2312"/>
          <w:b w:val="0"/>
          <w:bCs/>
          <w:sz w:val="32"/>
          <w:szCs w:val="32"/>
        </w:rPr>
        <w:t>10%</w:t>
      </w:r>
      <w:r>
        <w:rPr>
          <w:rFonts w:hint="eastAsia" w:ascii="仿宋_GB2312" w:hAnsi="仿宋_GB2312" w:eastAsia="仿宋_GB2312" w:cs="仿宋_GB2312"/>
          <w:b w:val="0"/>
          <w:bCs/>
          <w:sz w:val="32"/>
          <w:szCs w:val="32"/>
          <w:lang w:val="zh-CN"/>
        </w:rPr>
        <w:t>的项目。</w:t>
      </w:r>
      <w:r>
        <w:rPr>
          <w:rFonts w:hint="eastAsia" w:ascii="仿宋_GB2312" w:hAnsi="仿宋_GB2312" w:eastAsia="仿宋_GB2312" w:cs="仿宋_GB2312"/>
          <w:b w:val="0"/>
          <w:bCs/>
          <w:sz w:val="32"/>
          <w:szCs w:val="32"/>
          <w:lang w:val="en-US" w:eastAsia="zh-CN"/>
        </w:rPr>
        <w:t xml:space="preserve">   </w:t>
      </w:r>
    </w:p>
    <w:p w14:paraId="53C5C745">
      <w:pPr>
        <w:pageBreakBefore w:val="0"/>
        <w:widowControl w:val="0"/>
        <w:kinsoku/>
        <w:wordWrap/>
        <w:overflowPunct/>
        <w:topLinePunct w:val="0"/>
        <w:autoSpaceDE/>
        <w:autoSpaceDN/>
        <w:bidi w:val="0"/>
        <w:spacing w:line="576" w:lineRule="exact"/>
        <w:ind w:firstLine="640" w:firstLineChars="200"/>
        <w:jc w:val="both"/>
        <w:textAlignment w:val="auto"/>
        <w:rPr>
          <w:rFonts w:hint="eastAsia" w:ascii="仿宋_GB2312" w:hAnsi="仿宋_GB2312" w:eastAsia="仿宋_GB2312" w:cs="仿宋_GB2312"/>
          <w:b w:val="0"/>
          <w:bCs/>
          <w:sz w:val="32"/>
          <w:szCs w:val="32"/>
          <w:lang w:val="zh-CN"/>
        </w:rPr>
      </w:pPr>
      <w:r>
        <w:rPr>
          <w:rFonts w:hint="eastAsia" w:ascii="仿宋_GB2312" w:hAnsi="仿宋_GB2312" w:eastAsia="仿宋_GB2312" w:cs="仿宋_GB2312"/>
          <w:b w:val="0"/>
          <w:bCs/>
          <w:sz w:val="32"/>
          <w:szCs w:val="32"/>
          <w:lang w:val="zh-CN"/>
        </w:rPr>
        <w:t>1.项目决策情况。</w:t>
      </w:r>
    </w:p>
    <w:p w14:paraId="689CE05E">
      <w:pPr>
        <w:pageBreakBefore w:val="0"/>
        <w:widowControl w:val="0"/>
        <w:kinsoku/>
        <w:wordWrap/>
        <w:overflowPunct/>
        <w:topLinePunct w:val="0"/>
        <w:autoSpaceDE/>
        <w:autoSpaceDN/>
        <w:bidi w:val="0"/>
        <w:spacing w:line="576" w:lineRule="exact"/>
        <w:ind w:firstLine="640" w:firstLineChars="200"/>
        <w:jc w:val="both"/>
        <w:textAlignment w:val="auto"/>
        <w:rPr>
          <w:rFonts w:hint="eastAsia" w:ascii="仿宋_GB2312" w:hAnsi="仿宋_GB2312" w:eastAsia="仿宋_GB2312" w:cs="仿宋_GB2312"/>
          <w:b w:val="0"/>
          <w:bCs/>
          <w:sz w:val="32"/>
          <w:szCs w:val="32"/>
          <w:lang w:val="zh-CN"/>
        </w:rPr>
      </w:pPr>
      <w:r>
        <w:rPr>
          <w:rFonts w:hint="eastAsia" w:ascii="仿宋_GB2312" w:hAnsi="仿宋_GB2312" w:eastAsia="仿宋_GB2312" w:cs="仿宋_GB2312"/>
          <w:b w:val="0"/>
          <w:bCs/>
          <w:sz w:val="32"/>
          <w:szCs w:val="32"/>
          <w:lang w:val="zh-CN"/>
        </w:rPr>
        <w:t>一是贯彻落实中央关于自然资源工作的方针政策和省委、市委决策部署，并按照单位的职能职责，资金预算合规、科学、合理的同时，把预算、绩效和自然资源改革发展工作深度融合。二是履行预算绩效设立审核程序，经集体研究决策后纳入预算。三是细化量化项目绩效目标，编制预算时对科室申报的预算项目进行全面梳理，严把审核关，所有项目必须有明细的资金测算，对审核后的所有项目全部进行入库管理。</w:t>
      </w:r>
    </w:p>
    <w:p w14:paraId="7E0BBF6B">
      <w:pPr>
        <w:pageBreakBefore w:val="0"/>
        <w:widowControl w:val="0"/>
        <w:kinsoku/>
        <w:wordWrap/>
        <w:overflowPunct/>
        <w:topLinePunct w:val="0"/>
        <w:autoSpaceDE/>
        <w:autoSpaceDN/>
        <w:bidi w:val="0"/>
        <w:spacing w:line="576" w:lineRule="exact"/>
        <w:ind w:firstLine="640" w:firstLineChars="200"/>
        <w:jc w:val="both"/>
        <w:textAlignment w:val="auto"/>
        <w:rPr>
          <w:rFonts w:hint="eastAsia" w:ascii="仿宋_GB2312" w:hAnsi="仿宋_GB2312" w:eastAsia="仿宋_GB2312" w:cs="仿宋_GB2312"/>
          <w:b w:val="0"/>
          <w:bCs/>
          <w:sz w:val="32"/>
          <w:szCs w:val="32"/>
          <w:lang w:val="zh-CN"/>
        </w:rPr>
      </w:pPr>
      <w:r>
        <w:rPr>
          <w:rFonts w:hint="eastAsia" w:ascii="仿宋_GB2312" w:hAnsi="仿宋_GB2312" w:eastAsia="仿宋_GB2312" w:cs="仿宋_GB2312"/>
          <w:b w:val="0"/>
          <w:bCs/>
          <w:sz w:val="32"/>
          <w:szCs w:val="32"/>
          <w:lang w:val="zh-CN"/>
        </w:rPr>
        <w:t>2.项目执行。</w:t>
      </w:r>
    </w:p>
    <w:p w14:paraId="55B059CF">
      <w:pPr>
        <w:pageBreakBefore w:val="0"/>
        <w:widowControl w:val="0"/>
        <w:kinsoku/>
        <w:wordWrap/>
        <w:overflowPunct/>
        <w:topLinePunct w:val="0"/>
        <w:autoSpaceDE/>
        <w:autoSpaceDN/>
        <w:bidi w:val="0"/>
        <w:spacing w:line="576" w:lineRule="exact"/>
        <w:ind w:firstLine="640" w:firstLineChars="200"/>
        <w:jc w:val="both"/>
        <w:textAlignment w:val="auto"/>
        <w:rPr>
          <w:rFonts w:hint="eastAsia" w:ascii="仿宋_GB2312" w:hAnsi="仿宋_GB2312" w:eastAsia="仿宋_GB2312" w:cs="仿宋_GB2312"/>
          <w:b w:val="0"/>
          <w:bCs/>
          <w:sz w:val="32"/>
          <w:szCs w:val="32"/>
          <w:lang w:val="zh-CN"/>
        </w:rPr>
      </w:pPr>
      <w:r>
        <w:rPr>
          <w:rFonts w:hint="eastAsia" w:ascii="仿宋_GB2312" w:hAnsi="仿宋_GB2312" w:eastAsia="仿宋_GB2312" w:cs="仿宋_GB2312"/>
          <w:b w:val="0"/>
          <w:bCs/>
          <w:sz w:val="32"/>
          <w:szCs w:val="32"/>
          <w:lang w:val="zh-CN"/>
        </w:rPr>
        <w:t>一是对照年初制定的目标对项目进度、预算执行、投入产出、各项效益的阶段完成情况实施监控，严格执行预算，执行中没有调整事项。二是明确项目牵头科室，落实预算执行主体，负责实现项目绩效目标。三是定期对目标绩效有偏差的项目进行监督检查和纠偏处理。四是部门预算执行进度在6、9、11月达到续时进度的70%、80%、90%，即实际支出达到95.14%。</w:t>
      </w:r>
    </w:p>
    <w:p w14:paraId="6E103A76">
      <w:pPr>
        <w:pageBreakBefore w:val="0"/>
        <w:widowControl w:val="0"/>
        <w:kinsoku/>
        <w:wordWrap/>
        <w:overflowPunct/>
        <w:topLinePunct w:val="0"/>
        <w:autoSpaceDE/>
        <w:autoSpaceDN/>
        <w:bidi w:val="0"/>
        <w:spacing w:line="576" w:lineRule="exact"/>
        <w:ind w:firstLine="640" w:firstLineChars="200"/>
        <w:jc w:val="both"/>
        <w:textAlignment w:val="auto"/>
        <w:rPr>
          <w:rFonts w:hint="eastAsia" w:ascii="仿宋_GB2312" w:hAnsi="仿宋_GB2312" w:eastAsia="仿宋_GB2312" w:cs="仿宋_GB2312"/>
          <w:b w:val="0"/>
          <w:bCs/>
          <w:sz w:val="32"/>
          <w:szCs w:val="32"/>
          <w:lang w:val="zh-CN"/>
        </w:rPr>
      </w:pPr>
      <w:r>
        <w:rPr>
          <w:rFonts w:hint="eastAsia" w:ascii="仿宋_GB2312" w:hAnsi="仿宋_GB2312" w:eastAsia="仿宋_GB2312" w:cs="仿宋_GB2312"/>
          <w:b w:val="0"/>
          <w:bCs/>
          <w:sz w:val="32"/>
          <w:szCs w:val="32"/>
          <w:lang w:val="zh-CN"/>
        </w:rPr>
        <w:t>3.目标实现。2023年，在市委、市政府及省厅的坚强领导下，以自然资源高质量发展为主题，以改革创新为动力，通过对绩效目标的全链条化管理，全面实现预期目标。</w:t>
      </w:r>
    </w:p>
    <w:p w14:paraId="5946376C">
      <w:pPr>
        <w:pageBreakBefore w:val="0"/>
        <w:widowControl w:val="0"/>
        <w:kinsoku/>
        <w:wordWrap/>
        <w:overflowPunct/>
        <w:topLinePunct w:val="0"/>
        <w:autoSpaceDE/>
        <w:autoSpaceDN/>
        <w:bidi w:val="0"/>
        <w:spacing w:line="576" w:lineRule="exact"/>
        <w:ind w:firstLine="640" w:firstLineChars="200"/>
        <w:jc w:val="both"/>
        <w:textAlignment w:val="auto"/>
        <w:rPr>
          <w:rFonts w:hint="eastAsia" w:ascii="仿宋_GB2312" w:hAnsi="仿宋_GB2312" w:eastAsia="仿宋_GB2312" w:cs="仿宋_GB2312"/>
          <w:b w:val="0"/>
          <w:bCs/>
          <w:sz w:val="32"/>
          <w:szCs w:val="32"/>
          <w:lang w:val="zh-CN"/>
        </w:rPr>
      </w:pPr>
      <w:r>
        <w:rPr>
          <w:rFonts w:hint="eastAsia" w:ascii="仿宋_GB2312" w:hAnsi="仿宋_GB2312" w:eastAsia="仿宋_GB2312" w:cs="仿宋_GB2312"/>
          <w:b w:val="0"/>
          <w:bCs/>
          <w:sz w:val="32"/>
          <w:szCs w:val="32"/>
          <w:lang w:val="zh-CN"/>
        </w:rPr>
        <w:t>（1）人员类项目绩效目标完成情况。2023年度财政下达广元市自然资源局（含下属事业单位）人员工资福利预算3131.4</w:t>
      </w:r>
      <w:r>
        <w:rPr>
          <w:rFonts w:hint="eastAsia" w:ascii="仿宋_GB2312" w:hAnsi="仿宋_GB2312" w:eastAsia="仿宋_GB2312" w:cs="仿宋_GB2312"/>
          <w:b w:val="0"/>
          <w:bCs/>
          <w:sz w:val="32"/>
          <w:szCs w:val="32"/>
          <w:lang w:val="en-US" w:eastAsia="zh-CN"/>
        </w:rPr>
        <w:t>2</w:t>
      </w:r>
      <w:r>
        <w:rPr>
          <w:rFonts w:hint="eastAsia" w:ascii="仿宋_GB2312" w:hAnsi="仿宋_GB2312" w:eastAsia="仿宋_GB2312" w:cs="仿宋_GB2312"/>
          <w:b w:val="0"/>
          <w:bCs/>
          <w:sz w:val="32"/>
          <w:szCs w:val="32"/>
          <w:lang w:val="zh-CN"/>
        </w:rPr>
        <w:t>万元，执行3131.42万元，人员经费保障率100%，资金结余率0，支出无违规记录等情况。我局人员类经费用于职工工资、绩效发放，“五险两金”等缴纳，切实保障职工利益。经费使用符合国家财经法规，加强自身队伍建设，做好日常工作，提高职工满意度，确保资金效益得到充分发挥。</w:t>
      </w:r>
    </w:p>
    <w:p w14:paraId="52B6E655">
      <w:pPr>
        <w:pageBreakBefore w:val="0"/>
        <w:widowControl w:val="0"/>
        <w:kinsoku/>
        <w:wordWrap/>
        <w:overflowPunct/>
        <w:topLinePunct w:val="0"/>
        <w:autoSpaceDE/>
        <w:autoSpaceDN/>
        <w:bidi w:val="0"/>
        <w:spacing w:line="576" w:lineRule="exact"/>
        <w:ind w:firstLine="640" w:firstLineChars="200"/>
        <w:jc w:val="both"/>
        <w:textAlignment w:val="auto"/>
        <w:rPr>
          <w:rFonts w:hint="eastAsia" w:ascii="仿宋_GB2312" w:hAnsi="仿宋_GB2312" w:eastAsia="仿宋_GB2312" w:cs="仿宋_GB2312"/>
          <w:b w:val="0"/>
          <w:bCs/>
          <w:sz w:val="32"/>
          <w:szCs w:val="32"/>
          <w:lang w:val="zh-CN" w:eastAsia="zh-CN"/>
        </w:rPr>
      </w:pPr>
      <w:r>
        <w:rPr>
          <w:rFonts w:hint="eastAsia" w:ascii="仿宋_GB2312" w:hAnsi="仿宋_GB2312" w:eastAsia="仿宋_GB2312" w:cs="仿宋_GB2312"/>
          <w:b w:val="0"/>
          <w:bCs/>
          <w:sz w:val="32"/>
          <w:szCs w:val="32"/>
          <w:lang w:val="zh-CN"/>
        </w:rPr>
        <w:t>（2）运转类项目绩效目标完成情况。2023年度财政下达广元市自然资源局(含下属事业单位）日常公用经费预算392.0</w:t>
      </w:r>
      <w:r>
        <w:rPr>
          <w:rFonts w:hint="eastAsia" w:ascii="仿宋_GB2312" w:hAnsi="仿宋_GB2312" w:eastAsia="仿宋_GB2312" w:cs="仿宋_GB2312"/>
          <w:b w:val="0"/>
          <w:bCs/>
          <w:sz w:val="32"/>
          <w:szCs w:val="32"/>
          <w:lang w:val="en-US" w:eastAsia="zh-CN"/>
        </w:rPr>
        <w:t>5</w:t>
      </w:r>
      <w:r>
        <w:rPr>
          <w:rFonts w:hint="eastAsia" w:ascii="仿宋_GB2312" w:hAnsi="仿宋_GB2312" w:eastAsia="仿宋_GB2312" w:cs="仿宋_GB2312"/>
          <w:b w:val="0"/>
          <w:bCs/>
          <w:sz w:val="32"/>
          <w:szCs w:val="32"/>
          <w:lang w:val="zh-CN"/>
        </w:rPr>
        <w:t>万元，执行392.0</w:t>
      </w:r>
      <w:r>
        <w:rPr>
          <w:rFonts w:hint="eastAsia" w:ascii="仿宋_GB2312" w:hAnsi="仿宋_GB2312" w:eastAsia="仿宋_GB2312" w:cs="仿宋_GB2312"/>
          <w:b w:val="0"/>
          <w:bCs/>
          <w:sz w:val="32"/>
          <w:szCs w:val="32"/>
          <w:lang w:val="en-US" w:eastAsia="zh-CN"/>
        </w:rPr>
        <w:t>1</w:t>
      </w:r>
      <w:r>
        <w:rPr>
          <w:rFonts w:hint="eastAsia" w:ascii="仿宋_GB2312" w:hAnsi="仿宋_GB2312" w:eastAsia="仿宋_GB2312" w:cs="仿宋_GB2312"/>
          <w:b w:val="0"/>
          <w:bCs/>
          <w:sz w:val="32"/>
          <w:szCs w:val="32"/>
          <w:lang w:val="zh-CN"/>
        </w:rPr>
        <w:t>万元，执行率</w:t>
      </w:r>
      <w:r>
        <w:rPr>
          <w:rFonts w:hint="eastAsia" w:ascii="仿宋_GB2312" w:hAnsi="仿宋_GB2312" w:eastAsia="仿宋_GB2312" w:cs="仿宋_GB2312"/>
          <w:b w:val="0"/>
          <w:bCs/>
          <w:sz w:val="32"/>
          <w:szCs w:val="32"/>
          <w:lang w:val="en-US" w:eastAsia="zh-CN"/>
        </w:rPr>
        <w:t>99.99</w:t>
      </w:r>
      <w:r>
        <w:rPr>
          <w:rFonts w:hint="eastAsia" w:ascii="仿宋_GB2312" w:hAnsi="仿宋_GB2312" w:eastAsia="仿宋_GB2312" w:cs="仿宋_GB2312"/>
          <w:b w:val="0"/>
          <w:bCs/>
          <w:sz w:val="32"/>
          <w:szCs w:val="32"/>
          <w:lang w:val="zh-CN"/>
        </w:rPr>
        <w:t>%。资金结余率0</w:t>
      </w:r>
      <w:r>
        <w:rPr>
          <w:rFonts w:hint="eastAsia" w:ascii="仿宋_GB2312" w:hAnsi="仿宋_GB2312" w:eastAsia="仿宋_GB2312" w:cs="仿宋_GB2312"/>
          <w:b w:val="0"/>
          <w:bCs/>
          <w:sz w:val="32"/>
          <w:szCs w:val="32"/>
          <w:lang w:val="zh-CN" w:eastAsia="zh-CN"/>
        </w:rPr>
        <w:t>。</w:t>
      </w:r>
      <w:r>
        <w:rPr>
          <w:rFonts w:hint="eastAsia" w:ascii="仿宋_GB2312" w:hAnsi="仿宋_GB2312" w:eastAsia="仿宋_GB2312" w:cs="仿宋_GB2312"/>
          <w:b w:val="0"/>
          <w:bCs/>
          <w:sz w:val="32"/>
          <w:szCs w:val="32"/>
          <w:lang w:val="zh-CN"/>
        </w:rPr>
        <w:t>主要用于支付开展日常工作所需的办公费、会议费、印刷费、差旅费等，支出无违规记录等情况。有效保障了部门单位的日常运转，运转保障率100%</w:t>
      </w:r>
      <w:r>
        <w:rPr>
          <w:rFonts w:hint="eastAsia" w:ascii="仿宋_GB2312" w:hAnsi="仿宋_GB2312" w:eastAsia="仿宋_GB2312" w:cs="仿宋_GB2312"/>
          <w:b w:val="0"/>
          <w:bCs/>
          <w:sz w:val="32"/>
          <w:szCs w:val="32"/>
          <w:lang w:val="zh-CN" w:eastAsia="zh-CN"/>
        </w:rPr>
        <w:t>。</w:t>
      </w:r>
    </w:p>
    <w:p w14:paraId="75712098">
      <w:pPr>
        <w:pageBreakBefore w:val="0"/>
        <w:widowControl w:val="0"/>
        <w:kinsoku/>
        <w:wordWrap/>
        <w:overflowPunct/>
        <w:topLinePunct w:val="0"/>
        <w:autoSpaceDE/>
        <w:autoSpaceDN/>
        <w:bidi w:val="0"/>
        <w:adjustRightInd w:val="0"/>
        <w:snapToGrid w:val="0"/>
        <w:spacing w:line="576" w:lineRule="exact"/>
        <w:ind w:firstLine="640" w:firstLineChars="200"/>
        <w:contextualSpacing/>
        <w:jc w:val="both"/>
        <w:textAlignment w:val="auto"/>
        <w:rPr>
          <w:rFonts w:hint="eastAsia" w:ascii="仿宋_GB2312" w:hAnsi="仿宋_GB2312" w:eastAsia="仿宋_GB2312" w:cs="仿宋_GB2312"/>
          <w:b w:val="0"/>
          <w:bCs/>
          <w:sz w:val="32"/>
          <w:szCs w:val="32"/>
          <w:lang w:val="zh-CN"/>
        </w:rPr>
      </w:pPr>
      <w:r>
        <w:rPr>
          <w:rFonts w:hint="eastAsia" w:ascii="仿宋_GB2312" w:hAnsi="仿宋_GB2312" w:eastAsia="仿宋_GB2312" w:cs="仿宋_GB2312"/>
          <w:b w:val="0"/>
          <w:bCs/>
          <w:sz w:val="32"/>
          <w:szCs w:val="32"/>
          <w:lang w:val="zh-CN"/>
        </w:rPr>
        <w:t>（3）特定目标类项目绩效目标完成情况。2023年度财政下达广元市自然资源局（含下属事业单位）特定项目工作经费18409.99万元，其中财政拨款18214.43万元，其他收入195.56万元，全年执行18409.99万元，预算执行率100%。各项目均编制了绩效目标申报表，且绩效目标编制明确、细化、量化。项目决策科学，依据充分，项目管理规范；绩效执行进度达到预期，与预算匹配；项目完成效果好，实施后达到了预期目的，能反映部门年度职责履行情况。遵守财务管理制度以及有关项目资金管理办法的规定，确保资金效益得到充分发挥。具体如下。</w:t>
      </w:r>
    </w:p>
    <w:p w14:paraId="52582E8B">
      <w:pPr>
        <w:pStyle w:val="25"/>
        <w:pageBreakBefore w:val="0"/>
        <w:widowControl w:val="0"/>
        <w:kinsoku/>
        <w:wordWrap/>
        <w:overflowPunct/>
        <w:topLinePunct w:val="0"/>
        <w:autoSpaceDE/>
        <w:autoSpaceDN/>
        <w:bidi w:val="0"/>
        <w:spacing w:before="0" w:after="0" w:line="576" w:lineRule="exact"/>
        <w:ind w:firstLine="640" w:firstLineChars="200"/>
        <w:jc w:val="both"/>
        <w:textAlignment w:val="auto"/>
        <w:rPr>
          <w:rFonts w:hint="eastAsia" w:ascii="仿宋_GB2312" w:hAnsi="仿宋_GB2312" w:eastAsia="仿宋_GB2312" w:cs="仿宋_GB2312"/>
          <w:b w:val="0"/>
          <w:bCs/>
          <w:sz w:val="32"/>
          <w:szCs w:val="32"/>
        </w:rPr>
      </w:pPr>
      <w:r>
        <w:rPr>
          <w:rFonts w:hint="eastAsia" w:ascii="微软雅黑" w:hAnsi="微软雅黑" w:eastAsia="微软雅黑" w:cs="微软雅黑"/>
          <w:b/>
          <w:bCs w:val="0"/>
          <w:sz w:val="32"/>
          <w:szCs w:val="32"/>
        </w:rPr>
        <w:t>①</w:t>
      </w:r>
      <w:r>
        <w:rPr>
          <w:rFonts w:hint="eastAsia" w:ascii="仿宋_GB2312" w:hAnsi="仿宋_GB2312" w:eastAsia="仿宋_GB2312" w:cs="仿宋_GB2312"/>
          <w:b/>
          <w:bCs w:val="0"/>
          <w:sz w:val="32"/>
          <w:szCs w:val="32"/>
        </w:rPr>
        <w:t>向上争取资金项目完成情况：</w:t>
      </w:r>
      <w:r>
        <w:rPr>
          <w:rFonts w:hint="eastAsia" w:ascii="仿宋_GB2312" w:hAnsi="仿宋_GB2312" w:eastAsia="仿宋_GB2312" w:cs="仿宋_GB2312"/>
          <w:b w:val="0"/>
          <w:bCs/>
          <w:kern w:val="2"/>
          <w:sz w:val="32"/>
          <w:szCs w:val="32"/>
          <w:lang w:val="zh-CN" w:eastAsia="zh-CN" w:bidi="ar-SA"/>
        </w:rPr>
        <w:t>全年预算50万元，实际支付50万元，执行率100%。全年到部级、省级部门衔接3次，完成向上争取资金4.5亿元，入库4.5亿元，超额完成政府下达的目标任务。增加了政府收益，促进我市的经济发展。</w:t>
      </w:r>
    </w:p>
    <w:p w14:paraId="734D3213">
      <w:pPr>
        <w:pageBreakBefore w:val="0"/>
        <w:widowControl w:val="0"/>
        <w:kinsoku/>
        <w:wordWrap/>
        <w:overflowPunct/>
        <w:topLinePunct w:val="0"/>
        <w:autoSpaceDE/>
        <w:autoSpaceDN/>
        <w:bidi w:val="0"/>
        <w:spacing w:line="576" w:lineRule="exact"/>
        <w:ind w:firstLine="640" w:firstLineChars="200"/>
        <w:jc w:val="both"/>
        <w:textAlignment w:val="auto"/>
        <w:rPr>
          <w:rFonts w:hint="eastAsia" w:ascii="仿宋_GB2312" w:hAnsi="仿宋_GB2312" w:eastAsia="仿宋_GB2312" w:cs="仿宋_GB2312"/>
          <w:b w:val="0"/>
          <w:bCs/>
          <w:sz w:val="32"/>
          <w:szCs w:val="32"/>
          <w:lang w:val="zh-CN"/>
        </w:rPr>
      </w:pPr>
      <w:r>
        <w:rPr>
          <w:rFonts w:hint="eastAsia" w:ascii="微软雅黑" w:hAnsi="微软雅黑" w:eastAsia="微软雅黑" w:cs="微软雅黑"/>
          <w:b/>
          <w:bCs w:val="0"/>
          <w:sz w:val="32"/>
          <w:szCs w:val="32"/>
        </w:rPr>
        <w:t>②</w:t>
      </w:r>
      <w:r>
        <w:rPr>
          <w:rFonts w:hint="eastAsia" w:ascii="仿宋_GB2312" w:hAnsi="仿宋_GB2312" w:eastAsia="仿宋_GB2312" w:cs="仿宋_GB2312"/>
          <w:b/>
          <w:bCs w:val="0"/>
          <w:sz w:val="32"/>
          <w:szCs w:val="32"/>
        </w:rPr>
        <w:t>2021年度广元市重点区域自然资源统一确权登记项目完成情况：</w:t>
      </w:r>
      <w:r>
        <w:rPr>
          <w:rFonts w:hint="eastAsia" w:ascii="仿宋_GB2312" w:hAnsi="仿宋_GB2312" w:eastAsia="仿宋_GB2312" w:cs="仿宋_GB2312"/>
          <w:b w:val="0"/>
          <w:bCs/>
          <w:sz w:val="32"/>
          <w:szCs w:val="32"/>
          <w:lang w:val="zh-CN"/>
        </w:rPr>
        <w:t>该项目属于以前年度项目，</w:t>
      </w:r>
      <w:r>
        <w:rPr>
          <w:rFonts w:hint="eastAsia" w:ascii="仿宋_GB2312" w:hAnsi="仿宋_GB2312" w:eastAsia="仿宋_GB2312" w:cs="仿宋_GB2312"/>
          <w:b w:val="0"/>
          <w:bCs/>
          <w:sz w:val="32"/>
          <w:szCs w:val="32"/>
          <w:lang w:val="en-US" w:eastAsia="zh-CN"/>
        </w:rPr>
        <w:t>2021年财政下达项目资金100万元，同年支付84.56万元，由于拨款已满两年，项目尾款15.44万元财政于2023年1月收回作为存量资金管理。2023年，按照项目合同约定需支付尾款。我局特申请拨回款项15.44万元用于支付项目尾款和调查监测和不动产登记培训，2023年7月财政</w:t>
      </w:r>
      <w:r>
        <w:rPr>
          <w:rFonts w:hint="eastAsia" w:ascii="仿宋_GB2312" w:hAnsi="仿宋_GB2312" w:eastAsia="仿宋_GB2312" w:cs="仿宋_GB2312"/>
          <w:b w:val="0"/>
          <w:bCs/>
          <w:sz w:val="32"/>
          <w:szCs w:val="32"/>
          <w:lang w:val="zh-CN"/>
        </w:rPr>
        <w:t>财政用存量资金安排15.44万元，实际执行15.44万元，执行率100%。完成2021年度广元市重点区域自然资源确权登记尾款，组织全市自然资源系统217人参加2023年度调查监测暨自然资源不动产确权登记</w:t>
      </w:r>
      <w:r>
        <w:rPr>
          <w:rFonts w:hint="eastAsia" w:ascii="仿宋_GB2312" w:hAnsi="仿宋_GB2312" w:eastAsia="仿宋_GB2312" w:cs="仿宋_GB2312"/>
          <w:b w:val="0"/>
          <w:bCs/>
          <w:sz w:val="32"/>
          <w:szCs w:val="32"/>
          <w:lang w:val="en-US" w:eastAsia="zh-CN"/>
        </w:rPr>
        <w:t>培训，共计</w:t>
      </w:r>
      <w:r>
        <w:rPr>
          <w:rFonts w:hint="eastAsia" w:ascii="仿宋_GB2312" w:hAnsi="仿宋_GB2312" w:eastAsia="仿宋_GB2312" w:cs="仿宋_GB2312"/>
          <w:b w:val="0"/>
          <w:bCs/>
          <w:sz w:val="32"/>
          <w:szCs w:val="32"/>
          <w:lang w:val="zh-CN"/>
        </w:rPr>
        <w:t>2天。</w:t>
      </w:r>
      <w:r>
        <w:rPr>
          <w:rFonts w:hint="eastAsia" w:ascii="仿宋_GB2312" w:hAnsi="仿宋_GB2312" w:eastAsia="仿宋_GB2312" w:cs="仿宋_GB2312"/>
          <w:b w:val="0"/>
          <w:bCs/>
          <w:sz w:val="32"/>
          <w:szCs w:val="32"/>
          <w:lang w:val="en-US" w:eastAsia="zh-CN"/>
        </w:rPr>
        <w:t>通过项目的实施，</w:t>
      </w:r>
      <w:r>
        <w:rPr>
          <w:rFonts w:hint="eastAsia" w:ascii="仿宋_GB2312" w:hAnsi="仿宋_GB2312" w:eastAsia="仿宋_GB2312" w:cs="仿宋_GB2312"/>
          <w:b w:val="0"/>
          <w:bCs/>
          <w:sz w:val="32"/>
          <w:szCs w:val="32"/>
          <w:lang w:val="zh-CN"/>
        </w:rPr>
        <w:t>优化了营商环境，促进自然资源各项工作</w:t>
      </w:r>
      <w:r>
        <w:rPr>
          <w:rFonts w:hint="eastAsia" w:ascii="仿宋_GB2312" w:hAnsi="仿宋_GB2312" w:eastAsia="仿宋_GB2312" w:cs="仿宋_GB2312"/>
          <w:b w:val="0"/>
          <w:bCs/>
          <w:sz w:val="32"/>
          <w:szCs w:val="32"/>
          <w:lang w:val="en-US" w:eastAsia="zh-CN"/>
        </w:rPr>
        <w:t>顺利</w:t>
      </w:r>
      <w:r>
        <w:rPr>
          <w:rFonts w:hint="eastAsia" w:ascii="仿宋_GB2312" w:hAnsi="仿宋_GB2312" w:eastAsia="仿宋_GB2312" w:cs="仿宋_GB2312"/>
          <w:b w:val="0"/>
          <w:bCs/>
          <w:sz w:val="32"/>
          <w:szCs w:val="32"/>
          <w:lang w:val="zh-CN"/>
        </w:rPr>
        <w:t>开展。</w:t>
      </w:r>
    </w:p>
    <w:p w14:paraId="01FD28CA">
      <w:pPr>
        <w:pageBreakBefore w:val="0"/>
        <w:widowControl w:val="0"/>
        <w:kinsoku/>
        <w:wordWrap/>
        <w:overflowPunct/>
        <w:topLinePunct w:val="0"/>
        <w:autoSpaceDE/>
        <w:autoSpaceDN/>
        <w:bidi w:val="0"/>
        <w:spacing w:line="576" w:lineRule="exact"/>
        <w:ind w:firstLine="640" w:firstLineChars="200"/>
        <w:jc w:val="both"/>
        <w:textAlignment w:val="auto"/>
        <w:rPr>
          <w:rFonts w:hint="eastAsia" w:ascii="仿宋_GB2312" w:hAnsi="仿宋_GB2312" w:eastAsia="仿宋_GB2312" w:cs="仿宋_GB2312"/>
          <w:b w:val="0"/>
          <w:bCs/>
          <w:sz w:val="32"/>
          <w:szCs w:val="32"/>
          <w:lang w:val="zh-CN"/>
        </w:rPr>
      </w:pPr>
      <w:r>
        <w:rPr>
          <w:rFonts w:hint="eastAsia" w:ascii="微软雅黑" w:hAnsi="微软雅黑" w:eastAsia="微软雅黑" w:cs="微软雅黑"/>
          <w:b/>
          <w:bCs w:val="0"/>
          <w:sz w:val="32"/>
          <w:szCs w:val="32"/>
        </w:rPr>
        <w:t>③</w:t>
      </w:r>
      <w:r>
        <w:rPr>
          <w:rFonts w:hint="eastAsia" w:ascii="仿宋_GB2312" w:hAnsi="仿宋_GB2312" w:eastAsia="仿宋_GB2312" w:cs="仿宋_GB2312"/>
          <w:b/>
          <w:bCs w:val="0"/>
          <w:sz w:val="32"/>
          <w:szCs w:val="32"/>
        </w:rPr>
        <w:t>元山弃土场及配套工程相关费用项目完成情况：</w:t>
      </w:r>
      <w:r>
        <w:rPr>
          <w:rFonts w:hint="eastAsia" w:ascii="仿宋_GB2312" w:hAnsi="仿宋_GB2312" w:eastAsia="仿宋_GB2312" w:cs="仿宋_GB2312"/>
          <w:b w:val="0"/>
          <w:bCs/>
          <w:sz w:val="32"/>
          <w:szCs w:val="32"/>
        </w:rPr>
        <w:t>根据市人</w:t>
      </w:r>
      <w:r>
        <w:rPr>
          <w:rFonts w:hint="eastAsia" w:ascii="仿宋_GB2312" w:hAnsi="仿宋_GB2312" w:eastAsia="仿宋_GB2312" w:cs="仿宋_GB2312"/>
          <w:b w:val="0"/>
          <w:bCs/>
          <w:sz w:val="32"/>
          <w:szCs w:val="32"/>
          <w:lang w:val="zh-CN"/>
        </w:rPr>
        <w:t>民政府办公室《关于进一步加强市城区弃土场建设管理的通知》（广府办函〔2015〕107号）精神，为有效解决市城区工程建设项目弃土堆放和利用问题，防止弃土乱倒引发地质灾害,决定在市中心城区东至大石镇片区，西至三江新区，南至龙潭片区，北至工农镇片区范围内科学规划选址弃土场。</w:t>
      </w:r>
      <w:r>
        <w:rPr>
          <w:rFonts w:hint="eastAsia" w:ascii="仿宋_GB2312" w:hAnsi="仿宋_GB2312" w:eastAsia="仿宋_GB2312" w:cs="仿宋_GB2312"/>
          <w:b w:val="0"/>
          <w:bCs/>
          <w:sz w:val="32"/>
          <w:szCs w:val="32"/>
          <w:lang w:val="en-US" w:eastAsia="zh-CN"/>
        </w:rPr>
        <w:t>该项目由市国成公司具体实施，</w:t>
      </w:r>
      <w:r>
        <w:rPr>
          <w:rFonts w:hint="eastAsia" w:ascii="仿宋_GB2312" w:hAnsi="仿宋_GB2312" w:eastAsia="仿宋_GB2312" w:cs="仿宋_GB2312"/>
          <w:b w:val="0"/>
          <w:bCs/>
          <w:sz w:val="32"/>
          <w:szCs w:val="32"/>
          <w:lang w:val="zh-CN"/>
        </w:rPr>
        <w:t>市财政局于2023年7月下达我局基金预算指标500万元弃土场及配套工程先关费用（广财投[2023]59号，我局于2023年8月支付国成公司500万元专项用于弃土场工程款。</w:t>
      </w:r>
      <w:r>
        <w:rPr>
          <w:rFonts w:hint="eastAsia" w:ascii="仿宋_GB2312" w:hAnsi="仿宋_GB2312" w:eastAsia="仿宋_GB2312" w:cs="仿宋_GB2312"/>
          <w:b w:val="0"/>
          <w:bCs/>
          <w:sz w:val="32"/>
          <w:szCs w:val="32"/>
          <w:lang w:val="en-US" w:eastAsia="zh-CN"/>
        </w:rPr>
        <w:t>通过项目的实施，</w:t>
      </w:r>
      <w:r>
        <w:rPr>
          <w:rFonts w:hint="eastAsia" w:ascii="仿宋_GB2312" w:hAnsi="仿宋_GB2312" w:eastAsia="仿宋_GB2312" w:cs="仿宋_GB2312"/>
          <w:b w:val="0"/>
          <w:bCs/>
          <w:sz w:val="32"/>
          <w:szCs w:val="32"/>
          <w:lang w:val="zh-CN"/>
        </w:rPr>
        <w:t>有效解决市城区工程建设项目弃土堆放和利用问题。</w:t>
      </w:r>
    </w:p>
    <w:p w14:paraId="2F6A7C07">
      <w:pPr>
        <w:pageBreakBefore w:val="0"/>
        <w:widowControl w:val="0"/>
        <w:kinsoku/>
        <w:wordWrap/>
        <w:overflowPunct/>
        <w:topLinePunct w:val="0"/>
        <w:autoSpaceDE/>
        <w:autoSpaceDN/>
        <w:bidi w:val="0"/>
        <w:spacing w:line="576" w:lineRule="exact"/>
        <w:ind w:firstLine="640" w:firstLineChars="200"/>
        <w:jc w:val="both"/>
        <w:textAlignment w:val="auto"/>
        <w:rPr>
          <w:rFonts w:hint="eastAsia" w:ascii="仿宋_GB2312" w:hAnsi="仿宋_GB2312" w:eastAsia="仿宋_GB2312" w:cs="仿宋_GB2312"/>
          <w:b w:val="0"/>
          <w:bCs/>
          <w:sz w:val="32"/>
          <w:szCs w:val="32"/>
          <w:lang w:val="zh-CN"/>
        </w:rPr>
      </w:pPr>
      <w:r>
        <w:rPr>
          <w:rFonts w:hint="eastAsia" w:ascii="微软雅黑" w:hAnsi="微软雅黑" w:eastAsia="微软雅黑" w:cs="微软雅黑"/>
          <w:b/>
          <w:bCs w:val="0"/>
          <w:sz w:val="32"/>
          <w:szCs w:val="32"/>
        </w:rPr>
        <w:t>④</w:t>
      </w:r>
      <w:r>
        <w:rPr>
          <w:rFonts w:hint="eastAsia" w:ascii="仿宋_GB2312" w:hAnsi="仿宋_GB2312" w:eastAsia="仿宋_GB2312" w:cs="仿宋_GB2312"/>
          <w:b/>
          <w:bCs w:val="0"/>
          <w:sz w:val="32"/>
          <w:szCs w:val="32"/>
        </w:rPr>
        <w:t>机房消防设备及OA协同办公系统保障经费项目完成情况：</w:t>
      </w:r>
      <w:r>
        <w:rPr>
          <w:rFonts w:hint="eastAsia" w:ascii="仿宋_GB2312" w:hAnsi="仿宋_GB2312" w:eastAsia="仿宋_GB2312" w:cs="仿宋_GB2312"/>
          <w:b w:val="0"/>
          <w:bCs/>
          <w:sz w:val="32"/>
          <w:szCs w:val="32"/>
          <w:lang w:val="zh-CN"/>
        </w:rPr>
        <w:t>此项目属于跨年度项目，本年度财政拨款31.93万元，实际执行31.93万元，执行率100%。主要完成了106台国产电脑适配，9处OA协同办公系统，更换升级消防设备一套。</w:t>
      </w:r>
      <w:r>
        <w:rPr>
          <w:rFonts w:hint="eastAsia" w:ascii="仿宋_GB2312" w:hAnsi="仿宋_GB2312" w:eastAsia="仿宋_GB2312" w:cs="仿宋_GB2312"/>
          <w:b w:val="0"/>
          <w:bCs/>
          <w:sz w:val="32"/>
          <w:szCs w:val="32"/>
          <w:lang w:val="en-US" w:eastAsia="zh-CN"/>
        </w:rPr>
        <w:t>通过项目的实施，</w:t>
      </w:r>
      <w:r>
        <w:rPr>
          <w:rFonts w:hint="eastAsia" w:ascii="仿宋_GB2312" w:hAnsi="仿宋_GB2312" w:eastAsia="仿宋_GB2312" w:cs="仿宋_GB2312"/>
          <w:b w:val="0"/>
          <w:bCs/>
          <w:sz w:val="32"/>
          <w:szCs w:val="32"/>
          <w:lang w:val="zh-CN"/>
        </w:rPr>
        <w:t>解决当前机房设备设施落后、安全隐患、协同办公系统与国产电脑不适配问题，有效保障了系统公文正常流转和局内人员生命和财产安全。</w:t>
      </w:r>
    </w:p>
    <w:p w14:paraId="2CE33ADA">
      <w:pPr>
        <w:pStyle w:val="25"/>
        <w:pageBreakBefore w:val="0"/>
        <w:widowControl w:val="0"/>
        <w:kinsoku/>
        <w:wordWrap/>
        <w:overflowPunct/>
        <w:topLinePunct w:val="0"/>
        <w:autoSpaceDE/>
        <w:autoSpaceDN/>
        <w:bidi w:val="0"/>
        <w:spacing w:before="0" w:after="0" w:line="576" w:lineRule="exact"/>
        <w:ind w:firstLine="640" w:firstLineChars="200"/>
        <w:jc w:val="both"/>
        <w:textAlignment w:val="auto"/>
        <w:rPr>
          <w:rFonts w:hint="eastAsia" w:ascii="仿宋_GB2312" w:hAnsi="仿宋_GB2312" w:eastAsia="仿宋_GB2312" w:cs="仿宋_GB2312"/>
          <w:b w:val="0"/>
          <w:bCs/>
          <w:kern w:val="2"/>
          <w:sz w:val="32"/>
          <w:szCs w:val="32"/>
          <w:lang w:val="zh-CN" w:eastAsia="zh-CN" w:bidi="ar-SA"/>
        </w:rPr>
      </w:pPr>
      <w:r>
        <w:rPr>
          <w:rFonts w:hint="eastAsia" w:ascii="微软雅黑" w:hAnsi="微软雅黑" w:eastAsia="微软雅黑" w:cs="微软雅黑"/>
          <w:b/>
          <w:bCs w:val="0"/>
          <w:sz w:val="32"/>
          <w:szCs w:val="32"/>
        </w:rPr>
        <w:t>⑤</w:t>
      </w:r>
      <w:r>
        <w:rPr>
          <w:rFonts w:hint="eastAsia" w:ascii="仿宋_GB2312" w:hAnsi="仿宋_GB2312" w:eastAsia="仿宋_GB2312" w:cs="仿宋_GB2312"/>
          <w:b/>
          <w:bCs w:val="0"/>
          <w:sz w:val="32"/>
          <w:szCs w:val="32"/>
        </w:rPr>
        <w:t>自然资源视频会议系统升级项目完成情况：</w:t>
      </w:r>
      <w:r>
        <w:rPr>
          <w:rFonts w:hint="eastAsia" w:ascii="仿宋_GB2312" w:hAnsi="仿宋_GB2312" w:eastAsia="仿宋_GB2312" w:cs="仿宋_GB2312"/>
          <w:b w:val="0"/>
          <w:bCs/>
          <w:kern w:val="2"/>
          <w:sz w:val="32"/>
          <w:szCs w:val="32"/>
          <w:lang w:val="zh-CN" w:eastAsia="zh-CN" w:bidi="ar-SA"/>
        </w:rPr>
        <w:t>全年财政预算38万元，采购中标金额35万元，实际支付35万元，执行率100%。全面完成自然资源视频会议系统升级，</w:t>
      </w:r>
      <w:r>
        <w:rPr>
          <w:rFonts w:hint="eastAsia" w:ascii="仿宋_GB2312" w:hAnsi="仿宋_GB2312" w:eastAsia="仿宋_GB2312" w:cs="仿宋_GB2312"/>
          <w:b w:val="0"/>
          <w:bCs/>
          <w:kern w:val="2"/>
          <w:sz w:val="32"/>
          <w:szCs w:val="32"/>
          <w:lang w:val="en-US" w:eastAsia="zh-CN" w:bidi="ar-SA"/>
        </w:rPr>
        <w:t>全年共报征视频会议135场次，通过项目的实施，</w:t>
      </w:r>
      <w:r>
        <w:rPr>
          <w:rFonts w:hint="eastAsia" w:ascii="仿宋_GB2312" w:hAnsi="仿宋_GB2312" w:eastAsia="仿宋_GB2312" w:cs="仿宋_GB2312"/>
          <w:b w:val="0"/>
          <w:bCs/>
          <w:kern w:val="2"/>
          <w:sz w:val="32"/>
          <w:szCs w:val="32"/>
          <w:lang w:val="zh-CN" w:eastAsia="zh-CN" w:bidi="ar-SA"/>
        </w:rPr>
        <w:t>保障了自然资源部、省自然资源厅、</w:t>
      </w:r>
      <w:r>
        <w:rPr>
          <w:rFonts w:hint="eastAsia" w:ascii="仿宋_GB2312" w:hAnsi="仿宋_GB2312" w:eastAsia="仿宋_GB2312" w:cs="仿宋_GB2312"/>
          <w:b w:val="0"/>
          <w:bCs/>
          <w:kern w:val="2"/>
          <w:sz w:val="32"/>
          <w:szCs w:val="32"/>
          <w:lang w:val="en-US" w:eastAsia="zh-CN" w:bidi="ar-SA"/>
        </w:rPr>
        <w:t>市委、市政府</w:t>
      </w:r>
      <w:r>
        <w:rPr>
          <w:rFonts w:hint="eastAsia" w:ascii="仿宋_GB2312" w:hAnsi="仿宋_GB2312" w:eastAsia="仿宋_GB2312" w:cs="仿宋_GB2312"/>
          <w:b w:val="0"/>
          <w:bCs/>
          <w:kern w:val="2"/>
          <w:sz w:val="32"/>
          <w:szCs w:val="32"/>
          <w:lang w:val="zh-CN" w:eastAsia="zh-CN" w:bidi="ar-SA"/>
        </w:rPr>
        <w:t>等联席视频会议通畅。</w:t>
      </w:r>
    </w:p>
    <w:p w14:paraId="372F56E5">
      <w:pPr>
        <w:pageBreakBefore w:val="0"/>
        <w:widowControl w:val="0"/>
        <w:kinsoku/>
        <w:wordWrap/>
        <w:overflowPunct/>
        <w:topLinePunct w:val="0"/>
        <w:autoSpaceDE/>
        <w:autoSpaceDN/>
        <w:bidi w:val="0"/>
        <w:spacing w:line="576" w:lineRule="exact"/>
        <w:ind w:firstLine="640" w:firstLineChars="200"/>
        <w:jc w:val="both"/>
        <w:textAlignment w:val="auto"/>
        <w:rPr>
          <w:rFonts w:hint="eastAsia" w:ascii="仿宋_GB2312" w:hAnsi="仿宋_GB2312" w:eastAsia="仿宋_GB2312" w:cs="仿宋_GB2312"/>
          <w:b w:val="0"/>
          <w:bCs/>
          <w:sz w:val="32"/>
          <w:szCs w:val="32"/>
          <w:lang w:val="zh-CN"/>
        </w:rPr>
      </w:pPr>
      <w:r>
        <w:rPr>
          <w:rFonts w:hint="eastAsia" w:ascii="微软雅黑" w:hAnsi="微软雅黑" w:eastAsia="微软雅黑" w:cs="微软雅黑"/>
          <w:b/>
          <w:bCs w:val="0"/>
          <w:sz w:val="32"/>
          <w:szCs w:val="32"/>
        </w:rPr>
        <w:t>⑥</w:t>
      </w:r>
      <w:r>
        <w:rPr>
          <w:rFonts w:hint="eastAsia" w:ascii="仿宋_GB2312" w:hAnsi="仿宋_GB2312" w:eastAsia="仿宋_GB2312" w:cs="仿宋_GB2312"/>
          <w:b/>
          <w:bCs w:val="0"/>
          <w:sz w:val="32"/>
          <w:szCs w:val="32"/>
        </w:rPr>
        <w:t>2022年度广元市市本级重点区域自然资源统一确权登记项目完成情况：</w:t>
      </w:r>
      <w:r>
        <w:rPr>
          <w:rFonts w:hint="eastAsia" w:ascii="仿宋_GB2312" w:hAnsi="仿宋_GB2312" w:eastAsia="仿宋_GB2312" w:cs="仿宋_GB2312"/>
          <w:b w:val="0"/>
          <w:bCs/>
          <w:sz w:val="32"/>
          <w:szCs w:val="32"/>
          <w:lang w:val="zh-CN"/>
        </w:rPr>
        <w:t>财政于2023年2月20日下达基金指标300.9万元，其中采购资金278.19万元，职能管理部门工作经费21.9万元。全年实际支付118.9万元，执行率36.2%。2024年1月财政收回181.19万元，待省厅入库后再争取资金支付项目尾款。</w:t>
      </w:r>
      <w:r>
        <w:rPr>
          <w:rFonts w:hint="eastAsia" w:ascii="仿宋_GB2312" w:hAnsi="仿宋_GB2312" w:eastAsia="仿宋_GB2312" w:cs="仿宋_GB2312"/>
          <w:b w:val="0"/>
          <w:bCs/>
          <w:sz w:val="32"/>
          <w:szCs w:val="32"/>
          <w:lang w:val="en-US" w:eastAsia="zh-CN"/>
        </w:rPr>
        <w:t>主要</w:t>
      </w:r>
      <w:r>
        <w:rPr>
          <w:rFonts w:hint="eastAsia" w:ascii="仿宋_GB2312" w:hAnsi="仿宋_GB2312" w:eastAsia="仿宋_GB2312" w:cs="仿宋_GB2312"/>
          <w:b w:val="0"/>
          <w:bCs/>
          <w:sz w:val="32"/>
          <w:szCs w:val="32"/>
          <w:lang w:val="zh-CN"/>
        </w:rPr>
        <w:t>完成</w:t>
      </w:r>
      <w:r>
        <w:rPr>
          <w:rFonts w:hint="eastAsia" w:ascii="仿宋_GB2312" w:hAnsi="仿宋_GB2312" w:eastAsia="仿宋_GB2312" w:cs="仿宋_GB2312"/>
          <w:b w:val="0"/>
          <w:bCs/>
          <w:sz w:val="32"/>
          <w:szCs w:val="32"/>
          <w:lang w:val="en-US" w:eastAsia="zh-CN"/>
        </w:rPr>
        <w:t>了</w:t>
      </w:r>
      <w:r>
        <w:rPr>
          <w:rFonts w:hint="eastAsia" w:ascii="仿宋_GB2312" w:hAnsi="仿宋_GB2312" w:eastAsia="仿宋_GB2312" w:cs="仿宋_GB2312"/>
          <w:b w:val="0"/>
          <w:bCs/>
          <w:sz w:val="32"/>
          <w:szCs w:val="32"/>
          <w:lang w:val="zh-CN"/>
        </w:rPr>
        <w:t>15个重点区域的自然资源统一确权登记。主要成果包括影像成果、数据库成果、图件成果、表格成果、文字报告，目前该项目待省厅入库。</w:t>
      </w:r>
      <w:r>
        <w:rPr>
          <w:rFonts w:hint="eastAsia" w:ascii="仿宋_GB2312" w:hAnsi="仿宋_GB2312" w:eastAsia="仿宋_GB2312" w:cs="仿宋_GB2312"/>
          <w:b w:val="0"/>
          <w:bCs/>
          <w:sz w:val="32"/>
          <w:szCs w:val="32"/>
          <w:lang w:val="en-US" w:eastAsia="zh-CN"/>
        </w:rPr>
        <w:t>通过项目的实施，</w:t>
      </w:r>
      <w:r>
        <w:rPr>
          <w:rFonts w:hint="eastAsia" w:ascii="仿宋_GB2312" w:hAnsi="仿宋_GB2312" w:eastAsia="仿宋_GB2312" w:cs="仿宋_GB2312"/>
          <w:b w:val="0"/>
          <w:bCs/>
          <w:sz w:val="32"/>
          <w:szCs w:val="32"/>
          <w:lang w:val="zh-CN"/>
        </w:rPr>
        <w:t>清晰界定各类自然资源资产的所有权主体；划清全民所有和集体所有之间的边界；划清全民所有、不同层级政府行使所有权的边界；划清不同集体所有者的边界；划清不同类型自然资源之间的边界。推进确权登记法治化，为建立国土空间规划体系并监督实施，统一行使全民所有自然资源资产所有者职责，统一行使所有国土空间用途管制和生态保护修复职责，提供基础支撑和产权保障。</w:t>
      </w:r>
    </w:p>
    <w:p w14:paraId="36F5C7EB">
      <w:pPr>
        <w:pStyle w:val="25"/>
        <w:pageBreakBefore w:val="0"/>
        <w:widowControl w:val="0"/>
        <w:kinsoku/>
        <w:wordWrap/>
        <w:overflowPunct/>
        <w:topLinePunct w:val="0"/>
        <w:autoSpaceDE/>
        <w:autoSpaceDN/>
        <w:bidi w:val="0"/>
        <w:spacing w:before="0" w:after="0" w:line="576" w:lineRule="exact"/>
        <w:ind w:firstLine="640" w:firstLineChars="200"/>
        <w:jc w:val="both"/>
        <w:textAlignment w:val="auto"/>
        <w:rPr>
          <w:rFonts w:hint="eastAsia" w:ascii="仿宋_GB2312" w:hAnsi="仿宋_GB2312" w:eastAsia="仿宋_GB2312" w:cs="仿宋_GB2312"/>
          <w:b w:val="0"/>
          <w:bCs/>
          <w:sz w:val="32"/>
          <w:szCs w:val="32"/>
        </w:rPr>
      </w:pPr>
      <w:r>
        <w:rPr>
          <w:rFonts w:hint="eastAsia" w:ascii="微软雅黑" w:hAnsi="微软雅黑" w:eastAsia="微软雅黑" w:cs="微软雅黑"/>
          <w:b/>
          <w:bCs w:val="0"/>
          <w:sz w:val="32"/>
          <w:szCs w:val="32"/>
        </w:rPr>
        <w:t>⑦</w:t>
      </w:r>
      <w:r>
        <w:rPr>
          <w:rFonts w:hint="eastAsia" w:ascii="仿宋_GB2312" w:hAnsi="仿宋_GB2312" w:eastAsia="仿宋_GB2312" w:cs="仿宋_GB2312"/>
          <w:b/>
          <w:bCs w:val="0"/>
          <w:sz w:val="32"/>
          <w:szCs w:val="32"/>
        </w:rPr>
        <w:t>农村乱占耕地建房问题处置工作经费项目完成情况：</w:t>
      </w:r>
      <w:r>
        <w:rPr>
          <w:rFonts w:hint="eastAsia" w:ascii="仿宋_GB2312" w:hAnsi="仿宋_GB2312" w:eastAsia="仿宋_GB2312" w:cs="仿宋_GB2312"/>
          <w:b w:val="0"/>
          <w:bCs/>
          <w:sz w:val="32"/>
          <w:szCs w:val="32"/>
        </w:rPr>
        <w:t>全年</w:t>
      </w:r>
      <w:r>
        <w:rPr>
          <w:rFonts w:hint="eastAsia" w:ascii="仿宋_GB2312" w:hAnsi="仿宋_GB2312" w:eastAsia="仿宋_GB2312" w:cs="仿宋_GB2312"/>
          <w:b w:val="0"/>
          <w:bCs/>
          <w:kern w:val="2"/>
          <w:sz w:val="32"/>
          <w:szCs w:val="32"/>
          <w:lang w:val="zh-CN" w:eastAsia="zh-CN" w:bidi="ar-SA"/>
        </w:rPr>
        <w:t>预算25万元，实际支付25万元，执行率100%。完成农村乱占耕地建房问题补充摸排图斑市级核查226368个，完成存量问题整改工作，其中：整改完成25宗，12宗已拆除复垦，9宗已取得用地手续，4宗已部分拆除复垦、部分完善用地手续；剩余3宗正在整改中，其中，2宗位于剑阁县，1宗位于昭化区。</w:t>
      </w:r>
      <w:r>
        <w:rPr>
          <w:rFonts w:hint="eastAsia" w:ascii="仿宋_GB2312" w:hAnsi="仿宋_GB2312" w:eastAsia="仿宋_GB2312" w:cs="仿宋_GB2312"/>
          <w:b w:val="0"/>
          <w:bCs/>
          <w:kern w:val="2"/>
          <w:sz w:val="32"/>
          <w:szCs w:val="32"/>
          <w:lang w:val="en-US" w:eastAsia="zh-CN" w:bidi="ar-SA"/>
        </w:rPr>
        <w:t>通过项目的实施，</w:t>
      </w:r>
      <w:r>
        <w:rPr>
          <w:rFonts w:hint="eastAsia" w:ascii="仿宋_GB2312" w:hAnsi="仿宋_GB2312" w:eastAsia="仿宋_GB2312" w:cs="仿宋_GB2312"/>
          <w:b w:val="0"/>
          <w:bCs/>
          <w:kern w:val="2"/>
          <w:sz w:val="32"/>
          <w:szCs w:val="32"/>
          <w:lang w:val="zh-CN" w:eastAsia="zh-CN" w:bidi="ar-SA"/>
        </w:rPr>
        <w:t>促进生态文明建设和保护耕地，保障粮食安全。</w:t>
      </w:r>
    </w:p>
    <w:p w14:paraId="7935DDE1">
      <w:pPr>
        <w:pageBreakBefore w:val="0"/>
        <w:widowControl w:val="0"/>
        <w:kinsoku/>
        <w:wordWrap/>
        <w:overflowPunct/>
        <w:topLinePunct w:val="0"/>
        <w:autoSpaceDE/>
        <w:autoSpaceDN/>
        <w:bidi w:val="0"/>
        <w:spacing w:line="576" w:lineRule="exact"/>
        <w:ind w:firstLine="640" w:firstLineChars="200"/>
        <w:jc w:val="both"/>
        <w:textAlignment w:val="auto"/>
        <w:rPr>
          <w:rFonts w:hint="default" w:ascii="仿宋_GB2312" w:hAnsi="仿宋_GB2312" w:eastAsia="仿宋_GB2312" w:cs="仿宋_GB2312"/>
          <w:b w:val="0"/>
          <w:bCs/>
          <w:sz w:val="32"/>
          <w:szCs w:val="32"/>
          <w:lang w:val="en-US" w:eastAsia="zh-CN"/>
        </w:rPr>
      </w:pPr>
      <w:r>
        <w:rPr>
          <w:rFonts w:hint="eastAsia" w:ascii="微软雅黑" w:hAnsi="微软雅黑" w:eastAsia="微软雅黑" w:cs="微软雅黑"/>
          <w:b/>
          <w:bCs w:val="0"/>
          <w:sz w:val="32"/>
          <w:szCs w:val="32"/>
        </w:rPr>
        <w:t>⑧</w:t>
      </w:r>
      <w:r>
        <w:rPr>
          <w:rFonts w:hint="eastAsia" w:ascii="仿宋_GB2312" w:hAnsi="仿宋_GB2312" w:eastAsia="仿宋_GB2312" w:cs="仿宋_GB2312"/>
          <w:b/>
          <w:bCs w:val="0"/>
          <w:sz w:val="32"/>
          <w:szCs w:val="32"/>
        </w:rPr>
        <w:t>矿业权管理专项业务、矿山储量评审、矿业权开采信息公示项目完成情况：</w:t>
      </w:r>
      <w:r>
        <w:rPr>
          <w:rFonts w:hint="eastAsia" w:ascii="仿宋_GB2312" w:hAnsi="仿宋_GB2312" w:eastAsia="仿宋_GB2312" w:cs="仿宋_GB2312"/>
          <w:b w:val="0"/>
          <w:bCs/>
          <w:sz w:val="32"/>
          <w:szCs w:val="32"/>
          <w:lang w:val="zh-CN"/>
        </w:rPr>
        <w:t>全年预算15万元，实际支付15万元，执行率100%。主要完成《广元市矿产资源总体规划（2021-2025 年）》及各县（区）规划，均已批准实施。积极开展全市矿产资源调查工作，充分发挥石英砂、钒矿、锰矿等矿产资源优势，加快实现从资源产出地向产业崛起地转变，招商引资4个，投资规模266亿元。</w:t>
      </w:r>
      <w:r>
        <w:rPr>
          <w:rFonts w:hint="eastAsia" w:ascii="仿宋_GB2312" w:hAnsi="仿宋_GB2312" w:eastAsia="仿宋_GB2312" w:cs="仿宋_GB2312"/>
          <w:b w:val="0"/>
          <w:bCs/>
          <w:sz w:val="32"/>
          <w:szCs w:val="32"/>
          <w:lang w:val="en-US" w:eastAsia="zh-CN"/>
        </w:rPr>
        <w:t>坚持推动绿色可持续发展，健全生态修复体系，印发实施《广元市国土空间生态修复规划（2021-2023年）》。深入开展矿山生态修复问题排查整治专项行动、历史遗留矿山生态修复项目“回头看”、生态保护红线内矿业权退出等工作，积极探索历史遗留废弃矿山生态修复与补充耕地相结合。我局在全市生态环境保护大会上作交流发言。</w:t>
      </w:r>
      <w:r>
        <w:rPr>
          <w:rFonts w:hint="eastAsia" w:ascii="仿宋_GB2312" w:hAnsi="仿宋_GB2312" w:eastAsia="仿宋_GB2312" w:cs="仿宋_GB2312"/>
          <w:b w:val="0"/>
          <w:bCs/>
          <w:sz w:val="32"/>
          <w:szCs w:val="32"/>
          <w:lang w:val="zh-CN"/>
        </w:rPr>
        <w:t>全年开展储量核实4次，提交《储量核实》《矿业权出让收益评估》报告各2份，完成矿业权开采信息公</w:t>
      </w:r>
      <w:r>
        <w:rPr>
          <w:rFonts w:hint="eastAsia" w:ascii="仿宋_GB2312" w:hAnsi="仿宋_GB2312" w:eastAsia="仿宋_GB2312" w:cs="仿宋_GB2312"/>
          <w:b w:val="0"/>
          <w:bCs/>
          <w:sz w:val="32"/>
          <w:szCs w:val="32"/>
          <w:lang w:val="en-US" w:eastAsia="zh-CN"/>
        </w:rPr>
        <w:t>示1次</w:t>
      </w:r>
      <w:r>
        <w:rPr>
          <w:rFonts w:hint="eastAsia" w:ascii="仿宋_GB2312" w:hAnsi="仿宋_GB2312" w:eastAsia="仿宋_GB2312" w:cs="仿宋_GB2312"/>
          <w:b w:val="0"/>
          <w:bCs/>
          <w:sz w:val="32"/>
          <w:szCs w:val="32"/>
          <w:lang w:val="zh-CN"/>
        </w:rPr>
        <w:t>。</w:t>
      </w:r>
      <w:r>
        <w:rPr>
          <w:rFonts w:hint="eastAsia" w:ascii="仿宋_GB2312" w:hAnsi="仿宋_GB2312" w:eastAsia="仿宋_GB2312" w:cs="仿宋_GB2312"/>
          <w:b w:val="0"/>
          <w:bCs/>
          <w:sz w:val="32"/>
          <w:szCs w:val="32"/>
          <w:lang w:val="en-US" w:eastAsia="zh-CN"/>
        </w:rPr>
        <w:t>通过项目的实施，启动全市自然资源系统“矿产资源管理规范年”活动，推动矿产资源保障提质，规范矿业权审批，全程监管矿区日常行为。</w:t>
      </w:r>
    </w:p>
    <w:p w14:paraId="029D616F">
      <w:pPr>
        <w:pStyle w:val="25"/>
        <w:pageBreakBefore w:val="0"/>
        <w:widowControl w:val="0"/>
        <w:kinsoku/>
        <w:wordWrap/>
        <w:overflowPunct/>
        <w:topLinePunct w:val="0"/>
        <w:autoSpaceDE/>
        <w:autoSpaceDN/>
        <w:bidi w:val="0"/>
        <w:spacing w:before="0" w:after="0" w:line="576" w:lineRule="exact"/>
        <w:ind w:firstLine="640" w:firstLineChars="200"/>
        <w:jc w:val="both"/>
        <w:textAlignment w:val="auto"/>
        <w:rPr>
          <w:rFonts w:hint="eastAsia" w:ascii="仿宋_GB2312" w:hAnsi="仿宋_GB2312" w:eastAsia="仿宋_GB2312" w:cs="仿宋_GB2312"/>
          <w:b w:val="0"/>
          <w:bCs/>
          <w:kern w:val="2"/>
          <w:sz w:val="32"/>
          <w:szCs w:val="32"/>
          <w:lang w:val="zh-CN" w:eastAsia="zh-CN" w:bidi="ar-SA"/>
        </w:rPr>
      </w:pPr>
      <w:r>
        <w:rPr>
          <w:rFonts w:hint="eastAsia" w:ascii="微软雅黑" w:hAnsi="微软雅黑" w:eastAsia="微软雅黑" w:cs="微软雅黑"/>
          <w:b/>
          <w:bCs w:val="0"/>
          <w:sz w:val="32"/>
          <w:szCs w:val="32"/>
        </w:rPr>
        <w:t>⑨</w:t>
      </w:r>
      <w:r>
        <w:rPr>
          <w:rFonts w:hint="eastAsia" w:ascii="仿宋_GB2312" w:hAnsi="仿宋_GB2312" w:eastAsia="仿宋_GB2312" w:cs="仿宋_GB2312"/>
          <w:b/>
          <w:bCs w:val="0"/>
          <w:sz w:val="32"/>
          <w:szCs w:val="32"/>
        </w:rPr>
        <w:t>财务收支内部审计、局移交档案整理、职称评审、公开招聘、选调面试工作项目完成情况：</w:t>
      </w:r>
      <w:r>
        <w:rPr>
          <w:rFonts w:hint="eastAsia" w:ascii="仿宋_GB2312" w:hAnsi="仿宋_GB2312" w:eastAsia="仿宋_GB2312" w:cs="仿宋_GB2312"/>
          <w:b w:val="0"/>
          <w:bCs/>
          <w:sz w:val="32"/>
          <w:szCs w:val="32"/>
        </w:rPr>
        <w:t>全</w:t>
      </w:r>
      <w:r>
        <w:rPr>
          <w:rFonts w:hint="eastAsia" w:ascii="仿宋_GB2312" w:hAnsi="仿宋_GB2312" w:eastAsia="仿宋_GB2312" w:cs="仿宋_GB2312"/>
          <w:b w:val="0"/>
          <w:bCs/>
          <w:kern w:val="2"/>
          <w:sz w:val="32"/>
          <w:szCs w:val="32"/>
          <w:lang w:val="zh-CN" w:eastAsia="zh-CN" w:bidi="ar-SA"/>
        </w:rPr>
        <w:t>年预算5万元，实际支付5万元，执行率100%。主要完成职称评审1次、引进人才面试1次、公开选调面试2次，完成2000-2010年文书等各门类档案进馆工作。通过项目的实施，有效提高自然资源人才队伍建设，保障自然资源管理高效运行。</w:t>
      </w:r>
    </w:p>
    <w:p w14:paraId="7EC1347F">
      <w:pPr>
        <w:pageBreakBefore w:val="0"/>
        <w:widowControl w:val="0"/>
        <w:kinsoku/>
        <w:wordWrap/>
        <w:overflowPunct/>
        <w:topLinePunct w:val="0"/>
        <w:autoSpaceDE/>
        <w:autoSpaceDN/>
        <w:bidi w:val="0"/>
        <w:spacing w:line="576" w:lineRule="exact"/>
        <w:ind w:firstLine="640" w:firstLineChars="200"/>
        <w:jc w:val="both"/>
        <w:textAlignment w:val="auto"/>
        <w:rPr>
          <w:rFonts w:hint="eastAsia" w:ascii="仿宋_GB2312" w:hAnsi="仿宋_GB2312" w:eastAsia="仿宋_GB2312" w:cs="仿宋_GB2312"/>
          <w:b w:val="0"/>
          <w:bCs/>
          <w:sz w:val="32"/>
          <w:szCs w:val="32"/>
          <w:lang w:val="zh-CN"/>
        </w:rPr>
      </w:pPr>
      <w:r>
        <w:rPr>
          <w:rFonts w:hint="eastAsia" w:ascii="微软雅黑" w:hAnsi="微软雅黑" w:eastAsia="微软雅黑" w:cs="微软雅黑"/>
          <w:b/>
          <w:bCs w:val="0"/>
          <w:sz w:val="32"/>
          <w:szCs w:val="32"/>
        </w:rPr>
        <w:t>⑩</w:t>
      </w:r>
      <w:r>
        <w:rPr>
          <w:rFonts w:hint="eastAsia" w:ascii="仿宋_GB2312" w:hAnsi="仿宋_GB2312" w:eastAsia="仿宋_GB2312" w:cs="仿宋_GB2312"/>
          <w:b/>
          <w:bCs w:val="0"/>
          <w:sz w:val="32"/>
          <w:szCs w:val="32"/>
        </w:rPr>
        <w:t>自然资源信息化运行维护项目完成情况：</w:t>
      </w:r>
      <w:r>
        <w:rPr>
          <w:rFonts w:hint="eastAsia" w:ascii="仿宋_GB2312" w:hAnsi="仿宋_GB2312" w:eastAsia="仿宋_GB2312" w:cs="仿宋_GB2312"/>
          <w:b w:val="0"/>
          <w:bCs/>
          <w:sz w:val="32"/>
          <w:szCs w:val="32"/>
          <w:lang w:val="zh-CN"/>
        </w:rPr>
        <w:t>全年预算8.6万元，实际支付8.6万元，执行率100%。</w:t>
      </w:r>
      <w:r>
        <w:rPr>
          <w:rFonts w:hint="eastAsia" w:ascii="仿宋_GB2312" w:hAnsi="仿宋_GB2312" w:eastAsia="仿宋_GB2312" w:cs="仿宋_GB2312"/>
          <w:b w:val="0"/>
          <w:bCs/>
          <w:sz w:val="32"/>
          <w:szCs w:val="32"/>
          <w:lang w:val="en-US" w:eastAsia="zh-CN"/>
        </w:rPr>
        <w:t>主要</w:t>
      </w:r>
      <w:r>
        <w:rPr>
          <w:rFonts w:hint="eastAsia" w:ascii="仿宋_GB2312" w:hAnsi="仿宋_GB2312" w:eastAsia="仿宋_GB2312" w:cs="仿宋_GB2312"/>
          <w:b w:val="0"/>
          <w:bCs/>
          <w:sz w:val="32"/>
          <w:szCs w:val="32"/>
          <w:lang w:val="zh-CN"/>
        </w:rPr>
        <w:t>完成机房维护70余次，办公信息化设备维护265次，保障视频会议153次左右，门户网站信息发布1573条左右，大屏信息发布60次左右。通过项目的实施，保证了局内办公设备的正常运行，保障自然资源管理高效运转。</w:t>
      </w:r>
    </w:p>
    <w:p w14:paraId="11F975EA">
      <w:pPr>
        <w:pStyle w:val="25"/>
        <w:pageBreakBefore w:val="0"/>
        <w:widowControl w:val="0"/>
        <w:kinsoku/>
        <w:wordWrap/>
        <w:overflowPunct/>
        <w:topLinePunct w:val="0"/>
        <w:autoSpaceDE/>
        <w:autoSpaceDN/>
        <w:bidi w:val="0"/>
        <w:spacing w:before="0" w:after="0" w:line="576" w:lineRule="exact"/>
        <w:ind w:firstLine="640" w:firstLineChars="200"/>
        <w:jc w:val="both"/>
        <w:textAlignment w:val="auto"/>
        <w:rPr>
          <w:rFonts w:hint="eastAsia" w:ascii="仿宋_GB2312" w:hAnsi="仿宋_GB2312" w:eastAsia="仿宋_GB2312" w:cs="仿宋_GB2312"/>
          <w:b w:val="0"/>
          <w:bCs/>
          <w:kern w:val="2"/>
          <w:sz w:val="32"/>
          <w:szCs w:val="32"/>
          <w:lang w:val="zh-CN" w:eastAsia="zh-CN" w:bidi="ar-SA"/>
        </w:rPr>
      </w:pPr>
      <w:r>
        <w:rPr>
          <w:rFonts w:hint="eastAsia" w:ascii="微软雅黑" w:hAnsi="微软雅黑" w:eastAsia="微软雅黑" w:cs="微软雅黑"/>
          <w:b/>
          <w:bCs w:val="0"/>
          <w:sz w:val="32"/>
          <w:szCs w:val="32"/>
        </w:rPr>
        <w:t>⑪</w:t>
      </w:r>
      <w:r>
        <w:rPr>
          <w:rFonts w:hint="eastAsia" w:ascii="仿宋_GB2312" w:hAnsi="仿宋_GB2312" w:eastAsia="仿宋_GB2312" w:cs="仿宋_GB2312"/>
          <w:b/>
          <w:bCs w:val="0"/>
          <w:sz w:val="32"/>
          <w:szCs w:val="32"/>
        </w:rPr>
        <w:t>卫片执法及违法案件查处、动态巡查工作项目完成情况：</w:t>
      </w:r>
      <w:r>
        <w:rPr>
          <w:rFonts w:hint="eastAsia" w:ascii="仿宋_GB2312" w:hAnsi="仿宋_GB2312" w:eastAsia="仿宋_GB2312" w:cs="仿宋_GB2312"/>
          <w:b w:val="0"/>
          <w:bCs/>
          <w:kern w:val="2"/>
          <w:sz w:val="32"/>
          <w:szCs w:val="32"/>
          <w:lang w:val="zh-CN" w:eastAsia="zh-CN" w:bidi="ar-SA"/>
        </w:rPr>
        <w:t>全年预算16.2万元，实际支付16.2万元，执行率100%。一是核查了我市2023年土地卫片图斑3345个和矿产卫片图斑39个；二是核查省级执法月度自主监测（综合动态监测）15768个。三是全市共完成2018-2021年存量违法用地整改241个，整改面积7521.93亩，完成2022年卫片发现问题整改85个，面积818.94亩。四是全市共立案查处自然资源违法案件74件，其中土地违法案件61件，涉及土地面积906.83亩，其中耕地面积355.37亩，收缴罚没款7194.08万元。矿产类违法案件11件，没收矿产品5907吨，收缴罚没款59.16万元，追缴矿产资源收益159.03万元。测绘类案件1件，地灾防治类案件1件。移送司法机关2件，移送纪检监察机关追责问责24人。通过该项目的实施，卫片执法成果将为“自然资源离任审计”“土地管理水平综合评估”“自然资源节约集约示范县（市）创建”“全域土地综合整治试点实施”“粮食安全党政同责”等多项考核评估工作提供相关监测指标和数据成果，进一步提高卫片执法工作效用。</w:t>
      </w:r>
    </w:p>
    <w:p w14:paraId="2E4F6299">
      <w:pPr>
        <w:pageBreakBefore w:val="0"/>
        <w:widowControl w:val="0"/>
        <w:kinsoku/>
        <w:wordWrap/>
        <w:overflowPunct/>
        <w:topLinePunct w:val="0"/>
        <w:autoSpaceDE/>
        <w:autoSpaceDN/>
        <w:bidi w:val="0"/>
        <w:spacing w:line="576" w:lineRule="exact"/>
        <w:ind w:firstLine="640" w:firstLineChars="200"/>
        <w:jc w:val="both"/>
        <w:textAlignment w:val="auto"/>
        <w:rPr>
          <w:rFonts w:hint="eastAsia" w:ascii="仿宋_GB2312" w:hAnsi="仿宋_GB2312" w:eastAsia="仿宋_GB2312" w:cs="仿宋_GB2312"/>
          <w:b w:val="0"/>
          <w:bCs/>
          <w:sz w:val="32"/>
          <w:szCs w:val="32"/>
          <w:lang w:val="zh-CN"/>
        </w:rPr>
      </w:pPr>
      <w:r>
        <w:rPr>
          <w:rFonts w:hint="eastAsia" w:ascii="微软雅黑" w:hAnsi="微软雅黑" w:eastAsia="微软雅黑" w:cs="微软雅黑"/>
          <w:b/>
          <w:bCs w:val="0"/>
          <w:sz w:val="32"/>
          <w:szCs w:val="32"/>
        </w:rPr>
        <w:t>⑫</w:t>
      </w:r>
      <w:r>
        <w:rPr>
          <w:rFonts w:hint="eastAsia" w:ascii="仿宋_GB2312" w:hAnsi="仿宋_GB2312" w:eastAsia="仿宋_GB2312" w:cs="仿宋_GB2312"/>
          <w:b/>
          <w:bCs w:val="0"/>
          <w:sz w:val="32"/>
          <w:szCs w:val="32"/>
        </w:rPr>
        <w:t>地质灾害防治工作项目完成情况：</w:t>
      </w:r>
      <w:r>
        <w:rPr>
          <w:rFonts w:hint="eastAsia" w:ascii="仿宋_GB2312" w:hAnsi="仿宋_GB2312" w:eastAsia="仿宋_GB2312" w:cs="仿宋_GB2312"/>
          <w:b w:val="0"/>
          <w:bCs/>
          <w:sz w:val="32"/>
          <w:szCs w:val="32"/>
          <w:lang w:val="zh-CN"/>
        </w:rPr>
        <w:t>全年预算25万元，实际支付25万元，执行率100%。一是全面排查隐患：共排查隐患点位1.4万余处(次)、在建工程2102处(次)。二是精准监测预警。全市1526套监测设备实时监测611处隐患点变化情况。市县(区)及时发布地灾气象风险预警135次、预警信息71078条</w:t>
      </w:r>
      <w:r>
        <w:rPr>
          <w:rFonts w:hint="eastAsia" w:ascii="仿宋_GB2312" w:hAnsi="仿宋_GB2312" w:eastAsia="仿宋_GB2312" w:cs="仿宋_GB2312"/>
          <w:b w:val="0"/>
          <w:bCs/>
          <w:sz w:val="32"/>
          <w:szCs w:val="32"/>
        </w:rPr>
        <w:t>。</w:t>
      </w:r>
      <w:r>
        <w:rPr>
          <w:rFonts w:hint="eastAsia" w:ascii="仿宋_GB2312" w:hAnsi="仿宋_GB2312" w:eastAsia="仿宋_GB2312" w:cs="仿宋_GB2312"/>
          <w:b w:val="0"/>
          <w:bCs/>
          <w:sz w:val="32"/>
          <w:szCs w:val="32"/>
          <w:lang w:val="zh-CN"/>
        </w:rPr>
        <w:t>三是突出培训演练。累计培训100余场次、6.7万余人次，演练3961场次、参与演练5.7万余人次。四是果断避险转移，累计避险转移8892户26531人(次)，</w:t>
      </w:r>
      <w:r>
        <w:rPr>
          <w:rFonts w:hint="eastAsia" w:ascii="仿宋_GB2312" w:hAnsi="仿宋_GB2312" w:eastAsia="仿宋_GB2312" w:cs="仿宋_GB2312"/>
          <w:b w:val="0"/>
          <w:bCs/>
          <w:sz w:val="32"/>
          <w:szCs w:val="32"/>
          <w:lang w:val="en-US" w:eastAsia="zh-CN"/>
        </w:rPr>
        <w:t>通过项目的实施，消除了地质灾害隐患，实施区域群众防灾减灾参与度、受益群众满意度均达90%以上，成功实现连续十五年地灾隐患点“零伤亡”。</w:t>
      </w:r>
    </w:p>
    <w:p w14:paraId="73B7D259">
      <w:pPr>
        <w:pStyle w:val="25"/>
        <w:pageBreakBefore w:val="0"/>
        <w:widowControl w:val="0"/>
        <w:kinsoku/>
        <w:wordWrap/>
        <w:overflowPunct/>
        <w:topLinePunct w:val="0"/>
        <w:autoSpaceDE/>
        <w:autoSpaceDN/>
        <w:bidi w:val="0"/>
        <w:spacing w:before="0" w:after="0" w:line="576" w:lineRule="exact"/>
        <w:ind w:firstLine="640" w:firstLineChars="200"/>
        <w:jc w:val="both"/>
        <w:textAlignment w:val="auto"/>
        <w:rPr>
          <w:rFonts w:hint="eastAsia" w:ascii="仿宋_GB2312" w:hAnsi="仿宋_GB2312" w:eastAsia="仿宋_GB2312" w:cs="仿宋_GB2312"/>
          <w:b w:val="0"/>
          <w:bCs/>
          <w:kern w:val="2"/>
          <w:sz w:val="32"/>
          <w:szCs w:val="32"/>
          <w:lang w:val="zh-CN" w:eastAsia="zh-CN" w:bidi="ar-SA"/>
        </w:rPr>
      </w:pPr>
      <w:r>
        <w:rPr>
          <w:rFonts w:hint="eastAsia" w:ascii="微软雅黑" w:hAnsi="微软雅黑" w:eastAsia="微软雅黑" w:cs="微软雅黑"/>
          <w:b/>
          <w:bCs w:val="0"/>
          <w:sz w:val="32"/>
          <w:szCs w:val="32"/>
        </w:rPr>
        <w:t>⑬</w:t>
      </w:r>
      <w:r>
        <w:rPr>
          <w:rFonts w:hint="eastAsia" w:ascii="仿宋_GB2312" w:hAnsi="仿宋_GB2312" w:eastAsia="仿宋_GB2312" w:cs="仿宋_GB2312"/>
          <w:b/>
          <w:bCs w:val="0"/>
          <w:sz w:val="32"/>
          <w:szCs w:val="32"/>
        </w:rPr>
        <w:t>耕地保护“田长制”和土地报征项目完成情况：</w:t>
      </w:r>
      <w:r>
        <w:rPr>
          <w:rFonts w:hint="eastAsia" w:ascii="仿宋_GB2312" w:hAnsi="仿宋_GB2312" w:eastAsia="仿宋_GB2312" w:cs="仿宋_GB2312"/>
          <w:b w:val="0"/>
          <w:bCs/>
          <w:sz w:val="32"/>
          <w:szCs w:val="32"/>
        </w:rPr>
        <w:t>全年预算</w:t>
      </w:r>
      <w:r>
        <w:rPr>
          <w:rFonts w:hint="eastAsia" w:ascii="仿宋_GB2312" w:hAnsi="仿宋_GB2312" w:eastAsia="仿宋_GB2312" w:cs="仿宋_GB2312"/>
          <w:b w:val="0"/>
          <w:bCs/>
          <w:kern w:val="2"/>
          <w:sz w:val="32"/>
          <w:szCs w:val="32"/>
          <w:lang w:val="zh-CN" w:eastAsia="zh-CN" w:bidi="ar-SA"/>
        </w:rPr>
        <w:t>25万元，实际支付25万元，执行率100%。一是积极做好2023年度耕地保护和粮食安全责任制考核“迎考”工作。二是落实最严格的耕地保护制度，出台《广元市田长制运行规则（试行）》等五项制度，构建市县乡村四级田长责任体系，形成全覆盖、无缝隙的耕地保护管理体系。三是补充耕地项目。高质量做好179个土地整理补充耕地项目排查整改，大力实施土地开发复垦项目，全市共立项项目43个，批复新增耕地潜力1.13万亩，立项批复新增耕地数量达省厅下达目标任务的394%，目前7个项目已竣工待验收，25个项目正开展施工。。五是取得土地报征批文44件次，面积1.46万亩，有力保障G5京昆高速汉广段扩容工程、黑曾路、元柳工业园（一期）基础设施、广元石盘产城融合园、中欧国际木材物流园、金剑工业园等重大项目用地。</w:t>
      </w:r>
    </w:p>
    <w:p w14:paraId="19882FF9">
      <w:pPr>
        <w:pageBreakBefore w:val="0"/>
        <w:widowControl w:val="0"/>
        <w:kinsoku/>
        <w:wordWrap/>
        <w:overflowPunct/>
        <w:topLinePunct w:val="0"/>
        <w:autoSpaceDE/>
        <w:autoSpaceDN/>
        <w:bidi w:val="0"/>
        <w:spacing w:line="576" w:lineRule="exact"/>
        <w:ind w:firstLine="640" w:firstLineChars="200"/>
        <w:jc w:val="both"/>
        <w:textAlignment w:val="auto"/>
        <w:rPr>
          <w:rFonts w:hint="eastAsia" w:ascii="仿宋_GB2312" w:hAnsi="仿宋_GB2312" w:eastAsia="仿宋_GB2312" w:cs="仿宋_GB2312"/>
          <w:b w:val="0"/>
          <w:bCs/>
          <w:sz w:val="32"/>
          <w:szCs w:val="32"/>
        </w:rPr>
      </w:pPr>
      <w:r>
        <w:rPr>
          <w:rFonts w:hint="eastAsia" w:ascii="微软雅黑" w:hAnsi="微软雅黑" w:eastAsia="微软雅黑" w:cs="微软雅黑"/>
          <w:b/>
          <w:bCs w:val="0"/>
          <w:sz w:val="32"/>
          <w:szCs w:val="32"/>
        </w:rPr>
        <w:t>⑭</w:t>
      </w:r>
      <w:r>
        <w:rPr>
          <w:rFonts w:hint="eastAsia" w:ascii="仿宋_GB2312" w:hAnsi="仿宋_GB2312" w:eastAsia="仿宋_GB2312" w:cs="仿宋_GB2312"/>
          <w:b/>
          <w:bCs w:val="0"/>
          <w:sz w:val="32"/>
          <w:szCs w:val="32"/>
        </w:rPr>
        <w:t>土地权属争议及林权纠纷调处项目完成情况：</w:t>
      </w:r>
      <w:r>
        <w:rPr>
          <w:rFonts w:hint="eastAsia" w:ascii="仿宋_GB2312" w:hAnsi="仿宋_GB2312" w:eastAsia="仿宋_GB2312" w:cs="仿宋_GB2312"/>
          <w:b w:val="0"/>
          <w:bCs/>
          <w:sz w:val="32"/>
          <w:szCs w:val="32"/>
          <w:lang w:val="zh-CN"/>
        </w:rPr>
        <w:t>全年预算8万元，实际支付8万元，执行率100%。一是督促指导县（区）加快推进林权数据整合汇交，全年到县区督导检查8次，完成全市199万宗林权数据整合。二是指导县区完成集体土地所有权更新汇交。三是有序开展土地权属和林权纠纷问题线索实地调查核实及调解工作。通过该项目的实施，确保集体土地所有权和林权数据的现势性与准确性，为自然资源管理提供可靠的基础数据，有效</w:t>
      </w:r>
      <w:r>
        <w:rPr>
          <w:rFonts w:hint="eastAsia" w:ascii="仿宋_GB2312" w:hAnsi="仿宋_GB2312" w:eastAsia="仿宋_GB2312" w:cs="仿宋_GB2312"/>
          <w:b w:val="0"/>
          <w:bCs/>
          <w:sz w:val="32"/>
          <w:szCs w:val="32"/>
        </w:rPr>
        <w:t>地维护群众合法权益。</w:t>
      </w:r>
    </w:p>
    <w:p w14:paraId="66B21248">
      <w:pPr>
        <w:pageBreakBefore w:val="0"/>
        <w:widowControl w:val="0"/>
        <w:kinsoku/>
        <w:wordWrap/>
        <w:overflowPunct/>
        <w:topLinePunct w:val="0"/>
        <w:autoSpaceDE/>
        <w:autoSpaceDN/>
        <w:bidi w:val="0"/>
        <w:spacing w:line="576" w:lineRule="exact"/>
        <w:ind w:firstLine="640" w:firstLineChars="200"/>
        <w:jc w:val="both"/>
        <w:textAlignment w:val="auto"/>
        <w:rPr>
          <w:rFonts w:hint="eastAsia" w:ascii="仿宋_GB2312" w:hAnsi="仿宋_GB2312" w:eastAsia="仿宋_GB2312" w:cs="仿宋_GB2312"/>
          <w:b w:val="0"/>
          <w:bCs/>
          <w:sz w:val="32"/>
          <w:szCs w:val="32"/>
          <w:lang w:val="zh-CN"/>
        </w:rPr>
      </w:pPr>
      <w:r>
        <w:rPr>
          <w:rFonts w:hint="eastAsia" w:ascii="微软雅黑" w:hAnsi="微软雅黑" w:eastAsia="微软雅黑" w:cs="微软雅黑"/>
          <w:b/>
          <w:bCs w:val="0"/>
          <w:sz w:val="32"/>
          <w:szCs w:val="32"/>
        </w:rPr>
        <w:t>⑮</w:t>
      </w:r>
      <w:r>
        <w:rPr>
          <w:rFonts w:hint="eastAsia" w:ascii="仿宋_GB2312" w:hAnsi="仿宋_GB2312" w:eastAsia="仿宋_GB2312" w:cs="仿宋_GB2312"/>
          <w:b/>
          <w:bCs w:val="0"/>
          <w:sz w:val="32"/>
          <w:szCs w:val="32"/>
        </w:rPr>
        <w:t>广元市园林草地分等定级项目完成情况：</w:t>
      </w:r>
      <w:r>
        <w:rPr>
          <w:rFonts w:hint="eastAsia" w:ascii="仿宋_GB2312" w:hAnsi="仿宋_GB2312" w:eastAsia="仿宋_GB2312" w:cs="仿宋_GB2312"/>
          <w:b w:val="0"/>
          <w:bCs/>
          <w:sz w:val="32"/>
          <w:szCs w:val="32"/>
        </w:rPr>
        <w:t>全年预算2</w:t>
      </w:r>
      <w:r>
        <w:rPr>
          <w:rFonts w:hint="eastAsia" w:ascii="仿宋_GB2312" w:hAnsi="仿宋_GB2312" w:cs="仿宋_GB2312"/>
          <w:b w:val="0"/>
          <w:bCs/>
          <w:sz w:val="32"/>
          <w:szCs w:val="32"/>
          <w:lang w:val="en-US" w:eastAsia="zh-CN"/>
        </w:rPr>
        <w:t>8</w:t>
      </w:r>
      <w:r>
        <w:rPr>
          <w:rFonts w:hint="eastAsia" w:ascii="仿宋_GB2312" w:hAnsi="仿宋_GB2312" w:eastAsia="仿宋_GB2312" w:cs="仿宋_GB2312"/>
          <w:b w:val="0"/>
          <w:bCs/>
          <w:sz w:val="32"/>
          <w:szCs w:val="32"/>
        </w:rPr>
        <w:t>万</w:t>
      </w:r>
      <w:r>
        <w:rPr>
          <w:rFonts w:hint="eastAsia" w:ascii="仿宋_GB2312" w:hAnsi="仿宋_GB2312" w:eastAsia="仿宋_GB2312" w:cs="仿宋_GB2312"/>
          <w:b w:val="0"/>
          <w:bCs/>
          <w:sz w:val="32"/>
          <w:szCs w:val="32"/>
          <w:lang w:val="zh-CN"/>
        </w:rPr>
        <w:t>元，实际支付2</w:t>
      </w:r>
      <w:r>
        <w:rPr>
          <w:rFonts w:hint="eastAsia" w:ascii="仿宋_GB2312" w:hAnsi="仿宋_GB2312" w:eastAsia="仿宋_GB2312" w:cs="仿宋_GB2312"/>
          <w:b w:val="0"/>
          <w:bCs/>
          <w:sz w:val="32"/>
          <w:szCs w:val="32"/>
          <w:lang w:val="en-US" w:eastAsia="zh-CN"/>
        </w:rPr>
        <w:t>8</w:t>
      </w:r>
      <w:r>
        <w:rPr>
          <w:rFonts w:hint="eastAsia" w:ascii="仿宋_GB2312" w:hAnsi="仿宋_GB2312" w:eastAsia="仿宋_GB2312" w:cs="仿宋_GB2312"/>
          <w:b w:val="0"/>
          <w:bCs/>
          <w:sz w:val="32"/>
          <w:szCs w:val="32"/>
          <w:lang w:val="zh-CN"/>
        </w:rPr>
        <w:t>万元，执行率100%。完成基础资料汇编1套，图件成果、数据库成果2套，广元市园地、林地、草地分等工作报告2分。园地、林地、草地分等定级成果已通过自然资源部验收。通过该项目的实施，全面掌握我市园、林、草地资源质量情况，为自然资源清查提供基础资料。</w:t>
      </w:r>
    </w:p>
    <w:p w14:paraId="47489DC2">
      <w:pPr>
        <w:pageBreakBefore w:val="0"/>
        <w:widowControl w:val="0"/>
        <w:kinsoku/>
        <w:wordWrap/>
        <w:overflowPunct/>
        <w:topLinePunct w:val="0"/>
        <w:autoSpaceDE/>
        <w:autoSpaceDN/>
        <w:bidi w:val="0"/>
        <w:spacing w:line="576" w:lineRule="exact"/>
        <w:ind w:firstLine="640" w:firstLineChars="200"/>
        <w:jc w:val="both"/>
        <w:textAlignment w:val="auto"/>
        <w:rPr>
          <w:rFonts w:hint="eastAsia" w:ascii="仿宋_GB2312" w:hAnsi="仿宋_GB2312" w:eastAsia="仿宋_GB2312" w:cs="仿宋_GB2312"/>
          <w:b w:val="0"/>
          <w:bCs/>
          <w:sz w:val="32"/>
          <w:szCs w:val="32"/>
          <w:lang w:val="zh-CN"/>
        </w:rPr>
      </w:pPr>
      <w:r>
        <w:rPr>
          <w:rFonts w:hint="eastAsia" w:ascii="微软雅黑" w:hAnsi="微软雅黑" w:eastAsia="微软雅黑" w:cs="微软雅黑"/>
          <w:b/>
          <w:bCs w:val="0"/>
          <w:sz w:val="32"/>
          <w:szCs w:val="32"/>
        </w:rPr>
        <w:t>⑯</w:t>
      </w:r>
      <w:r>
        <w:rPr>
          <w:rFonts w:hint="eastAsia" w:ascii="仿宋_GB2312" w:hAnsi="仿宋_GB2312" w:eastAsia="仿宋_GB2312" w:cs="仿宋_GB2312"/>
          <w:b/>
          <w:bCs w:val="0"/>
          <w:sz w:val="32"/>
          <w:szCs w:val="32"/>
        </w:rPr>
        <w:t>派驻纪检组工作项目完成情况：</w:t>
      </w:r>
      <w:r>
        <w:rPr>
          <w:rFonts w:hint="eastAsia" w:ascii="仿宋_GB2312" w:hAnsi="仿宋_GB2312" w:eastAsia="仿宋_GB2312" w:cs="仿宋_GB2312"/>
          <w:b w:val="0"/>
          <w:bCs/>
          <w:sz w:val="32"/>
          <w:szCs w:val="32"/>
        </w:rPr>
        <w:t>全年预算</w:t>
      </w:r>
      <w:r>
        <w:rPr>
          <w:rFonts w:hint="eastAsia" w:ascii="仿宋_GB2312" w:hAnsi="仿宋_GB2312" w:cs="仿宋_GB2312"/>
          <w:b w:val="0"/>
          <w:bCs/>
          <w:sz w:val="32"/>
          <w:szCs w:val="32"/>
          <w:lang w:val="en-US" w:eastAsia="zh-CN"/>
        </w:rPr>
        <w:t>20</w:t>
      </w:r>
      <w:r>
        <w:rPr>
          <w:rFonts w:hint="eastAsia" w:ascii="仿宋_GB2312" w:hAnsi="仿宋_GB2312" w:eastAsia="仿宋_GB2312" w:cs="仿宋_GB2312"/>
          <w:b w:val="0"/>
          <w:bCs/>
          <w:sz w:val="32"/>
          <w:szCs w:val="32"/>
        </w:rPr>
        <w:t>万元，实际支</w:t>
      </w:r>
      <w:r>
        <w:rPr>
          <w:rFonts w:hint="eastAsia" w:ascii="仿宋_GB2312" w:hAnsi="仿宋_GB2312" w:eastAsia="仿宋_GB2312" w:cs="仿宋_GB2312"/>
          <w:b w:val="0"/>
          <w:bCs/>
          <w:sz w:val="32"/>
          <w:szCs w:val="32"/>
          <w:lang w:val="zh-CN"/>
        </w:rPr>
        <w:t>付</w:t>
      </w:r>
      <w:r>
        <w:rPr>
          <w:rFonts w:hint="eastAsia" w:ascii="仿宋_GB2312" w:hAnsi="仿宋_GB2312" w:eastAsia="仿宋_GB2312" w:cs="仿宋_GB2312"/>
          <w:b w:val="0"/>
          <w:bCs/>
          <w:sz w:val="32"/>
          <w:szCs w:val="32"/>
          <w:lang w:val="en-US" w:eastAsia="zh-CN"/>
        </w:rPr>
        <w:t>20</w:t>
      </w:r>
      <w:r>
        <w:rPr>
          <w:rFonts w:hint="eastAsia" w:ascii="仿宋_GB2312" w:hAnsi="仿宋_GB2312" w:eastAsia="仿宋_GB2312" w:cs="仿宋_GB2312"/>
          <w:b w:val="0"/>
          <w:bCs/>
          <w:sz w:val="32"/>
          <w:szCs w:val="32"/>
          <w:lang w:val="zh-CN"/>
        </w:rPr>
        <w:t>万元，执行率100%。全年线索处置30件个，立案审查8人，追缴违规违纪款项24万余元。为四家综合监督单位76批307人次出具廉政鉴定。装修标准化谈话室一间。购置谈话室监控系统1套。通过该项目的实施，完成市纪委、市监委派驻自然资源局纪检监察组日常工作，提升日常监督、处置问题线索及办案质效，加强派驻部门的党风廉政建设。</w:t>
      </w:r>
    </w:p>
    <w:p w14:paraId="09AD19DA">
      <w:pPr>
        <w:pageBreakBefore w:val="0"/>
        <w:widowControl w:val="0"/>
        <w:kinsoku/>
        <w:wordWrap/>
        <w:overflowPunct/>
        <w:topLinePunct w:val="0"/>
        <w:autoSpaceDE/>
        <w:autoSpaceDN/>
        <w:bidi w:val="0"/>
        <w:spacing w:line="576" w:lineRule="exact"/>
        <w:ind w:firstLine="640" w:firstLineChars="200"/>
        <w:jc w:val="both"/>
        <w:textAlignment w:val="auto"/>
        <w:rPr>
          <w:rFonts w:hint="default" w:ascii="仿宋_GB2312" w:hAnsi="仿宋_GB2312" w:eastAsia="仿宋_GB2312" w:cs="仿宋_GB2312"/>
          <w:b w:val="0"/>
          <w:bCs/>
          <w:sz w:val="32"/>
          <w:szCs w:val="32"/>
          <w:lang w:val="en-US" w:eastAsia="zh-CN"/>
        </w:rPr>
      </w:pPr>
      <w:r>
        <w:rPr>
          <w:rFonts w:hint="eastAsia" w:ascii="微软雅黑" w:hAnsi="微软雅黑" w:eastAsia="微软雅黑" w:cs="微软雅黑"/>
          <w:b/>
          <w:bCs w:val="0"/>
          <w:sz w:val="32"/>
          <w:szCs w:val="32"/>
        </w:rPr>
        <w:t>⑰</w:t>
      </w:r>
      <w:r>
        <w:rPr>
          <w:rFonts w:hint="eastAsia" w:ascii="仿宋_GB2312" w:hAnsi="仿宋_GB2312" w:eastAsia="仿宋_GB2312" w:cs="仿宋_GB2312"/>
          <w:b/>
          <w:bCs w:val="0"/>
          <w:sz w:val="32"/>
          <w:szCs w:val="32"/>
        </w:rPr>
        <w:t>乡村振兴驻村工作项目完成情况：</w:t>
      </w:r>
      <w:r>
        <w:rPr>
          <w:rFonts w:hint="eastAsia" w:ascii="仿宋_GB2312" w:hAnsi="仿宋_GB2312" w:eastAsia="仿宋_GB2312" w:cs="仿宋_GB2312"/>
          <w:b w:val="0"/>
          <w:bCs/>
          <w:sz w:val="32"/>
          <w:szCs w:val="32"/>
        </w:rPr>
        <w:t>全年预算10.92万元，</w:t>
      </w:r>
      <w:r>
        <w:rPr>
          <w:rFonts w:hint="eastAsia" w:ascii="仿宋_GB2312" w:hAnsi="仿宋_GB2312" w:eastAsia="仿宋_GB2312" w:cs="仿宋_GB2312"/>
          <w:b w:val="0"/>
          <w:bCs/>
          <w:sz w:val="32"/>
          <w:szCs w:val="32"/>
          <w:lang w:val="zh-CN"/>
        </w:rPr>
        <w:t>实际支付10.92万元，执行率100%。健全驻村帮扶工作机制，夯实干部结对帮扶工作责任，确保对双旗村脱贫户和监测户的全覆盖，强化帮扶干部与帮扶户的日常沟通，积极宣传耕地保护和党的惠农政策。一是积极开展返贫动态监测帮扶工作。针对12</w:t>
      </w:r>
      <w:r>
        <w:rPr>
          <w:rFonts w:hint="eastAsia" w:ascii="仿宋_GB2312" w:hAnsi="仿宋_GB2312" w:eastAsia="仿宋_GB2312" w:cs="仿宋_GB2312"/>
          <w:b w:val="0"/>
          <w:bCs/>
          <w:sz w:val="32"/>
          <w:szCs w:val="32"/>
        </w:rPr>
        <w:t>户监测户和123户脱贫户，驻村工作队逐一制定了帮扶措施，定期进行走访，及时了解群众生产生活困难。二是以购代扶工作稳</w:t>
      </w:r>
      <w:r>
        <w:rPr>
          <w:rFonts w:hint="eastAsia" w:ascii="仿宋_GB2312" w:hAnsi="仿宋_GB2312" w:eastAsia="仿宋_GB2312" w:cs="仿宋_GB2312"/>
          <w:b w:val="0"/>
          <w:bCs/>
          <w:sz w:val="32"/>
          <w:szCs w:val="32"/>
          <w:lang w:val="zh-CN"/>
        </w:rPr>
        <w:t>步推进。我局已集中采购了30000元的菜籽油，并常态化采购了花生、土鸡、土鸡蛋等农副产品。三是关爱妇女、学生、老人。成功举办了三八妇女节和重阳节慰问老人活动，推进道德积分管理制度的落地。四是创新开展村党建工作。开展七一建党节庆祝活动。通过该项目的实施，</w:t>
      </w:r>
      <w:r>
        <w:rPr>
          <w:rFonts w:hint="eastAsia" w:ascii="仿宋_GB2312" w:hAnsi="仿宋_GB2312" w:eastAsia="仿宋_GB2312" w:cs="仿宋_GB2312"/>
          <w:b w:val="0"/>
          <w:bCs/>
          <w:sz w:val="32"/>
          <w:szCs w:val="32"/>
          <w:lang w:val="en-US" w:eastAsia="zh-CN"/>
        </w:rPr>
        <w:t>有效巩固脱贫攻坚成果同乡村振兴项衔接，有力提升我局对剑阁县下寺镇双旗村的帮扶质效。</w:t>
      </w:r>
    </w:p>
    <w:p w14:paraId="787A46A2">
      <w:pPr>
        <w:pageBreakBefore w:val="0"/>
        <w:widowControl w:val="0"/>
        <w:kinsoku/>
        <w:wordWrap/>
        <w:overflowPunct/>
        <w:topLinePunct w:val="0"/>
        <w:autoSpaceDE/>
        <w:autoSpaceDN/>
        <w:bidi w:val="0"/>
        <w:spacing w:line="576" w:lineRule="exact"/>
        <w:ind w:firstLine="640" w:firstLineChars="200"/>
        <w:jc w:val="both"/>
        <w:textAlignment w:val="auto"/>
        <w:rPr>
          <w:rFonts w:hint="eastAsia" w:ascii="仿宋_GB2312" w:hAnsi="仿宋_GB2312" w:eastAsia="仿宋_GB2312" w:cs="仿宋_GB2312"/>
          <w:b w:val="0"/>
          <w:bCs/>
          <w:sz w:val="32"/>
          <w:szCs w:val="32"/>
        </w:rPr>
      </w:pPr>
      <w:r>
        <w:rPr>
          <w:rFonts w:hint="eastAsia" w:ascii="微软雅黑" w:hAnsi="微软雅黑" w:eastAsia="微软雅黑" w:cs="微软雅黑"/>
          <w:b/>
          <w:bCs w:val="0"/>
          <w:sz w:val="32"/>
          <w:szCs w:val="32"/>
        </w:rPr>
        <w:t>⑱</w:t>
      </w:r>
      <w:r>
        <w:rPr>
          <w:rFonts w:hint="eastAsia" w:ascii="仿宋_GB2312" w:hAnsi="仿宋_GB2312" w:eastAsia="仿宋_GB2312" w:cs="仿宋_GB2312"/>
          <w:b/>
          <w:bCs w:val="0"/>
          <w:sz w:val="32"/>
          <w:szCs w:val="32"/>
        </w:rPr>
        <w:t>2021年测绘地理信息质量监督检查、地图技术审核服务项目完成情况：</w:t>
      </w:r>
      <w:r>
        <w:rPr>
          <w:rFonts w:hint="eastAsia" w:ascii="仿宋_GB2312" w:hAnsi="仿宋_GB2312" w:eastAsia="仿宋_GB2312" w:cs="仿宋_GB2312"/>
          <w:b w:val="0"/>
          <w:bCs/>
          <w:sz w:val="32"/>
          <w:szCs w:val="32"/>
        </w:rPr>
        <w:t>全年预算22万元，实际支付22万元，执行率100%。按照四川省测绘地理信息局《关于开展2021测绘地理信息质量监督检查、测绘资质巡查和保密检查工作的通知》，完成了广元市15个测绘项目进行监督检查，通过该项目的实施，提高全市测绘保障服务能力。</w:t>
      </w:r>
    </w:p>
    <w:p w14:paraId="0025B728">
      <w:pPr>
        <w:pageBreakBefore w:val="0"/>
        <w:widowControl w:val="0"/>
        <w:kinsoku/>
        <w:wordWrap/>
        <w:overflowPunct/>
        <w:topLinePunct w:val="0"/>
        <w:autoSpaceDE/>
        <w:autoSpaceDN/>
        <w:bidi w:val="0"/>
        <w:spacing w:line="576" w:lineRule="exact"/>
        <w:ind w:firstLine="640" w:firstLineChars="200"/>
        <w:jc w:val="both"/>
        <w:textAlignment w:val="auto"/>
        <w:rPr>
          <w:rFonts w:hint="eastAsia" w:ascii="仿宋_GB2312" w:hAnsi="仿宋_GB2312" w:eastAsia="仿宋_GB2312" w:cs="仿宋_GB2312"/>
          <w:b w:val="0"/>
          <w:bCs/>
          <w:sz w:val="32"/>
          <w:szCs w:val="32"/>
        </w:rPr>
      </w:pPr>
      <w:r>
        <w:rPr>
          <w:rFonts w:hint="eastAsia" w:ascii="微软雅黑" w:hAnsi="微软雅黑" w:eastAsia="微软雅黑" w:cs="微软雅黑"/>
          <w:b/>
          <w:bCs w:val="0"/>
          <w:sz w:val="32"/>
          <w:szCs w:val="32"/>
        </w:rPr>
        <w:t>⑲</w:t>
      </w:r>
      <w:r>
        <w:rPr>
          <w:rFonts w:hint="eastAsia" w:ascii="仿宋_GB2312" w:hAnsi="仿宋_GB2312" w:eastAsia="仿宋_GB2312" w:cs="仿宋_GB2312"/>
          <w:b/>
          <w:bCs w:val="0"/>
          <w:sz w:val="32"/>
          <w:szCs w:val="32"/>
        </w:rPr>
        <w:t>硅基新材料产业发展专班项目完成情况：</w:t>
      </w:r>
      <w:r>
        <w:rPr>
          <w:rFonts w:hint="eastAsia" w:ascii="仿宋_GB2312" w:hAnsi="仿宋_GB2312" w:eastAsia="仿宋_GB2312" w:cs="仿宋_GB2312"/>
          <w:b w:val="0"/>
          <w:bCs/>
          <w:sz w:val="32"/>
          <w:szCs w:val="32"/>
        </w:rPr>
        <w:t>全年预算30万元，实际支付29.99万元，执行率99.98%。组织市县专班工作会议13次，带头对接洽谈企业项目59家，现场调度25次；全年召开项目推进协调会102次；成功签约项目13个，签约资金291.1亿元；全年新开工项目7个，投资金额38亿元，竣工项目6个。盘活问题项目（企业）2个。通过该项目的实施，为我市高质量发展贡献硅基产业力量。</w:t>
      </w:r>
    </w:p>
    <w:p w14:paraId="3BDCAE6B">
      <w:pPr>
        <w:pageBreakBefore w:val="0"/>
        <w:widowControl w:val="0"/>
        <w:kinsoku/>
        <w:wordWrap/>
        <w:overflowPunct/>
        <w:topLinePunct w:val="0"/>
        <w:autoSpaceDE/>
        <w:autoSpaceDN/>
        <w:bidi w:val="0"/>
        <w:spacing w:line="576" w:lineRule="exact"/>
        <w:ind w:firstLine="640" w:firstLineChars="200"/>
        <w:jc w:val="both"/>
        <w:textAlignment w:val="auto"/>
        <w:rPr>
          <w:rFonts w:hint="eastAsia" w:ascii="仿宋_GB2312" w:hAnsi="仿宋_GB2312" w:eastAsia="仿宋_GB2312" w:cs="仿宋_GB2312"/>
          <w:b w:val="0"/>
          <w:bCs/>
          <w:sz w:val="32"/>
          <w:szCs w:val="32"/>
          <w:lang w:val="zh-CN"/>
        </w:rPr>
      </w:pPr>
      <w:r>
        <w:rPr>
          <w:rFonts w:hint="eastAsia" w:ascii="微软雅黑" w:hAnsi="微软雅黑" w:eastAsia="微软雅黑" w:cs="微软雅黑"/>
          <w:b/>
          <w:bCs w:val="0"/>
          <w:sz w:val="32"/>
          <w:szCs w:val="32"/>
        </w:rPr>
        <w:t>⑳</w:t>
      </w:r>
      <w:r>
        <w:rPr>
          <w:rFonts w:hint="eastAsia" w:ascii="仿宋_GB2312" w:hAnsi="仿宋_GB2312" w:eastAsia="仿宋_GB2312" w:cs="仿宋_GB2312"/>
          <w:b/>
          <w:bCs w:val="0"/>
          <w:sz w:val="32"/>
          <w:szCs w:val="32"/>
        </w:rPr>
        <w:t>广元市民宿产业投资推介会（成都）项目完成情况：</w:t>
      </w:r>
      <w:r>
        <w:rPr>
          <w:rFonts w:hint="eastAsia" w:ascii="仿宋_GB2312" w:hAnsi="仿宋_GB2312" w:eastAsia="仿宋_GB2312" w:cs="仿宋_GB2312"/>
          <w:b w:val="0"/>
          <w:bCs/>
          <w:sz w:val="32"/>
          <w:szCs w:val="32"/>
        </w:rPr>
        <w:t>该项</w:t>
      </w:r>
      <w:r>
        <w:rPr>
          <w:rFonts w:hint="eastAsia" w:ascii="仿宋_GB2312" w:hAnsi="仿宋_GB2312" w:eastAsia="仿宋_GB2312" w:cs="仿宋_GB2312"/>
          <w:b w:val="0"/>
          <w:bCs/>
          <w:sz w:val="32"/>
          <w:szCs w:val="32"/>
          <w:lang w:val="zh-CN"/>
        </w:rPr>
        <w:t>目属于年度追加项目，财政拨款38.38万元，实际支付38.38万元，执行率100%。完成推介民宿地块39宗859.6亩，共招商引资签约项目10个，土地约630亩，资金约38亿元。通过该项目的实施，增加了政府收益，促进我市经济发展。</w:t>
      </w:r>
    </w:p>
    <w:p w14:paraId="36B0ADDE">
      <w:pPr>
        <w:pageBreakBefore w:val="0"/>
        <w:widowControl w:val="0"/>
        <w:kinsoku/>
        <w:wordWrap/>
        <w:overflowPunct/>
        <w:topLinePunct w:val="0"/>
        <w:autoSpaceDE/>
        <w:autoSpaceDN/>
        <w:bidi w:val="0"/>
        <w:spacing w:line="576" w:lineRule="exact"/>
        <w:ind w:firstLine="640" w:firstLineChars="200"/>
        <w:jc w:val="both"/>
        <w:textAlignment w:val="auto"/>
        <w:rPr>
          <w:rFonts w:hint="eastAsia" w:ascii="仿宋_GB2312" w:hAnsi="仿宋_GB2312" w:eastAsia="仿宋_GB2312" w:cs="仿宋_GB2312"/>
          <w:b w:val="0"/>
          <w:bCs/>
          <w:sz w:val="32"/>
          <w:szCs w:val="32"/>
          <w:lang w:val="zh-CN"/>
        </w:rPr>
      </w:pPr>
      <w:r>
        <w:rPr>
          <w:rFonts w:hint="eastAsia" w:ascii="微软雅黑" w:hAnsi="微软雅黑" w:eastAsia="微软雅黑" w:cs="微软雅黑"/>
          <w:b/>
          <w:bCs w:val="0"/>
          <w:sz w:val="32"/>
          <w:szCs w:val="32"/>
        </w:rPr>
        <w:t>㉑</w:t>
      </w:r>
      <w:r>
        <w:rPr>
          <w:rFonts w:hint="eastAsia" w:ascii="仿宋_GB2312" w:hAnsi="仿宋_GB2312" w:eastAsia="仿宋_GB2312" w:cs="仿宋_GB2312"/>
          <w:b/>
          <w:bCs w:val="0"/>
          <w:sz w:val="32"/>
          <w:szCs w:val="32"/>
        </w:rPr>
        <w:t>广元市嘉陵江上游山水林田湖草沙一体化保护和修复工程项目编制项目完成情况：</w:t>
      </w:r>
      <w:r>
        <w:rPr>
          <w:rFonts w:hint="eastAsia" w:ascii="仿宋_GB2312" w:hAnsi="仿宋_GB2312" w:eastAsia="仿宋_GB2312" w:cs="仿宋_GB2312"/>
          <w:b w:val="0"/>
          <w:bCs/>
          <w:sz w:val="32"/>
          <w:szCs w:val="32"/>
        </w:rPr>
        <w:t>全年预算27.7万元，实际支付13.73</w:t>
      </w:r>
      <w:r>
        <w:rPr>
          <w:rFonts w:hint="eastAsia" w:ascii="仿宋_GB2312" w:hAnsi="仿宋_GB2312" w:eastAsia="仿宋_GB2312" w:cs="仿宋_GB2312"/>
          <w:b w:val="0"/>
          <w:bCs/>
          <w:sz w:val="32"/>
          <w:szCs w:val="32"/>
          <w:lang w:val="zh-CN"/>
        </w:rPr>
        <w:t>万元，执行率49.55%。依据相关领域编制技术规范，编制完成《广元市嘉陵江上游山水林田湖草一体化保护和修复工程项目实施方案》（含可行性研究报告）、项目清单（含SHP文件）及相关图件纸质文档6套、电子文档1套。健全了生态修复体系，推动绿色可持续发展。该项目已完成，按照合同约定待省厅验收后支付尾款。通过该项目的实施，</w:t>
      </w:r>
      <w:r>
        <w:rPr>
          <w:rFonts w:hint="eastAsia" w:ascii="仿宋_GB2312" w:hAnsi="仿宋_GB2312" w:eastAsia="仿宋_GB2312" w:cs="仿宋_GB2312"/>
          <w:b w:val="0"/>
          <w:bCs/>
          <w:sz w:val="32"/>
          <w:szCs w:val="32"/>
          <w:lang w:val="en-US" w:eastAsia="zh-CN"/>
        </w:rPr>
        <w:t>推动绿色可持续发展，健全生态修复体系。</w:t>
      </w:r>
    </w:p>
    <w:p w14:paraId="707A7D82">
      <w:pPr>
        <w:pageBreakBefore w:val="0"/>
        <w:widowControl w:val="0"/>
        <w:kinsoku/>
        <w:wordWrap/>
        <w:overflowPunct/>
        <w:topLinePunct w:val="0"/>
        <w:autoSpaceDE/>
        <w:autoSpaceDN/>
        <w:bidi w:val="0"/>
        <w:spacing w:line="576" w:lineRule="exact"/>
        <w:ind w:firstLine="640" w:firstLineChars="200"/>
        <w:jc w:val="both"/>
        <w:textAlignment w:val="auto"/>
        <w:rPr>
          <w:rFonts w:hint="eastAsia" w:ascii="仿宋_GB2312" w:hAnsi="仿宋_GB2312" w:eastAsia="仿宋_GB2312" w:cs="仿宋_GB2312"/>
          <w:b w:val="0"/>
          <w:bCs/>
          <w:sz w:val="32"/>
          <w:szCs w:val="32"/>
          <w:lang w:val="zh-CN"/>
        </w:rPr>
      </w:pPr>
      <w:r>
        <w:rPr>
          <w:rFonts w:hint="eastAsia" w:ascii="微软雅黑" w:hAnsi="微软雅黑" w:eastAsia="微软雅黑" w:cs="微软雅黑"/>
          <w:b/>
          <w:bCs w:val="0"/>
          <w:sz w:val="32"/>
          <w:szCs w:val="32"/>
        </w:rPr>
        <w:t>㉒</w:t>
      </w:r>
      <w:r>
        <w:rPr>
          <w:rFonts w:hint="eastAsia" w:ascii="仿宋_GB2312" w:hAnsi="仿宋_GB2312" w:eastAsia="仿宋_GB2312" w:cs="仿宋_GB2312"/>
          <w:b/>
          <w:bCs w:val="0"/>
          <w:sz w:val="32"/>
          <w:szCs w:val="32"/>
        </w:rPr>
        <w:t>广元市利州区2023年第5批次建设用地使用林地森林植被恢复费项目完成情况：</w:t>
      </w:r>
      <w:r>
        <w:rPr>
          <w:rFonts w:hint="eastAsia" w:ascii="仿宋_GB2312" w:hAnsi="仿宋_GB2312" w:eastAsia="仿宋_GB2312" w:cs="仿宋_GB2312"/>
          <w:b w:val="0"/>
          <w:bCs/>
          <w:sz w:val="32"/>
          <w:szCs w:val="32"/>
        </w:rPr>
        <w:t>该项目属于年度追加项目，财政拨款</w:t>
      </w:r>
      <w:r>
        <w:rPr>
          <w:rFonts w:hint="eastAsia" w:ascii="仿宋_GB2312" w:hAnsi="仿宋_GB2312" w:eastAsia="仿宋_GB2312" w:cs="仿宋_GB2312"/>
          <w:b w:val="0"/>
          <w:bCs/>
          <w:sz w:val="32"/>
          <w:szCs w:val="32"/>
          <w:lang w:val="zh-CN"/>
        </w:rPr>
        <w:t>106.7086万元，实际支付106.7086万余，执行率100%，主要用于大稻坝限价商品房、城北片区限价商品房、雪峰小学周边用地等项目的报征土地费用，其中缴纳森林植被恢复费95.5220万元，使用林地可行性编制及采伐作业设计费11.1866万元。目前已完成了2023年第五批次建设用地报征手续，通过该项目的实施，保障建设项目用地的合法性，促进了广元的经济发展。</w:t>
      </w:r>
    </w:p>
    <w:p w14:paraId="419E4F66">
      <w:pPr>
        <w:pageBreakBefore w:val="0"/>
        <w:widowControl w:val="0"/>
        <w:kinsoku/>
        <w:wordWrap/>
        <w:overflowPunct/>
        <w:topLinePunct w:val="0"/>
        <w:autoSpaceDE/>
        <w:autoSpaceDN/>
        <w:bidi w:val="0"/>
        <w:spacing w:line="576" w:lineRule="exact"/>
        <w:ind w:firstLine="640" w:firstLineChars="200"/>
        <w:jc w:val="both"/>
        <w:textAlignment w:val="auto"/>
        <w:rPr>
          <w:rFonts w:hint="eastAsia" w:ascii="仿宋_GB2312" w:hAnsi="仿宋_GB2312" w:eastAsia="仿宋_GB2312" w:cs="仿宋_GB2312"/>
          <w:b w:val="0"/>
          <w:bCs/>
          <w:sz w:val="32"/>
          <w:szCs w:val="32"/>
          <w:lang w:val="zh-CN"/>
        </w:rPr>
      </w:pPr>
      <w:r>
        <w:rPr>
          <w:rFonts w:hint="eastAsia" w:ascii="微软雅黑" w:hAnsi="微软雅黑" w:eastAsia="微软雅黑" w:cs="微软雅黑"/>
          <w:b/>
          <w:bCs w:val="0"/>
          <w:sz w:val="32"/>
          <w:szCs w:val="32"/>
        </w:rPr>
        <w:t>㉓</w:t>
      </w:r>
      <w:r>
        <w:rPr>
          <w:rFonts w:hint="eastAsia" w:ascii="仿宋_GB2312" w:hAnsi="仿宋_GB2312" w:eastAsia="仿宋_GB2312" w:cs="仿宋_GB2312"/>
          <w:b/>
          <w:bCs w:val="0"/>
          <w:sz w:val="32"/>
          <w:szCs w:val="32"/>
        </w:rPr>
        <w:t>广元市矿产资源调查项目完成情况：</w:t>
      </w:r>
      <w:r>
        <w:rPr>
          <w:rFonts w:hint="eastAsia" w:ascii="仿宋_GB2312" w:hAnsi="仿宋_GB2312" w:eastAsia="仿宋_GB2312" w:cs="仿宋_GB2312"/>
          <w:b w:val="0"/>
          <w:bCs/>
          <w:sz w:val="32"/>
          <w:szCs w:val="32"/>
        </w:rPr>
        <w:t>该项目属于跨度项目，</w:t>
      </w:r>
      <w:r>
        <w:rPr>
          <w:rFonts w:hint="eastAsia" w:ascii="仿宋_GB2312" w:hAnsi="仿宋_GB2312" w:eastAsia="仿宋_GB2312" w:cs="仿宋_GB2312"/>
          <w:b w:val="0"/>
          <w:bCs/>
          <w:sz w:val="32"/>
          <w:szCs w:val="32"/>
          <w:lang w:val="zh-CN"/>
        </w:rPr>
        <w:t>年度全年预算165万元，2023年按照项目进度和合同约定实际支付69万元，执行率41.82%。编制完成《广元市石英砂资源调查报告》，查明我市石英砂储量3.9亿吨，“十四五”期间规划储量1.85亿吨。通过该项目的实施，扎实开展新一轮找矿行动，围绕天然沥青、钒矿、锰矿、石墨、石英类等重点矿产，实现找矿突破，推荐具备一定成矿条件，可供进一步工作的区块32个，</w:t>
      </w:r>
      <w:r>
        <w:rPr>
          <w:rFonts w:hint="eastAsia" w:ascii="仿宋_GB2312" w:hAnsi="仿宋_GB2312" w:eastAsia="仿宋_GB2312" w:cs="仿宋_GB2312"/>
          <w:b w:val="0"/>
          <w:bCs/>
          <w:sz w:val="32"/>
          <w:szCs w:val="32"/>
          <w:lang w:val="en-US" w:eastAsia="zh-CN"/>
        </w:rPr>
        <w:t>全力</w:t>
      </w:r>
      <w:r>
        <w:rPr>
          <w:rFonts w:hint="eastAsia" w:ascii="仿宋_GB2312" w:hAnsi="仿宋_GB2312" w:eastAsia="仿宋_GB2312" w:cs="仿宋_GB2312"/>
          <w:b w:val="0"/>
          <w:bCs/>
          <w:sz w:val="32"/>
          <w:szCs w:val="32"/>
          <w:lang w:val="zh-CN"/>
        </w:rPr>
        <w:t>保障重点项目资源需求。</w:t>
      </w:r>
    </w:p>
    <w:p w14:paraId="68195817">
      <w:pPr>
        <w:pageBreakBefore w:val="0"/>
        <w:widowControl w:val="0"/>
        <w:kinsoku/>
        <w:wordWrap/>
        <w:overflowPunct/>
        <w:topLinePunct w:val="0"/>
        <w:autoSpaceDE/>
        <w:autoSpaceDN/>
        <w:bidi w:val="0"/>
        <w:spacing w:line="576" w:lineRule="exact"/>
        <w:ind w:firstLine="640" w:firstLineChars="200"/>
        <w:jc w:val="both"/>
        <w:textAlignment w:val="auto"/>
        <w:rPr>
          <w:rFonts w:hint="eastAsia" w:ascii="仿宋_GB2312" w:hAnsi="仿宋_GB2312" w:eastAsia="仿宋_GB2312" w:cs="仿宋_GB2312"/>
          <w:b w:val="0"/>
          <w:bCs/>
          <w:sz w:val="32"/>
          <w:szCs w:val="32"/>
        </w:rPr>
      </w:pPr>
      <w:r>
        <w:rPr>
          <w:rFonts w:hint="eastAsia" w:ascii="微软雅黑" w:hAnsi="微软雅黑" w:eastAsia="微软雅黑" w:cs="微软雅黑"/>
          <w:b/>
          <w:bCs w:val="0"/>
          <w:sz w:val="32"/>
          <w:szCs w:val="32"/>
        </w:rPr>
        <w:t>㉔</w:t>
      </w:r>
      <w:r>
        <w:rPr>
          <w:rFonts w:hint="eastAsia" w:ascii="仿宋_GB2312" w:hAnsi="仿宋_GB2312" w:eastAsia="仿宋_GB2312" w:cs="仿宋_GB2312"/>
          <w:b/>
          <w:bCs w:val="0"/>
          <w:sz w:val="32"/>
          <w:szCs w:val="32"/>
        </w:rPr>
        <w:t>全市硅基新材料产业发展专题培训项目完成情况：</w:t>
      </w:r>
      <w:r>
        <w:rPr>
          <w:rFonts w:hint="eastAsia" w:ascii="仿宋_GB2312" w:hAnsi="仿宋_GB2312" w:eastAsia="仿宋_GB2312" w:cs="仿宋_GB2312"/>
          <w:b w:val="0"/>
          <w:bCs/>
          <w:sz w:val="32"/>
          <w:szCs w:val="32"/>
        </w:rPr>
        <w:t>该项目属于年度追加项目，财政拨款14.58万元，实际支付14.58万元，执行率100%。完成全市60人按时参加培训，通过该项目的实施，全力推进全市硅基新材料产业高质量发展。</w:t>
      </w:r>
    </w:p>
    <w:p w14:paraId="1C94DC17">
      <w:pPr>
        <w:pageBreakBefore w:val="0"/>
        <w:widowControl w:val="0"/>
        <w:kinsoku/>
        <w:wordWrap/>
        <w:overflowPunct/>
        <w:topLinePunct w:val="0"/>
        <w:autoSpaceDE/>
        <w:autoSpaceDN/>
        <w:bidi w:val="0"/>
        <w:spacing w:line="576" w:lineRule="exact"/>
        <w:ind w:firstLine="640" w:firstLineChars="200"/>
        <w:jc w:val="both"/>
        <w:textAlignment w:val="auto"/>
        <w:rPr>
          <w:rFonts w:hint="eastAsia" w:ascii="仿宋_GB2312" w:hAnsi="仿宋_GB2312" w:eastAsia="仿宋_GB2312" w:cs="仿宋_GB2312"/>
          <w:b w:val="0"/>
          <w:bCs/>
          <w:sz w:val="32"/>
          <w:szCs w:val="32"/>
        </w:rPr>
      </w:pPr>
      <w:r>
        <w:rPr>
          <w:rFonts w:hint="eastAsia" w:ascii="微软雅黑" w:hAnsi="微软雅黑" w:eastAsia="微软雅黑" w:cs="微软雅黑"/>
          <w:b/>
          <w:bCs w:val="0"/>
          <w:sz w:val="32"/>
          <w:szCs w:val="32"/>
        </w:rPr>
        <w:t>㉕</w:t>
      </w:r>
      <w:r>
        <w:rPr>
          <w:rFonts w:hint="eastAsia" w:ascii="仿宋_GB2312" w:hAnsi="仿宋_GB2312" w:eastAsia="仿宋_GB2312" w:cs="仿宋_GB2312"/>
          <w:b/>
          <w:bCs w:val="0"/>
          <w:sz w:val="32"/>
          <w:szCs w:val="32"/>
        </w:rPr>
        <w:t>广元市国土空间总体规划编制项目完成情况：</w:t>
      </w:r>
      <w:r>
        <w:rPr>
          <w:rFonts w:hint="eastAsia" w:ascii="仿宋_GB2312" w:hAnsi="仿宋_GB2312" w:eastAsia="仿宋_GB2312" w:cs="仿宋_GB2312"/>
          <w:b w:val="0"/>
          <w:bCs/>
          <w:sz w:val="32"/>
          <w:szCs w:val="32"/>
        </w:rPr>
        <w:t>该项目属于跨年度项目。2019年。我局根据国务院《关于建立国土空间规</w:t>
      </w:r>
      <w:r>
        <w:rPr>
          <w:rFonts w:hint="eastAsia" w:ascii="仿宋_GB2312" w:hAnsi="仿宋_GB2312" w:eastAsia="仿宋_GB2312" w:cs="仿宋_GB2312"/>
          <w:b w:val="0"/>
          <w:bCs/>
          <w:sz w:val="32"/>
          <w:szCs w:val="32"/>
          <w:lang w:val="zh-CN"/>
        </w:rPr>
        <w:t>划体系并监督实施的若干意见》和自然资源部《关于全面开展国土空间体系的通知》要求，经市委市政府批准同意，我局申报项目费用1200万元，政府采购中标金额1200万元，2023年财政拨款220万元，属于该项目的第四批费用，我局实际支付220万元。完成33个乡镇级片区规划、50个村级规划编制，其中今年完成5个乡镇级片区规划、11个村级规划编制工作。全面启动中心城区详细规划编制前期工作，完成凤凰山棚户区控规调整，大石前进片区控规调整及城市设计已通过市专委会议审查。《广元市中心城区户外广告规划（2022-2035年）》《广元市中心城区</w:t>
      </w:r>
      <w:r>
        <w:rPr>
          <w:rFonts w:hint="eastAsia" w:ascii="仿宋_GB2312" w:hAnsi="仿宋_GB2312" w:eastAsia="仿宋_GB2312" w:cs="仿宋_GB2312"/>
          <w:b w:val="0"/>
          <w:bCs/>
          <w:sz w:val="32"/>
          <w:szCs w:val="32"/>
        </w:rPr>
        <w:t>电动汽车充电基础设施专项规划（2022-2035年）》《广元市中心城区停车场规划（2021-2035年）》《广元市中心城区照明专项规划（2021-2035年）》已通过市规委会议审议。</w:t>
      </w:r>
    </w:p>
    <w:p w14:paraId="462B4F90">
      <w:pPr>
        <w:pageBreakBefore w:val="0"/>
        <w:widowControl w:val="0"/>
        <w:kinsoku/>
        <w:wordWrap/>
        <w:overflowPunct/>
        <w:topLinePunct w:val="0"/>
        <w:autoSpaceDE/>
        <w:autoSpaceDN/>
        <w:bidi w:val="0"/>
        <w:spacing w:line="576" w:lineRule="exact"/>
        <w:ind w:firstLine="640" w:firstLineChars="200"/>
        <w:jc w:val="both"/>
        <w:textAlignment w:val="auto"/>
        <w:rPr>
          <w:rFonts w:hint="eastAsia" w:ascii="仿宋_GB2312" w:hAnsi="仿宋_GB2312" w:eastAsia="仿宋_GB2312" w:cs="仿宋_GB2312"/>
          <w:b w:val="0"/>
          <w:bCs/>
          <w:sz w:val="32"/>
          <w:szCs w:val="32"/>
        </w:rPr>
      </w:pPr>
      <w:r>
        <w:rPr>
          <w:rFonts w:hint="eastAsia" w:ascii="微软雅黑" w:hAnsi="微软雅黑" w:eastAsia="微软雅黑" w:cs="微软雅黑"/>
          <w:b/>
          <w:bCs w:val="0"/>
          <w:sz w:val="32"/>
          <w:szCs w:val="32"/>
        </w:rPr>
        <w:t>㉖</w:t>
      </w:r>
      <w:r>
        <w:rPr>
          <w:rFonts w:hint="eastAsia" w:ascii="仿宋_GB2312" w:hAnsi="仿宋_GB2312" w:eastAsia="仿宋_GB2312" w:cs="仿宋_GB2312"/>
          <w:b/>
          <w:bCs w:val="0"/>
          <w:sz w:val="32"/>
          <w:szCs w:val="32"/>
        </w:rPr>
        <w:t>2023年广元市民宿产业投资推介会（杭州）项目完成情况：</w:t>
      </w:r>
      <w:r>
        <w:rPr>
          <w:rFonts w:hint="eastAsia" w:ascii="仿宋_GB2312" w:hAnsi="仿宋_GB2312" w:eastAsia="仿宋_GB2312" w:cs="仿宋_GB2312"/>
          <w:b w:val="0"/>
          <w:bCs/>
          <w:sz w:val="32"/>
          <w:szCs w:val="32"/>
        </w:rPr>
        <w:t>该项目属于年度追加项目，财政拨款42.79万元，实际支付42.79万元，执行率100%。主要完成推介民宿地块48宗889.73亩，签约项目8个，投资金额约36.2亿元。</w:t>
      </w:r>
    </w:p>
    <w:p w14:paraId="510304F1">
      <w:pPr>
        <w:pageBreakBefore w:val="0"/>
        <w:widowControl w:val="0"/>
        <w:kinsoku/>
        <w:wordWrap/>
        <w:overflowPunct/>
        <w:topLinePunct w:val="0"/>
        <w:autoSpaceDE/>
        <w:autoSpaceDN/>
        <w:bidi w:val="0"/>
        <w:spacing w:line="576" w:lineRule="exact"/>
        <w:ind w:firstLine="640" w:firstLineChars="200"/>
        <w:jc w:val="both"/>
        <w:textAlignment w:val="auto"/>
        <w:rPr>
          <w:rFonts w:hint="eastAsia" w:ascii="仿宋_GB2312" w:hAnsi="仿宋_GB2312" w:eastAsia="仿宋_GB2312" w:cs="仿宋_GB2312"/>
          <w:b w:val="0"/>
          <w:bCs/>
          <w:sz w:val="32"/>
          <w:szCs w:val="32"/>
        </w:rPr>
      </w:pPr>
      <w:r>
        <w:rPr>
          <w:rFonts w:hint="eastAsia" w:ascii="微软雅黑" w:hAnsi="微软雅黑" w:eastAsia="微软雅黑" w:cs="微软雅黑"/>
          <w:b/>
          <w:bCs w:val="0"/>
          <w:sz w:val="32"/>
          <w:szCs w:val="32"/>
        </w:rPr>
        <w:t>㉗</w:t>
      </w:r>
      <w:r>
        <w:rPr>
          <w:rFonts w:hint="eastAsia" w:ascii="仿宋_GB2312" w:hAnsi="仿宋_GB2312" w:eastAsia="仿宋_GB2312" w:cs="仿宋_GB2312"/>
          <w:b/>
          <w:bCs w:val="0"/>
          <w:sz w:val="32"/>
          <w:szCs w:val="32"/>
        </w:rPr>
        <w:t>2023年度广元市市本级自然资源技术辅助性服务项目工作完成情况：</w:t>
      </w:r>
      <w:r>
        <w:rPr>
          <w:rFonts w:hint="eastAsia" w:ascii="仿宋_GB2312" w:hAnsi="仿宋_GB2312" w:eastAsia="仿宋_GB2312" w:cs="仿宋_GB2312"/>
          <w:b w:val="0"/>
          <w:bCs/>
          <w:sz w:val="32"/>
          <w:szCs w:val="32"/>
        </w:rPr>
        <w:t>该项目属于年度追加项目，财政拨款328.61万元，实际支付328.61万元，执行率100%。主要完成土地报征和临时用地技术审查2000亩；城乡建设用地增减挂钩试点项目核查及整改核实15000亩；卫片执法图斑核实10000个；综合执法案件查</w:t>
      </w:r>
      <w:r>
        <w:rPr>
          <w:rFonts w:hint="eastAsia" w:ascii="仿宋_GB2312" w:hAnsi="仿宋_GB2312" w:eastAsia="仿宋_GB2312" w:cs="仿宋_GB2312"/>
          <w:b w:val="0"/>
          <w:bCs/>
          <w:sz w:val="32"/>
          <w:szCs w:val="32"/>
          <w:lang w:val="zh-CN"/>
        </w:rPr>
        <w:t>办10个；在建与生产矿山生态修复“双随机一公开”核查160个；历史遗留废弃生态修复项目“回头看”核查和项目验收核查231个；历史遗留废弃矿山未治理图斑核查99个；综合动态监测图斑市级核查150000个；年度变更调查图斑市级核查240000个；经营性用地技术服务1800亩。通过该项目的实施，一是金结余指标流转增加了政府收益；二是保障</w:t>
      </w:r>
      <w:r>
        <w:rPr>
          <w:rFonts w:hint="eastAsia" w:ascii="仿宋_GB2312" w:hAnsi="仿宋_GB2312" w:eastAsia="仿宋_GB2312" w:cs="仿宋_GB2312"/>
          <w:b w:val="0"/>
          <w:bCs/>
          <w:sz w:val="32"/>
          <w:szCs w:val="32"/>
        </w:rPr>
        <w:t>了全市新增建设用地需求；三是促进了农村生态环境的改善。</w:t>
      </w:r>
    </w:p>
    <w:p w14:paraId="0FADAABB">
      <w:pPr>
        <w:pageBreakBefore w:val="0"/>
        <w:widowControl w:val="0"/>
        <w:kinsoku/>
        <w:wordWrap/>
        <w:overflowPunct/>
        <w:topLinePunct w:val="0"/>
        <w:autoSpaceDE/>
        <w:autoSpaceDN/>
        <w:bidi w:val="0"/>
        <w:spacing w:line="576" w:lineRule="exact"/>
        <w:ind w:firstLine="640" w:firstLineChars="200"/>
        <w:jc w:val="both"/>
        <w:textAlignment w:val="auto"/>
        <w:rPr>
          <w:rFonts w:hint="eastAsia" w:ascii="仿宋_GB2312" w:hAnsi="仿宋_GB2312" w:eastAsia="仿宋_GB2312" w:cs="仿宋_GB2312"/>
          <w:b w:val="0"/>
          <w:bCs/>
          <w:sz w:val="32"/>
          <w:szCs w:val="32"/>
          <w:lang w:val="zh-CN"/>
        </w:rPr>
      </w:pPr>
      <w:r>
        <w:rPr>
          <w:rFonts w:hint="eastAsia" w:ascii="微软雅黑" w:hAnsi="微软雅黑" w:eastAsia="微软雅黑" w:cs="微软雅黑"/>
          <w:b/>
          <w:bCs w:val="0"/>
          <w:sz w:val="32"/>
          <w:szCs w:val="32"/>
        </w:rPr>
        <w:t>㉘</w:t>
      </w:r>
      <w:r>
        <w:rPr>
          <w:rFonts w:hint="eastAsia" w:ascii="仿宋_GB2312" w:hAnsi="仿宋_GB2312" w:eastAsia="仿宋_GB2312" w:cs="仿宋_GB2312"/>
          <w:b/>
          <w:bCs w:val="0"/>
          <w:sz w:val="32"/>
          <w:szCs w:val="32"/>
        </w:rPr>
        <w:t>广元市城区土地级别与基准地价更新、标定地价制定与地价动态监测项目完成情况：</w:t>
      </w:r>
      <w:r>
        <w:rPr>
          <w:rFonts w:hint="eastAsia" w:ascii="仿宋_GB2312" w:hAnsi="仿宋_GB2312" w:eastAsia="仿宋_GB2312" w:cs="仿宋_GB2312"/>
          <w:b w:val="0"/>
          <w:bCs/>
          <w:sz w:val="32"/>
          <w:szCs w:val="32"/>
        </w:rPr>
        <w:t>全年预算40万元，实际执行40万元，执行率100%。该项目已于2021年2月启动，2021年3月9日完成政府采购，中标金额50万元，完成工作报告、技术报告、数据成果4份、土地级别与基准地价图、定级因素作用分布图、样点地价分布图各4份、标准宗地、标定区域布设图及专门管理软件。2022年8月26日通过四川省自然资源厅验收，9月15日对</w:t>
      </w:r>
      <w:r>
        <w:rPr>
          <w:rFonts w:hint="eastAsia" w:ascii="仿宋_GB2312" w:hAnsi="仿宋_GB2312" w:eastAsia="仿宋_GB2312" w:cs="仿宋_GB2312"/>
          <w:b w:val="0"/>
          <w:bCs/>
          <w:sz w:val="32"/>
          <w:szCs w:val="32"/>
          <w:lang w:val="zh-CN"/>
        </w:rPr>
        <w:t>外公布实施，11月15日已在全国基准地价备案系统完成备案。通过该项目的实施，为土地市场建设、土地资产权益保护和土地宏观调控等方面提供重要支撑，提升自然资科学化管理。</w:t>
      </w:r>
    </w:p>
    <w:p w14:paraId="523BB3A6">
      <w:pPr>
        <w:pageBreakBefore w:val="0"/>
        <w:widowControl w:val="0"/>
        <w:kinsoku/>
        <w:wordWrap/>
        <w:overflowPunct/>
        <w:topLinePunct w:val="0"/>
        <w:autoSpaceDE/>
        <w:autoSpaceDN/>
        <w:bidi w:val="0"/>
        <w:spacing w:line="576" w:lineRule="exact"/>
        <w:ind w:firstLine="640" w:firstLineChars="200"/>
        <w:jc w:val="both"/>
        <w:textAlignment w:val="auto"/>
        <w:rPr>
          <w:rFonts w:hint="eastAsia" w:ascii="仿宋_GB2312" w:hAnsi="仿宋_GB2312" w:eastAsia="仿宋_GB2312" w:cs="仿宋_GB2312"/>
          <w:b w:val="0"/>
          <w:bCs/>
          <w:sz w:val="32"/>
          <w:szCs w:val="32"/>
        </w:rPr>
      </w:pPr>
      <w:r>
        <w:rPr>
          <w:rFonts w:hint="eastAsia" w:ascii="微软雅黑" w:hAnsi="微软雅黑" w:eastAsia="微软雅黑" w:cs="微软雅黑"/>
          <w:b/>
          <w:bCs w:val="0"/>
          <w:sz w:val="32"/>
          <w:szCs w:val="32"/>
        </w:rPr>
        <w:t>㉙</w:t>
      </w:r>
      <w:r>
        <w:rPr>
          <w:rFonts w:hint="eastAsia" w:ascii="仿宋_GB2312" w:hAnsi="仿宋_GB2312" w:eastAsia="仿宋_GB2312" w:cs="仿宋_GB2312"/>
          <w:b/>
          <w:bCs w:val="0"/>
          <w:sz w:val="32"/>
          <w:szCs w:val="32"/>
        </w:rPr>
        <w:t>解缴广元市利州区2023年第5批次建设用地被征地农民社保资金预存款项目完成情况：</w:t>
      </w:r>
      <w:r>
        <w:rPr>
          <w:rFonts w:hint="eastAsia" w:ascii="仿宋_GB2312" w:hAnsi="仿宋_GB2312" w:eastAsia="仿宋_GB2312" w:cs="仿宋_GB2312"/>
          <w:b w:val="0"/>
          <w:bCs/>
          <w:sz w:val="32"/>
          <w:szCs w:val="32"/>
        </w:rPr>
        <w:t>该项目属于年度追加项目。财政拨款6257.28万元，实际支付6257.28万元，执行率100%。主要完成大稻坝、雪峰小学周边、莲花片区经营性用地转建设用地</w:t>
      </w:r>
      <w:r>
        <w:rPr>
          <w:rFonts w:hint="eastAsia" w:ascii="仿宋_GB2312" w:hAnsi="仿宋_GB2312" w:eastAsia="仿宋_GB2312" w:cs="仿宋_GB2312"/>
          <w:b w:val="0"/>
          <w:bCs/>
          <w:sz w:val="32"/>
          <w:szCs w:val="32"/>
          <w:lang w:val="zh-CN"/>
        </w:rPr>
        <w:t>13.714公顷报征手续，通过该项目的实施，一是金结余指标流转增加了政府收益；二是保障了全市新增建设用地需求；三是促</w:t>
      </w:r>
      <w:r>
        <w:rPr>
          <w:rFonts w:hint="eastAsia" w:ascii="仿宋_GB2312" w:hAnsi="仿宋_GB2312" w:eastAsia="仿宋_GB2312" w:cs="仿宋_GB2312"/>
          <w:b w:val="0"/>
          <w:bCs/>
          <w:sz w:val="32"/>
          <w:szCs w:val="32"/>
        </w:rPr>
        <w:t>进了农村生态环境的改善。确保建设项目用地的合法性，促进我市的经济建设。</w:t>
      </w:r>
    </w:p>
    <w:p w14:paraId="0A8A346F">
      <w:pPr>
        <w:keepNext w:val="0"/>
        <w:keepLines w:val="0"/>
        <w:pageBreakBefore w:val="0"/>
        <w:numPr>
          <w:ilvl w:val="0"/>
          <w:numId w:val="0"/>
        </w:numPr>
        <w:kinsoku/>
        <w:wordWrap/>
        <w:overflowPunct/>
        <w:topLinePunct w:val="0"/>
        <w:autoSpaceDE/>
        <w:autoSpaceDN/>
        <w:bidi w:val="0"/>
        <w:spacing w:line="540" w:lineRule="exact"/>
        <w:ind w:firstLine="643" w:firstLineChars="200"/>
        <w:textAlignment w:val="auto"/>
        <w:rPr>
          <w:rFonts w:hint="eastAsia" w:ascii="楷体_GB2312" w:hAnsi="宋体" w:eastAsia="楷体_GB2312" w:cs="Times New Roman"/>
          <w:b/>
          <w:bCs w:val="0"/>
          <w:color w:val="auto"/>
          <w:sz w:val="32"/>
          <w:szCs w:val="32"/>
          <w:highlight w:val="none"/>
          <w:u w:val="none"/>
          <w:lang w:val="zh-CN" w:eastAsia="zh-CN"/>
        </w:rPr>
      </w:pPr>
      <w:r>
        <w:rPr>
          <w:rFonts w:hint="eastAsia" w:ascii="楷体_GB2312" w:hAnsi="宋体" w:eastAsia="楷体_GB2312" w:cs="Times New Roman"/>
          <w:b/>
          <w:bCs w:val="0"/>
          <w:color w:val="auto"/>
          <w:sz w:val="32"/>
          <w:szCs w:val="32"/>
          <w:highlight w:val="none"/>
          <w:u w:val="none"/>
          <w:lang w:val="zh-CN" w:eastAsia="zh-CN"/>
        </w:rPr>
        <w:t>（三）绩效结果应用情况。</w:t>
      </w:r>
    </w:p>
    <w:p w14:paraId="5889E878">
      <w:pPr>
        <w:pageBreakBefore w:val="0"/>
        <w:widowControl w:val="0"/>
        <w:kinsoku/>
        <w:wordWrap/>
        <w:overflowPunct/>
        <w:topLinePunct w:val="0"/>
        <w:autoSpaceDE/>
        <w:autoSpaceDN/>
        <w:bidi w:val="0"/>
        <w:spacing w:line="576" w:lineRule="exact"/>
        <w:ind w:firstLine="640" w:firstLineChars="200"/>
        <w:jc w:val="both"/>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一是按要求将绩效目标随同部门年初预算同步公开，将绩效目标完成情况、部门整体支出绩效自评报告等绩效信息随同部门年终决算公开。二是注重结果运用，将绩效评价结果作为以后年</w:t>
      </w:r>
      <w:r>
        <w:rPr>
          <w:rFonts w:hint="eastAsia" w:ascii="仿宋_GB2312" w:hAnsi="仿宋_GB2312" w:eastAsia="仿宋_GB2312" w:cs="仿宋_GB2312"/>
          <w:b w:val="0"/>
          <w:bCs/>
          <w:sz w:val="32"/>
          <w:szCs w:val="32"/>
          <w:lang w:val="zh-CN"/>
        </w:rPr>
        <w:t>度预算申请、安排、分配的重要依据。三是将相关科室、直属事业单位预算绩效管理纳入部门年度考核。四是在绩效管理过程中（包括绩效目标</w:t>
      </w:r>
      <w:r>
        <w:rPr>
          <w:rFonts w:hint="eastAsia" w:ascii="仿宋_GB2312" w:hAnsi="仿宋_GB2312" w:eastAsia="仿宋_GB2312" w:cs="仿宋_GB2312"/>
          <w:b w:val="0"/>
          <w:bCs/>
          <w:sz w:val="32"/>
          <w:szCs w:val="32"/>
        </w:rPr>
        <w:t>核查、绩效监控核查和重点绩效评价）我局未出现需要整改反馈的问题。</w:t>
      </w:r>
    </w:p>
    <w:p w14:paraId="649E9243">
      <w:pPr>
        <w:pageBreakBefore w:val="0"/>
        <w:widowControl w:val="0"/>
        <w:kinsoku/>
        <w:wordWrap/>
        <w:overflowPunct/>
        <w:topLinePunct w:val="0"/>
        <w:autoSpaceDE/>
        <w:autoSpaceDN/>
        <w:bidi w:val="0"/>
        <w:adjustRightInd w:val="0"/>
        <w:snapToGrid w:val="0"/>
        <w:spacing w:line="576" w:lineRule="exact"/>
        <w:ind w:firstLine="640" w:firstLineChars="200"/>
        <w:contextualSpacing/>
        <w:jc w:val="both"/>
        <w:textAlignment w:val="auto"/>
        <w:rPr>
          <w:rFonts w:hint="eastAsia" w:ascii="黑体" w:hAnsi="黑体" w:eastAsia="黑体" w:cs="黑体"/>
          <w:b w:val="0"/>
          <w:bCs/>
          <w:color w:val="000000"/>
          <w:kern w:val="0"/>
          <w:sz w:val="32"/>
          <w:szCs w:val="32"/>
          <w:shd w:val="clear" w:color="auto" w:fill="FFFFFF"/>
        </w:rPr>
      </w:pPr>
      <w:r>
        <w:rPr>
          <w:rFonts w:hint="eastAsia" w:ascii="黑体" w:hAnsi="黑体" w:eastAsia="黑体" w:cs="黑体"/>
          <w:b w:val="0"/>
          <w:bCs/>
          <w:color w:val="000000"/>
          <w:kern w:val="0"/>
          <w:sz w:val="32"/>
          <w:szCs w:val="32"/>
          <w:shd w:val="clear" w:color="auto" w:fill="FFFFFF"/>
        </w:rPr>
        <w:t>四、评价结论及建议</w:t>
      </w:r>
    </w:p>
    <w:p w14:paraId="6DE364BE">
      <w:pPr>
        <w:keepNext w:val="0"/>
        <w:keepLines w:val="0"/>
        <w:pageBreakBefore w:val="0"/>
        <w:numPr>
          <w:ilvl w:val="0"/>
          <w:numId w:val="0"/>
        </w:numPr>
        <w:kinsoku/>
        <w:wordWrap/>
        <w:overflowPunct/>
        <w:topLinePunct w:val="0"/>
        <w:autoSpaceDE/>
        <w:autoSpaceDN/>
        <w:bidi w:val="0"/>
        <w:spacing w:line="540" w:lineRule="exact"/>
        <w:ind w:firstLine="643" w:firstLineChars="200"/>
        <w:textAlignment w:val="auto"/>
        <w:rPr>
          <w:rFonts w:hint="eastAsia" w:ascii="仿宋_GB2312" w:hAnsi="仿宋_GB2312" w:eastAsia="仿宋_GB2312" w:cs="仿宋_GB2312"/>
          <w:b w:val="0"/>
          <w:bCs/>
          <w:sz w:val="32"/>
          <w:szCs w:val="32"/>
          <w:lang w:val="zh-CN"/>
        </w:rPr>
      </w:pPr>
      <w:r>
        <w:rPr>
          <w:rFonts w:hint="eastAsia" w:ascii="楷体_GB2312" w:hAnsi="宋体" w:eastAsia="楷体_GB2312" w:cs="Times New Roman"/>
          <w:b/>
          <w:bCs w:val="0"/>
          <w:color w:val="auto"/>
          <w:sz w:val="32"/>
          <w:szCs w:val="32"/>
          <w:highlight w:val="none"/>
          <w:u w:val="none"/>
          <w:lang w:val="zh-CN" w:eastAsia="zh-CN"/>
        </w:rPr>
        <w:t>（一）评价结论。</w:t>
      </w:r>
      <w:r>
        <w:rPr>
          <w:rFonts w:hint="eastAsia" w:ascii="仿宋_GB2312" w:hAnsi="仿宋_GB2312" w:eastAsia="仿宋_GB2312" w:cs="仿宋_GB2312"/>
          <w:b w:val="0"/>
          <w:bCs/>
          <w:sz w:val="32"/>
          <w:szCs w:val="32"/>
        </w:rPr>
        <w:t>按</w:t>
      </w:r>
      <w:r>
        <w:rPr>
          <w:rFonts w:hint="eastAsia" w:ascii="仿宋_GB2312" w:hAnsi="仿宋_GB2312" w:eastAsia="仿宋_GB2312" w:cs="仿宋_GB2312"/>
          <w:b w:val="0"/>
          <w:bCs/>
          <w:sz w:val="32"/>
          <w:szCs w:val="32"/>
          <w:lang w:val="zh-CN"/>
        </w:rPr>
        <w:t>照《部门整体支出绩效评价指标体系》，自评得分99分。广元市自然资源局严格执行财经纪律、法规和各项规章制度，加强财务管理，规范会计核算，资金高效运行。项目决策科学，依据充分，项目管理规范；绩效执行进度达到预期；项目完成效果好，实施后达到了预期目的，促进了广元自然资源事业管理的高效发展。</w:t>
      </w:r>
    </w:p>
    <w:p w14:paraId="37926A8F">
      <w:pPr>
        <w:pageBreakBefore w:val="0"/>
        <w:widowControl w:val="0"/>
        <w:kinsoku/>
        <w:wordWrap/>
        <w:overflowPunct/>
        <w:topLinePunct w:val="0"/>
        <w:autoSpaceDE/>
        <w:autoSpaceDN/>
        <w:bidi w:val="0"/>
        <w:adjustRightInd w:val="0"/>
        <w:snapToGrid w:val="0"/>
        <w:spacing w:line="576" w:lineRule="exact"/>
        <w:ind w:firstLine="643" w:firstLineChars="200"/>
        <w:contextualSpacing/>
        <w:jc w:val="both"/>
        <w:textAlignment w:val="auto"/>
        <w:rPr>
          <w:rFonts w:hint="eastAsia" w:ascii="仿宋_GB2312" w:hAnsi="仿宋_GB2312" w:eastAsia="仿宋_GB2312" w:cs="仿宋_GB2312"/>
          <w:b w:val="0"/>
          <w:bCs/>
          <w:sz w:val="32"/>
          <w:szCs w:val="32"/>
          <w:lang w:val="zh-CN"/>
        </w:rPr>
      </w:pPr>
      <w:r>
        <w:rPr>
          <w:rFonts w:hint="eastAsia" w:ascii="楷体_GB2312" w:hAnsi="宋体" w:eastAsia="楷体_GB2312" w:cs="Times New Roman"/>
          <w:b/>
          <w:bCs w:val="0"/>
          <w:color w:val="auto"/>
          <w:sz w:val="32"/>
          <w:szCs w:val="32"/>
          <w:highlight w:val="none"/>
          <w:u w:val="none"/>
          <w:lang w:val="zh-CN" w:eastAsia="zh-CN"/>
        </w:rPr>
        <w:t>（二）改进建议。</w:t>
      </w:r>
      <w:r>
        <w:rPr>
          <w:rFonts w:hint="eastAsia" w:ascii="仿宋_GB2312" w:hAnsi="仿宋_GB2312" w:eastAsia="仿宋_GB2312" w:cs="仿宋_GB2312"/>
          <w:b w:val="0"/>
          <w:bCs/>
          <w:sz w:val="32"/>
          <w:szCs w:val="32"/>
          <w:lang w:val="zh-CN" w:eastAsia="zh-CN"/>
        </w:rPr>
        <w:t>市</w:t>
      </w:r>
      <w:r>
        <w:rPr>
          <w:rFonts w:hint="eastAsia" w:ascii="仿宋_GB2312" w:hAnsi="仿宋_GB2312" w:eastAsia="仿宋_GB2312" w:cs="仿宋_GB2312"/>
          <w:b w:val="0"/>
          <w:bCs/>
          <w:sz w:val="32"/>
          <w:szCs w:val="32"/>
        </w:rPr>
        <w:t>财政加</w:t>
      </w:r>
      <w:r>
        <w:rPr>
          <w:rFonts w:hint="eastAsia" w:ascii="仿宋_GB2312" w:hAnsi="仿宋_GB2312" w:eastAsia="仿宋_GB2312" w:cs="仿宋_GB2312"/>
          <w:b w:val="0"/>
          <w:bCs/>
          <w:sz w:val="32"/>
          <w:szCs w:val="32"/>
          <w:lang w:val="zh-CN"/>
        </w:rPr>
        <w:t>强对预算单位绩效评价工作的培训和指导，规范部门预算收支核算，切实提高部门预算收支管理水平，进一步优化项目考核指标体系，做到合理性与可操作性的有机统一。</w:t>
      </w:r>
    </w:p>
    <w:p w14:paraId="5B6EF956">
      <w:pPr>
        <w:pStyle w:val="25"/>
        <w:pageBreakBefore w:val="0"/>
        <w:widowControl w:val="0"/>
        <w:kinsoku/>
        <w:wordWrap/>
        <w:overflowPunct/>
        <w:topLinePunct w:val="0"/>
        <w:autoSpaceDE/>
        <w:autoSpaceDN/>
        <w:bidi w:val="0"/>
        <w:spacing w:before="0" w:after="0" w:line="576" w:lineRule="exact"/>
        <w:textAlignment w:val="auto"/>
        <w:rPr>
          <w:rFonts w:hint="eastAsia"/>
        </w:rPr>
      </w:pPr>
    </w:p>
    <w:p w14:paraId="1C0209A2">
      <w:pPr>
        <w:pageBreakBefore w:val="0"/>
        <w:widowControl w:val="0"/>
        <w:kinsoku/>
        <w:wordWrap/>
        <w:overflowPunct/>
        <w:topLinePunct w:val="0"/>
        <w:autoSpaceDE/>
        <w:autoSpaceDN/>
        <w:bidi w:val="0"/>
        <w:spacing w:line="576" w:lineRule="exact"/>
        <w:ind w:firstLine="640" w:firstLineChars="200"/>
        <w:jc w:val="both"/>
        <w:textAlignment w:val="auto"/>
        <w:rPr>
          <w:rFonts w:hint="eastAsia" w:ascii="仿宋_GB2312" w:hAnsi="仿宋_GB2312" w:eastAsia="仿宋_GB2312" w:cs="仿宋_GB2312"/>
          <w:b w:val="0"/>
          <w:bCs/>
          <w:color w:val="000000"/>
          <w:kern w:val="0"/>
          <w:sz w:val="32"/>
          <w:szCs w:val="32"/>
          <w:shd w:val="clear" w:color="auto" w:fill="FFFFFF"/>
        </w:rPr>
      </w:pPr>
      <w:r>
        <w:rPr>
          <w:rFonts w:hint="eastAsia" w:ascii="仿宋_GB2312" w:hAnsi="仿宋_GB2312" w:eastAsia="仿宋_GB2312" w:cs="仿宋_GB2312"/>
          <w:b w:val="0"/>
          <w:bCs/>
          <w:color w:val="000000"/>
          <w:kern w:val="0"/>
          <w:sz w:val="32"/>
          <w:szCs w:val="32"/>
          <w:shd w:val="clear" w:color="auto" w:fill="FFFFFF"/>
        </w:rPr>
        <w:t>附表：部门整体支出绩效目标完成情况自评表</w:t>
      </w:r>
    </w:p>
    <w:p w14:paraId="29480B11">
      <w:pPr>
        <w:pageBreakBefore w:val="0"/>
        <w:widowControl w:val="0"/>
        <w:kinsoku/>
        <w:wordWrap/>
        <w:overflowPunct/>
        <w:topLinePunct w:val="0"/>
        <w:autoSpaceDE/>
        <w:autoSpaceDN/>
        <w:bidi w:val="0"/>
        <w:adjustRightInd/>
        <w:snapToGrid/>
        <w:spacing w:line="560" w:lineRule="exact"/>
        <w:ind w:firstLine="0" w:firstLineChars="0"/>
        <w:jc w:val="both"/>
        <w:textAlignment w:val="auto"/>
        <w:rPr>
          <w:rFonts w:hint="eastAsia" w:ascii="黑体" w:hAnsi="黑体" w:eastAsia="黑体" w:cs="黑体"/>
          <w:b w:val="0"/>
          <w:bCs/>
          <w:sz w:val="32"/>
          <w:szCs w:val="32"/>
        </w:rPr>
      </w:pPr>
      <w:r>
        <w:rPr>
          <w:rFonts w:hint="eastAsia" w:ascii="仿宋_GB2312" w:hAnsi="仿宋_GB2312" w:eastAsia="仿宋_GB2312" w:cs="仿宋_GB2312"/>
          <w:b w:val="0"/>
          <w:bCs/>
          <w:color w:val="000000"/>
          <w:kern w:val="0"/>
          <w:sz w:val="32"/>
          <w:szCs w:val="32"/>
          <w:shd w:val="clear" w:color="auto" w:fill="FFFFFF"/>
        </w:rPr>
        <w:br w:type="page"/>
      </w:r>
      <w:r>
        <w:rPr>
          <w:rFonts w:hint="eastAsia" w:ascii="黑体" w:hAnsi="黑体" w:eastAsia="黑体" w:cs="黑体"/>
          <w:b w:val="0"/>
          <w:bCs/>
          <w:sz w:val="32"/>
          <w:szCs w:val="32"/>
        </w:rPr>
        <w:t>附表</w:t>
      </w:r>
    </w:p>
    <w:p w14:paraId="64C83D4E">
      <w:pPr>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eastAsia="方正小标宋简体"/>
          <w:b w:val="0"/>
          <w:bCs/>
          <w:color w:val="000000"/>
          <w:kern w:val="0"/>
          <w:sz w:val="44"/>
          <w:szCs w:val="44"/>
          <w:lang w:bidi="ar"/>
        </w:rPr>
      </w:pPr>
      <w:r>
        <w:rPr>
          <w:rFonts w:eastAsia="方正小标宋简体"/>
          <w:b w:val="0"/>
          <w:bCs/>
          <w:color w:val="000000"/>
          <w:kern w:val="0"/>
          <w:sz w:val="44"/>
          <w:szCs w:val="44"/>
          <w:lang w:bidi="ar"/>
        </w:rPr>
        <w:t>部门整体支出绩效目标完成情况自评表</w:t>
      </w:r>
    </w:p>
    <w:p w14:paraId="7CEC9898">
      <w:pPr>
        <w:pageBreakBefore w:val="0"/>
        <w:widowControl w:val="0"/>
        <w:kinsoku/>
        <w:wordWrap/>
        <w:overflowPunct/>
        <w:topLinePunct w:val="0"/>
        <w:autoSpaceDE/>
        <w:autoSpaceDN/>
        <w:bidi w:val="0"/>
        <w:adjustRightInd/>
        <w:snapToGrid/>
        <w:spacing w:line="300" w:lineRule="exact"/>
        <w:jc w:val="center"/>
        <w:textAlignment w:val="auto"/>
        <w:rPr>
          <w:rFonts w:hint="eastAsia" w:ascii="楷体_GB2312" w:hAnsi="楷体_GB2312" w:eastAsia="楷体_GB2312" w:cs="楷体_GB2312"/>
          <w:b w:val="0"/>
          <w:bCs/>
          <w:color w:val="000000"/>
          <w:kern w:val="0"/>
          <w:sz w:val="28"/>
          <w:szCs w:val="28"/>
          <w:lang w:bidi="ar"/>
        </w:rPr>
      </w:pPr>
      <w:r>
        <w:rPr>
          <w:rFonts w:hint="eastAsia" w:ascii="楷体_GB2312" w:hAnsi="楷体_GB2312" w:eastAsia="楷体_GB2312" w:cs="楷体_GB2312"/>
          <w:b w:val="0"/>
          <w:bCs/>
          <w:color w:val="000000"/>
          <w:kern w:val="0"/>
          <w:sz w:val="28"/>
          <w:szCs w:val="28"/>
          <w:lang w:bidi="ar"/>
        </w:rPr>
        <w:t>（2023年度）</w:t>
      </w:r>
    </w:p>
    <w:p w14:paraId="1E1FDC7A">
      <w:pPr>
        <w:pStyle w:val="25"/>
        <w:pageBreakBefore w:val="0"/>
        <w:widowControl w:val="0"/>
        <w:kinsoku/>
        <w:wordWrap/>
        <w:overflowPunct/>
        <w:topLinePunct w:val="0"/>
        <w:autoSpaceDE/>
        <w:autoSpaceDN/>
        <w:bidi w:val="0"/>
        <w:adjustRightInd/>
        <w:snapToGrid/>
        <w:spacing w:before="0" w:after="0" w:line="300" w:lineRule="exact"/>
        <w:jc w:val="right"/>
        <w:textAlignment w:val="auto"/>
      </w:pPr>
      <w:r>
        <w:rPr>
          <w:rFonts w:hint="eastAsia" w:ascii="宋体" w:hAnsi="宋体" w:eastAsia="宋体" w:cs="宋体"/>
          <w:b w:val="0"/>
          <w:bCs/>
          <w:color w:val="000000"/>
          <w:kern w:val="0"/>
          <w:sz w:val="21"/>
          <w:szCs w:val="21"/>
          <w:lang w:bidi="ar"/>
        </w:rPr>
        <w:t>单位：万元</w:t>
      </w:r>
    </w:p>
    <w:tbl>
      <w:tblPr>
        <w:tblStyle w:val="17"/>
        <w:tblW w:w="94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214"/>
        <w:gridCol w:w="960"/>
        <w:gridCol w:w="1100"/>
        <w:gridCol w:w="1763"/>
        <w:gridCol w:w="960"/>
        <w:gridCol w:w="806"/>
        <w:gridCol w:w="1056"/>
        <w:gridCol w:w="660"/>
        <w:gridCol w:w="945"/>
      </w:tblGrid>
      <w:tr w14:paraId="17199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74" w:hRule="atLeast"/>
          <w:jc w:val="center"/>
        </w:trPr>
        <w:tc>
          <w:tcPr>
            <w:tcW w:w="3274" w:type="dxa"/>
            <w:gridSpan w:val="3"/>
            <w:shd w:val="clear" w:color="auto" w:fill="auto"/>
            <w:vAlign w:val="center"/>
          </w:tcPr>
          <w:p w14:paraId="66D83A03">
            <w:pPr>
              <w:pageBreakBefore w:val="0"/>
              <w:widowControl w:val="0"/>
              <w:kinsoku/>
              <w:wordWrap/>
              <w:overflowPunct/>
              <w:topLinePunct w:val="0"/>
              <w:autoSpaceDE/>
              <w:autoSpaceDN/>
              <w:bidi w:val="0"/>
              <w:adjustRightInd/>
              <w:snapToGrid/>
              <w:spacing w:line="260" w:lineRule="exact"/>
              <w:jc w:val="center"/>
              <w:textAlignment w:val="center"/>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kern w:val="0"/>
                <w:sz w:val="24"/>
                <w:szCs w:val="24"/>
                <w:lang w:bidi="ar"/>
              </w:rPr>
              <w:t>部门名称</w:t>
            </w:r>
          </w:p>
        </w:tc>
        <w:tc>
          <w:tcPr>
            <w:tcW w:w="6190" w:type="dxa"/>
            <w:gridSpan w:val="6"/>
            <w:shd w:val="clear" w:color="auto" w:fill="auto"/>
            <w:vAlign w:val="center"/>
          </w:tcPr>
          <w:p w14:paraId="6137C1B4">
            <w:pPr>
              <w:pageBreakBefore w:val="0"/>
              <w:widowControl w:val="0"/>
              <w:kinsoku/>
              <w:wordWrap/>
              <w:overflowPunct/>
              <w:topLinePunct w:val="0"/>
              <w:autoSpaceDE/>
              <w:autoSpaceDN/>
              <w:bidi w:val="0"/>
              <w:adjustRightInd/>
              <w:snapToGrid/>
              <w:spacing w:line="260" w:lineRule="exact"/>
              <w:jc w:val="center"/>
              <w:textAlignment w:val="center"/>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kern w:val="0"/>
                <w:sz w:val="24"/>
                <w:szCs w:val="24"/>
                <w:lang w:bidi="ar"/>
              </w:rPr>
              <w:t>广元市自然资源局</w:t>
            </w:r>
          </w:p>
        </w:tc>
      </w:tr>
      <w:tr w14:paraId="3D43F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92" w:hRule="atLeast"/>
          <w:jc w:val="center"/>
        </w:trPr>
        <w:tc>
          <w:tcPr>
            <w:tcW w:w="1214" w:type="dxa"/>
            <w:vMerge w:val="restart"/>
            <w:shd w:val="clear" w:color="auto" w:fill="auto"/>
            <w:vAlign w:val="center"/>
          </w:tcPr>
          <w:p w14:paraId="4D8C8906">
            <w:pPr>
              <w:pageBreakBefore w:val="0"/>
              <w:widowControl w:val="0"/>
              <w:kinsoku/>
              <w:wordWrap/>
              <w:overflowPunct/>
              <w:topLinePunct w:val="0"/>
              <w:autoSpaceDE/>
              <w:autoSpaceDN/>
              <w:bidi w:val="0"/>
              <w:adjustRightInd/>
              <w:snapToGrid/>
              <w:spacing w:line="260" w:lineRule="exact"/>
              <w:jc w:val="center"/>
              <w:textAlignment w:val="center"/>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kern w:val="0"/>
                <w:sz w:val="24"/>
                <w:szCs w:val="24"/>
                <w:lang w:bidi="ar"/>
              </w:rPr>
              <w:t>年度部门整体支出预算</w:t>
            </w:r>
          </w:p>
        </w:tc>
        <w:tc>
          <w:tcPr>
            <w:tcW w:w="2060" w:type="dxa"/>
            <w:gridSpan w:val="2"/>
            <w:shd w:val="clear" w:color="auto" w:fill="auto"/>
            <w:vAlign w:val="center"/>
          </w:tcPr>
          <w:p w14:paraId="4B682352">
            <w:pPr>
              <w:pageBreakBefore w:val="0"/>
              <w:widowControl w:val="0"/>
              <w:kinsoku/>
              <w:wordWrap/>
              <w:overflowPunct/>
              <w:topLinePunct w:val="0"/>
              <w:autoSpaceDE/>
              <w:autoSpaceDN/>
              <w:bidi w:val="0"/>
              <w:adjustRightInd/>
              <w:snapToGrid/>
              <w:spacing w:line="260" w:lineRule="exact"/>
              <w:jc w:val="center"/>
              <w:textAlignment w:val="center"/>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kern w:val="0"/>
                <w:sz w:val="24"/>
                <w:szCs w:val="24"/>
                <w:lang w:bidi="ar"/>
              </w:rPr>
              <w:t>资金总额</w:t>
            </w:r>
          </w:p>
        </w:tc>
        <w:tc>
          <w:tcPr>
            <w:tcW w:w="2723" w:type="dxa"/>
            <w:gridSpan w:val="2"/>
            <w:shd w:val="clear" w:color="auto" w:fill="auto"/>
            <w:vAlign w:val="center"/>
          </w:tcPr>
          <w:p w14:paraId="2485D38C">
            <w:pPr>
              <w:pageBreakBefore w:val="0"/>
              <w:widowControl w:val="0"/>
              <w:kinsoku/>
              <w:wordWrap/>
              <w:overflowPunct/>
              <w:topLinePunct w:val="0"/>
              <w:autoSpaceDE/>
              <w:autoSpaceDN/>
              <w:bidi w:val="0"/>
              <w:adjustRightInd/>
              <w:snapToGrid/>
              <w:spacing w:line="260" w:lineRule="exact"/>
              <w:jc w:val="center"/>
              <w:textAlignment w:val="center"/>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kern w:val="0"/>
                <w:sz w:val="24"/>
                <w:szCs w:val="24"/>
                <w:lang w:bidi="ar"/>
              </w:rPr>
              <w:t>财政拨款</w:t>
            </w:r>
          </w:p>
        </w:tc>
        <w:tc>
          <w:tcPr>
            <w:tcW w:w="3467" w:type="dxa"/>
            <w:gridSpan w:val="4"/>
            <w:shd w:val="clear" w:color="auto" w:fill="auto"/>
            <w:vAlign w:val="center"/>
          </w:tcPr>
          <w:p w14:paraId="1D424803">
            <w:pPr>
              <w:pageBreakBefore w:val="0"/>
              <w:widowControl w:val="0"/>
              <w:kinsoku/>
              <w:wordWrap/>
              <w:overflowPunct/>
              <w:topLinePunct w:val="0"/>
              <w:autoSpaceDE/>
              <w:autoSpaceDN/>
              <w:bidi w:val="0"/>
              <w:adjustRightInd/>
              <w:snapToGrid/>
              <w:spacing w:line="260" w:lineRule="exact"/>
              <w:jc w:val="center"/>
              <w:textAlignment w:val="center"/>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kern w:val="0"/>
                <w:sz w:val="24"/>
                <w:szCs w:val="24"/>
                <w:lang w:bidi="ar"/>
              </w:rPr>
              <w:t>其他资金</w:t>
            </w:r>
          </w:p>
        </w:tc>
      </w:tr>
      <w:tr w14:paraId="6654B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214" w:type="dxa"/>
            <w:vMerge w:val="continue"/>
            <w:shd w:val="clear" w:color="auto" w:fill="auto"/>
            <w:vAlign w:val="center"/>
          </w:tcPr>
          <w:p w14:paraId="455C29C4">
            <w:pPr>
              <w:pageBreakBefore w:val="0"/>
              <w:widowControl w:val="0"/>
              <w:kinsoku/>
              <w:wordWrap/>
              <w:overflowPunct/>
              <w:topLinePunct w:val="0"/>
              <w:autoSpaceDE/>
              <w:autoSpaceDN/>
              <w:bidi w:val="0"/>
              <w:adjustRightInd/>
              <w:snapToGrid/>
              <w:spacing w:line="260" w:lineRule="exact"/>
              <w:jc w:val="center"/>
              <w:rPr>
                <w:rFonts w:hint="eastAsia" w:ascii="仿宋_GB2312" w:hAnsi="仿宋_GB2312" w:eastAsia="仿宋_GB2312" w:cs="仿宋_GB2312"/>
                <w:b w:val="0"/>
                <w:bCs/>
                <w:color w:val="000000"/>
                <w:sz w:val="24"/>
                <w:szCs w:val="24"/>
              </w:rPr>
            </w:pPr>
          </w:p>
        </w:tc>
        <w:tc>
          <w:tcPr>
            <w:tcW w:w="2060" w:type="dxa"/>
            <w:gridSpan w:val="2"/>
            <w:shd w:val="clear" w:color="auto" w:fill="auto"/>
            <w:vAlign w:val="center"/>
          </w:tcPr>
          <w:p w14:paraId="5C6C4083">
            <w:pPr>
              <w:pageBreakBefore w:val="0"/>
              <w:widowControl w:val="0"/>
              <w:kinsoku/>
              <w:wordWrap/>
              <w:overflowPunct/>
              <w:topLinePunct w:val="0"/>
              <w:autoSpaceDE/>
              <w:autoSpaceDN/>
              <w:bidi w:val="0"/>
              <w:adjustRightInd/>
              <w:snapToGrid/>
              <w:spacing w:line="260" w:lineRule="exact"/>
              <w:jc w:val="center"/>
              <w:textAlignment w:val="center"/>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21933.47</w:t>
            </w:r>
          </w:p>
        </w:tc>
        <w:tc>
          <w:tcPr>
            <w:tcW w:w="2723" w:type="dxa"/>
            <w:gridSpan w:val="2"/>
            <w:shd w:val="clear" w:color="auto" w:fill="auto"/>
            <w:vAlign w:val="center"/>
          </w:tcPr>
          <w:p w14:paraId="7AC03FEF">
            <w:pPr>
              <w:pageBreakBefore w:val="0"/>
              <w:widowControl w:val="0"/>
              <w:kinsoku/>
              <w:wordWrap/>
              <w:overflowPunct/>
              <w:topLinePunct w:val="0"/>
              <w:autoSpaceDE/>
              <w:autoSpaceDN/>
              <w:bidi w:val="0"/>
              <w:adjustRightInd/>
              <w:snapToGrid/>
              <w:spacing w:line="260" w:lineRule="exact"/>
              <w:jc w:val="center"/>
              <w:textAlignment w:val="center"/>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21737.91</w:t>
            </w:r>
          </w:p>
        </w:tc>
        <w:tc>
          <w:tcPr>
            <w:tcW w:w="3467" w:type="dxa"/>
            <w:gridSpan w:val="4"/>
            <w:shd w:val="clear" w:color="auto" w:fill="auto"/>
            <w:vAlign w:val="center"/>
          </w:tcPr>
          <w:p w14:paraId="6C268EEF">
            <w:pPr>
              <w:pageBreakBefore w:val="0"/>
              <w:widowControl w:val="0"/>
              <w:kinsoku/>
              <w:wordWrap/>
              <w:overflowPunct/>
              <w:topLinePunct w:val="0"/>
              <w:autoSpaceDE/>
              <w:autoSpaceDN/>
              <w:bidi w:val="0"/>
              <w:adjustRightInd/>
              <w:snapToGrid/>
              <w:spacing w:line="260" w:lineRule="exact"/>
              <w:jc w:val="center"/>
              <w:textAlignment w:val="center"/>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195.56</w:t>
            </w:r>
          </w:p>
        </w:tc>
      </w:tr>
      <w:tr w14:paraId="5D990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214" w:type="dxa"/>
            <w:shd w:val="clear" w:color="auto" w:fill="auto"/>
            <w:vAlign w:val="center"/>
          </w:tcPr>
          <w:p w14:paraId="6B02FDFF">
            <w:pPr>
              <w:pageBreakBefore w:val="0"/>
              <w:widowControl w:val="0"/>
              <w:kinsoku/>
              <w:wordWrap/>
              <w:overflowPunct/>
              <w:topLinePunct w:val="0"/>
              <w:autoSpaceDE/>
              <w:autoSpaceDN/>
              <w:bidi w:val="0"/>
              <w:adjustRightInd/>
              <w:snapToGrid/>
              <w:spacing w:line="260" w:lineRule="exact"/>
              <w:jc w:val="center"/>
              <w:textAlignment w:val="center"/>
              <w:rPr>
                <w:rFonts w:hint="eastAsia" w:ascii="仿宋_GB2312" w:hAnsi="仿宋_GB2312" w:eastAsia="仿宋_GB2312" w:cs="仿宋_GB2312"/>
                <w:b w:val="0"/>
                <w:bCs/>
                <w:color w:val="000000"/>
                <w:kern w:val="0"/>
                <w:sz w:val="24"/>
                <w:szCs w:val="24"/>
                <w:lang w:bidi="ar"/>
              </w:rPr>
            </w:pPr>
            <w:r>
              <w:rPr>
                <w:rFonts w:hint="eastAsia" w:ascii="仿宋_GB2312" w:hAnsi="仿宋_GB2312" w:eastAsia="仿宋_GB2312" w:cs="仿宋_GB2312"/>
                <w:b w:val="0"/>
                <w:bCs/>
                <w:color w:val="000000"/>
                <w:kern w:val="0"/>
                <w:sz w:val="24"/>
                <w:szCs w:val="24"/>
                <w:lang w:bidi="ar"/>
              </w:rPr>
              <w:t>年度总体</w:t>
            </w:r>
          </w:p>
          <w:p w14:paraId="7E56D545">
            <w:pPr>
              <w:pageBreakBefore w:val="0"/>
              <w:widowControl w:val="0"/>
              <w:kinsoku/>
              <w:wordWrap/>
              <w:overflowPunct/>
              <w:topLinePunct w:val="0"/>
              <w:autoSpaceDE/>
              <w:autoSpaceDN/>
              <w:bidi w:val="0"/>
              <w:adjustRightInd/>
              <w:snapToGrid/>
              <w:spacing w:line="260" w:lineRule="exact"/>
              <w:jc w:val="center"/>
              <w:textAlignment w:val="center"/>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kern w:val="0"/>
                <w:sz w:val="24"/>
                <w:szCs w:val="24"/>
                <w:lang w:bidi="ar"/>
              </w:rPr>
              <w:t>目标</w:t>
            </w:r>
          </w:p>
        </w:tc>
        <w:tc>
          <w:tcPr>
            <w:tcW w:w="8250" w:type="dxa"/>
            <w:gridSpan w:val="8"/>
            <w:shd w:val="clear" w:color="auto" w:fill="auto"/>
            <w:vAlign w:val="center"/>
          </w:tcPr>
          <w:p w14:paraId="24AF4C4D">
            <w:pPr>
              <w:pageBreakBefore w:val="0"/>
              <w:widowControl w:val="0"/>
              <w:kinsoku/>
              <w:wordWrap/>
              <w:overflowPunct/>
              <w:topLinePunct w:val="0"/>
              <w:autoSpaceDE/>
              <w:autoSpaceDN/>
              <w:bidi w:val="0"/>
              <w:adjustRightInd/>
              <w:snapToGrid/>
              <w:spacing w:line="260" w:lineRule="exact"/>
              <w:jc w:val="both"/>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1.职工工资及五险两金按时发放或缴纳。2.积极做好2023年度耕地保护和粮食安全责任制考核“迎考”工作3.高质量开展“三区三线”划定工作。市、县级国土空间总体规划已上报省政府审查。全面完成33个乡镇级片区规划、50个村级规划编制，其中今年完成5个乡镇级片区规划、11个村级规划编制工作。4.全年取得土地报征批文44件次，面积1.46万亩，有力保障G5京昆高速汉广段扩容工程、黑曾路、元柳工业园（一期）基础设施、广元石盘产城融合园、中欧国际木材物流园、金剑工业园等重大项目用地。5.强化项目用地保障工。编制并印发2023年国有建设用地供地计划，市本级实现土地出让收入30.7328亿元，处置批而未供土地2.4万亩、闲置土地577.8万亩，处置率分别为30.7%、34%。承办“大美广元.邀您来宿”2023年广元市民宿投资成都、杭州推介会，推介民宿招商地块62宗1206亩，签约项目18个，签约资金74.1亿元；全年出让“标准地” 12宗1610亩,“标准地”比例占出让工业用地比例超过省厅下达年度任务。6.全覆盖开展隐患点宣传培训及避险演练，重点开展夜间演练和“三断”等极端条件下的演练。累计开展宣传培训3982场次、避险演练3961场。采取“群专结合”方式，排查隐患点104万余处（次），组织8892户26531人（次）避险转移，消除隐患点333处，建设受威胁群众8312人。7.认真履行硅基专班职责，全年对接洽谈项目62个，概算投资630亿元。成功新签约项目13个，签约资金291.1亿元。8.完成市区经营性用地拆迁补偿工作。9.完成对广元市2020年度行政区建设用地节约集约利用状况整体评价，主要评价市本级建设用地供应和利用情况、建设用地承载人口、经济投入产出强度及变化趋势，汇总辖区、县级相关数据，以全面、动态反应全市建设用地节约集约利用整体情况，促进区域建设用地利用效率和和效益提升，为广元市建设用地管理、政策制定和国土空间规划编制及实施评估等提供基础数据和及时支撑。10.完成广元市嘉陵江上游山水林田湖草一体化保护和修复工程编制工作。11.完成广元市园林草分等定级并通过自然资源部验收。12完成了2022年度重点区域自然资源15个单位确权登记工作。13.完成了自然资源系统会议系统升级，保障了各级联席视频会议通畅，有效保障各级视频会议精准传达。14.完成了2023年度乡村振兴工作任务，针对12户监测户和123户脱贫户开展动态监测和帮扶工作。15.完成广元市矿产资源调查项目工作。</w:t>
            </w:r>
          </w:p>
        </w:tc>
      </w:tr>
      <w:tr w14:paraId="7B000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74" w:hRule="atLeast"/>
          <w:jc w:val="center"/>
        </w:trPr>
        <w:tc>
          <w:tcPr>
            <w:tcW w:w="1214" w:type="dxa"/>
            <w:vMerge w:val="restart"/>
            <w:shd w:val="clear" w:color="auto" w:fill="auto"/>
            <w:vAlign w:val="center"/>
          </w:tcPr>
          <w:p w14:paraId="5D07A8EC">
            <w:pPr>
              <w:pageBreakBefore w:val="0"/>
              <w:widowControl w:val="0"/>
              <w:kinsoku/>
              <w:wordWrap/>
              <w:overflowPunct/>
              <w:topLinePunct w:val="0"/>
              <w:autoSpaceDE/>
              <w:autoSpaceDN/>
              <w:bidi w:val="0"/>
              <w:adjustRightInd/>
              <w:snapToGrid/>
              <w:spacing w:line="260" w:lineRule="exact"/>
              <w:jc w:val="center"/>
              <w:textAlignment w:val="center"/>
              <w:rPr>
                <w:rFonts w:hint="eastAsia" w:ascii="仿宋_GB2312" w:hAnsi="仿宋_GB2312" w:eastAsia="仿宋_GB2312" w:cs="仿宋_GB2312"/>
                <w:b w:val="0"/>
                <w:bCs/>
                <w:color w:val="000000"/>
                <w:kern w:val="0"/>
                <w:sz w:val="24"/>
                <w:szCs w:val="24"/>
                <w:lang w:bidi="ar"/>
              </w:rPr>
            </w:pPr>
          </w:p>
          <w:p w14:paraId="3CCCA2AD">
            <w:pPr>
              <w:pageBreakBefore w:val="0"/>
              <w:widowControl w:val="0"/>
              <w:kinsoku/>
              <w:wordWrap/>
              <w:overflowPunct/>
              <w:topLinePunct w:val="0"/>
              <w:autoSpaceDE/>
              <w:autoSpaceDN/>
              <w:bidi w:val="0"/>
              <w:adjustRightInd/>
              <w:snapToGrid/>
              <w:spacing w:line="260" w:lineRule="exact"/>
              <w:jc w:val="center"/>
              <w:textAlignment w:val="center"/>
              <w:rPr>
                <w:rFonts w:hint="eastAsia" w:ascii="仿宋_GB2312" w:hAnsi="仿宋_GB2312" w:eastAsia="仿宋_GB2312" w:cs="仿宋_GB2312"/>
                <w:b w:val="0"/>
                <w:bCs/>
                <w:color w:val="000000"/>
                <w:kern w:val="0"/>
                <w:sz w:val="24"/>
                <w:szCs w:val="24"/>
                <w:lang w:bidi="ar"/>
              </w:rPr>
            </w:pPr>
          </w:p>
          <w:p w14:paraId="4539C63A">
            <w:pPr>
              <w:pStyle w:val="2"/>
              <w:rPr>
                <w:rFonts w:hint="eastAsia" w:ascii="仿宋_GB2312" w:hAnsi="仿宋_GB2312" w:eastAsia="仿宋_GB2312" w:cs="仿宋_GB2312"/>
                <w:b w:val="0"/>
                <w:bCs/>
                <w:color w:val="000000"/>
                <w:kern w:val="0"/>
                <w:sz w:val="24"/>
                <w:szCs w:val="24"/>
                <w:lang w:bidi="ar"/>
              </w:rPr>
            </w:pPr>
          </w:p>
          <w:p w14:paraId="5823D5E4">
            <w:pPr>
              <w:rPr>
                <w:rFonts w:hint="eastAsia"/>
              </w:rPr>
            </w:pPr>
          </w:p>
          <w:p w14:paraId="5F94CC69">
            <w:pPr>
              <w:pageBreakBefore w:val="0"/>
              <w:widowControl w:val="0"/>
              <w:kinsoku/>
              <w:wordWrap/>
              <w:overflowPunct/>
              <w:topLinePunct w:val="0"/>
              <w:autoSpaceDE/>
              <w:autoSpaceDN/>
              <w:bidi w:val="0"/>
              <w:adjustRightInd/>
              <w:snapToGrid/>
              <w:spacing w:line="260" w:lineRule="exact"/>
              <w:jc w:val="center"/>
              <w:textAlignment w:val="center"/>
              <w:rPr>
                <w:rFonts w:hint="eastAsia" w:ascii="仿宋_GB2312" w:hAnsi="仿宋_GB2312" w:eastAsia="仿宋_GB2312" w:cs="仿宋_GB2312"/>
                <w:b w:val="0"/>
                <w:bCs/>
                <w:color w:val="000000"/>
                <w:kern w:val="0"/>
                <w:sz w:val="24"/>
                <w:szCs w:val="24"/>
                <w:lang w:bidi="ar"/>
              </w:rPr>
            </w:pPr>
            <w:r>
              <w:rPr>
                <w:rFonts w:hint="eastAsia" w:ascii="仿宋_GB2312" w:hAnsi="仿宋_GB2312" w:eastAsia="仿宋_GB2312" w:cs="仿宋_GB2312"/>
                <w:b w:val="0"/>
                <w:bCs/>
                <w:color w:val="000000"/>
                <w:kern w:val="0"/>
                <w:sz w:val="24"/>
                <w:szCs w:val="24"/>
                <w:lang w:bidi="ar"/>
              </w:rPr>
              <w:t>年度主要</w:t>
            </w:r>
          </w:p>
          <w:p w14:paraId="323C3536">
            <w:pPr>
              <w:pageBreakBefore w:val="0"/>
              <w:widowControl w:val="0"/>
              <w:kinsoku/>
              <w:wordWrap/>
              <w:overflowPunct/>
              <w:topLinePunct w:val="0"/>
              <w:autoSpaceDE/>
              <w:autoSpaceDN/>
              <w:bidi w:val="0"/>
              <w:adjustRightInd/>
              <w:snapToGrid/>
              <w:spacing w:line="260" w:lineRule="exact"/>
              <w:jc w:val="center"/>
              <w:textAlignment w:val="center"/>
              <w:rPr>
                <w:rFonts w:hint="eastAsia" w:ascii="仿宋_GB2312" w:hAnsi="仿宋_GB2312" w:eastAsia="仿宋_GB2312" w:cs="仿宋_GB2312"/>
                <w:b w:val="0"/>
                <w:bCs/>
                <w:color w:val="000000"/>
                <w:kern w:val="0"/>
                <w:sz w:val="24"/>
                <w:szCs w:val="24"/>
                <w:lang w:bidi="ar"/>
              </w:rPr>
            </w:pPr>
            <w:r>
              <w:rPr>
                <w:rFonts w:hint="eastAsia" w:ascii="仿宋_GB2312" w:hAnsi="仿宋_GB2312" w:eastAsia="仿宋_GB2312" w:cs="仿宋_GB2312"/>
                <w:b w:val="0"/>
                <w:bCs/>
                <w:color w:val="000000"/>
                <w:kern w:val="0"/>
                <w:sz w:val="24"/>
                <w:szCs w:val="24"/>
                <w:lang w:bidi="ar"/>
              </w:rPr>
              <w:t>任务</w:t>
            </w:r>
          </w:p>
          <w:p w14:paraId="0902FF8B">
            <w:pPr>
              <w:pageBreakBefore w:val="0"/>
              <w:widowControl w:val="0"/>
              <w:kinsoku/>
              <w:wordWrap/>
              <w:overflowPunct/>
              <w:topLinePunct w:val="0"/>
              <w:autoSpaceDE/>
              <w:autoSpaceDN/>
              <w:bidi w:val="0"/>
              <w:adjustRightInd/>
              <w:snapToGrid/>
              <w:spacing w:line="260" w:lineRule="exact"/>
              <w:jc w:val="center"/>
              <w:textAlignment w:val="center"/>
              <w:rPr>
                <w:rFonts w:hint="eastAsia" w:ascii="仿宋_GB2312" w:hAnsi="仿宋_GB2312" w:eastAsia="仿宋_GB2312" w:cs="仿宋_GB2312"/>
                <w:b w:val="0"/>
                <w:bCs/>
                <w:color w:val="000000"/>
                <w:kern w:val="0"/>
                <w:sz w:val="24"/>
                <w:szCs w:val="24"/>
                <w:lang w:bidi="ar"/>
              </w:rPr>
            </w:pPr>
          </w:p>
          <w:p w14:paraId="7040E51C">
            <w:pPr>
              <w:pageBreakBefore w:val="0"/>
              <w:widowControl w:val="0"/>
              <w:kinsoku/>
              <w:wordWrap/>
              <w:overflowPunct/>
              <w:topLinePunct w:val="0"/>
              <w:autoSpaceDE/>
              <w:autoSpaceDN/>
              <w:bidi w:val="0"/>
              <w:adjustRightInd/>
              <w:snapToGrid/>
              <w:spacing w:line="260" w:lineRule="exact"/>
              <w:jc w:val="center"/>
              <w:textAlignment w:val="center"/>
              <w:rPr>
                <w:rFonts w:hint="eastAsia" w:ascii="仿宋_GB2312" w:hAnsi="仿宋_GB2312" w:eastAsia="仿宋_GB2312" w:cs="仿宋_GB2312"/>
                <w:b w:val="0"/>
                <w:bCs/>
                <w:color w:val="000000"/>
                <w:kern w:val="0"/>
                <w:sz w:val="24"/>
                <w:szCs w:val="24"/>
                <w:lang w:bidi="ar"/>
              </w:rPr>
            </w:pPr>
          </w:p>
          <w:p w14:paraId="0B704715">
            <w:pPr>
              <w:pageBreakBefore w:val="0"/>
              <w:widowControl w:val="0"/>
              <w:kinsoku/>
              <w:wordWrap/>
              <w:overflowPunct/>
              <w:topLinePunct w:val="0"/>
              <w:autoSpaceDE/>
              <w:autoSpaceDN/>
              <w:bidi w:val="0"/>
              <w:adjustRightInd/>
              <w:snapToGrid/>
              <w:spacing w:line="260" w:lineRule="exact"/>
              <w:jc w:val="center"/>
              <w:textAlignment w:val="center"/>
              <w:rPr>
                <w:rFonts w:hint="eastAsia" w:ascii="仿宋_GB2312" w:hAnsi="仿宋_GB2312" w:eastAsia="仿宋_GB2312" w:cs="仿宋_GB2312"/>
                <w:b w:val="0"/>
                <w:bCs/>
                <w:color w:val="000000"/>
                <w:kern w:val="0"/>
                <w:sz w:val="24"/>
                <w:szCs w:val="24"/>
                <w:lang w:bidi="ar"/>
              </w:rPr>
            </w:pPr>
          </w:p>
          <w:p w14:paraId="396DE7DC">
            <w:pPr>
              <w:pageBreakBefore w:val="0"/>
              <w:widowControl w:val="0"/>
              <w:kinsoku/>
              <w:wordWrap/>
              <w:overflowPunct/>
              <w:topLinePunct w:val="0"/>
              <w:autoSpaceDE/>
              <w:autoSpaceDN/>
              <w:bidi w:val="0"/>
              <w:adjustRightInd/>
              <w:snapToGrid/>
              <w:spacing w:line="260" w:lineRule="exact"/>
              <w:jc w:val="center"/>
              <w:textAlignment w:val="center"/>
              <w:rPr>
                <w:rFonts w:hint="eastAsia" w:ascii="仿宋_GB2312" w:hAnsi="仿宋_GB2312" w:eastAsia="仿宋_GB2312" w:cs="仿宋_GB2312"/>
                <w:b w:val="0"/>
                <w:bCs/>
                <w:color w:val="000000"/>
                <w:kern w:val="0"/>
                <w:sz w:val="24"/>
                <w:szCs w:val="24"/>
                <w:lang w:bidi="ar"/>
              </w:rPr>
            </w:pPr>
          </w:p>
          <w:p w14:paraId="12F9455B">
            <w:pPr>
              <w:pageBreakBefore w:val="0"/>
              <w:widowControl w:val="0"/>
              <w:kinsoku/>
              <w:wordWrap/>
              <w:overflowPunct/>
              <w:topLinePunct w:val="0"/>
              <w:autoSpaceDE/>
              <w:autoSpaceDN/>
              <w:bidi w:val="0"/>
              <w:adjustRightInd/>
              <w:snapToGrid/>
              <w:spacing w:line="260" w:lineRule="exact"/>
              <w:jc w:val="center"/>
              <w:textAlignment w:val="center"/>
              <w:rPr>
                <w:rFonts w:hint="eastAsia" w:ascii="仿宋_GB2312" w:hAnsi="仿宋_GB2312" w:eastAsia="仿宋_GB2312" w:cs="仿宋_GB2312"/>
                <w:b w:val="0"/>
                <w:bCs/>
                <w:color w:val="000000"/>
                <w:kern w:val="0"/>
                <w:sz w:val="24"/>
                <w:szCs w:val="24"/>
                <w:lang w:bidi="ar"/>
              </w:rPr>
            </w:pPr>
          </w:p>
          <w:p w14:paraId="53B94DFA">
            <w:pPr>
              <w:pageBreakBefore w:val="0"/>
              <w:widowControl w:val="0"/>
              <w:kinsoku/>
              <w:wordWrap/>
              <w:overflowPunct/>
              <w:topLinePunct w:val="0"/>
              <w:autoSpaceDE/>
              <w:autoSpaceDN/>
              <w:bidi w:val="0"/>
              <w:adjustRightInd/>
              <w:snapToGrid/>
              <w:spacing w:line="260" w:lineRule="exact"/>
              <w:jc w:val="center"/>
              <w:textAlignment w:val="center"/>
              <w:rPr>
                <w:rFonts w:hint="eastAsia" w:ascii="仿宋_GB2312" w:hAnsi="仿宋_GB2312" w:eastAsia="仿宋_GB2312" w:cs="仿宋_GB2312"/>
                <w:b w:val="0"/>
                <w:bCs/>
                <w:color w:val="000000"/>
                <w:kern w:val="0"/>
                <w:sz w:val="24"/>
                <w:szCs w:val="24"/>
                <w:lang w:bidi="ar"/>
              </w:rPr>
            </w:pPr>
          </w:p>
          <w:p w14:paraId="65C835F5">
            <w:pPr>
              <w:pageBreakBefore w:val="0"/>
              <w:widowControl w:val="0"/>
              <w:kinsoku/>
              <w:wordWrap/>
              <w:overflowPunct/>
              <w:topLinePunct w:val="0"/>
              <w:autoSpaceDE/>
              <w:autoSpaceDN/>
              <w:bidi w:val="0"/>
              <w:adjustRightInd/>
              <w:snapToGrid/>
              <w:spacing w:line="260" w:lineRule="exact"/>
              <w:jc w:val="center"/>
              <w:textAlignment w:val="center"/>
              <w:rPr>
                <w:rFonts w:hint="eastAsia" w:ascii="仿宋_GB2312" w:hAnsi="仿宋_GB2312" w:eastAsia="仿宋_GB2312" w:cs="仿宋_GB2312"/>
                <w:b w:val="0"/>
                <w:bCs/>
                <w:color w:val="000000"/>
                <w:kern w:val="0"/>
                <w:sz w:val="24"/>
                <w:szCs w:val="24"/>
                <w:lang w:bidi="ar"/>
              </w:rPr>
            </w:pPr>
          </w:p>
          <w:p w14:paraId="29957038">
            <w:pPr>
              <w:pageBreakBefore w:val="0"/>
              <w:widowControl w:val="0"/>
              <w:kinsoku/>
              <w:wordWrap/>
              <w:overflowPunct/>
              <w:topLinePunct w:val="0"/>
              <w:autoSpaceDE/>
              <w:autoSpaceDN/>
              <w:bidi w:val="0"/>
              <w:adjustRightInd/>
              <w:snapToGrid/>
              <w:spacing w:line="260" w:lineRule="exact"/>
              <w:jc w:val="center"/>
              <w:textAlignment w:val="center"/>
              <w:rPr>
                <w:rFonts w:hint="eastAsia" w:ascii="仿宋_GB2312" w:hAnsi="仿宋_GB2312" w:eastAsia="仿宋_GB2312" w:cs="仿宋_GB2312"/>
                <w:b w:val="0"/>
                <w:bCs/>
                <w:color w:val="000000"/>
                <w:kern w:val="0"/>
                <w:sz w:val="24"/>
                <w:szCs w:val="24"/>
                <w:lang w:bidi="ar"/>
              </w:rPr>
            </w:pPr>
          </w:p>
          <w:p w14:paraId="61C5FB03">
            <w:pPr>
              <w:pageBreakBefore w:val="0"/>
              <w:widowControl w:val="0"/>
              <w:kinsoku/>
              <w:wordWrap/>
              <w:overflowPunct/>
              <w:topLinePunct w:val="0"/>
              <w:autoSpaceDE/>
              <w:autoSpaceDN/>
              <w:bidi w:val="0"/>
              <w:adjustRightInd/>
              <w:snapToGrid/>
              <w:spacing w:line="260" w:lineRule="exact"/>
              <w:jc w:val="center"/>
              <w:textAlignment w:val="center"/>
              <w:rPr>
                <w:rFonts w:hint="eastAsia" w:ascii="仿宋_GB2312" w:hAnsi="仿宋_GB2312" w:eastAsia="仿宋_GB2312" w:cs="仿宋_GB2312"/>
                <w:b w:val="0"/>
                <w:bCs/>
                <w:color w:val="000000"/>
                <w:kern w:val="0"/>
                <w:sz w:val="24"/>
                <w:szCs w:val="24"/>
                <w:lang w:bidi="ar"/>
              </w:rPr>
            </w:pPr>
          </w:p>
          <w:p w14:paraId="7443E11E">
            <w:pPr>
              <w:pageBreakBefore w:val="0"/>
              <w:widowControl w:val="0"/>
              <w:kinsoku/>
              <w:wordWrap/>
              <w:overflowPunct/>
              <w:topLinePunct w:val="0"/>
              <w:autoSpaceDE/>
              <w:autoSpaceDN/>
              <w:bidi w:val="0"/>
              <w:adjustRightInd/>
              <w:snapToGrid/>
              <w:spacing w:line="260" w:lineRule="exact"/>
              <w:jc w:val="center"/>
              <w:textAlignment w:val="center"/>
              <w:rPr>
                <w:rFonts w:hint="eastAsia" w:ascii="仿宋_GB2312" w:hAnsi="仿宋_GB2312" w:eastAsia="仿宋_GB2312" w:cs="仿宋_GB2312"/>
                <w:b w:val="0"/>
                <w:bCs/>
                <w:color w:val="000000"/>
                <w:kern w:val="0"/>
                <w:sz w:val="24"/>
                <w:szCs w:val="24"/>
                <w:lang w:bidi="ar"/>
              </w:rPr>
            </w:pPr>
          </w:p>
          <w:p w14:paraId="7B98BEE6">
            <w:pPr>
              <w:pageBreakBefore w:val="0"/>
              <w:widowControl w:val="0"/>
              <w:kinsoku/>
              <w:wordWrap/>
              <w:overflowPunct/>
              <w:topLinePunct w:val="0"/>
              <w:autoSpaceDE/>
              <w:autoSpaceDN/>
              <w:bidi w:val="0"/>
              <w:adjustRightInd/>
              <w:snapToGrid/>
              <w:spacing w:line="260" w:lineRule="exact"/>
              <w:jc w:val="center"/>
              <w:textAlignment w:val="center"/>
              <w:rPr>
                <w:rFonts w:hint="eastAsia" w:ascii="仿宋_GB2312" w:hAnsi="仿宋_GB2312" w:eastAsia="仿宋_GB2312" w:cs="仿宋_GB2312"/>
                <w:b w:val="0"/>
                <w:bCs/>
                <w:color w:val="000000"/>
                <w:kern w:val="0"/>
                <w:sz w:val="24"/>
                <w:szCs w:val="24"/>
                <w:lang w:bidi="ar"/>
              </w:rPr>
            </w:pPr>
          </w:p>
          <w:p w14:paraId="1709A363">
            <w:pPr>
              <w:pageBreakBefore w:val="0"/>
              <w:widowControl w:val="0"/>
              <w:kinsoku/>
              <w:wordWrap/>
              <w:overflowPunct/>
              <w:topLinePunct w:val="0"/>
              <w:autoSpaceDE/>
              <w:autoSpaceDN/>
              <w:bidi w:val="0"/>
              <w:adjustRightInd/>
              <w:snapToGrid/>
              <w:spacing w:line="260" w:lineRule="exact"/>
              <w:jc w:val="center"/>
              <w:textAlignment w:val="center"/>
              <w:rPr>
                <w:rFonts w:hint="eastAsia" w:ascii="仿宋_GB2312" w:hAnsi="仿宋_GB2312" w:eastAsia="仿宋_GB2312" w:cs="仿宋_GB2312"/>
                <w:b w:val="0"/>
                <w:bCs/>
                <w:color w:val="000000"/>
                <w:kern w:val="0"/>
                <w:sz w:val="24"/>
                <w:szCs w:val="24"/>
                <w:lang w:bidi="ar"/>
              </w:rPr>
            </w:pPr>
          </w:p>
          <w:p w14:paraId="07F2FC4C">
            <w:pPr>
              <w:pStyle w:val="25"/>
              <w:pageBreakBefore w:val="0"/>
              <w:widowControl w:val="0"/>
              <w:kinsoku/>
              <w:wordWrap/>
              <w:overflowPunct/>
              <w:topLinePunct w:val="0"/>
              <w:autoSpaceDE/>
              <w:autoSpaceDN/>
              <w:bidi w:val="0"/>
              <w:adjustRightInd/>
              <w:snapToGrid/>
              <w:spacing w:before="0" w:after="0" w:line="260" w:lineRule="exact"/>
              <w:rPr>
                <w:rFonts w:hint="eastAsia" w:ascii="仿宋_GB2312" w:hAnsi="仿宋_GB2312" w:eastAsia="仿宋_GB2312" w:cs="仿宋_GB2312"/>
                <w:sz w:val="24"/>
                <w:szCs w:val="24"/>
              </w:rPr>
            </w:pPr>
          </w:p>
          <w:p w14:paraId="6A1A1083">
            <w:pPr>
              <w:pageBreakBefore w:val="0"/>
              <w:widowControl w:val="0"/>
              <w:kinsoku/>
              <w:wordWrap/>
              <w:overflowPunct/>
              <w:topLinePunct w:val="0"/>
              <w:autoSpaceDE/>
              <w:autoSpaceDN/>
              <w:bidi w:val="0"/>
              <w:adjustRightInd/>
              <w:snapToGrid/>
              <w:spacing w:line="260" w:lineRule="exact"/>
              <w:rPr>
                <w:rFonts w:hint="eastAsia" w:ascii="仿宋_GB2312" w:hAnsi="仿宋_GB2312" w:eastAsia="仿宋_GB2312" w:cs="仿宋_GB2312"/>
                <w:sz w:val="24"/>
                <w:szCs w:val="24"/>
              </w:rPr>
            </w:pPr>
          </w:p>
          <w:p w14:paraId="32AAD8C4">
            <w:pPr>
              <w:pageBreakBefore w:val="0"/>
              <w:widowControl w:val="0"/>
              <w:kinsoku/>
              <w:wordWrap/>
              <w:overflowPunct/>
              <w:topLinePunct w:val="0"/>
              <w:autoSpaceDE/>
              <w:autoSpaceDN/>
              <w:bidi w:val="0"/>
              <w:adjustRightInd/>
              <w:snapToGrid/>
              <w:spacing w:line="260" w:lineRule="exact"/>
              <w:rPr>
                <w:rFonts w:hint="eastAsia" w:ascii="仿宋_GB2312" w:hAnsi="仿宋_GB2312" w:eastAsia="仿宋_GB2312" w:cs="仿宋_GB2312"/>
                <w:sz w:val="24"/>
                <w:szCs w:val="24"/>
              </w:rPr>
            </w:pPr>
          </w:p>
          <w:p w14:paraId="6B1AADAB">
            <w:pPr>
              <w:pStyle w:val="2"/>
              <w:rPr>
                <w:rFonts w:hint="eastAsia" w:ascii="仿宋_GB2312" w:hAnsi="仿宋_GB2312" w:eastAsia="仿宋_GB2312" w:cs="仿宋_GB2312"/>
                <w:sz w:val="24"/>
                <w:szCs w:val="24"/>
              </w:rPr>
            </w:pPr>
          </w:p>
          <w:p w14:paraId="0CA83ACB">
            <w:pPr>
              <w:rPr>
                <w:rFonts w:hint="eastAsia" w:ascii="仿宋_GB2312" w:hAnsi="仿宋_GB2312" w:eastAsia="仿宋_GB2312" w:cs="仿宋_GB2312"/>
                <w:sz w:val="24"/>
                <w:szCs w:val="24"/>
              </w:rPr>
            </w:pPr>
          </w:p>
          <w:p w14:paraId="54456E3F">
            <w:pPr>
              <w:pStyle w:val="2"/>
              <w:rPr>
                <w:rFonts w:hint="eastAsia" w:ascii="仿宋_GB2312" w:hAnsi="仿宋_GB2312" w:eastAsia="仿宋_GB2312" w:cs="仿宋_GB2312"/>
                <w:sz w:val="24"/>
                <w:szCs w:val="24"/>
              </w:rPr>
            </w:pPr>
          </w:p>
          <w:p w14:paraId="384794E2">
            <w:pPr>
              <w:rPr>
                <w:rFonts w:hint="eastAsia" w:ascii="仿宋_GB2312" w:hAnsi="仿宋_GB2312" w:eastAsia="仿宋_GB2312" w:cs="仿宋_GB2312"/>
                <w:sz w:val="24"/>
                <w:szCs w:val="24"/>
              </w:rPr>
            </w:pPr>
          </w:p>
          <w:p w14:paraId="24772393">
            <w:pPr>
              <w:pStyle w:val="2"/>
              <w:rPr>
                <w:rFonts w:hint="eastAsia" w:ascii="仿宋_GB2312" w:hAnsi="仿宋_GB2312" w:eastAsia="仿宋_GB2312" w:cs="仿宋_GB2312"/>
                <w:sz w:val="24"/>
                <w:szCs w:val="24"/>
              </w:rPr>
            </w:pPr>
          </w:p>
          <w:p w14:paraId="20ABA4CA">
            <w:pPr>
              <w:rPr>
                <w:rFonts w:hint="eastAsia" w:ascii="仿宋_GB2312" w:hAnsi="仿宋_GB2312" w:eastAsia="仿宋_GB2312" w:cs="仿宋_GB2312"/>
                <w:sz w:val="24"/>
                <w:szCs w:val="24"/>
              </w:rPr>
            </w:pPr>
          </w:p>
          <w:p w14:paraId="08EC5106">
            <w:pPr>
              <w:pStyle w:val="2"/>
              <w:rPr>
                <w:rFonts w:hint="eastAsia"/>
              </w:rPr>
            </w:pPr>
          </w:p>
          <w:p w14:paraId="2604CE66">
            <w:pPr>
              <w:pStyle w:val="25"/>
              <w:pageBreakBefore w:val="0"/>
              <w:widowControl w:val="0"/>
              <w:kinsoku/>
              <w:wordWrap/>
              <w:overflowPunct/>
              <w:topLinePunct w:val="0"/>
              <w:autoSpaceDE/>
              <w:autoSpaceDN/>
              <w:bidi w:val="0"/>
              <w:adjustRightInd/>
              <w:snapToGrid/>
              <w:spacing w:before="0" w:after="0" w:line="260" w:lineRule="exact"/>
              <w:rPr>
                <w:rFonts w:hint="eastAsia" w:ascii="仿宋_GB2312" w:hAnsi="仿宋_GB2312" w:eastAsia="仿宋_GB2312" w:cs="仿宋_GB2312"/>
                <w:sz w:val="24"/>
                <w:szCs w:val="24"/>
              </w:rPr>
            </w:pPr>
          </w:p>
          <w:p w14:paraId="1C13AC8A">
            <w:pPr>
              <w:pageBreakBefore w:val="0"/>
              <w:widowControl w:val="0"/>
              <w:kinsoku/>
              <w:wordWrap/>
              <w:overflowPunct/>
              <w:topLinePunct w:val="0"/>
              <w:autoSpaceDE/>
              <w:autoSpaceDN/>
              <w:bidi w:val="0"/>
              <w:adjustRightInd/>
              <w:snapToGrid/>
              <w:spacing w:line="260" w:lineRule="exact"/>
              <w:rPr>
                <w:rFonts w:hint="eastAsia" w:ascii="仿宋_GB2312" w:hAnsi="仿宋_GB2312" w:eastAsia="仿宋_GB2312" w:cs="仿宋_GB2312"/>
                <w:sz w:val="24"/>
                <w:szCs w:val="24"/>
              </w:rPr>
            </w:pPr>
          </w:p>
          <w:p w14:paraId="1B5B345A">
            <w:pPr>
              <w:pageBreakBefore w:val="0"/>
              <w:widowControl w:val="0"/>
              <w:kinsoku/>
              <w:wordWrap/>
              <w:overflowPunct/>
              <w:topLinePunct w:val="0"/>
              <w:autoSpaceDE/>
              <w:autoSpaceDN/>
              <w:bidi w:val="0"/>
              <w:adjustRightInd/>
              <w:snapToGrid/>
              <w:spacing w:line="260" w:lineRule="exact"/>
              <w:jc w:val="center"/>
              <w:textAlignment w:val="center"/>
              <w:rPr>
                <w:rFonts w:hint="eastAsia" w:ascii="仿宋_GB2312" w:hAnsi="仿宋_GB2312" w:eastAsia="仿宋_GB2312" w:cs="仿宋_GB2312"/>
                <w:b w:val="0"/>
                <w:bCs/>
                <w:color w:val="000000"/>
                <w:kern w:val="0"/>
                <w:sz w:val="24"/>
                <w:szCs w:val="24"/>
                <w:lang w:bidi="ar"/>
              </w:rPr>
            </w:pPr>
          </w:p>
          <w:p w14:paraId="5B6134E8">
            <w:pPr>
              <w:pageBreakBefore w:val="0"/>
              <w:widowControl w:val="0"/>
              <w:kinsoku/>
              <w:wordWrap/>
              <w:overflowPunct/>
              <w:topLinePunct w:val="0"/>
              <w:autoSpaceDE/>
              <w:autoSpaceDN/>
              <w:bidi w:val="0"/>
              <w:adjustRightInd/>
              <w:snapToGrid/>
              <w:spacing w:line="260" w:lineRule="exact"/>
              <w:jc w:val="center"/>
              <w:textAlignment w:val="center"/>
              <w:rPr>
                <w:rFonts w:hint="eastAsia" w:ascii="仿宋_GB2312" w:hAnsi="仿宋_GB2312" w:eastAsia="仿宋_GB2312" w:cs="仿宋_GB2312"/>
                <w:b w:val="0"/>
                <w:bCs/>
                <w:color w:val="000000"/>
                <w:kern w:val="0"/>
                <w:sz w:val="24"/>
                <w:szCs w:val="24"/>
                <w:lang w:bidi="ar"/>
              </w:rPr>
            </w:pPr>
            <w:r>
              <w:rPr>
                <w:rFonts w:hint="eastAsia" w:ascii="仿宋_GB2312" w:hAnsi="仿宋_GB2312" w:eastAsia="仿宋_GB2312" w:cs="仿宋_GB2312"/>
                <w:b w:val="0"/>
                <w:bCs/>
                <w:color w:val="000000"/>
                <w:kern w:val="0"/>
                <w:sz w:val="24"/>
                <w:szCs w:val="24"/>
                <w:lang w:bidi="ar"/>
              </w:rPr>
              <w:t>年度主要</w:t>
            </w:r>
          </w:p>
          <w:p w14:paraId="4EF96774">
            <w:pPr>
              <w:pageBreakBefore w:val="0"/>
              <w:widowControl w:val="0"/>
              <w:kinsoku/>
              <w:wordWrap/>
              <w:overflowPunct/>
              <w:topLinePunct w:val="0"/>
              <w:autoSpaceDE/>
              <w:autoSpaceDN/>
              <w:bidi w:val="0"/>
              <w:adjustRightInd/>
              <w:snapToGrid/>
              <w:spacing w:line="260" w:lineRule="exact"/>
              <w:jc w:val="center"/>
              <w:textAlignment w:val="center"/>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kern w:val="0"/>
                <w:sz w:val="24"/>
                <w:szCs w:val="24"/>
                <w:lang w:bidi="ar"/>
              </w:rPr>
              <w:t>任务</w:t>
            </w:r>
          </w:p>
        </w:tc>
        <w:tc>
          <w:tcPr>
            <w:tcW w:w="2060" w:type="dxa"/>
            <w:gridSpan w:val="2"/>
            <w:shd w:val="clear" w:color="auto" w:fill="auto"/>
            <w:vAlign w:val="center"/>
          </w:tcPr>
          <w:p w14:paraId="4ED3000E">
            <w:pPr>
              <w:pageBreakBefore w:val="0"/>
              <w:widowControl w:val="0"/>
              <w:kinsoku/>
              <w:wordWrap/>
              <w:overflowPunct/>
              <w:topLinePunct w:val="0"/>
              <w:autoSpaceDE/>
              <w:autoSpaceDN/>
              <w:bidi w:val="0"/>
              <w:adjustRightInd/>
              <w:snapToGrid/>
              <w:spacing w:line="260" w:lineRule="exact"/>
              <w:jc w:val="center"/>
              <w:textAlignment w:val="center"/>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kern w:val="0"/>
                <w:sz w:val="24"/>
                <w:szCs w:val="24"/>
                <w:lang w:bidi="ar"/>
              </w:rPr>
              <w:t>任务名称</w:t>
            </w:r>
          </w:p>
        </w:tc>
        <w:tc>
          <w:tcPr>
            <w:tcW w:w="6190" w:type="dxa"/>
            <w:gridSpan w:val="6"/>
            <w:shd w:val="clear" w:color="auto" w:fill="auto"/>
            <w:vAlign w:val="center"/>
          </w:tcPr>
          <w:p w14:paraId="1FA50D5E">
            <w:pPr>
              <w:pageBreakBefore w:val="0"/>
              <w:widowControl w:val="0"/>
              <w:kinsoku/>
              <w:wordWrap/>
              <w:overflowPunct/>
              <w:topLinePunct w:val="0"/>
              <w:autoSpaceDE/>
              <w:autoSpaceDN/>
              <w:bidi w:val="0"/>
              <w:adjustRightInd/>
              <w:snapToGrid/>
              <w:spacing w:line="260" w:lineRule="exact"/>
              <w:jc w:val="center"/>
              <w:textAlignment w:val="center"/>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kern w:val="0"/>
                <w:sz w:val="24"/>
                <w:szCs w:val="24"/>
                <w:lang w:bidi="ar"/>
              </w:rPr>
              <w:t>主要内容</w:t>
            </w:r>
          </w:p>
        </w:tc>
      </w:tr>
      <w:tr w14:paraId="3138F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214" w:type="dxa"/>
            <w:vMerge w:val="continue"/>
            <w:shd w:val="clear" w:color="auto" w:fill="auto"/>
            <w:vAlign w:val="center"/>
          </w:tcPr>
          <w:p w14:paraId="4B3FAAB5">
            <w:pPr>
              <w:pageBreakBefore w:val="0"/>
              <w:widowControl w:val="0"/>
              <w:kinsoku/>
              <w:wordWrap/>
              <w:overflowPunct/>
              <w:topLinePunct w:val="0"/>
              <w:autoSpaceDE/>
              <w:autoSpaceDN/>
              <w:bidi w:val="0"/>
              <w:adjustRightInd/>
              <w:snapToGrid/>
              <w:spacing w:line="260" w:lineRule="exact"/>
              <w:jc w:val="both"/>
              <w:rPr>
                <w:rFonts w:hint="eastAsia" w:ascii="仿宋_GB2312" w:hAnsi="仿宋_GB2312" w:eastAsia="仿宋_GB2312" w:cs="仿宋_GB2312"/>
                <w:b w:val="0"/>
                <w:bCs/>
                <w:color w:val="000000"/>
                <w:sz w:val="24"/>
                <w:szCs w:val="24"/>
              </w:rPr>
            </w:pPr>
          </w:p>
        </w:tc>
        <w:tc>
          <w:tcPr>
            <w:tcW w:w="2060" w:type="dxa"/>
            <w:gridSpan w:val="2"/>
            <w:shd w:val="clear" w:color="auto" w:fill="auto"/>
            <w:vAlign w:val="center"/>
          </w:tcPr>
          <w:p w14:paraId="2BDF3C25">
            <w:pPr>
              <w:keepNext w:val="0"/>
              <w:keepLines w:val="0"/>
              <w:pageBreakBefore w:val="0"/>
              <w:widowControl w:val="0"/>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人员工资福利支出</w:t>
            </w:r>
          </w:p>
        </w:tc>
        <w:tc>
          <w:tcPr>
            <w:tcW w:w="6190" w:type="dxa"/>
            <w:gridSpan w:val="6"/>
            <w:shd w:val="clear" w:color="auto" w:fill="auto"/>
            <w:vAlign w:val="center"/>
          </w:tcPr>
          <w:p w14:paraId="459E6B82">
            <w:pPr>
              <w:keepNext w:val="0"/>
              <w:keepLines w:val="0"/>
              <w:pageBreakBefore w:val="0"/>
              <w:widowControl w:val="0"/>
              <w:kinsoku/>
              <w:wordWrap/>
              <w:overflowPunct/>
              <w:topLinePunct w:val="0"/>
              <w:autoSpaceDE/>
              <w:autoSpaceDN/>
              <w:bidi w:val="0"/>
              <w:adjustRightInd/>
              <w:snapToGrid/>
              <w:spacing w:line="220" w:lineRule="exact"/>
              <w:jc w:val="both"/>
              <w:textAlignment w:val="center"/>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包括基本工资、津贴补贴、奖金、伙食补助费、绩效工资、机关行政事业单位基本养老保险缴费、职业年金缴费、职工基本医疗保险缴费、奖励金、住房公积金、其他对个人和家庭的补助支出等。</w:t>
            </w:r>
          </w:p>
        </w:tc>
      </w:tr>
      <w:tr w14:paraId="21667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214" w:type="dxa"/>
            <w:vMerge w:val="continue"/>
            <w:shd w:val="clear" w:color="auto" w:fill="auto"/>
            <w:vAlign w:val="center"/>
          </w:tcPr>
          <w:p w14:paraId="55D563AD">
            <w:pPr>
              <w:pageBreakBefore w:val="0"/>
              <w:widowControl w:val="0"/>
              <w:kinsoku/>
              <w:wordWrap/>
              <w:overflowPunct/>
              <w:topLinePunct w:val="0"/>
              <w:autoSpaceDE/>
              <w:autoSpaceDN/>
              <w:bidi w:val="0"/>
              <w:adjustRightInd/>
              <w:snapToGrid/>
              <w:spacing w:line="260" w:lineRule="exact"/>
              <w:jc w:val="both"/>
              <w:rPr>
                <w:rFonts w:hint="eastAsia" w:ascii="仿宋_GB2312" w:hAnsi="仿宋_GB2312" w:eastAsia="仿宋_GB2312" w:cs="仿宋_GB2312"/>
                <w:b w:val="0"/>
                <w:bCs/>
                <w:color w:val="000000"/>
                <w:sz w:val="24"/>
                <w:szCs w:val="24"/>
              </w:rPr>
            </w:pPr>
          </w:p>
        </w:tc>
        <w:tc>
          <w:tcPr>
            <w:tcW w:w="2060" w:type="dxa"/>
            <w:gridSpan w:val="2"/>
            <w:shd w:val="clear" w:color="auto" w:fill="auto"/>
            <w:vAlign w:val="center"/>
          </w:tcPr>
          <w:p w14:paraId="1A3D8681">
            <w:pPr>
              <w:keepNext w:val="0"/>
              <w:keepLines w:val="0"/>
              <w:pageBreakBefore w:val="0"/>
              <w:widowControl w:val="0"/>
              <w:kinsoku/>
              <w:wordWrap/>
              <w:overflowPunct/>
              <w:topLinePunct w:val="0"/>
              <w:autoSpaceDE/>
              <w:autoSpaceDN/>
              <w:bidi w:val="0"/>
              <w:adjustRightInd/>
              <w:snapToGrid/>
              <w:spacing w:line="220" w:lineRule="exact"/>
              <w:jc w:val="center"/>
              <w:textAlignment w:val="center"/>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公用经费</w:t>
            </w:r>
          </w:p>
        </w:tc>
        <w:tc>
          <w:tcPr>
            <w:tcW w:w="6190" w:type="dxa"/>
            <w:gridSpan w:val="6"/>
            <w:shd w:val="clear" w:color="auto" w:fill="auto"/>
            <w:vAlign w:val="center"/>
          </w:tcPr>
          <w:p w14:paraId="693949D3">
            <w:pPr>
              <w:keepNext w:val="0"/>
              <w:keepLines w:val="0"/>
              <w:pageBreakBefore w:val="0"/>
              <w:widowControl w:val="0"/>
              <w:kinsoku/>
              <w:wordWrap/>
              <w:overflowPunct/>
              <w:topLinePunct w:val="0"/>
              <w:autoSpaceDE/>
              <w:autoSpaceDN/>
              <w:bidi w:val="0"/>
              <w:adjustRightInd/>
              <w:snapToGrid/>
              <w:spacing w:line="220" w:lineRule="exact"/>
              <w:jc w:val="both"/>
              <w:textAlignment w:val="center"/>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包括;办公费、印刷费、手续费、水费、电费、邮电费、差旅费、维修（护）费、租赁费、会议费、培训费、公务接待费、工会费、福利费、公务用车运行维护费、其他交通费、其他商品和服务支出</w:t>
            </w:r>
          </w:p>
        </w:tc>
      </w:tr>
      <w:tr w14:paraId="30EC7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214" w:type="dxa"/>
            <w:vMerge w:val="continue"/>
            <w:shd w:val="clear" w:color="auto" w:fill="auto"/>
            <w:vAlign w:val="center"/>
          </w:tcPr>
          <w:p w14:paraId="343F7BDC">
            <w:pPr>
              <w:pageBreakBefore w:val="0"/>
              <w:widowControl w:val="0"/>
              <w:kinsoku/>
              <w:wordWrap/>
              <w:overflowPunct/>
              <w:topLinePunct w:val="0"/>
              <w:autoSpaceDE/>
              <w:autoSpaceDN/>
              <w:bidi w:val="0"/>
              <w:adjustRightInd/>
              <w:snapToGrid/>
              <w:spacing w:line="260" w:lineRule="exact"/>
              <w:jc w:val="both"/>
              <w:rPr>
                <w:rFonts w:hint="eastAsia" w:ascii="仿宋_GB2312" w:hAnsi="仿宋_GB2312" w:eastAsia="仿宋_GB2312" w:cs="仿宋_GB2312"/>
                <w:b w:val="0"/>
                <w:bCs/>
                <w:color w:val="000000"/>
                <w:sz w:val="24"/>
                <w:szCs w:val="24"/>
              </w:rPr>
            </w:pPr>
          </w:p>
        </w:tc>
        <w:tc>
          <w:tcPr>
            <w:tcW w:w="2060" w:type="dxa"/>
            <w:gridSpan w:val="2"/>
            <w:shd w:val="clear" w:color="auto" w:fill="auto"/>
            <w:vAlign w:val="center"/>
          </w:tcPr>
          <w:p w14:paraId="6225ED28">
            <w:pPr>
              <w:pageBreakBefore w:val="0"/>
              <w:widowControl w:val="0"/>
              <w:kinsoku/>
              <w:wordWrap/>
              <w:overflowPunct/>
              <w:topLinePunct w:val="0"/>
              <w:autoSpaceDE/>
              <w:autoSpaceDN/>
              <w:bidi w:val="0"/>
              <w:adjustRightInd/>
              <w:snapToGrid/>
              <w:spacing w:line="260" w:lineRule="exact"/>
              <w:jc w:val="both"/>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矿业权管理专项业务、矿山储量评审、矿业权开采信息公示</w:t>
            </w:r>
          </w:p>
        </w:tc>
        <w:tc>
          <w:tcPr>
            <w:tcW w:w="6190" w:type="dxa"/>
            <w:gridSpan w:val="6"/>
            <w:shd w:val="clear" w:color="auto" w:fill="auto"/>
            <w:vAlign w:val="center"/>
          </w:tcPr>
          <w:p w14:paraId="0CF38783">
            <w:pPr>
              <w:pageBreakBefore w:val="0"/>
              <w:widowControl w:val="0"/>
              <w:kinsoku/>
              <w:wordWrap/>
              <w:overflowPunct/>
              <w:topLinePunct w:val="0"/>
              <w:autoSpaceDE/>
              <w:autoSpaceDN/>
              <w:bidi w:val="0"/>
              <w:adjustRightInd/>
              <w:snapToGrid/>
              <w:spacing w:line="260" w:lineRule="exact"/>
              <w:jc w:val="both"/>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《广元市矿产资源总体规划（2021-2025 年）》及各县（区）规划均已批准实施。积极开展全市矿产资源调查工作，充分发挥石英砂、钒矿、锰矿等矿产资源优势，加快实现从资源产出地向产业崛起地转变，招商引资4个，投资规模266亿元。全年开展储量核实4次，提交《储量核实》《矿业权出让收益评估》报告各2份。</w:t>
            </w:r>
          </w:p>
        </w:tc>
      </w:tr>
      <w:tr w14:paraId="483FD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214" w:type="dxa"/>
            <w:vMerge w:val="continue"/>
            <w:shd w:val="clear" w:color="auto" w:fill="auto"/>
            <w:vAlign w:val="center"/>
          </w:tcPr>
          <w:p w14:paraId="3A74939F">
            <w:pPr>
              <w:pageBreakBefore w:val="0"/>
              <w:widowControl w:val="0"/>
              <w:kinsoku/>
              <w:wordWrap/>
              <w:overflowPunct/>
              <w:topLinePunct w:val="0"/>
              <w:autoSpaceDE/>
              <w:autoSpaceDN/>
              <w:bidi w:val="0"/>
              <w:adjustRightInd/>
              <w:snapToGrid/>
              <w:spacing w:line="260" w:lineRule="exact"/>
              <w:jc w:val="both"/>
              <w:rPr>
                <w:rFonts w:hint="eastAsia" w:ascii="仿宋_GB2312" w:hAnsi="仿宋_GB2312" w:eastAsia="仿宋_GB2312" w:cs="仿宋_GB2312"/>
                <w:b w:val="0"/>
                <w:bCs/>
                <w:color w:val="000000"/>
                <w:sz w:val="24"/>
                <w:szCs w:val="24"/>
              </w:rPr>
            </w:pPr>
          </w:p>
        </w:tc>
        <w:tc>
          <w:tcPr>
            <w:tcW w:w="2060" w:type="dxa"/>
            <w:gridSpan w:val="2"/>
            <w:shd w:val="clear" w:color="auto" w:fill="auto"/>
            <w:vAlign w:val="center"/>
          </w:tcPr>
          <w:p w14:paraId="6D22ED26">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地质灾害防治项目工作</w:t>
            </w:r>
          </w:p>
        </w:tc>
        <w:tc>
          <w:tcPr>
            <w:tcW w:w="6190" w:type="dxa"/>
            <w:gridSpan w:val="6"/>
            <w:shd w:val="clear" w:color="auto" w:fill="auto"/>
            <w:vAlign w:val="center"/>
          </w:tcPr>
          <w:p w14:paraId="573344D6">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一是全面排查隐患：共排查隐患点位1.4万余处(次)、在建工程2102处(次)。二是精准监测预警。全市1526套监测设备实时监测611处隐患点变化情况。市县(区)及时发布地灾气象风险预警135次、预警信息71078条。三是突出培训演练。累计培训100余场次、6.7万余人次，演练3961场次、参与演练5.7万余人次。四是果断避险转移，累计避险转移8892户26531人(次)，有效保障群众生命安全。</w:t>
            </w:r>
          </w:p>
        </w:tc>
      </w:tr>
      <w:tr w14:paraId="472C7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214" w:type="dxa"/>
            <w:vMerge w:val="continue"/>
            <w:shd w:val="clear" w:color="auto" w:fill="auto"/>
            <w:vAlign w:val="center"/>
          </w:tcPr>
          <w:p w14:paraId="39AC78EC">
            <w:pPr>
              <w:pageBreakBefore w:val="0"/>
              <w:widowControl w:val="0"/>
              <w:kinsoku/>
              <w:wordWrap/>
              <w:overflowPunct/>
              <w:topLinePunct w:val="0"/>
              <w:autoSpaceDE/>
              <w:autoSpaceDN/>
              <w:bidi w:val="0"/>
              <w:adjustRightInd/>
              <w:snapToGrid/>
              <w:spacing w:line="260" w:lineRule="exact"/>
              <w:jc w:val="both"/>
              <w:rPr>
                <w:rFonts w:hint="eastAsia" w:ascii="仿宋_GB2312" w:hAnsi="仿宋_GB2312" w:eastAsia="仿宋_GB2312" w:cs="仿宋_GB2312"/>
                <w:b w:val="0"/>
                <w:bCs/>
                <w:color w:val="000000"/>
                <w:sz w:val="24"/>
                <w:szCs w:val="24"/>
              </w:rPr>
            </w:pPr>
          </w:p>
        </w:tc>
        <w:tc>
          <w:tcPr>
            <w:tcW w:w="2060" w:type="dxa"/>
            <w:gridSpan w:val="2"/>
            <w:shd w:val="clear" w:color="auto" w:fill="auto"/>
            <w:vAlign w:val="center"/>
          </w:tcPr>
          <w:p w14:paraId="45DB5E7F">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耕地保护“田长制”和土地报征工作</w:t>
            </w:r>
          </w:p>
        </w:tc>
        <w:tc>
          <w:tcPr>
            <w:tcW w:w="6190" w:type="dxa"/>
            <w:gridSpan w:val="6"/>
            <w:shd w:val="clear" w:color="auto" w:fill="auto"/>
            <w:vAlign w:val="center"/>
          </w:tcPr>
          <w:p w14:paraId="75495376">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一是积极做好2023年度耕地保护和粮食安全责任制考核“迎考”工作。二是落实最严格的耕地保护制度，出台《广元市田长制运行规则（试行）》等五项制度，构建市县乡村四级田长责任体系，形成全覆盖、无缝隙的耕地保护管理体系。三是补充耕地项目。高质量做好179个土地整理补充耕地项目排查整改，大力实施土地开发复垦项目，全市共立项项目43个，批复新增耕地潜力1.13万亩，立项批复新增耕地数量达省厅下达目标任务的394%，目前7个项目已竣工待验收，25个项目正开展施工。。五是取得土地报征批文44件次，面积1.46万亩，有力保障G5京昆高速汉广段扩容工程、黑曾路、元柳工业园（一期）基础设施、广元石盘产城融合园、中欧国际木材物流园、金剑工业园等重大项目用地。</w:t>
            </w:r>
          </w:p>
        </w:tc>
      </w:tr>
      <w:tr w14:paraId="70B80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214" w:type="dxa"/>
            <w:vMerge w:val="continue"/>
            <w:shd w:val="clear" w:color="auto" w:fill="auto"/>
            <w:vAlign w:val="center"/>
          </w:tcPr>
          <w:p w14:paraId="0C26AFDB">
            <w:pPr>
              <w:pageBreakBefore w:val="0"/>
              <w:widowControl w:val="0"/>
              <w:kinsoku/>
              <w:wordWrap/>
              <w:overflowPunct/>
              <w:topLinePunct w:val="0"/>
              <w:autoSpaceDE/>
              <w:autoSpaceDN/>
              <w:bidi w:val="0"/>
              <w:adjustRightInd/>
              <w:snapToGrid/>
              <w:spacing w:line="260" w:lineRule="exact"/>
              <w:jc w:val="both"/>
              <w:rPr>
                <w:rFonts w:hint="eastAsia" w:ascii="仿宋_GB2312" w:hAnsi="仿宋_GB2312" w:eastAsia="仿宋_GB2312" w:cs="仿宋_GB2312"/>
                <w:b w:val="0"/>
                <w:bCs/>
                <w:color w:val="000000"/>
                <w:sz w:val="24"/>
                <w:szCs w:val="24"/>
              </w:rPr>
            </w:pPr>
          </w:p>
        </w:tc>
        <w:tc>
          <w:tcPr>
            <w:tcW w:w="2060" w:type="dxa"/>
            <w:gridSpan w:val="2"/>
            <w:shd w:val="clear" w:color="auto" w:fill="auto"/>
            <w:vAlign w:val="center"/>
          </w:tcPr>
          <w:p w14:paraId="78BDAEF6">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卫片执法、动态巡查及违法案件查处工作</w:t>
            </w:r>
          </w:p>
        </w:tc>
        <w:tc>
          <w:tcPr>
            <w:tcW w:w="6190" w:type="dxa"/>
            <w:gridSpan w:val="6"/>
            <w:shd w:val="clear" w:color="auto" w:fill="auto"/>
            <w:vAlign w:val="center"/>
          </w:tcPr>
          <w:p w14:paraId="0C07A7BB">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一是核查了我市2023年土地卫片图斑3345个和矿产卫片图斑39个；二是核查省级执法月度自主监测（综合动态监测）15768个。三是全市共完成2018-2021年存量违法用地整改241个，整改面积7521.93亩，完成2022年卫片发现问题整改85个，面积818.94亩。四是全市共立案查处自然资源违法案件74件，其中土地违法案件61件，涉及土地面积906.83亩，其中耕地面积355.37亩，收缴罚没款7194.08万元。矿产类违法案件11件，没收矿产品5907吨，收缴罚没款59.16万元，追缴矿产资源收益159.03万元。测绘类案件1件，地灾防治类案件1件。移送司法机关2件，移送纪检监察机关追责问责24人。通过该项目的实施，卫片执法成果将为“自然资源离任审计”“土地管理水平综合评估”“自然资源节约集约示范县（市）创建”“全域土地综合整治试点实施”“粮食安全党政同责”等多项考核评估工作提供相关监测指标和数据成果，进一步提高卫片执法工作效用。</w:t>
            </w:r>
          </w:p>
        </w:tc>
      </w:tr>
      <w:tr w14:paraId="7AEDF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214" w:type="dxa"/>
            <w:vMerge w:val="continue"/>
            <w:shd w:val="clear" w:color="auto" w:fill="auto"/>
            <w:vAlign w:val="center"/>
          </w:tcPr>
          <w:p w14:paraId="31B1DBB5">
            <w:pPr>
              <w:pageBreakBefore w:val="0"/>
              <w:widowControl w:val="0"/>
              <w:kinsoku/>
              <w:wordWrap/>
              <w:overflowPunct/>
              <w:topLinePunct w:val="0"/>
              <w:autoSpaceDE/>
              <w:autoSpaceDN/>
              <w:bidi w:val="0"/>
              <w:adjustRightInd/>
              <w:snapToGrid/>
              <w:spacing w:line="260" w:lineRule="exact"/>
              <w:jc w:val="both"/>
              <w:rPr>
                <w:rFonts w:hint="eastAsia" w:ascii="仿宋_GB2312" w:hAnsi="仿宋_GB2312" w:eastAsia="仿宋_GB2312" w:cs="仿宋_GB2312"/>
                <w:b w:val="0"/>
                <w:bCs/>
                <w:color w:val="000000"/>
                <w:sz w:val="24"/>
                <w:szCs w:val="24"/>
              </w:rPr>
            </w:pPr>
          </w:p>
        </w:tc>
        <w:tc>
          <w:tcPr>
            <w:tcW w:w="2060" w:type="dxa"/>
            <w:gridSpan w:val="2"/>
            <w:shd w:val="clear" w:color="auto" w:fill="auto"/>
            <w:vAlign w:val="center"/>
          </w:tcPr>
          <w:p w14:paraId="64636274">
            <w:pPr>
              <w:pageBreakBefore w:val="0"/>
              <w:widowControl w:val="0"/>
              <w:kinsoku/>
              <w:wordWrap/>
              <w:overflowPunct/>
              <w:topLinePunct w:val="0"/>
              <w:autoSpaceDE/>
              <w:autoSpaceDN/>
              <w:bidi w:val="0"/>
              <w:adjustRightInd/>
              <w:snapToGrid/>
              <w:spacing w:line="260" w:lineRule="exact"/>
              <w:jc w:val="center"/>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广元市城区土地级别与基准地价更新、标定地价制定与地价动态监测工作</w:t>
            </w:r>
          </w:p>
        </w:tc>
        <w:tc>
          <w:tcPr>
            <w:tcW w:w="6190" w:type="dxa"/>
            <w:gridSpan w:val="6"/>
            <w:shd w:val="clear" w:color="auto" w:fill="auto"/>
            <w:vAlign w:val="center"/>
          </w:tcPr>
          <w:p w14:paraId="5DB630CE">
            <w:pPr>
              <w:pStyle w:val="25"/>
              <w:pageBreakBefore w:val="0"/>
              <w:widowControl w:val="0"/>
              <w:kinsoku/>
              <w:wordWrap/>
              <w:overflowPunct/>
              <w:topLinePunct w:val="0"/>
              <w:autoSpaceDE/>
              <w:autoSpaceDN/>
              <w:bidi w:val="0"/>
              <w:adjustRightInd/>
              <w:snapToGrid/>
              <w:spacing w:before="0" w:after="0" w:line="260" w:lineRule="exact"/>
              <w:ind w:firstLine="645"/>
              <w:jc w:val="both"/>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完成基础资料汇编1套，图件成果、数据库成果2套，广元市园地、林地、草地分等工作报告2分。园地、林地、草地分等定级成果已通过自然资源部验收。</w:t>
            </w:r>
          </w:p>
        </w:tc>
      </w:tr>
      <w:tr w14:paraId="46D7B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214" w:type="dxa"/>
            <w:vMerge w:val="continue"/>
            <w:shd w:val="clear" w:color="auto" w:fill="auto"/>
            <w:vAlign w:val="center"/>
          </w:tcPr>
          <w:p w14:paraId="6CBD7316">
            <w:pPr>
              <w:pageBreakBefore w:val="0"/>
              <w:widowControl w:val="0"/>
              <w:kinsoku/>
              <w:wordWrap/>
              <w:overflowPunct/>
              <w:topLinePunct w:val="0"/>
              <w:autoSpaceDE/>
              <w:autoSpaceDN/>
              <w:bidi w:val="0"/>
              <w:adjustRightInd/>
              <w:snapToGrid/>
              <w:spacing w:line="260" w:lineRule="exact"/>
              <w:jc w:val="both"/>
              <w:rPr>
                <w:rFonts w:hint="eastAsia" w:ascii="仿宋_GB2312" w:hAnsi="仿宋_GB2312" w:eastAsia="仿宋_GB2312" w:cs="仿宋_GB2312"/>
                <w:b w:val="0"/>
                <w:bCs/>
                <w:color w:val="000000"/>
                <w:sz w:val="24"/>
                <w:szCs w:val="24"/>
              </w:rPr>
            </w:pPr>
          </w:p>
        </w:tc>
        <w:tc>
          <w:tcPr>
            <w:tcW w:w="2060" w:type="dxa"/>
            <w:gridSpan w:val="2"/>
            <w:shd w:val="clear" w:color="auto" w:fill="auto"/>
            <w:vAlign w:val="center"/>
          </w:tcPr>
          <w:p w14:paraId="64FADFB7">
            <w:pPr>
              <w:pageBreakBefore w:val="0"/>
              <w:widowControl w:val="0"/>
              <w:kinsoku/>
              <w:wordWrap/>
              <w:overflowPunct/>
              <w:topLinePunct w:val="0"/>
              <w:autoSpaceDE/>
              <w:autoSpaceDN/>
              <w:bidi w:val="0"/>
              <w:adjustRightInd/>
              <w:snapToGrid/>
              <w:spacing w:line="260" w:lineRule="exact"/>
              <w:jc w:val="center"/>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自然资源信息化运行维护工作</w:t>
            </w:r>
          </w:p>
        </w:tc>
        <w:tc>
          <w:tcPr>
            <w:tcW w:w="6190" w:type="dxa"/>
            <w:gridSpan w:val="6"/>
            <w:shd w:val="clear" w:color="auto" w:fill="auto"/>
            <w:vAlign w:val="center"/>
          </w:tcPr>
          <w:p w14:paraId="08646701">
            <w:pPr>
              <w:pageBreakBefore w:val="0"/>
              <w:widowControl w:val="0"/>
              <w:kinsoku/>
              <w:wordWrap/>
              <w:overflowPunct/>
              <w:topLinePunct w:val="0"/>
              <w:autoSpaceDE/>
              <w:autoSpaceDN/>
              <w:bidi w:val="0"/>
              <w:adjustRightInd/>
              <w:snapToGrid/>
              <w:spacing w:line="260" w:lineRule="exact"/>
              <w:jc w:val="both"/>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完成机房维护70余次，办公信息化设备维护265次，保障视频会议153次左右，门户网站信息发布1573条左右，大屏信息发布60次左右。通过项目的实施，保证了局内办公设备的正常运行，保障自然资源管理高效运转。</w:t>
            </w:r>
          </w:p>
        </w:tc>
      </w:tr>
      <w:tr w14:paraId="62AE8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214" w:type="dxa"/>
            <w:vMerge w:val="restart"/>
            <w:shd w:val="clear" w:color="auto" w:fill="auto"/>
            <w:vAlign w:val="center"/>
          </w:tcPr>
          <w:p w14:paraId="2C2522AE">
            <w:pPr>
              <w:pageBreakBefore w:val="0"/>
              <w:widowControl w:val="0"/>
              <w:kinsoku/>
              <w:wordWrap/>
              <w:overflowPunct/>
              <w:topLinePunct w:val="0"/>
              <w:autoSpaceDE/>
              <w:autoSpaceDN/>
              <w:bidi w:val="0"/>
              <w:adjustRightInd/>
              <w:snapToGrid/>
              <w:spacing w:line="260" w:lineRule="exact"/>
              <w:jc w:val="center"/>
              <w:textAlignment w:val="center"/>
              <w:rPr>
                <w:rFonts w:hint="eastAsia" w:ascii="仿宋_GB2312" w:hAnsi="仿宋_GB2312" w:eastAsia="仿宋_GB2312" w:cs="仿宋_GB2312"/>
                <w:b w:val="0"/>
                <w:bCs/>
                <w:color w:val="000000"/>
                <w:kern w:val="0"/>
                <w:sz w:val="24"/>
                <w:szCs w:val="24"/>
                <w:lang w:bidi="ar"/>
              </w:rPr>
            </w:pPr>
          </w:p>
          <w:p w14:paraId="2333C479">
            <w:pPr>
              <w:pageBreakBefore w:val="0"/>
              <w:widowControl w:val="0"/>
              <w:kinsoku/>
              <w:wordWrap/>
              <w:overflowPunct/>
              <w:topLinePunct w:val="0"/>
              <w:autoSpaceDE/>
              <w:autoSpaceDN/>
              <w:bidi w:val="0"/>
              <w:adjustRightInd/>
              <w:snapToGrid/>
              <w:spacing w:line="260" w:lineRule="exact"/>
              <w:jc w:val="center"/>
              <w:textAlignment w:val="center"/>
              <w:rPr>
                <w:rFonts w:hint="eastAsia" w:ascii="仿宋_GB2312" w:hAnsi="仿宋_GB2312" w:eastAsia="仿宋_GB2312" w:cs="仿宋_GB2312"/>
                <w:b w:val="0"/>
                <w:bCs/>
                <w:color w:val="000000"/>
                <w:kern w:val="0"/>
                <w:sz w:val="24"/>
                <w:szCs w:val="24"/>
                <w:lang w:bidi="ar"/>
              </w:rPr>
            </w:pPr>
          </w:p>
          <w:p w14:paraId="1B27C513">
            <w:pPr>
              <w:pageBreakBefore w:val="0"/>
              <w:widowControl w:val="0"/>
              <w:kinsoku/>
              <w:wordWrap/>
              <w:overflowPunct/>
              <w:topLinePunct w:val="0"/>
              <w:autoSpaceDE/>
              <w:autoSpaceDN/>
              <w:bidi w:val="0"/>
              <w:adjustRightInd/>
              <w:snapToGrid/>
              <w:spacing w:line="260" w:lineRule="exact"/>
              <w:jc w:val="center"/>
              <w:textAlignment w:val="center"/>
              <w:rPr>
                <w:rFonts w:hint="eastAsia" w:ascii="仿宋_GB2312" w:hAnsi="仿宋_GB2312" w:eastAsia="仿宋_GB2312" w:cs="仿宋_GB2312"/>
                <w:b w:val="0"/>
                <w:bCs/>
                <w:color w:val="000000"/>
                <w:kern w:val="0"/>
                <w:sz w:val="24"/>
                <w:szCs w:val="24"/>
                <w:lang w:bidi="ar"/>
              </w:rPr>
            </w:pPr>
          </w:p>
          <w:p w14:paraId="1CA2F03B">
            <w:pPr>
              <w:pageBreakBefore w:val="0"/>
              <w:widowControl w:val="0"/>
              <w:kinsoku/>
              <w:wordWrap/>
              <w:overflowPunct/>
              <w:topLinePunct w:val="0"/>
              <w:autoSpaceDE/>
              <w:autoSpaceDN/>
              <w:bidi w:val="0"/>
              <w:adjustRightInd/>
              <w:snapToGrid/>
              <w:spacing w:line="260" w:lineRule="exact"/>
              <w:jc w:val="center"/>
              <w:textAlignment w:val="center"/>
              <w:rPr>
                <w:rFonts w:hint="eastAsia" w:ascii="仿宋_GB2312" w:hAnsi="仿宋_GB2312" w:eastAsia="仿宋_GB2312" w:cs="仿宋_GB2312"/>
                <w:b w:val="0"/>
                <w:bCs/>
                <w:color w:val="000000"/>
                <w:kern w:val="0"/>
                <w:sz w:val="24"/>
                <w:szCs w:val="24"/>
                <w:lang w:bidi="ar"/>
              </w:rPr>
            </w:pPr>
          </w:p>
          <w:p w14:paraId="2BB65CA5">
            <w:pPr>
              <w:pageBreakBefore w:val="0"/>
              <w:widowControl w:val="0"/>
              <w:kinsoku/>
              <w:wordWrap/>
              <w:overflowPunct/>
              <w:topLinePunct w:val="0"/>
              <w:autoSpaceDE/>
              <w:autoSpaceDN/>
              <w:bidi w:val="0"/>
              <w:adjustRightInd/>
              <w:snapToGrid/>
              <w:spacing w:line="260" w:lineRule="exact"/>
              <w:jc w:val="center"/>
              <w:textAlignment w:val="center"/>
              <w:rPr>
                <w:rFonts w:hint="eastAsia" w:ascii="仿宋_GB2312" w:hAnsi="仿宋_GB2312" w:eastAsia="仿宋_GB2312" w:cs="仿宋_GB2312"/>
                <w:b w:val="0"/>
                <w:bCs/>
                <w:color w:val="000000"/>
                <w:kern w:val="0"/>
                <w:sz w:val="24"/>
                <w:szCs w:val="24"/>
                <w:lang w:bidi="ar"/>
              </w:rPr>
            </w:pPr>
          </w:p>
          <w:p w14:paraId="6BFBC0FC">
            <w:pPr>
              <w:pageBreakBefore w:val="0"/>
              <w:widowControl w:val="0"/>
              <w:kinsoku/>
              <w:wordWrap/>
              <w:overflowPunct/>
              <w:topLinePunct w:val="0"/>
              <w:autoSpaceDE/>
              <w:autoSpaceDN/>
              <w:bidi w:val="0"/>
              <w:adjustRightInd/>
              <w:snapToGrid/>
              <w:spacing w:line="260" w:lineRule="exact"/>
              <w:jc w:val="center"/>
              <w:textAlignment w:val="center"/>
              <w:rPr>
                <w:rFonts w:hint="eastAsia" w:ascii="仿宋_GB2312" w:hAnsi="仿宋_GB2312" w:eastAsia="仿宋_GB2312" w:cs="仿宋_GB2312"/>
                <w:b w:val="0"/>
                <w:bCs/>
                <w:color w:val="000000"/>
                <w:kern w:val="0"/>
                <w:sz w:val="24"/>
                <w:szCs w:val="24"/>
                <w:lang w:bidi="ar"/>
              </w:rPr>
            </w:pPr>
          </w:p>
          <w:p w14:paraId="2AF3BEA0">
            <w:pPr>
              <w:pageBreakBefore w:val="0"/>
              <w:widowControl w:val="0"/>
              <w:kinsoku/>
              <w:wordWrap/>
              <w:overflowPunct/>
              <w:topLinePunct w:val="0"/>
              <w:autoSpaceDE/>
              <w:autoSpaceDN/>
              <w:bidi w:val="0"/>
              <w:adjustRightInd/>
              <w:snapToGrid/>
              <w:spacing w:line="260" w:lineRule="exact"/>
              <w:jc w:val="center"/>
              <w:textAlignment w:val="center"/>
              <w:rPr>
                <w:rFonts w:hint="eastAsia" w:ascii="仿宋_GB2312" w:hAnsi="仿宋_GB2312" w:eastAsia="仿宋_GB2312" w:cs="仿宋_GB2312"/>
                <w:b w:val="0"/>
                <w:bCs/>
                <w:color w:val="000000"/>
                <w:kern w:val="0"/>
                <w:sz w:val="24"/>
                <w:szCs w:val="24"/>
                <w:lang w:bidi="ar"/>
              </w:rPr>
            </w:pPr>
          </w:p>
          <w:p w14:paraId="372BABAB">
            <w:pPr>
              <w:pStyle w:val="25"/>
              <w:pageBreakBefore w:val="0"/>
              <w:widowControl w:val="0"/>
              <w:kinsoku/>
              <w:wordWrap/>
              <w:overflowPunct/>
              <w:topLinePunct w:val="0"/>
              <w:autoSpaceDE/>
              <w:autoSpaceDN/>
              <w:bidi w:val="0"/>
              <w:adjustRightInd/>
              <w:snapToGrid/>
              <w:spacing w:before="0" w:after="0" w:line="260" w:lineRule="exact"/>
              <w:rPr>
                <w:rFonts w:hint="eastAsia" w:ascii="仿宋_GB2312" w:hAnsi="仿宋_GB2312" w:eastAsia="仿宋_GB2312" w:cs="仿宋_GB2312"/>
                <w:b w:val="0"/>
                <w:bCs/>
                <w:color w:val="000000"/>
                <w:kern w:val="0"/>
                <w:sz w:val="24"/>
                <w:szCs w:val="24"/>
                <w:lang w:bidi="ar"/>
              </w:rPr>
            </w:pPr>
          </w:p>
          <w:p w14:paraId="441D64FA">
            <w:pPr>
              <w:pageBreakBefore w:val="0"/>
              <w:widowControl w:val="0"/>
              <w:kinsoku/>
              <w:wordWrap/>
              <w:overflowPunct/>
              <w:topLinePunct w:val="0"/>
              <w:autoSpaceDE/>
              <w:autoSpaceDN/>
              <w:bidi w:val="0"/>
              <w:adjustRightInd/>
              <w:snapToGrid/>
              <w:spacing w:line="260" w:lineRule="exact"/>
              <w:rPr>
                <w:rFonts w:hint="eastAsia" w:ascii="仿宋_GB2312" w:hAnsi="仿宋_GB2312" w:eastAsia="仿宋_GB2312" w:cs="仿宋_GB2312"/>
                <w:b w:val="0"/>
                <w:bCs/>
                <w:color w:val="000000"/>
                <w:kern w:val="0"/>
                <w:sz w:val="24"/>
                <w:szCs w:val="24"/>
                <w:lang w:bidi="ar"/>
              </w:rPr>
            </w:pPr>
          </w:p>
          <w:p w14:paraId="70FE5470">
            <w:pPr>
              <w:pStyle w:val="25"/>
              <w:pageBreakBefore w:val="0"/>
              <w:widowControl w:val="0"/>
              <w:kinsoku/>
              <w:wordWrap/>
              <w:overflowPunct/>
              <w:topLinePunct w:val="0"/>
              <w:autoSpaceDE/>
              <w:autoSpaceDN/>
              <w:bidi w:val="0"/>
              <w:adjustRightInd/>
              <w:snapToGrid/>
              <w:spacing w:before="0" w:after="0" w:line="260" w:lineRule="exact"/>
              <w:rPr>
                <w:rFonts w:hint="eastAsia" w:ascii="仿宋_GB2312" w:hAnsi="仿宋_GB2312" w:eastAsia="仿宋_GB2312" w:cs="仿宋_GB2312"/>
                <w:sz w:val="24"/>
                <w:szCs w:val="24"/>
              </w:rPr>
            </w:pPr>
          </w:p>
          <w:p w14:paraId="4CF06FEF">
            <w:pPr>
              <w:pageBreakBefore w:val="0"/>
              <w:widowControl w:val="0"/>
              <w:kinsoku/>
              <w:wordWrap/>
              <w:overflowPunct/>
              <w:topLinePunct w:val="0"/>
              <w:autoSpaceDE/>
              <w:autoSpaceDN/>
              <w:bidi w:val="0"/>
              <w:adjustRightInd/>
              <w:snapToGrid/>
              <w:spacing w:line="260" w:lineRule="exact"/>
              <w:jc w:val="center"/>
              <w:textAlignment w:val="center"/>
              <w:rPr>
                <w:rFonts w:hint="eastAsia" w:ascii="仿宋_GB2312" w:hAnsi="仿宋_GB2312" w:eastAsia="仿宋_GB2312" w:cs="仿宋_GB2312"/>
                <w:b w:val="0"/>
                <w:bCs/>
                <w:color w:val="000000"/>
                <w:kern w:val="0"/>
                <w:sz w:val="24"/>
                <w:szCs w:val="24"/>
                <w:lang w:bidi="ar"/>
              </w:rPr>
            </w:pPr>
          </w:p>
          <w:p w14:paraId="0D9C2988">
            <w:pPr>
              <w:pStyle w:val="2"/>
              <w:rPr>
                <w:rFonts w:hint="eastAsia" w:ascii="仿宋_GB2312" w:hAnsi="仿宋_GB2312" w:eastAsia="仿宋_GB2312" w:cs="仿宋_GB2312"/>
                <w:b w:val="0"/>
                <w:bCs/>
                <w:color w:val="000000"/>
                <w:kern w:val="0"/>
                <w:sz w:val="24"/>
                <w:szCs w:val="24"/>
                <w:lang w:bidi="ar"/>
              </w:rPr>
            </w:pPr>
          </w:p>
          <w:p w14:paraId="07FD7C19">
            <w:pPr>
              <w:rPr>
                <w:rFonts w:hint="eastAsia" w:ascii="仿宋_GB2312" w:hAnsi="仿宋_GB2312" w:eastAsia="仿宋_GB2312" w:cs="仿宋_GB2312"/>
                <w:b w:val="0"/>
                <w:bCs/>
                <w:color w:val="000000"/>
                <w:kern w:val="0"/>
                <w:sz w:val="24"/>
                <w:szCs w:val="24"/>
                <w:lang w:bidi="ar"/>
              </w:rPr>
            </w:pPr>
          </w:p>
          <w:p w14:paraId="62F2FBD4">
            <w:pPr>
              <w:pStyle w:val="2"/>
              <w:rPr>
                <w:rFonts w:hint="eastAsia" w:ascii="仿宋_GB2312" w:hAnsi="仿宋_GB2312" w:eastAsia="仿宋_GB2312" w:cs="仿宋_GB2312"/>
                <w:b w:val="0"/>
                <w:bCs/>
                <w:color w:val="000000"/>
                <w:kern w:val="0"/>
                <w:sz w:val="24"/>
                <w:szCs w:val="24"/>
                <w:lang w:bidi="ar"/>
              </w:rPr>
            </w:pPr>
          </w:p>
          <w:p w14:paraId="1D38A795">
            <w:pPr>
              <w:rPr>
                <w:rFonts w:hint="eastAsia" w:ascii="仿宋_GB2312" w:hAnsi="仿宋_GB2312" w:eastAsia="仿宋_GB2312" w:cs="仿宋_GB2312"/>
                <w:b w:val="0"/>
                <w:bCs/>
                <w:color w:val="000000"/>
                <w:kern w:val="0"/>
                <w:sz w:val="24"/>
                <w:szCs w:val="24"/>
                <w:lang w:bidi="ar"/>
              </w:rPr>
            </w:pPr>
          </w:p>
          <w:p w14:paraId="7902E909">
            <w:pPr>
              <w:pStyle w:val="2"/>
              <w:rPr>
                <w:rFonts w:hint="eastAsia" w:ascii="仿宋_GB2312" w:hAnsi="仿宋_GB2312" w:eastAsia="仿宋_GB2312" w:cs="仿宋_GB2312"/>
                <w:b w:val="0"/>
                <w:bCs/>
                <w:color w:val="000000"/>
                <w:kern w:val="0"/>
                <w:sz w:val="24"/>
                <w:szCs w:val="24"/>
                <w:lang w:bidi="ar"/>
              </w:rPr>
            </w:pPr>
          </w:p>
          <w:p w14:paraId="53B36958">
            <w:pPr>
              <w:rPr>
                <w:rFonts w:hint="eastAsia"/>
              </w:rPr>
            </w:pPr>
          </w:p>
          <w:p w14:paraId="18E21F01">
            <w:pPr>
              <w:pageBreakBefore w:val="0"/>
              <w:widowControl w:val="0"/>
              <w:kinsoku/>
              <w:wordWrap/>
              <w:overflowPunct/>
              <w:topLinePunct w:val="0"/>
              <w:autoSpaceDE/>
              <w:autoSpaceDN/>
              <w:bidi w:val="0"/>
              <w:adjustRightInd/>
              <w:snapToGrid/>
              <w:spacing w:line="260" w:lineRule="exact"/>
              <w:jc w:val="center"/>
              <w:textAlignment w:val="center"/>
              <w:rPr>
                <w:rFonts w:hint="eastAsia" w:ascii="仿宋_GB2312" w:hAnsi="仿宋_GB2312" w:eastAsia="仿宋_GB2312" w:cs="仿宋_GB2312"/>
                <w:b w:val="0"/>
                <w:bCs/>
                <w:color w:val="000000"/>
                <w:kern w:val="0"/>
                <w:sz w:val="24"/>
                <w:szCs w:val="24"/>
                <w:lang w:bidi="ar"/>
              </w:rPr>
            </w:pPr>
          </w:p>
          <w:p w14:paraId="164956EC">
            <w:pPr>
              <w:pageBreakBefore w:val="0"/>
              <w:widowControl w:val="0"/>
              <w:kinsoku/>
              <w:wordWrap/>
              <w:overflowPunct/>
              <w:topLinePunct w:val="0"/>
              <w:autoSpaceDE/>
              <w:autoSpaceDN/>
              <w:bidi w:val="0"/>
              <w:adjustRightInd/>
              <w:snapToGrid/>
              <w:spacing w:line="260" w:lineRule="exact"/>
              <w:jc w:val="center"/>
              <w:textAlignment w:val="center"/>
              <w:rPr>
                <w:rFonts w:hint="eastAsia" w:ascii="仿宋_GB2312" w:hAnsi="仿宋_GB2312" w:eastAsia="仿宋_GB2312" w:cs="仿宋_GB2312"/>
                <w:b w:val="0"/>
                <w:bCs/>
                <w:color w:val="000000"/>
                <w:kern w:val="0"/>
                <w:sz w:val="24"/>
                <w:szCs w:val="24"/>
                <w:lang w:bidi="ar"/>
              </w:rPr>
            </w:pPr>
          </w:p>
          <w:p w14:paraId="563D0CE0">
            <w:pPr>
              <w:pageBreakBefore w:val="0"/>
              <w:widowControl w:val="0"/>
              <w:kinsoku/>
              <w:wordWrap/>
              <w:overflowPunct/>
              <w:topLinePunct w:val="0"/>
              <w:autoSpaceDE/>
              <w:autoSpaceDN/>
              <w:bidi w:val="0"/>
              <w:adjustRightInd/>
              <w:snapToGrid/>
              <w:spacing w:line="260" w:lineRule="exact"/>
              <w:jc w:val="center"/>
              <w:textAlignment w:val="center"/>
              <w:rPr>
                <w:rFonts w:hint="eastAsia" w:ascii="仿宋_GB2312" w:hAnsi="仿宋_GB2312" w:eastAsia="仿宋_GB2312" w:cs="仿宋_GB2312"/>
                <w:b w:val="0"/>
                <w:bCs/>
                <w:color w:val="000000"/>
                <w:kern w:val="0"/>
                <w:sz w:val="24"/>
                <w:szCs w:val="24"/>
                <w:lang w:bidi="ar"/>
              </w:rPr>
            </w:pPr>
          </w:p>
          <w:p w14:paraId="6C136B42">
            <w:pPr>
              <w:pageBreakBefore w:val="0"/>
              <w:widowControl w:val="0"/>
              <w:kinsoku/>
              <w:wordWrap/>
              <w:overflowPunct/>
              <w:topLinePunct w:val="0"/>
              <w:autoSpaceDE/>
              <w:autoSpaceDN/>
              <w:bidi w:val="0"/>
              <w:adjustRightInd/>
              <w:snapToGrid/>
              <w:spacing w:line="260" w:lineRule="exact"/>
              <w:jc w:val="center"/>
              <w:textAlignment w:val="center"/>
              <w:rPr>
                <w:rFonts w:hint="eastAsia" w:ascii="仿宋_GB2312" w:hAnsi="仿宋_GB2312" w:eastAsia="仿宋_GB2312" w:cs="仿宋_GB2312"/>
                <w:b w:val="0"/>
                <w:bCs/>
                <w:color w:val="000000"/>
                <w:kern w:val="0"/>
                <w:sz w:val="24"/>
                <w:szCs w:val="24"/>
                <w:lang w:bidi="ar"/>
              </w:rPr>
            </w:pPr>
            <w:r>
              <w:rPr>
                <w:rFonts w:hint="eastAsia" w:ascii="仿宋_GB2312" w:hAnsi="仿宋_GB2312" w:eastAsia="仿宋_GB2312" w:cs="仿宋_GB2312"/>
                <w:b w:val="0"/>
                <w:bCs/>
                <w:color w:val="000000"/>
                <w:kern w:val="0"/>
                <w:sz w:val="24"/>
                <w:szCs w:val="24"/>
                <w:lang w:bidi="ar"/>
              </w:rPr>
              <w:t>年度主要</w:t>
            </w:r>
          </w:p>
          <w:p w14:paraId="0AE6E68B">
            <w:pPr>
              <w:pageBreakBefore w:val="0"/>
              <w:widowControl w:val="0"/>
              <w:kinsoku/>
              <w:wordWrap/>
              <w:overflowPunct/>
              <w:topLinePunct w:val="0"/>
              <w:autoSpaceDE/>
              <w:autoSpaceDN/>
              <w:bidi w:val="0"/>
              <w:adjustRightInd/>
              <w:snapToGrid/>
              <w:spacing w:line="260" w:lineRule="exact"/>
              <w:jc w:val="center"/>
              <w:rPr>
                <w:rFonts w:hint="eastAsia" w:ascii="仿宋_GB2312" w:hAnsi="仿宋_GB2312" w:eastAsia="仿宋_GB2312" w:cs="仿宋_GB2312"/>
                <w:b w:val="0"/>
                <w:bCs/>
                <w:color w:val="000000"/>
                <w:kern w:val="0"/>
                <w:sz w:val="24"/>
                <w:szCs w:val="24"/>
                <w:lang w:bidi="ar"/>
              </w:rPr>
            </w:pPr>
            <w:r>
              <w:rPr>
                <w:rFonts w:hint="eastAsia" w:ascii="仿宋_GB2312" w:hAnsi="仿宋_GB2312" w:eastAsia="仿宋_GB2312" w:cs="仿宋_GB2312"/>
                <w:b w:val="0"/>
                <w:bCs/>
                <w:color w:val="000000"/>
                <w:kern w:val="0"/>
                <w:sz w:val="24"/>
                <w:szCs w:val="24"/>
                <w:lang w:bidi="ar"/>
              </w:rPr>
              <w:t>任务</w:t>
            </w:r>
          </w:p>
          <w:p w14:paraId="009A28B1">
            <w:pPr>
              <w:pageBreakBefore w:val="0"/>
              <w:widowControl w:val="0"/>
              <w:kinsoku/>
              <w:wordWrap/>
              <w:overflowPunct/>
              <w:topLinePunct w:val="0"/>
              <w:autoSpaceDE/>
              <w:autoSpaceDN/>
              <w:bidi w:val="0"/>
              <w:adjustRightInd/>
              <w:snapToGrid/>
              <w:spacing w:line="260" w:lineRule="exact"/>
              <w:jc w:val="center"/>
              <w:textAlignment w:val="center"/>
              <w:rPr>
                <w:rFonts w:hint="eastAsia" w:ascii="仿宋_GB2312" w:hAnsi="仿宋_GB2312" w:eastAsia="仿宋_GB2312" w:cs="仿宋_GB2312"/>
                <w:b w:val="0"/>
                <w:bCs/>
                <w:color w:val="000000"/>
                <w:kern w:val="0"/>
                <w:sz w:val="24"/>
                <w:szCs w:val="24"/>
                <w:lang w:bidi="ar"/>
              </w:rPr>
            </w:pPr>
          </w:p>
          <w:p w14:paraId="6681184D">
            <w:pPr>
              <w:pageBreakBefore w:val="0"/>
              <w:widowControl w:val="0"/>
              <w:kinsoku/>
              <w:wordWrap/>
              <w:overflowPunct/>
              <w:topLinePunct w:val="0"/>
              <w:autoSpaceDE/>
              <w:autoSpaceDN/>
              <w:bidi w:val="0"/>
              <w:adjustRightInd/>
              <w:snapToGrid/>
              <w:spacing w:line="260" w:lineRule="exact"/>
              <w:jc w:val="center"/>
              <w:textAlignment w:val="center"/>
              <w:rPr>
                <w:rFonts w:hint="eastAsia" w:ascii="仿宋_GB2312" w:hAnsi="仿宋_GB2312" w:eastAsia="仿宋_GB2312" w:cs="仿宋_GB2312"/>
                <w:b w:val="0"/>
                <w:bCs/>
                <w:color w:val="000000"/>
                <w:kern w:val="0"/>
                <w:sz w:val="24"/>
                <w:szCs w:val="24"/>
                <w:lang w:bidi="ar"/>
              </w:rPr>
            </w:pPr>
          </w:p>
          <w:p w14:paraId="3087E747">
            <w:pPr>
              <w:pStyle w:val="25"/>
              <w:pageBreakBefore w:val="0"/>
              <w:widowControl w:val="0"/>
              <w:kinsoku/>
              <w:wordWrap/>
              <w:overflowPunct/>
              <w:topLinePunct w:val="0"/>
              <w:autoSpaceDE/>
              <w:autoSpaceDN/>
              <w:bidi w:val="0"/>
              <w:adjustRightInd/>
              <w:snapToGrid/>
              <w:spacing w:before="0" w:after="0" w:line="260" w:lineRule="exact"/>
              <w:rPr>
                <w:rFonts w:hint="eastAsia" w:ascii="仿宋_GB2312" w:hAnsi="仿宋_GB2312" w:eastAsia="仿宋_GB2312" w:cs="仿宋_GB2312"/>
                <w:b w:val="0"/>
                <w:bCs/>
                <w:color w:val="000000"/>
                <w:kern w:val="0"/>
                <w:sz w:val="24"/>
                <w:szCs w:val="24"/>
                <w:lang w:bidi="ar"/>
              </w:rPr>
            </w:pPr>
          </w:p>
          <w:p w14:paraId="63C134FA">
            <w:pPr>
              <w:pageBreakBefore w:val="0"/>
              <w:widowControl w:val="0"/>
              <w:kinsoku/>
              <w:wordWrap/>
              <w:overflowPunct/>
              <w:topLinePunct w:val="0"/>
              <w:autoSpaceDE/>
              <w:autoSpaceDN/>
              <w:bidi w:val="0"/>
              <w:adjustRightInd/>
              <w:snapToGrid/>
              <w:spacing w:line="260" w:lineRule="exact"/>
              <w:rPr>
                <w:rFonts w:hint="eastAsia" w:ascii="仿宋_GB2312" w:hAnsi="仿宋_GB2312" w:eastAsia="仿宋_GB2312" w:cs="仿宋_GB2312"/>
                <w:b w:val="0"/>
                <w:bCs/>
                <w:color w:val="000000"/>
                <w:kern w:val="0"/>
                <w:sz w:val="24"/>
                <w:szCs w:val="24"/>
                <w:lang w:bidi="ar"/>
              </w:rPr>
            </w:pPr>
          </w:p>
          <w:p w14:paraId="298D1542">
            <w:pPr>
              <w:pStyle w:val="25"/>
              <w:pageBreakBefore w:val="0"/>
              <w:widowControl w:val="0"/>
              <w:kinsoku/>
              <w:wordWrap/>
              <w:overflowPunct/>
              <w:topLinePunct w:val="0"/>
              <w:autoSpaceDE/>
              <w:autoSpaceDN/>
              <w:bidi w:val="0"/>
              <w:adjustRightInd/>
              <w:snapToGrid/>
              <w:spacing w:before="0" w:after="0" w:line="260" w:lineRule="exact"/>
              <w:rPr>
                <w:rFonts w:hint="eastAsia" w:ascii="仿宋_GB2312" w:hAnsi="仿宋_GB2312" w:eastAsia="仿宋_GB2312" w:cs="仿宋_GB2312"/>
                <w:b w:val="0"/>
                <w:bCs/>
                <w:color w:val="000000"/>
                <w:kern w:val="0"/>
                <w:sz w:val="24"/>
                <w:szCs w:val="24"/>
                <w:lang w:bidi="ar"/>
              </w:rPr>
            </w:pPr>
          </w:p>
          <w:p w14:paraId="1038A7D3">
            <w:pPr>
              <w:pageBreakBefore w:val="0"/>
              <w:widowControl w:val="0"/>
              <w:kinsoku/>
              <w:wordWrap/>
              <w:overflowPunct/>
              <w:topLinePunct w:val="0"/>
              <w:autoSpaceDE/>
              <w:autoSpaceDN/>
              <w:bidi w:val="0"/>
              <w:adjustRightInd/>
              <w:snapToGrid/>
              <w:spacing w:line="260" w:lineRule="exact"/>
              <w:rPr>
                <w:rFonts w:hint="eastAsia" w:ascii="仿宋_GB2312" w:hAnsi="仿宋_GB2312" w:eastAsia="仿宋_GB2312" w:cs="仿宋_GB2312"/>
                <w:b w:val="0"/>
                <w:bCs/>
                <w:color w:val="000000"/>
                <w:kern w:val="0"/>
                <w:sz w:val="24"/>
                <w:szCs w:val="24"/>
                <w:lang w:bidi="ar"/>
              </w:rPr>
            </w:pPr>
          </w:p>
          <w:p w14:paraId="7D54CFF7">
            <w:pPr>
              <w:pStyle w:val="25"/>
              <w:pageBreakBefore w:val="0"/>
              <w:widowControl w:val="0"/>
              <w:kinsoku/>
              <w:wordWrap/>
              <w:overflowPunct/>
              <w:topLinePunct w:val="0"/>
              <w:autoSpaceDE/>
              <w:autoSpaceDN/>
              <w:bidi w:val="0"/>
              <w:adjustRightInd/>
              <w:snapToGrid/>
              <w:spacing w:before="0" w:after="0" w:line="260" w:lineRule="exact"/>
              <w:rPr>
                <w:rFonts w:hint="eastAsia" w:ascii="仿宋_GB2312" w:hAnsi="仿宋_GB2312" w:eastAsia="仿宋_GB2312" w:cs="仿宋_GB2312"/>
                <w:b w:val="0"/>
                <w:bCs/>
                <w:color w:val="000000"/>
                <w:kern w:val="0"/>
                <w:sz w:val="24"/>
                <w:szCs w:val="24"/>
                <w:lang w:bidi="ar"/>
              </w:rPr>
            </w:pPr>
          </w:p>
          <w:p w14:paraId="1C3D2D36">
            <w:pPr>
              <w:rPr>
                <w:rFonts w:hint="eastAsia" w:ascii="仿宋_GB2312" w:hAnsi="仿宋_GB2312" w:eastAsia="仿宋_GB2312" w:cs="仿宋_GB2312"/>
                <w:b w:val="0"/>
                <w:bCs/>
                <w:color w:val="000000"/>
                <w:kern w:val="0"/>
                <w:sz w:val="24"/>
                <w:szCs w:val="24"/>
                <w:lang w:bidi="ar"/>
              </w:rPr>
            </w:pPr>
          </w:p>
          <w:p w14:paraId="0E22C565">
            <w:pPr>
              <w:pStyle w:val="2"/>
              <w:rPr>
                <w:rFonts w:hint="eastAsia" w:ascii="仿宋_GB2312" w:hAnsi="仿宋_GB2312" w:eastAsia="仿宋_GB2312" w:cs="仿宋_GB2312"/>
                <w:b w:val="0"/>
                <w:bCs/>
                <w:color w:val="000000"/>
                <w:kern w:val="0"/>
                <w:sz w:val="24"/>
                <w:szCs w:val="24"/>
                <w:lang w:bidi="ar"/>
              </w:rPr>
            </w:pPr>
          </w:p>
          <w:p w14:paraId="2DEE60DC">
            <w:pPr>
              <w:rPr>
                <w:rFonts w:hint="eastAsia" w:ascii="仿宋_GB2312" w:hAnsi="仿宋_GB2312" w:eastAsia="仿宋_GB2312" w:cs="仿宋_GB2312"/>
                <w:b w:val="0"/>
                <w:bCs/>
                <w:color w:val="000000"/>
                <w:kern w:val="0"/>
                <w:sz w:val="24"/>
                <w:szCs w:val="24"/>
                <w:lang w:bidi="ar"/>
              </w:rPr>
            </w:pPr>
          </w:p>
          <w:p w14:paraId="567ECE87">
            <w:pPr>
              <w:pStyle w:val="2"/>
              <w:rPr>
                <w:rFonts w:hint="eastAsia" w:ascii="仿宋_GB2312" w:hAnsi="仿宋_GB2312" w:eastAsia="仿宋_GB2312" w:cs="仿宋_GB2312"/>
                <w:b w:val="0"/>
                <w:bCs/>
                <w:color w:val="000000"/>
                <w:kern w:val="0"/>
                <w:sz w:val="24"/>
                <w:szCs w:val="24"/>
                <w:lang w:bidi="ar"/>
              </w:rPr>
            </w:pPr>
          </w:p>
          <w:p w14:paraId="6C11DB64">
            <w:pPr>
              <w:rPr>
                <w:rFonts w:hint="eastAsia" w:ascii="仿宋_GB2312" w:hAnsi="仿宋_GB2312" w:eastAsia="仿宋_GB2312" w:cs="仿宋_GB2312"/>
                <w:b w:val="0"/>
                <w:bCs/>
                <w:color w:val="000000"/>
                <w:kern w:val="0"/>
                <w:sz w:val="24"/>
                <w:szCs w:val="24"/>
                <w:lang w:bidi="ar"/>
              </w:rPr>
            </w:pPr>
          </w:p>
          <w:p w14:paraId="65A7AF12">
            <w:pPr>
              <w:pStyle w:val="2"/>
              <w:rPr>
                <w:rFonts w:hint="eastAsia" w:ascii="仿宋_GB2312" w:hAnsi="仿宋_GB2312" w:eastAsia="仿宋_GB2312" w:cs="仿宋_GB2312"/>
                <w:b w:val="0"/>
                <w:bCs/>
                <w:color w:val="000000"/>
                <w:kern w:val="0"/>
                <w:sz w:val="24"/>
                <w:szCs w:val="24"/>
                <w:lang w:bidi="ar"/>
              </w:rPr>
            </w:pPr>
          </w:p>
          <w:p w14:paraId="11408FC8">
            <w:pPr>
              <w:rPr>
                <w:rFonts w:hint="eastAsia" w:ascii="仿宋_GB2312" w:hAnsi="仿宋_GB2312" w:eastAsia="仿宋_GB2312" w:cs="仿宋_GB2312"/>
                <w:b w:val="0"/>
                <w:bCs/>
                <w:color w:val="000000"/>
                <w:kern w:val="0"/>
                <w:sz w:val="24"/>
                <w:szCs w:val="24"/>
                <w:lang w:bidi="ar"/>
              </w:rPr>
            </w:pPr>
          </w:p>
          <w:p w14:paraId="1B973A6F">
            <w:pPr>
              <w:pStyle w:val="2"/>
              <w:rPr>
                <w:rFonts w:hint="eastAsia" w:ascii="仿宋_GB2312" w:hAnsi="仿宋_GB2312" w:eastAsia="仿宋_GB2312" w:cs="仿宋_GB2312"/>
                <w:b w:val="0"/>
                <w:bCs/>
                <w:color w:val="000000"/>
                <w:kern w:val="0"/>
                <w:sz w:val="24"/>
                <w:szCs w:val="24"/>
                <w:lang w:bidi="ar"/>
              </w:rPr>
            </w:pPr>
          </w:p>
          <w:p w14:paraId="2EF96EDD">
            <w:pPr>
              <w:rPr>
                <w:rFonts w:hint="eastAsia" w:ascii="仿宋_GB2312" w:hAnsi="仿宋_GB2312" w:eastAsia="仿宋_GB2312" w:cs="仿宋_GB2312"/>
                <w:b w:val="0"/>
                <w:bCs/>
                <w:color w:val="000000"/>
                <w:kern w:val="0"/>
                <w:sz w:val="24"/>
                <w:szCs w:val="24"/>
                <w:lang w:bidi="ar"/>
              </w:rPr>
            </w:pPr>
          </w:p>
          <w:p w14:paraId="31E30F4F">
            <w:pPr>
              <w:pStyle w:val="2"/>
              <w:rPr>
                <w:rFonts w:hint="eastAsia" w:ascii="仿宋_GB2312" w:hAnsi="仿宋_GB2312" w:eastAsia="仿宋_GB2312" w:cs="仿宋_GB2312"/>
                <w:b w:val="0"/>
                <w:bCs/>
                <w:color w:val="000000"/>
                <w:kern w:val="0"/>
                <w:sz w:val="24"/>
                <w:szCs w:val="24"/>
                <w:lang w:bidi="ar"/>
              </w:rPr>
            </w:pPr>
          </w:p>
          <w:p w14:paraId="26F34D29">
            <w:pPr>
              <w:rPr>
                <w:rFonts w:hint="eastAsia" w:ascii="仿宋_GB2312" w:hAnsi="仿宋_GB2312" w:eastAsia="仿宋_GB2312" w:cs="仿宋_GB2312"/>
                <w:b w:val="0"/>
                <w:bCs/>
                <w:color w:val="000000"/>
                <w:kern w:val="0"/>
                <w:sz w:val="24"/>
                <w:szCs w:val="24"/>
                <w:lang w:bidi="ar"/>
              </w:rPr>
            </w:pPr>
          </w:p>
          <w:p w14:paraId="1D942EA3">
            <w:pPr>
              <w:pStyle w:val="2"/>
              <w:rPr>
                <w:rFonts w:hint="eastAsia" w:ascii="仿宋_GB2312" w:hAnsi="仿宋_GB2312" w:eastAsia="仿宋_GB2312" w:cs="仿宋_GB2312"/>
                <w:b w:val="0"/>
                <w:bCs/>
                <w:color w:val="000000"/>
                <w:kern w:val="0"/>
                <w:sz w:val="24"/>
                <w:szCs w:val="24"/>
                <w:lang w:bidi="ar"/>
              </w:rPr>
            </w:pPr>
          </w:p>
          <w:p w14:paraId="1A9C0425">
            <w:pPr>
              <w:rPr>
                <w:rFonts w:hint="eastAsia"/>
              </w:rPr>
            </w:pPr>
          </w:p>
          <w:p w14:paraId="2F8C5E33">
            <w:pPr>
              <w:pageBreakBefore w:val="0"/>
              <w:widowControl w:val="0"/>
              <w:kinsoku/>
              <w:wordWrap/>
              <w:overflowPunct/>
              <w:topLinePunct w:val="0"/>
              <w:autoSpaceDE/>
              <w:autoSpaceDN/>
              <w:bidi w:val="0"/>
              <w:adjustRightInd/>
              <w:snapToGrid/>
              <w:spacing w:line="260" w:lineRule="exact"/>
              <w:rPr>
                <w:rFonts w:hint="eastAsia" w:ascii="仿宋_GB2312" w:hAnsi="仿宋_GB2312" w:eastAsia="仿宋_GB2312" w:cs="仿宋_GB2312"/>
                <w:b w:val="0"/>
                <w:bCs/>
                <w:color w:val="000000"/>
                <w:kern w:val="0"/>
                <w:sz w:val="24"/>
                <w:szCs w:val="24"/>
                <w:lang w:bidi="ar"/>
              </w:rPr>
            </w:pPr>
          </w:p>
          <w:p w14:paraId="6C178C1B">
            <w:pPr>
              <w:pStyle w:val="25"/>
              <w:pageBreakBefore w:val="0"/>
              <w:widowControl w:val="0"/>
              <w:kinsoku/>
              <w:wordWrap/>
              <w:overflowPunct/>
              <w:topLinePunct w:val="0"/>
              <w:autoSpaceDE/>
              <w:autoSpaceDN/>
              <w:bidi w:val="0"/>
              <w:adjustRightInd/>
              <w:snapToGrid/>
              <w:spacing w:before="0" w:after="0" w:line="260" w:lineRule="exact"/>
              <w:rPr>
                <w:rFonts w:hint="eastAsia" w:ascii="仿宋_GB2312" w:hAnsi="仿宋_GB2312" w:eastAsia="仿宋_GB2312" w:cs="仿宋_GB2312"/>
                <w:b w:val="0"/>
                <w:bCs/>
                <w:color w:val="000000"/>
                <w:kern w:val="0"/>
                <w:sz w:val="24"/>
                <w:szCs w:val="24"/>
                <w:lang w:bidi="ar"/>
              </w:rPr>
            </w:pPr>
          </w:p>
          <w:p w14:paraId="5B6AE36A">
            <w:pPr>
              <w:rPr>
                <w:rFonts w:hint="eastAsia"/>
              </w:rPr>
            </w:pPr>
          </w:p>
          <w:p w14:paraId="0445996F">
            <w:pPr>
              <w:pageBreakBefore w:val="0"/>
              <w:widowControl w:val="0"/>
              <w:kinsoku/>
              <w:wordWrap/>
              <w:overflowPunct/>
              <w:topLinePunct w:val="0"/>
              <w:autoSpaceDE/>
              <w:autoSpaceDN/>
              <w:bidi w:val="0"/>
              <w:adjustRightInd/>
              <w:snapToGrid/>
              <w:spacing w:line="260" w:lineRule="exact"/>
              <w:rPr>
                <w:rFonts w:hint="eastAsia" w:ascii="仿宋_GB2312" w:hAnsi="仿宋_GB2312" w:eastAsia="仿宋_GB2312" w:cs="仿宋_GB2312"/>
                <w:b w:val="0"/>
                <w:bCs/>
                <w:color w:val="000000"/>
                <w:kern w:val="0"/>
                <w:sz w:val="24"/>
                <w:szCs w:val="24"/>
                <w:lang w:bidi="ar"/>
              </w:rPr>
            </w:pPr>
          </w:p>
          <w:p w14:paraId="6A4ABA3E">
            <w:pPr>
              <w:pageBreakBefore w:val="0"/>
              <w:widowControl w:val="0"/>
              <w:kinsoku/>
              <w:wordWrap/>
              <w:overflowPunct/>
              <w:topLinePunct w:val="0"/>
              <w:autoSpaceDE/>
              <w:autoSpaceDN/>
              <w:bidi w:val="0"/>
              <w:adjustRightInd/>
              <w:snapToGrid/>
              <w:spacing w:line="260" w:lineRule="exact"/>
              <w:jc w:val="center"/>
              <w:textAlignment w:val="center"/>
              <w:rPr>
                <w:rFonts w:hint="eastAsia" w:ascii="仿宋_GB2312" w:hAnsi="仿宋_GB2312" w:eastAsia="仿宋_GB2312" w:cs="仿宋_GB2312"/>
                <w:b w:val="0"/>
                <w:bCs/>
                <w:color w:val="000000"/>
                <w:kern w:val="0"/>
                <w:sz w:val="24"/>
                <w:szCs w:val="24"/>
                <w:lang w:bidi="ar"/>
              </w:rPr>
            </w:pPr>
            <w:r>
              <w:rPr>
                <w:rFonts w:hint="eastAsia" w:ascii="仿宋_GB2312" w:hAnsi="仿宋_GB2312" w:eastAsia="仿宋_GB2312" w:cs="仿宋_GB2312"/>
                <w:b w:val="0"/>
                <w:bCs/>
                <w:color w:val="000000"/>
                <w:kern w:val="0"/>
                <w:sz w:val="24"/>
                <w:szCs w:val="24"/>
                <w:lang w:bidi="ar"/>
              </w:rPr>
              <w:t>年度主要</w:t>
            </w:r>
          </w:p>
          <w:p w14:paraId="50D61011">
            <w:pPr>
              <w:pageBreakBefore w:val="0"/>
              <w:widowControl w:val="0"/>
              <w:kinsoku/>
              <w:wordWrap/>
              <w:overflowPunct/>
              <w:topLinePunct w:val="0"/>
              <w:autoSpaceDE/>
              <w:autoSpaceDN/>
              <w:bidi w:val="0"/>
              <w:adjustRightInd/>
              <w:snapToGrid/>
              <w:spacing w:line="260" w:lineRule="exact"/>
              <w:jc w:val="center"/>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kern w:val="0"/>
                <w:sz w:val="24"/>
                <w:szCs w:val="24"/>
                <w:lang w:bidi="ar"/>
              </w:rPr>
              <w:t>任务</w:t>
            </w:r>
          </w:p>
        </w:tc>
        <w:tc>
          <w:tcPr>
            <w:tcW w:w="2060" w:type="dxa"/>
            <w:gridSpan w:val="2"/>
            <w:shd w:val="clear" w:color="auto" w:fill="auto"/>
            <w:vAlign w:val="center"/>
          </w:tcPr>
          <w:p w14:paraId="7F49967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项目用地保障工作</w:t>
            </w:r>
          </w:p>
        </w:tc>
        <w:tc>
          <w:tcPr>
            <w:tcW w:w="6190" w:type="dxa"/>
            <w:gridSpan w:val="6"/>
            <w:shd w:val="clear" w:color="auto" w:fill="auto"/>
            <w:vAlign w:val="center"/>
          </w:tcPr>
          <w:p w14:paraId="53B20E95">
            <w:pPr>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编制并印发2023年国有建设用地供地计划，市本级实现土地出让收入30.7328亿元，处置批而未供土地2.4万亩、闲置土地577.8万亩，处置率分别为30.7%、34%。全年出让“标准地” 12宗1610亩,“标准地”比例占出让工业用地比例超过省厅下达年度任务。</w:t>
            </w:r>
          </w:p>
        </w:tc>
      </w:tr>
      <w:tr w14:paraId="6EAE7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214" w:type="dxa"/>
            <w:vMerge w:val="continue"/>
            <w:shd w:val="clear" w:color="auto" w:fill="auto"/>
            <w:vAlign w:val="center"/>
          </w:tcPr>
          <w:p w14:paraId="3A20D412">
            <w:pPr>
              <w:pageBreakBefore w:val="0"/>
              <w:widowControl w:val="0"/>
              <w:kinsoku/>
              <w:wordWrap/>
              <w:overflowPunct/>
              <w:topLinePunct w:val="0"/>
              <w:autoSpaceDE/>
              <w:autoSpaceDN/>
              <w:bidi w:val="0"/>
              <w:adjustRightInd/>
              <w:snapToGrid/>
              <w:spacing w:line="260" w:lineRule="exact"/>
              <w:jc w:val="both"/>
              <w:rPr>
                <w:rFonts w:hint="eastAsia" w:ascii="仿宋_GB2312" w:hAnsi="仿宋_GB2312" w:eastAsia="仿宋_GB2312" w:cs="仿宋_GB2312"/>
                <w:b w:val="0"/>
                <w:bCs/>
                <w:color w:val="000000"/>
                <w:sz w:val="24"/>
                <w:szCs w:val="24"/>
              </w:rPr>
            </w:pPr>
          </w:p>
        </w:tc>
        <w:tc>
          <w:tcPr>
            <w:tcW w:w="2060" w:type="dxa"/>
            <w:gridSpan w:val="2"/>
            <w:shd w:val="clear" w:color="auto" w:fill="auto"/>
            <w:vAlign w:val="center"/>
          </w:tcPr>
          <w:p w14:paraId="661B8D01">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土地权属争议调处及土地变更查工作</w:t>
            </w:r>
          </w:p>
        </w:tc>
        <w:tc>
          <w:tcPr>
            <w:tcW w:w="6190" w:type="dxa"/>
            <w:gridSpan w:val="6"/>
            <w:shd w:val="clear" w:color="auto" w:fill="auto"/>
            <w:vAlign w:val="center"/>
          </w:tcPr>
          <w:p w14:paraId="75938F5C">
            <w:pPr>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一是督促指导县（区）加快推进林权数据整合汇交，全年到县区督导检查8次，完成全市199万宗林权数据整合。二是指导县区完成集体土地所有权更新汇交。三是有序开展土地权属和林权纠纷问题线索实地调查核实及调解工作。</w:t>
            </w:r>
          </w:p>
        </w:tc>
      </w:tr>
      <w:tr w14:paraId="0B3EA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214" w:type="dxa"/>
            <w:vMerge w:val="continue"/>
            <w:shd w:val="clear" w:color="auto" w:fill="auto"/>
            <w:vAlign w:val="center"/>
          </w:tcPr>
          <w:p w14:paraId="4B869EAB">
            <w:pPr>
              <w:pageBreakBefore w:val="0"/>
              <w:widowControl w:val="0"/>
              <w:kinsoku/>
              <w:wordWrap/>
              <w:overflowPunct/>
              <w:topLinePunct w:val="0"/>
              <w:autoSpaceDE/>
              <w:autoSpaceDN/>
              <w:bidi w:val="0"/>
              <w:adjustRightInd/>
              <w:snapToGrid/>
              <w:spacing w:line="260" w:lineRule="exact"/>
              <w:jc w:val="both"/>
              <w:rPr>
                <w:rFonts w:hint="eastAsia" w:ascii="仿宋_GB2312" w:hAnsi="仿宋_GB2312" w:eastAsia="仿宋_GB2312" w:cs="仿宋_GB2312"/>
                <w:b w:val="0"/>
                <w:bCs/>
                <w:color w:val="000000"/>
                <w:sz w:val="24"/>
                <w:szCs w:val="24"/>
              </w:rPr>
            </w:pPr>
          </w:p>
        </w:tc>
        <w:tc>
          <w:tcPr>
            <w:tcW w:w="2060" w:type="dxa"/>
            <w:gridSpan w:val="2"/>
            <w:shd w:val="clear" w:color="auto" w:fill="auto"/>
            <w:vAlign w:val="center"/>
          </w:tcPr>
          <w:p w14:paraId="1698A7F1">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完成向上争取资金目标任务</w:t>
            </w:r>
          </w:p>
        </w:tc>
        <w:tc>
          <w:tcPr>
            <w:tcW w:w="6190" w:type="dxa"/>
            <w:gridSpan w:val="6"/>
            <w:shd w:val="clear" w:color="auto" w:fill="auto"/>
            <w:vAlign w:val="center"/>
          </w:tcPr>
          <w:p w14:paraId="39F2EBCC">
            <w:pPr>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据政府下达的目标任务及经济建设和项目投资“大比武”战略，积极向上争取项目资金，全年向上争取项目资5.4亿元，超额完成政府下达的目标任务。</w:t>
            </w:r>
          </w:p>
        </w:tc>
      </w:tr>
      <w:tr w14:paraId="5230B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214" w:type="dxa"/>
            <w:vMerge w:val="continue"/>
            <w:shd w:val="clear" w:color="auto" w:fill="auto"/>
            <w:vAlign w:val="center"/>
          </w:tcPr>
          <w:p w14:paraId="6B3BB609">
            <w:pPr>
              <w:pageBreakBefore w:val="0"/>
              <w:widowControl w:val="0"/>
              <w:kinsoku/>
              <w:wordWrap/>
              <w:overflowPunct/>
              <w:topLinePunct w:val="0"/>
              <w:autoSpaceDE/>
              <w:autoSpaceDN/>
              <w:bidi w:val="0"/>
              <w:adjustRightInd/>
              <w:snapToGrid/>
              <w:spacing w:line="260" w:lineRule="exact"/>
              <w:jc w:val="both"/>
              <w:rPr>
                <w:rFonts w:hint="eastAsia" w:ascii="仿宋_GB2312" w:hAnsi="仿宋_GB2312" w:eastAsia="仿宋_GB2312" w:cs="仿宋_GB2312"/>
                <w:b w:val="0"/>
                <w:bCs/>
                <w:color w:val="000000"/>
                <w:sz w:val="24"/>
                <w:szCs w:val="24"/>
              </w:rPr>
            </w:pPr>
          </w:p>
        </w:tc>
        <w:tc>
          <w:tcPr>
            <w:tcW w:w="2060" w:type="dxa"/>
            <w:gridSpan w:val="2"/>
            <w:shd w:val="clear" w:color="auto" w:fill="auto"/>
            <w:vAlign w:val="center"/>
          </w:tcPr>
          <w:p w14:paraId="51BA031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承办“大美广元 邀您来宿”2023年广元市民宿投资成都、杭州推介会</w:t>
            </w:r>
          </w:p>
        </w:tc>
        <w:tc>
          <w:tcPr>
            <w:tcW w:w="6190" w:type="dxa"/>
            <w:gridSpan w:val="6"/>
            <w:shd w:val="clear" w:color="auto" w:fill="auto"/>
            <w:vAlign w:val="center"/>
          </w:tcPr>
          <w:p w14:paraId="42D8FEAF">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推介民宿招商地块62宗1206亩，签约项目18个，签约资金74.1亿元。</w:t>
            </w:r>
          </w:p>
        </w:tc>
      </w:tr>
      <w:tr w14:paraId="7DFF5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214" w:type="dxa"/>
            <w:vMerge w:val="continue"/>
            <w:shd w:val="clear" w:color="auto" w:fill="auto"/>
            <w:vAlign w:val="center"/>
          </w:tcPr>
          <w:p w14:paraId="633FD988">
            <w:pPr>
              <w:pageBreakBefore w:val="0"/>
              <w:widowControl w:val="0"/>
              <w:kinsoku/>
              <w:wordWrap/>
              <w:overflowPunct/>
              <w:topLinePunct w:val="0"/>
              <w:autoSpaceDE/>
              <w:autoSpaceDN/>
              <w:bidi w:val="0"/>
              <w:adjustRightInd/>
              <w:snapToGrid/>
              <w:spacing w:line="260" w:lineRule="exact"/>
              <w:jc w:val="both"/>
              <w:rPr>
                <w:rFonts w:hint="eastAsia" w:ascii="仿宋_GB2312" w:hAnsi="仿宋_GB2312" w:eastAsia="仿宋_GB2312" w:cs="仿宋_GB2312"/>
                <w:b w:val="0"/>
                <w:bCs/>
                <w:color w:val="000000"/>
                <w:sz w:val="24"/>
                <w:szCs w:val="24"/>
              </w:rPr>
            </w:pPr>
          </w:p>
        </w:tc>
        <w:tc>
          <w:tcPr>
            <w:tcW w:w="2060" w:type="dxa"/>
            <w:gridSpan w:val="2"/>
            <w:shd w:val="clear" w:color="auto" w:fill="auto"/>
            <w:vAlign w:val="center"/>
          </w:tcPr>
          <w:p w14:paraId="5EB83FE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机房消防设备及OA协同办公系统保障工作</w:t>
            </w:r>
          </w:p>
        </w:tc>
        <w:tc>
          <w:tcPr>
            <w:tcW w:w="6190" w:type="dxa"/>
            <w:gridSpan w:val="6"/>
            <w:shd w:val="clear" w:color="auto" w:fill="auto"/>
            <w:vAlign w:val="center"/>
          </w:tcPr>
          <w:p w14:paraId="5A8A6941">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已完成104台国产电脑与OA协同办公适配，更换机房消防设备一套。</w:t>
            </w:r>
          </w:p>
        </w:tc>
      </w:tr>
      <w:tr w14:paraId="1693D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214" w:type="dxa"/>
            <w:vMerge w:val="continue"/>
            <w:shd w:val="clear" w:color="auto" w:fill="auto"/>
            <w:vAlign w:val="center"/>
          </w:tcPr>
          <w:p w14:paraId="78B77900">
            <w:pPr>
              <w:pageBreakBefore w:val="0"/>
              <w:widowControl w:val="0"/>
              <w:kinsoku/>
              <w:wordWrap/>
              <w:overflowPunct/>
              <w:topLinePunct w:val="0"/>
              <w:autoSpaceDE/>
              <w:autoSpaceDN/>
              <w:bidi w:val="0"/>
              <w:adjustRightInd/>
              <w:snapToGrid/>
              <w:spacing w:line="260" w:lineRule="exact"/>
              <w:jc w:val="both"/>
              <w:rPr>
                <w:rFonts w:hint="eastAsia" w:ascii="仿宋_GB2312" w:hAnsi="仿宋_GB2312" w:eastAsia="仿宋_GB2312" w:cs="仿宋_GB2312"/>
                <w:b w:val="0"/>
                <w:bCs/>
                <w:color w:val="000000"/>
                <w:sz w:val="24"/>
                <w:szCs w:val="24"/>
              </w:rPr>
            </w:pPr>
          </w:p>
        </w:tc>
        <w:tc>
          <w:tcPr>
            <w:tcW w:w="2060" w:type="dxa"/>
            <w:gridSpan w:val="2"/>
            <w:shd w:val="clear" w:color="auto" w:fill="auto"/>
            <w:vAlign w:val="center"/>
          </w:tcPr>
          <w:p w14:paraId="59F124E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自然资源视频会议系统升级</w:t>
            </w:r>
          </w:p>
        </w:tc>
        <w:tc>
          <w:tcPr>
            <w:tcW w:w="6190" w:type="dxa"/>
            <w:gridSpan w:val="6"/>
            <w:shd w:val="clear" w:color="auto" w:fill="auto"/>
            <w:vAlign w:val="center"/>
          </w:tcPr>
          <w:p w14:paraId="791F0522">
            <w:pPr>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完成自然资源视频会议升级，保障自然资源部、省自然资源厅等联席视频会议通常，确保自然资源管理工作正常有序开展。</w:t>
            </w:r>
          </w:p>
        </w:tc>
      </w:tr>
      <w:tr w14:paraId="79A95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214" w:type="dxa"/>
            <w:vMerge w:val="continue"/>
            <w:shd w:val="clear" w:color="auto" w:fill="auto"/>
            <w:vAlign w:val="center"/>
          </w:tcPr>
          <w:p w14:paraId="0F8B6170">
            <w:pPr>
              <w:pageBreakBefore w:val="0"/>
              <w:widowControl w:val="0"/>
              <w:kinsoku/>
              <w:wordWrap/>
              <w:overflowPunct/>
              <w:topLinePunct w:val="0"/>
              <w:autoSpaceDE/>
              <w:autoSpaceDN/>
              <w:bidi w:val="0"/>
              <w:adjustRightInd/>
              <w:snapToGrid/>
              <w:spacing w:line="260" w:lineRule="exact"/>
              <w:jc w:val="both"/>
              <w:rPr>
                <w:rFonts w:hint="eastAsia" w:ascii="仿宋_GB2312" w:hAnsi="仿宋_GB2312" w:eastAsia="仿宋_GB2312" w:cs="仿宋_GB2312"/>
                <w:b w:val="0"/>
                <w:bCs/>
                <w:color w:val="000000"/>
                <w:sz w:val="24"/>
                <w:szCs w:val="24"/>
              </w:rPr>
            </w:pPr>
          </w:p>
        </w:tc>
        <w:tc>
          <w:tcPr>
            <w:tcW w:w="2060" w:type="dxa"/>
            <w:gridSpan w:val="2"/>
            <w:shd w:val="clear" w:color="auto" w:fill="auto"/>
            <w:vAlign w:val="center"/>
          </w:tcPr>
          <w:p w14:paraId="3D869B59">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2021年测绘地理信息质量监督检查、地图技术审核服务</w:t>
            </w:r>
          </w:p>
        </w:tc>
        <w:tc>
          <w:tcPr>
            <w:tcW w:w="6190" w:type="dxa"/>
            <w:gridSpan w:val="6"/>
            <w:shd w:val="clear" w:color="auto" w:fill="auto"/>
            <w:vAlign w:val="center"/>
          </w:tcPr>
          <w:p w14:paraId="0ECBB0DD">
            <w:pPr>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按照四川省测绘地理信息局《关于开展2021测绘地理信息质量监督检查、测绘资质巡查和保密检查工作的通知》，完成了广元市15个测绘项目进行监督检查，提高全市测绘保障服务能力。</w:t>
            </w:r>
          </w:p>
        </w:tc>
      </w:tr>
      <w:tr w14:paraId="2A245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214" w:type="dxa"/>
            <w:vMerge w:val="continue"/>
            <w:shd w:val="clear" w:color="auto" w:fill="auto"/>
            <w:vAlign w:val="center"/>
          </w:tcPr>
          <w:p w14:paraId="52480A9D">
            <w:pPr>
              <w:pageBreakBefore w:val="0"/>
              <w:widowControl w:val="0"/>
              <w:kinsoku/>
              <w:wordWrap/>
              <w:overflowPunct/>
              <w:topLinePunct w:val="0"/>
              <w:autoSpaceDE/>
              <w:autoSpaceDN/>
              <w:bidi w:val="0"/>
              <w:adjustRightInd/>
              <w:snapToGrid/>
              <w:spacing w:line="260" w:lineRule="exact"/>
              <w:jc w:val="both"/>
              <w:rPr>
                <w:rFonts w:hint="eastAsia" w:ascii="仿宋_GB2312" w:hAnsi="仿宋_GB2312" w:eastAsia="仿宋_GB2312" w:cs="仿宋_GB2312"/>
                <w:b w:val="0"/>
                <w:bCs/>
                <w:color w:val="000000"/>
                <w:sz w:val="24"/>
                <w:szCs w:val="24"/>
              </w:rPr>
            </w:pPr>
          </w:p>
        </w:tc>
        <w:tc>
          <w:tcPr>
            <w:tcW w:w="2060" w:type="dxa"/>
            <w:gridSpan w:val="2"/>
            <w:shd w:val="clear" w:color="auto" w:fill="auto"/>
            <w:vAlign w:val="center"/>
          </w:tcPr>
          <w:p w14:paraId="03572F7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广元市国土空间总体规划编制</w:t>
            </w:r>
          </w:p>
        </w:tc>
        <w:tc>
          <w:tcPr>
            <w:tcW w:w="6190" w:type="dxa"/>
            <w:gridSpan w:val="6"/>
            <w:shd w:val="clear" w:color="auto" w:fill="auto"/>
            <w:vAlign w:val="center"/>
          </w:tcPr>
          <w:p w14:paraId="3AAF1B20">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完成33个乡镇级片区规划、50个村级规划编制，其中今年完成5个乡镇级片区规划、11个村级规划编制工作。全面启动中心城区详细规划编制前期工作，完成凤凰山棚户区控规调整，大石前进片区控规调整及城市设计已通过市专委会议审查。《广元市中心城区户外广告规划（2022-2035年）》《广元市中心城区电动汽车充电基础设施专项规划（2022-2035年）》《广元市中心城区停车场规划（2021-2035年）》《广元市中心城区照明专项规划（2021-2035年）》已通过市规委会议审议。</w:t>
            </w:r>
          </w:p>
        </w:tc>
      </w:tr>
      <w:tr w14:paraId="6CA57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214" w:type="dxa"/>
            <w:vMerge w:val="continue"/>
            <w:shd w:val="clear" w:color="auto" w:fill="auto"/>
            <w:vAlign w:val="center"/>
          </w:tcPr>
          <w:p w14:paraId="1BBC5BB5">
            <w:pPr>
              <w:pageBreakBefore w:val="0"/>
              <w:widowControl w:val="0"/>
              <w:kinsoku/>
              <w:wordWrap/>
              <w:overflowPunct/>
              <w:topLinePunct w:val="0"/>
              <w:autoSpaceDE/>
              <w:autoSpaceDN/>
              <w:bidi w:val="0"/>
              <w:adjustRightInd/>
              <w:snapToGrid/>
              <w:spacing w:line="260" w:lineRule="exact"/>
              <w:jc w:val="both"/>
              <w:rPr>
                <w:rFonts w:hint="eastAsia" w:ascii="仿宋_GB2312" w:hAnsi="仿宋_GB2312" w:eastAsia="仿宋_GB2312" w:cs="仿宋_GB2312"/>
                <w:b w:val="0"/>
                <w:bCs/>
                <w:color w:val="000000"/>
                <w:sz w:val="24"/>
                <w:szCs w:val="24"/>
              </w:rPr>
            </w:pPr>
          </w:p>
        </w:tc>
        <w:tc>
          <w:tcPr>
            <w:tcW w:w="2060" w:type="dxa"/>
            <w:gridSpan w:val="2"/>
            <w:shd w:val="clear" w:color="auto" w:fill="auto"/>
            <w:vAlign w:val="center"/>
          </w:tcPr>
          <w:p w14:paraId="273E9D3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地籍中心聘用人员费用、测绘工作经费、业务培训费、业务车辆运行维护费、自然资源土地勘界、宗地入库、日常地籍维护更新及阵地建设等费用、办公设备购置</w:t>
            </w:r>
          </w:p>
        </w:tc>
        <w:tc>
          <w:tcPr>
            <w:tcW w:w="6190" w:type="dxa"/>
            <w:gridSpan w:val="6"/>
            <w:shd w:val="clear" w:color="auto" w:fill="auto"/>
            <w:vAlign w:val="center"/>
          </w:tcPr>
          <w:p w14:paraId="249FF65B">
            <w:pPr>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主要用于聘用人员费用、地籍中心测绘工作经费、业务培训费、业务车辆运行维护费、自然资源土地勘界、宗地入库、日常地籍维护更新及阵地建设等费用及设备购置费</w:t>
            </w:r>
          </w:p>
        </w:tc>
      </w:tr>
      <w:tr w14:paraId="0D01A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214" w:type="dxa"/>
            <w:vMerge w:val="continue"/>
            <w:shd w:val="clear" w:color="auto" w:fill="auto"/>
            <w:vAlign w:val="center"/>
          </w:tcPr>
          <w:p w14:paraId="095DCBE8">
            <w:pPr>
              <w:pageBreakBefore w:val="0"/>
              <w:widowControl w:val="0"/>
              <w:kinsoku/>
              <w:wordWrap/>
              <w:overflowPunct/>
              <w:topLinePunct w:val="0"/>
              <w:autoSpaceDE/>
              <w:autoSpaceDN/>
              <w:bidi w:val="0"/>
              <w:adjustRightInd/>
              <w:snapToGrid/>
              <w:spacing w:line="260" w:lineRule="exact"/>
              <w:jc w:val="center"/>
              <w:rPr>
                <w:rFonts w:hint="eastAsia" w:ascii="仿宋_GB2312" w:hAnsi="仿宋_GB2312" w:eastAsia="仿宋_GB2312" w:cs="仿宋_GB2312"/>
                <w:b w:val="0"/>
                <w:bCs/>
                <w:color w:val="000000"/>
                <w:sz w:val="24"/>
                <w:szCs w:val="24"/>
              </w:rPr>
            </w:pPr>
          </w:p>
        </w:tc>
        <w:tc>
          <w:tcPr>
            <w:tcW w:w="2060" w:type="dxa"/>
            <w:gridSpan w:val="2"/>
            <w:shd w:val="clear" w:color="auto" w:fill="auto"/>
            <w:vAlign w:val="center"/>
          </w:tcPr>
          <w:p w14:paraId="5A88B26D">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不动产登记项目</w:t>
            </w:r>
          </w:p>
        </w:tc>
        <w:tc>
          <w:tcPr>
            <w:tcW w:w="6190" w:type="dxa"/>
            <w:gridSpan w:val="6"/>
            <w:shd w:val="clear" w:color="auto" w:fill="auto"/>
            <w:vAlign w:val="center"/>
          </w:tcPr>
          <w:p w14:paraId="092FB99F">
            <w:pPr>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房屋租金、物管及消防安保、不动产产权证书资料费、法律顾问费、不动产责任保险、大难关、机房日常维护及不动产登记系统数据库运维费、购买服务人员工资、保险、培训；不动产互联网+项目</w:t>
            </w:r>
          </w:p>
        </w:tc>
      </w:tr>
      <w:tr w14:paraId="39971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214" w:type="dxa"/>
            <w:vMerge w:val="continue"/>
            <w:shd w:val="clear" w:color="auto" w:fill="auto"/>
            <w:vAlign w:val="center"/>
          </w:tcPr>
          <w:p w14:paraId="1D76550D">
            <w:pPr>
              <w:pageBreakBefore w:val="0"/>
              <w:widowControl w:val="0"/>
              <w:kinsoku/>
              <w:wordWrap/>
              <w:overflowPunct/>
              <w:topLinePunct w:val="0"/>
              <w:autoSpaceDE/>
              <w:autoSpaceDN/>
              <w:bidi w:val="0"/>
              <w:adjustRightInd/>
              <w:snapToGrid/>
              <w:spacing w:line="260" w:lineRule="exact"/>
              <w:jc w:val="both"/>
              <w:rPr>
                <w:rFonts w:hint="eastAsia" w:ascii="仿宋_GB2312" w:hAnsi="仿宋_GB2312" w:eastAsia="仿宋_GB2312" w:cs="仿宋_GB2312"/>
                <w:b w:val="0"/>
                <w:bCs/>
                <w:color w:val="000000"/>
                <w:sz w:val="24"/>
                <w:szCs w:val="24"/>
              </w:rPr>
            </w:pPr>
          </w:p>
        </w:tc>
        <w:tc>
          <w:tcPr>
            <w:tcW w:w="2060" w:type="dxa"/>
            <w:gridSpan w:val="2"/>
            <w:shd w:val="clear" w:color="auto" w:fill="auto"/>
            <w:vAlign w:val="center"/>
          </w:tcPr>
          <w:p w14:paraId="304AC9D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永久性测量标志巡查及地理信息公共服务平台运维</w:t>
            </w:r>
          </w:p>
        </w:tc>
        <w:tc>
          <w:tcPr>
            <w:tcW w:w="6190" w:type="dxa"/>
            <w:gridSpan w:val="6"/>
            <w:shd w:val="clear" w:color="auto" w:fill="auto"/>
            <w:vAlign w:val="center"/>
          </w:tcPr>
          <w:p w14:paraId="4AC9E23A">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完成全市110个测量标志点的巡查工作，全面掌握我市测量标志保护情况，切实加强测量标志管理和保护工作</w:t>
            </w:r>
          </w:p>
        </w:tc>
      </w:tr>
      <w:tr w14:paraId="61B73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214" w:type="dxa"/>
            <w:vMerge w:val="continue"/>
            <w:shd w:val="clear" w:color="auto" w:fill="auto"/>
            <w:vAlign w:val="center"/>
          </w:tcPr>
          <w:p w14:paraId="27B011F3">
            <w:pPr>
              <w:pageBreakBefore w:val="0"/>
              <w:widowControl w:val="0"/>
              <w:kinsoku/>
              <w:wordWrap/>
              <w:overflowPunct/>
              <w:topLinePunct w:val="0"/>
              <w:autoSpaceDE/>
              <w:autoSpaceDN/>
              <w:bidi w:val="0"/>
              <w:adjustRightInd/>
              <w:snapToGrid/>
              <w:spacing w:line="260" w:lineRule="exact"/>
              <w:jc w:val="both"/>
              <w:rPr>
                <w:rFonts w:hint="eastAsia" w:ascii="仿宋_GB2312" w:hAnsi="仿宋_GB2312" w:eastAsia="仿宋_GB2312" w:cs="仿宋_GB2312"/>
                <w:b w:val="0"/>
                <w:bCs/>
                <w:color w:val="000000"/>
                <w:sz w:val="24"/>
                <w:szCs w:val="24"/>
              </w:rPr>
            </w:pPr>
          </w:p>
        </w:tc>
        <w:tc>
          <w:tcPr>
            <w:tcW w:w="2060" w:type="dxa"/>
            <w:gridSpan w:val="2"/>
            <w:shd w:val="clear" w:color="auto" w:fill="auto"/>
            <w:vAlign w:val="center"/>
          </w:tcPr>
          <w:p w14:paraId="5D085AF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经营性用地拆迁补偿</w:t>
            </w:r>
          </w:p>
        </w:tc>
        <w:tc>
          <w:tcPr>
            <w:tcW w:w="6190" w:type="dxa"/>
            <w:gridSpan w:val="6"/>
            <w:shd w:val="clear" w:color="auto" w:fill="auto"/>
            <w:vAlign w:val="center"/>
          </w:tcPr>
          <w:p w14:paraId="63029DF5">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完成市区征地拆迁补偿费支出</w:t>
            </w:r>
          </w:p>
        </w:tc>
      </w:tr>
      <w:tr w14:paraId="7675A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214" w:type="dxa"/>
            <w:vMerge w:val="continue"/>
            <w:shd w:val="clear" w:color="auto" w:fill="auto"/>
            <w:vAlign w:val="center"/>
          </w:tcPr>
          <w:p w14:paraId="360AF140">
            <w:pPr>
              <w:pageBreakBefore w:val="0"/>
              <w:widowControl w:val="0"/>
              <w:kinsoku/>
              <w:wordWrap/>
              <w:overflowPunct/>
              <w:topLinePunct w:val="0"/>
              <w:autoSpaceDE/>
              <w:autoSpaceDN/>
              <w:bidi w:val="0"/>
              <w:adjustRightInd/>
              <w:snapToGrid/>
              <w:spacing w:line="260" w:lineRule="exact"/>
              <w:jc w:val="both"/>
              <w:rPr>
                <w:rFonts w:hint="eastAsia" w:ascii="仿宋_GB2312" w:hAnsi="仿宋_GB2312" w:eastAsia="仿宋_GB2312" w:cs="仿宋_GB2312"/>
                <w:b w:val="0"/>
                <w:bCs/>
                <w:color w:val="000000"/>
                <w:sz w:val="24"/>
                <w:szCs w:val="24"/>
              </w:rPr>
            </w:pPr>
          </w:p>
        </w:tc>
        <w:tc>
          <w:tcPr>
            <w:tcW w:w="2060" w:type="dxa"/>
            <w:gridSpan w:val="2"/>
            <w:shd w:val="clear" w:color="auto" w:fill="auto"/>
            <w:vAlign w:val="center"/>
          </w:tcPr>
          <w:p w14:paraId="5660949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解缴耕地占用税</w:t>
            </w:r>
          </w:p>
        </w:tc>
        <w:tc>
          <w:tcPr>
            <w:tcW w:w="6190" w:type="dxa"/>
            <w:gridSpan w:val="6"/>
            <w:shd w:val="clear" w:color="auto" w:fill="auto"/>
            <w:vAlign w:val="center"/>
          </w:tcPr>
          <w:p w14:paraId="2C53ECCC">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完成建设用地耕地占用税缴纳</w:t>
            </w:r>
          </w:p>
        </w:tc>
      </w:tr>
      <w:tr w14:paraId="40BE8A4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trHeight w:val="340" w:hRule="atLeast"/>
          <w:jc w:val="center"/>
        </w:trPr>
        <w:tc>
          <w:tcPr>
            <w:tcW w:w="1214" w:type="dxa"/>
            <w:vMerge w:val="restart"/>
            <w:tcBorders>
              <w:top w:val="single" w:color="000000" w:sz="4" w:space="0"/>
              <w:left w:val="single" w:color="000000" w:sz="4" w:space="0"/>
              <w:right w:val="single" w:color="000000" w:sz="4" w:space="0"/>
            </w:tcBorders>
            <w:shd w:val="clear" w:color="auto" w:fill="auto"/>
            <w:vAlign w:val="center"/>
          </w:tcPr>
          <w:p w14:paraId="018E0CEA">
            <w:pPr>
              <w:keepNext w:val="0"/>
              <w:keepLines w:val="0"/>
              <w:pageBreakBefore w:val="0"/>
              <w:widowControl w:val="0"/>
              <w:kinsoku/>
              <w:wordWrap/>
              <w:overflowPunct/>
              <w:topLinePunct w:val="0"/>
              <w:autoSpaceDE/>
              <w:autoSpaceDN/>
              <w:bidi w:val="0"/>
              <w:adjustRightInd/>
              <w:snapToGrid/>
              <w:spacing w:line="260" w:lineRule="exact"/>
              <w:jc w:val="center"/>
              <w:textAlignment w:val="center"/>
              <w:rPr>
                <w:rFonts w:hint="eastAsia" w:ascii="仿宋_GB2312" w:hAnsi="仿宋_GB2312" w:eastAsia="仿宋_GB2312" w:cs="仿宋_GB2312"/>
                <w:b w:val="0"/>
                <w:bCs/>
                <w:color w:val="000000"/>
                <w:kern w:val="0"/>
                <w:sz w:val="24"/>
                <w:szCs w:val="24"/>
                <w:lang w:bidi="ar"/>
              </w:rPr>
            </w:pPr>
            <w:r>
              <w:rPr>
                <w:rFonts w:hint="eastAsia" w:ascii="仿宋_GB2312" w:hAnsi="仿宋_GB2312" w:eastAsia="仿宋_GB2312" w:cs="仿宋_GB2312"/>
                <w:b w:val="0"/>
                <w:bCs/>
                <w:color w:val="000000"/>
                <w:kern w:val="0"/>
                <w:sz w:val="24"/>
                <w:szCs w:val="24"/>
                <w:lang w:bidi="ar"/>
              </w:rPr>
              <w:t>年度绩效</w:t>
            </w:r>
          </w:p>
          <w:p w14:paraId="07154043">
            <w:pPr>
              <w:keepNext w:val="0"/>
              <w:keepLines w:val="0"/>
              <w:pageBreakBefore w:val="0"/>
              <w:widowControl w:val="0"/>
              <w:kinsoku/>
              <w:wordWrap/>
              <w:overflowPunct/>
              <w:topLinePunct w:val="0"/>
              <w:autoSpaceDE/>
              <w:autoSpaceDN/>
              <w:bidi w:val="0"/>
              <w:adjustRightInd/>
              <w:snapToGrid/>
              <w:spacing w:line="260" w:lineRule="exact"/>
              <w:jc w:val="center"/>
              <w:textAlignment w:val="center"/>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kern w:val="0"/>
                <w:sz w:val="24"/>
                <w:szCs w:val="24"/>
                <w:lang w:bidi="ar"/>
              </w:rPr>
              <w:t>指标</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64EB9">
            <w:pPr>
              <w:keepNext w:val="0"/>
              <w:keepLines w:val="0"/>
              <w:pageBreakBefore w:val="0"/>
              <w:widowControl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color w:val="000000"/>
                <w:kern w:val="0"/>
                <w:sz w:val="24"/>
                <w:szCs w:val="24"/>
                <w:lang w:bidi="ar"/>
              </w:rPr>
            </w:pPr>
            <w:r>
              <w:rPr>
                <w:rFonts w:hint="eastAsia" w:ascii="仿宋_GB2312" w:hAnsi="仿宋_GB2312" w:eastAsia="仿宋_GB2312" w:cs="仿宋_GB2312"/>
                <w:b w:val="0"/>
                <w:bCs/>
                <w:color w:val="000000"/>
                <w:kern w:val="0"/>
                <w:sz w:val="24"/>
                <w:szCs w:val="24"/>
                <w:lang w:bidi="ar"/>
              </w:rPr>
              <w:t>一级</w:t>
            </w:r>
          </w:p>
          <w:p w14:paraId="4341764B">
            <w:pPr>
              <w:keepNext w:val="0"/>
              <w:keepLines w:val="0"/>
              <w:pageBreakBefore w:val="0"/>
              <w:widowControl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kern w:val="0"/>
                <w:sz w:val="24"/>
                <w:szCs w:val="24"/>
                <w:lang w:bidi="ar"/>
              </w:rPr>
              <w:t>指标</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E3271">
            <w:pPr>
              <w:keepNext w:val="0"/>
              <w:keepLines w:val="0"/>
              <w:pageBreakBefore w:val="0"/>
              <w:widowControl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kern w:val="0"/>
                <w:sz w:val="24"/>
                <w:szCs w:val="24"/>
                <w:lang w:bidi="ar"/>
              </w:rPr>
              <w:t>二级指标</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3D908">
            <w:pPr>
              <w:keepNext w:val="0"/>
              <w:keepLines w:val="0"/>
              <w:pageBreakBefore w:val="0"/>
              <w:widowControl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kern w:val="0"/>
                <w:sz w:val="24"/>
                <w:szCs w:val="24"/>
                <w:lang w:bidi="ar"/>
              </w:rPr>
              <w:t>三级指标</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E543B">
            <w:pPr>
              <w:keepNext w:val="0"/>
              <w:keepLines w:val="0"/>
              <w:pageBreakBefore w:val="0"/>
              <w:widowControl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color w:val="000000"/>
                <w:kern w:val="0"/>
                <w:sz w:val="24"/>
                <w:szCs w:val="24"/>
                <w:lang w:bidi="ar"/>
              </w:rPr>
            </w:pPr>
            <w:r>
              <w:rPr>
                <w:rFonts w:hint="eastAsia" w:ascii="仿宋_GB2312" w:hAnsi="仿宋_GB2312" w:eastAsia="仿宋_GB2312" w:cs="仿宋_GB2312"/>
                <w:b w:val="0"/>
                <w:bCs/>
                <w:color w:val="000000"/>
                <w:kern w:val="0"/>
                <w:sz w:val="24"/>
                <w:szCs w:val="24"/>
                <w:lang w:bidi="ar"/>
              </w:rPr>
              <w:t>绩效指标</w:t>
            </w:r>
          </w:p>
          <w:p w14:paraId="29B6E3CA">
            <w:pPr>
              <w:keepNext w:val="0"/>
              <w:keepLines w:val="0"/>
              <w:pageBreakBefore w:val="0"/>
              <w:widowControl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kern w:val="0"/>
                <w:sz w:val="24"/>
                <w:szCs w:val="24"/>
                <w:lang w:bidi="ar"/>
              </w:rPr>
              <w:t>性质</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E35A8">
            <w:pPr>
              <w:keepNext w:val="0"/>
              <w:keepLines w:val="0"/>
              <w:pageBreakBefore w:val="0"/>
              <w:widowControl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kern w:val="0"/>
                <w:sz w:val="24"/>
                <w:szCs w:val="24"/>
                <w:lang w:bidi="ar"/>
              </w:rPr>
              <w:t>绩效指标值</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828FD">
            <w:pPr>
              <w:keepNext w:val="0"/>
              <w:keepLines w:val="0"/>
              <w:pageBreakBefore w:val="0"/>
              <w:widowControl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color w:val="000000"/>
                <w:kern w:val="0"/>
                <w:sz w:val="24"/>
                <w:szCs w:val="24"/>
                <w:lang w:bidi="ar"/>
              </w:rPr>
            </w:pPr>
            <w:r>
              <w:rPr>
                <w:rFonts w:hint="eastAsia" w:ascii="仿宋_GB2312" w:hAnsi="仿宋_GB2312" w:eastAsia="仿宋_GB2312" w:cs="仿宋_GB2312"/>
                <w:b w:val="0"/>
                <w:bCs/>
                <w:color w:val="000000"/>
                <w:kern w:val="0"/>
                <w:sz w:val="24"/>
                <w:szCs w:val="24"/>
                <w:lang w:bidi="ar"/>
              </w:rPr>
              <w:t>绩效度量</w:t>
            </w:r>
          </w:p>
          <w:p w14:paraId="27F5D2D2">
            <w:pPr>
              <w:keepNext w:val="0"/>
              <w:keepLines w:val="0"/>
              <w:pageBreakBefore w:val="0"/>
              <w:widowControl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kern w:val="0"/>
                <w:sz w:val="24"/>
                <w:szCs w:val="24"/>
                <w:lang w:bidi="ar"/>
              </w:rPr>
              <w:t>单位</w:t>
            </w:r>
          </w:p>
        </w:tc>
        <w:tc>
          <w:tcPr>
            <w:tcW w:w="660" w:type="dxa"/>
            <w:tcBorders>
              <w:top w:val="single" w:color="000000" w:sz="4" w:space="0"/>
              <w:left w:val="single" w:color="000000" w:sz="4" w:space="0"/>
              <w:bottom w:val="single" w:color="000000" w:sz="4" w:space="0"/>
            </w:tcBorders>
            <w:shd w:val="clear" w:color="auto" w:fill="auto"/>
            <w:vAlign w:val="center"/>
          </w:tcPr>
          <w:p w14:paraId="720F1FFA">
            <w:pPr>
              <w:keepNext w:val="0"/>
              <w:keepLines w:val="0"/>
              <w:pageBreakBefore w:val="0"/>
              <w:widowControl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kern w:val="0"/>
                <w:sz w:val="24"/>
                <w:szCs w:val="24"/>
                <w:lang w:bidi="ar"/>
              </w:rPr>
              <w:t>权重</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1BF1A">
            <w:pPr>
              <w:keepNext w:val="0"/>
              <w:keepLines w:val="0"/>
              <w:pageBreakBefore w:val="0"/>
              <w:widowControl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color w:val="000000"/>
                <w:kern w:val="0"/>
                <w:sz w:val="24"/>
                <w:szCs w:val="24"/>
                <w:lang w:bidi="ar"/>
              </w:rPr>
            </w:pPr>
            <w:r>
              <w:rPr>
                <w:rFonts w:hint="eastAsia" w:ascii="仿宋_GB2312" w:hAnsi="仿宋_GB2312" w:eastAsia="仿宋_GB2312" w:cs="仿宋_GB2312"/>
                <w:b w:val="0"/>
                <w:bCs/>
                <w:color w:val="000000"/>
                <w:kern w:val="0"/>
                <w:sz w:val="24"/>
                <w:szCs w:val="24"/>
                <w:lang w:bidi="ar"/>
              </w:rPr>
              <w:t>实际完成指</w:t>
            </w:r>
          </w:p>
          <w:p w14:paraId="544C40F6">
            <w:pPr>
              <w:keepNext w:val="0"/>
              <w:keepLines w:val="0"/>
              <w:pageBreakBefore w:val="0"/>
              <w:widowControl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kern w:val="0"/>
                <w:sz w:val="24"/>
                <w:szCs w:val="24"/>
                <w:lang w:bidi="ar"/>
              </w:rPr>
              <w:t>标值</w:t>
            </w:r>
          </w:p>
        </w:tc>
      </w:tr>
      <w:tr w14:paraId="341E730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trHeight w:val="340" w:hRule="atLeast"/>
          <w:jc w:val="center"/>
        </w:trPr>
        <w:tc>
          <w:tcPr>
            <w:tcW w:w="1214" w:type="dxa"/>
            <w:vMerge w:val="continue"/>
            <w:tcBorders>
              <w:left w:val="single" w:color="000000" w:sz="4" w:space="0"/>
              <w:right w:val="single" w:color="000000" w:sz="4" w:space="0"/>
            </w:tcBorders>
            <w:shd w:val="clear" w:color="auto" w:fill="auto"/>
            <w:vAlign w:val="center"/>
          </w:tcPr>
          <w:p w14:paraId="2489D402">
            <w:pPr>
              <w:keepNext w:val="0"/>
              <w:keepLines w:val="0"/>
              <w:pageBreakBefore w:val="0"/>
              <w:widowControl w:val="0"/>
              <w:kinsoku/>
              <w:wordWrap/>
              <w:overflowPunct/>
              <w:topLinePunct w:val="0"/>
              <w:autoSpaceDE/>
              <w:autoSpaceDN/>
              <w:bidi w:val="0"/>
              <w:adjustRightInd/>
              <w:snapToGrid/>
              <w:spacing w:line="260" w:lineRule="exact"/>
              <w:jc w:val="center"/>
              <w:rPr>
                <w:rFonts w:hint="eastAsia" w:ascii="仿宋_GB2312" w:hAnsi="仿宋_GB2312" w:eastAsia="仿宋_GB2312" w:cs="仿宋_GB2312"/>
                <w:b w:val="0"/>
                <w:bCs/>
                <w:color w:val="000000"/>
                <w:sz w:val="24"/>
                <w:szCs w:val="24"/>
              </w:rPr>
            </w:pPr>
          </w:p>
        </w:tc>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4A8772">
            <w:pPr>
              <w:keepNext w:val="0"/>
              <w:keepLines w:val="0"/>
              <w:pageBreakBefore w:val="0"/>
              <w:widowControl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color w:val="000000"/>
                <w:kern w:val="0"/>
                <w:sz w:val="24"/>
                <w:szCs w:val="24"/>
                <w:lang w:bidi="ar"/>
              </w:rPr>
            </w:pPr>
            <w:r>
              <w:rPr>
                <w:rFonts w:hint="eastAsia" w:ascii="仿宋_GB2312" w:hAnsi="仿宋_GB2312" w:eastAsia="仿宋_GB2312" w:cs="仿宋_GB2312"/>
                <w:b w:val="0"/>
                <w:bCs/>
                <w:color w:val="000000"/>
                <w:kern w:val="0"/>
                <w:sz w:val="24"/>
                <w:szCs w:val="24"/>
                <w:lang w:bidi="ar"/>
              </w:rPr>
              <w:t>产出</w:t>
            </w:r>
          </w:p>
          <w:p w14:paraId="087DA636">
            <w:pPr>
              <w:keepNext w:val="0"/>
              <w:keepLines w:val="0"/>
              <w:pageBreakBefore w:val="0"/>
              <w:widowControl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kern w:val="0"/>
                <w:sz w:val="24"/>
                <w:szCs w:val="24"/>
                <w:lang w:bidi="ar"/>
              </w:rPr>
              <w:t>指标</w:t>
            </w:r>
          </w:p>
        </w:tc>
        <w:tc>
          <w:tcPr>
            <w:tcW w:w="1100" w:type="dxa"/>
            <w:vMerge w:val="restart"/>
            <w:tcBorders>
              <w:top w:val="single" w:color="000000" w:sz="4" w:space="0"/>
              <w:left w:val="single" w:color="000000" w:sz="4" w:space="0"/>
              <w:right w:val="single" w:color="000000" w:sz="4" w:space="0"/>
            </w:tcBorders>
            <w:shd w:val="clear" w:color="auto" w:fill="auto"/>
            <w:vAlign w:val="center"/>
          </w:tcPr>
          <w:p w14:paraId="6240338D">
            <w:pPr>
              <w:keepNext w:val="0"/>
              <w:keepLines w:val="0"/>
              <w:pageBreakBefore w:val="0"/>
              <w:widowControl w:val="0"/>
              <w:kinsoku/>
              <w:wordWrap/>
              <w:overflowPunct/>
              <w:topLinePunct w:val="0"/>
              <w:autoSpaceDE/>
              <w:autoSpaceDN/>
              <w:bidi w:val="0"/>
              <w:adjustRightInd/>
              <w:snapToGrid/>
              <w:spacing w:line="240" w:lineRule="exact"/>
              <w:jc w:val="both"/>
              <w:textAlignment w:val="center"/>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kern w:val="0"/>
                <w:sz w:val="24"/>
                <w:szCs w:val="24"/>
                <w:lang w:bidi="ar"/>
              </w:rPr>
              <w:t>数量指标</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4ED5A">
            <w:pPr>
              <w:keepNext w:val="0"/>
              <w:keepLines w:val="0"/>
              <w:pageBreakBefore w:val="0"/>
              <w:widowControl w:val="0"/>
              <w:kinsoku/>
              <w:wordWrap/>
              <w:overflowPunct/>
              <w:topLinePunct w:val="0"/>
              <w:autoSpaceDE/>
              <w:autoSpaceDN/>
              <w:bidi w:val="0"/>
              <w:adjustRightInd/>
              <w:snapToGrid/>
              <w:spacing w:line="240" w:lineRule="exact"/>
              <w:jc w:val="both"/>
              <w:textAlignment w:val="center"/>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kern w:val="0"/>
                <w:sz w:val="24"/>
                <w:szCs w:val="24"/>
                <w:lang w:bidi="ar"/>
              </w:rPr>
              <w:t>排查地灾隐患点</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9C43F">
            <w:pPr>
              <w:keepNext w:val="0"/>
              <w:keepLines w:val="0"/>
              <w:pageBreakBefore w:val="0"/>
              <w:widowControl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CFA67">
            <w:pPr>
              <w:keepNext w:val="0"/>
              <w:keepLines w:val="0"/>
              <w:pageBreakBefore w:val="0"/>
              <w:widowControl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kern w:val="0"/>
                <w:sz w:val="24"/>
                <w:szCs w:val="24"/>
                <w:lang w:bidi="ar"/>
              </w:rPr>
              <w:t>9000</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0B906">
            <w:pPr>
              <w:keepNext w:val="0"/>
              <w:keepLines w:val="0"/>
              <w:pageBreakBefore w:val="0"/>
              <w:widowControl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kern w:val="0"/>
                <w:sz w:val="24"/>
                <w:szCs w:val="24"/>
                <w:lang w:bidi="ar"/>
              </w:rPr>
              <w:t>处</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D7519">
            <w:pPr>
              <w:keepNext w:val="0"/>
              <w:keepLines w:val="0"/>
              <w:pageBreakBefore w:val="0"/>
              <w:widowControl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kern w:val="0"/>
                <w:sz w:val="24"/>
                <w:szCs w:val="24"/>
                <w:lang w:bidi="ar"/>
              </w:rPr>
              <w:t>2%</w:t>
            </w:r>
          </w:p>
        </w:tc>
        <w:tc>
          <w:tcPr>
            <w:tcW w:w="945" w:type="dxa"/>
            <w:tcBorders>
              <w:left w:val="single" w:color="000000" w:sz="4" w:space="0"/>
              <w:bottom w:val="single" w:color="000000" w:sz="4" w:space="0"/>
              <w:right w:val="single" w:color="000000" w:sz="4" w:space="0"/>
            </w:tcBorders>
            <w:shd w:val="clear" w:color="auto" w:fill="auto"/>
            <w:vAlign w:val="center"/>
          </w:tcPr>
          <w:p w14:paraId="0D039AE0">
            <w:pPr>
              <w:keepNext w:val="0"/>
              <w:keepLines w:val="0"/>
              <w:pageBreakBefore w:val="0"/>
              <w:widowControl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kern w:val="0"/>
                <w:sz w:val="24"/>
                <w:szCs w:val="24"/>
                <w:lang w:bidi="ar"/>
              </w:rPr>
              <w:t>14600处</w:t>
            </w:r>
          </w:p>
        </w:tc>
      </w:tr>
      <w:tr w14:paraId="2B0BC94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trHeight w:val="340" w:hRule="atLeast"/>
          <w:jc w:val="center"/>
        </w:trPr>
        <w:tc>
          <w:tcPr>
            <w:tcW w:w="1214" w:type="dxa"/>
            <w:vMerge w:val="continue"/>
            <w:tcBorders>
              <w:left w:val="single" w:color="000000" w:sz="4" w:space="0"/>
              <w:right w:val="single" w:color="000000" w:sz="4" w:space="0"/>
            </w:tcBorders>
            <w:shd w:val="clear" w:color="auto" w:fill="auto"/>
            <w:vAlign w:val="center"/>
          </w:tcPr>
          <w:p w14:paraId="722B835C">
            <w:pPr>
              <w:keepNext w:val="0"/>
              <w:keepLines w:val="0"/>
              <w:pageBreakBefore w:val="0"/>
              <w:widowControl w:val="0"/>
              <w:kinsoku/>
              <w:wordWrap/>
              <w:overflowPunct/>
              <w:topLinePunct w:val="0"/>
              <w:autoSpaceDE/>
              <w:autoSpaceDN/>
              <w:bidi w:val="0"/>
              <w:adjustRightInd/>
              <w:snapToGrid/>
              <w:spacing w:line="260" w:lineRule="exact"/>
              <w:jc w:val="center"/>
              <w:rPr>
                <w:rFonts w:hint="eastAsia" w:ascii="仿宋_GB2312" w:hAnsi="仿宋_GB2312" w:eastAsia="仿宋_GB2312" w:cs="仿宋_GB2312"/>
                <w:b w:val="0"/>
                <w:bCs/>
                <w:color w:val="000000"/>
                <w:sz w:val="24"/>
                <w:szCs w:val="24"/>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6229D9">
            <w:pPr>
              <w:keepNext w:val="0"/>
              <w:keepLines w:val="0"/>
              <w:pageBreakBefore w:val="0"/>
              <w:widowControl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color w:val="000000"/>
                <w:sz w:val="24"/>
                <w:szCs w:val="24"/>
              </w:rPr>
            </w:pPr>
          </w:p>
        </w:tc>
        <w:tc>
          <w:tcPr>
            <w:tcW w:w="1100" w:type="dxa"/>
            <w:vMerge w:val="continue"/>
            <w:tcBorders>
              <w:left w:val="single" w:color="000000" w:sz="4" w:space="0"/>
              <w:right w:val="single" w:color="000000" w:sz="4" w:space="0"/>
            </w:tcBorders>
            <w:shd w:val="clear" w:color="auto" w:fill="auto"/>
            <w:vAlign w:val="center"/>
          </w:tcPr>
          <w:p w14:paraId="6B9926AF">
            <w:pPr>
              <w:keepNext w:val="0"/>
              <w:keepLines w:val="0"/>
              <w:pageBreakBefore w:val="0"/>
              <w:widowControl w:val="0"/>
              <w:kinsoku/>
              <w:wordWrap/>
              <w:overflowPunct/>
              <w:topLinePunct w:val="0"/>
              <w:autoSpaceDE/>
              <w:autoSpaceDN/>
              <w:bidi w:val="0"/>
              <w:adjustRightInd/>
              <w:snapToGrid/>
              <w:spacing w:line="240" w:lineRule="exact"/>
              <w:jc w:val="both"/>
              <w:rPr>
                <w:rFonts w:hint="eastAsia" w:ascii="仿宋_GB2312" w:hAnsi="仿宋_GB2312" w:eastAsia="仿宋_GB2312" w:cs="仿宋_GB2312"/>
                <w:b w:val="0"/>
                <w:bCs/>
                <w:color w:val="000000"/>
                <w:sz w:val="24"/>
                <w:szCs w:val="24"/>
              </w:rPr>
            </w:pP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07C69">
            <w:pPr>
              <w:keepNext w:val="0"/>
              <w:keepLines w:val="0"/>
              <w:pageBreakBefore w:val="0"/>
              <w:widowControl w:val="0"/>
              <w:kinsoku/>
              <w:wordWrap/>
              <w:overflowPunct/>
              <w:topLinePunct w:val="0"/>
              <w:autoSpaceDE/>
              <w:autoSpaceDN/>
              <w:bidi w:val="0"/>
              <w:adjustRightInd/>
              <w:snapToGrid/>
              <w:spacing w:line="240" w:lineRule="exact"/>
              <w:jc w:val="both"/>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新增耕地</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BA513">
            <w:pPr>
              <w:keepNext w:val="0"/>
              <w:keepLines w:val="0"/>
              <w:pageBreakBefore w:val="0"/>
              <w:widowControl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993F2">
            <w:pPr>
              <w:keepNext w:val="0"/>
              <w:keepLines w:val="0"/>
              <w:pageBreakBefore w:val="0"/>
              <w:widowControl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5000</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6984F">
            <w:pPr>
              <w:keepNext w:val="0"/>
              <w:keepLines w:val="0"/>
              <w:pageBreakBefore w:val="0"/>
              <w:widowControl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亩</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9A7D4">
            <w:pPr>
              <w:keepNext w:val="0"/>
              <w:keepLines w:val="0"/>
              <w:pageBreakBefore w:val="0"/>
              <w:widowControl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kern w:val="0"/>
                <w:sz w:val="24"/>
                <w:szCs w:val="24"/>
                <w:lang w:bidi="ar"/>
              </w:rPr>
              <w:t>2%</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1F403">
            <w:pPr>
              <w:keepNext w:val="0"/>
              <w:keepLines w:val="0"/>
              <w:pageBreakBefore w:val="0"/>
              <w:widowControl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11300亩</w:t>
            </w:r>
          </w:p>
        </w:tc>
      </w:tr>
      <w:tr w14:paraId="0D455E7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trHeight w:val="340" w:hRule="atLeast"/>
          <w:jc w:val="center"/>
        </w:trPr>
        <w:tc>
          <w:tcPr>
            <w:tcW w:w="1214" w:type="dxa"/>
            <w:vMerge w:val="continue"/>
            <w:tcBorders>
              <w:left w:val="single" w:color="000000" w:sz="4" w:space="0"/>
              <w:right w:val="single" w:color="000000" w:sz="4" w:space="0"/>
            </w:tcBorders>
            <w:shd w:val="clear" w:color="auto" w:fill="auto"/>
            <w:vAlign w:val="center"/>
          </w:tcPr>
          <w:p w14:paraId="2358C466">
            <w:pPr>
              <w:keepNext w:val="0"/>
              <w:keepLines w:val="0"/>
              <w:pageBreakBefore w:val="0"/>
              <w:widowControl w:val="0"/>
              <w:kinsoku/>
              <w:wordWrap/>
              <w:overflowPunct/>
              <w:topLinePunct w:val="0"/>
              <w:autoSpaceDE/>
              <w:autoSpaceDN/>
              <w:bidi w:val="0"/>
              <w:adjustRightInd/>
              <w:snapToGrid/>
              <w:spacing w:line="260" w:lineRule="exact"/>
              <w:jc w:val="center"/>
              <w:rPr>
                <w:rFonts w:hint="eastAsia" w:ascii="仿宋_GB2312" w:hAnsi="仿宋_GB2312" w:eastAsia="仿宋_GB2312" w:cs="仿宋_GB2312"/>
                <w:b w:val="0"/>
                <w:bCs/>
                <w:color w:val="000000"/>
                <w:sz w:val="24"/>
                <w:szCs w:val="24"/>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3BF358">
            <w:pPr>
              <w:keepNext w:val="0"/>
              <w:keepLines w:val="0"/>
              <w:pageBreakBefore w:val="0"/>
              <w:widowControl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color w:val="000000"/>
                <w:sz w:val="24"/>
                <w:szCs w:val="24"/>
              </w:rPr>
            </w:pPr>
          </w:p>
        </w:tc>
        <w:tc>
          <w:tcPr>
            <w:tcW w:w="1100" w:type="dxa"/>
            <w:vMerge w:val="continue"/>
            <w:tcBorders>
              <w:left w:val="single" w:color="000000" w:sz="4" w:space="0"/>
              <w:right w:val="single" w:color="000000" w:sz="4" w:space="0"/>
            </w:tcBorders>
            <w:shd w:val="clear" w:color="auto" w:fill="auto"/>
            <w:vAlign w:val="center"/>
          </w:tcPr>
          <w:p w14:paraId="55F3B9EA">
            <w:pPr>
              <w:keepNext w:val="0"/>
              <w:keepLines w:val="0"/>
              <w:pageBreakBefore w:val="0"/>
              <w:widowControl w:val="0"/>
              <w:kinsoku/>
              <w:wordWrap/>
              <w:overflowPunct/>
              <w:topLinePunct w:val="0"/>
              <w:autoSpaceDE/>
              <w:autoSpaceDN/>
              <w:bidi w:val="0"/>
              <w:adjustRightInd/>
              <w:snapToGrid/>
              <w:spacing w:line="240" w:lineRule="exact"/>
              <w:jc w:val="both"/>
              <w:rPr>
                <w:rFonts w:hint="eastAsia" w:ascii="仿宋_GB2312" w:hAnsi="仿宋_GB2312" w:eastAsia="仿宋_GB2312" w:cs="仿宋_GB2312"/>
                <w:b w:val="0"/>
                <w:bCs/>
                <w:color w:val="000000"/>
                <w:sz w:val="24"/>
                <w:szCs w:val="24"/>
              </w:rPr>
            </w:pP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A0762">
            <w:pPr>
              <w:keepNext w:val="0"/>
              <w:keepLines w:val="0"/>
              <w:pageBreakBefore w:val="0"/>
              <w:widowControl w:val="0"/>
              <w:kinsoku/>
              <w:wordWrap/>
              <w:overflowPunct/>
              <w:topLinePunct w:val="0"/>
              <w:autoSpaceDE/>
              <w:autoSpaceDN/>
              <w:bidi w:val="0"/>
              <w:adjustRightInd/>
              <w:snapToGrid/>
              <w:spacing w:line="240" w:lineRule="exact"/>
              <w:jc w:val="both"/>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卫片图斑核实</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354F7">
            <w:pPr>
              <w:keepNext w:val="0"/>
              <w:keepLines w:val="0"/>
              <w:pageBreakBefore w:val="0"/>
              <w:widowControl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0E343">
            <w:pPr>
              <w:keepNext w:val="0"/>
              <w:keepLines w:val="0"/>
              <w:pageBreakBefore w:val="0"/>
              <w:widowControl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500</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09A2C">
            <w:pPr>
              <w:keepNext w:val="0"/>
              <w:keepLines w:val="0"/>
              <w:pageBreakBefore w:val="0"/>
              <w:widowControl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个</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A6ADE">
            <w:pPr>
              <w:keepNext w:val="0"/>
              <w:keepLines w:val="0"/>
              <w:pageBreakBefore w:val="0"/>
              <w:widowControl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kern w:val="0"/>
                <w:sz w:val="24"/>
                <w:szCs w:val="24"/>
                <w:lang w:bidi="ar"/>
              </w:rPr>
              <w:t>2%</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CCD53">
            <w:pPr>
              <w:keepNext w:val="0"/>
              <w:keepLines w:val="0"/>
              <w:pageBreakBefore w:val="0"/>
              <w:widowControl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3345个</w:t>
            </w:r>
          </w:p>
        </w:tc>
      </w:tr>
      <w:tr w14:paraId="049DE44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trHeight w:val="340" w:hRule="atLeast"/>
          <w:jc w:val="center"/>
        </w:trPr>
        <w:tc>
          <w:tcPr>
            <w:tcW w:w="1214" w:type="dxa"/>
            <w:vMerge w:val="continue"/>
            <w:tcBorders>
              <w:left w:val="single" w:color="000000" w:sz="4" w:space="0"/>
              <w:right w:val="single" w:color="000000" w:sz="4" w:space="0"/>
            </w:tcBorders>
            <w:shd w:val="clear" w:color="auto" w:fill="auto"/>
            <w:vAlign w:val="center"/>
          </w:tcPr>
          <w:p w14:paraId="40D24DCC">
            <w:pPr>
              <w:keepNext w:val="0"/>
              <w:keepLines w:val="0"/>
              <w:pageBreakBefore w:val="0"/>
              <w:widowControl w:val="0"/>
              <w:kinsoku/>
              <w:wordWrap/>
              <w:overflowPunct/>
              <w:topLinePunct w:val="0"/>
              <w:autoSpaceDE/>
              <w:autoSpaceDN/>
              <w:bidi w:val="0"/>
              <w:adjustRightInd/>
              <w:snapToGrid/>
              <w:spacing w:line="260" w:lineRule="exact"/>
              <w:jc w:val="center"/>
              <w:rPr>
                <w:rFonts w:hint="eastAsia" w:ascii="仿宋_GB2312" w:hAnsi="仿宋_GB2312" w:eastAsia="仿宋_GB2312" w:cs="仿宋_GB2312"/>
                <w:b w:val="0"/>
                <w:bCs/>
                <w:color w:val="000000"/>
                <w:sz w:val="24"/>
                <w:szCs w:val="24"/>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E63F46">
            <w:pPr>
              <w:keepNext w:val="0"/>
              <w:keepLines w:val="0"/>
              <w:pageBreakBefore w:val="0"/>
              <w:widowControl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color w:val="000000"/>
                <w:sz w:val="24"/>
                <w:szCs w:val="24"/>
              </w:rPr>
            </w:pPr>
          </w:p>
        </w:tc>
        <w:tc>
          <w:tcPr>
            <w:tcW w:w="1100" w:type="dxa"/>
            <w:vMerge w:val="continue"/>
            <w:tcBorders>
              <w:left w:val="single" w:color="000000" w:sz="4" w:space="0"/>
              <w:right w:val="single" w:color="000000" w:sz="4" w:space="0"/>
            </w:tcBorders>
            <w:shd w:val="clear" w:color="auto" w:fill="auto"/>
            <w:vAlign w:val="center"/>
          </w:tcPr>
          <w:p w14:paraId="000CEDC4">
            <w:pPr>
              <w:keepNext w:val="0"/>
              <w:keepLines w:val="0"/>
              <w:pageBreakBefore w:val="0"/>
              <w:widowControl w:val="0"/>
              <w:kinsoku/>
              <w:wordWrap/>
              <w:overflowPunct/>
              <w:topLinePunct w:val="0"/>
              <w:autoSpaceDE/>
              <w:autoSpaceDN/>
              <w:bidi w:val="0"/>
              <w:adjustRightInd/>
              <w:snapToGrid/>
              <w:spacing w:line="240" w:lineRule="exact"/>
              <w:jc w:val="both"/>
              <w:rPr>
                <w:rFonts w:hint="eastAsia" w:ascii="仿宋_GB2312" w:hAnsi="仿宋_GB2312" w:eastAsia="仿宋_GB2312" w:cs="仿宋_GB2312"/>
                <w:b w:val="0"/>
                <w:bCs/>
                <w:color w:val="000000"/>
                <w:sz w:val="24"/>
                <w:szCs w:val="24"/>
              </w:rPr>
            </w:pP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D9E1C">
            <w:pPr>
              <w:keepNext w:val="0"/>
              <w:keepLines w:val="0"/>
              <w:pageBreakBefore w:val="0"/>
              <w:widowControl w:val="0"/>
              <w:kinsoku/>
              <w:wordWrap/>
              <w:overflowPunct/>
              <w:topLinePunct w:val="0"/>
              <w:autoSpaceDE/>
              <w:autoSpaceDN/>
              <w:bidi w:val="0"/>
              <w:adjustRightInd/>
              <w:snapToGrid/>
              <w:spacing w:line="240" w:lineRule="exact"/>
              <w:jc w:val="both"/>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报征土地</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116D8">
            <w:pPr>
              <w:keepNext w:val="0"/>
              <w:keepLines w:val="0"/>
              <w:pageBreakBefore w:val="0"/>
              <w:widowControl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D6F03">
            <w:pPr>
              <w:keepNext w:val="0"/>
              <w:keepLines w:val="0"/>
              <w:pageBreakBefore w:val="0"/>
              <w:widowControl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5000</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3A4C8">
            <w:pPr>
              <w:keepNext w:val="0"/>
              <w:keepLines w:val="0"/>
              <w:pageBreakBefore w:val="0"/>
              <w:widowControl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亩</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352B9">
            <w:pPr>
              <w:keepNext w:val="0"/>
              <w:keepLines w:val="0"/>
              <w:pageBreakBefore w:val="0"/>
              <w:widowControl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kern w:val="0"/>
                <w:sz w:val="24"/>
                <w:szCs w:val="24"/>
                <w:lang w:bidi="ar"/>
              </w:rPr>
              <w:t>2%</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3326F">
            <w:pPr>
              <w:keepNext w:val="0"/>
              <w:keepLines w:val="0"/>
              <w:pageBreakBefore w:val="0"/>
              <w:widowControl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14600</w:t>
            </w:r>
          </w:p>
        </w:tc>
      </w:tr>
      <w:tr w14:paraId="55C6E2D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trHeight w:val="340" w:hRule="atLeast"/>
          <w:jc w:val="center"/>
        </w:trPr>
        <w:tc>
          <w:tcPr>
            <w:tcW w:w="1214" w:type="dxa"/>
            <w:vMerge w:val="continue"/>
            <w:tcBorders>
              <w:left w:val="single" w:color="000000" w:sz="4" w:space="0"/>
              <w:right w:val="single" w:color="000000" w:sz="4" w:space="0"/>
            </w:tcBorders>
            <w:shd w:val="clear" w:color="auto" w:fill="auto"/>
            <w:vAlign w:val="center"/>
          </w:tcPr>
          <w:p w14:paraId="06182293">
            <w:pPr>
              <w:keepNext w:val="0"/>
              <w:keepLines w:val="0"/>
              <w:pageBreakBefore w:val="0"/>
              <w:widowControl w:val="0"/>
              <w:kinsoku/>
              <w:wordWrap/>
              <w:overflowPunct/>
              <w:topLinePunct w:val="0"/>
              <w:autoSpaceDE/>
              <w:autoSpaceDN/>
              <w:bidi w:val="0"/>
              <w:adjustRightInd/>
              <w:snapToGrid/>
              <w:spacing w:line="260" w:lineRule="exact"/>
              <w:jc w:val="center"/>
              <w:rPr>
                <w:rFonts w:hint="eastAsia" w:ascii="仿宋_GB2312" w:hAnsi="仿宋_GB2312" w:eastAsia="仿宋_GB2312" w:cs="仿宋_GB2312"/>
                <w:b w:val="0"/>
                <w:bCs/>
                <w:color w:val="000000"/>
                <w:sz w:val="24"/>
                <w:szCs w:val="24"/>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5872BE">
            <w:pPr>
              <w:keepNext w:val="0"/>
              <w:keepLines w:val="0"/>
              <w:pageBreakBefore w:val="0"/>
              <w:widowControl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color w:val="000000"/>
                <w:sz w:val="24"/>
                <w:szCs w:val="24"/>
              </w:rPr>
            </w:pPr>
          </w:p>
        </w:tc>
        <w:tc>
          <w:tcPr>
            <w:tcW w:w="1100" w:type="dxa"/>
            <w:vMerge w:val="continue"/>
            <w:tcBorders>
              <w:left w:val="single" w:color="000000" w:sz="4" w:space="0"/>
              <w:right w:val="single" w:color="000000" w:sz="4" w:space="0"/>
            </w:tcBorders>
            <w:shd w:val="clear" w:color="auto" w:fill="auto"/>
            <w:vAlign w:val="center"/>
          </w:tcPr>
          <w:p w14:paraId="0A11E834">
            <w:pPr>
              <w:keepNext w:val="0"/>
              <w:keepLines w:val="0"/>
              <w:pageBreakBefore w:val="0"/>
              <w:widowControl w:val="0"/>
              <w:kinsoku/>
              <w:wordWrap/>
              <w:overflowPunct/>
              <w:topLinePunct w:val="0"/>
              <w:autoSpaceDE/>
              <w:autoSpaceDN/>
              <w:bidi w:val="0"/>
              <w:adjustRightInd/>
              <w:snapToGrid/>
              <w:spacing w:line="240" w:lineRule="exact"/>
              <w:jc w:val="both"/>
              <w:rPr>
                <w:rFonts w:hint="eastAsia" w:ascii="仿宋_GB2312" w:hAnsi="仿宋_GB2312" w:eastAsia="仿宋_GB2312" w:cs="仿宋_GB2312"/>
                <w:b w:val="0"/>
                <w:bCs/>
                <w:color w:val="000000"/>
                <w:sz w:val="24"/>
                <w:szCs w:val="24"/>
              </w:rPr>
            </w:pP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6F3C6">
            <w:pPr>
              <w:keepNext w:val="0"/>
              <w:keepLines w:val="0"/>
              <w:pageBreakBefore w:val="0"/>
              <w:widowControl w:val="0"/>
              <w:kinsoku/>
              <w:wordWrap/>
              <w:overflowPunct/>
              <w:topLinePunct w:val="0"/>
              <w:autoSpaceDE/>
              <w:autoSpaceDN/>
              <w:bidi w:val="0"/>
              <w:adjustRightInd/>
              <w:snapToGrid/>
              <w:spacing w:line="240" w:lineRule="exact"/>
              <w:jc w:val="both"/>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民宿推介地块</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06E87">
            <w:pPr>
              <w:keepNext w:val="0"/>
              <w:keepLines w:val="0"/>
              <w:pageBreakBefore w:val="0"/>
              <w:widowControl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CEE6F">
            <w:pPr>
              <w:keepNext w:val="0"/>
              <w:keepLines w:val="0"/>
              <w:pageBreakBefore w:val="0"/>
              <w:widowControl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1206</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0F119">
            <w:pPr>
              <w:keepNext w:val="0"/>
              <w:keepLines w:val="0"/>
              <w:pageBreakBefore w:val="0"/>
              <w:widowControl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亩</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C7356">
            <w:pPr>
              <w:keepNext w:val="0"/>
              <w:keepLines w:val="0"/>
              <w:pageBreakBefore w:val="0"/>
              <w:widowControl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kern w:val="0"/>
                <w:sz w:val="24"/>
                <w:szCs w:val="24"/>
                <w:lang w:bidi="ar"/>
              </w:rPr>
              <w:t>2%</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92BB7">
            <w:pPr>
              <w:keepNext w:val="0"/>
              <w:keepLines w:val="0"/>
              <w:pageBreakBefore w:val="0"/>
              <w:widowControl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1206</w:t>
            </w:r>
          </w:p>
        </w:tc>
      </w:tr>
      <w:tr w14:paraId="6282870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trHeight w:val="340" w:hRule="atLeast"/>
          <w:jc w:val="center"/>
        </w:trPr>
        <w:tc>
          <w:tcPr>
            <w:tcW w:w="1214" w:type="dxa"/>
            <w:vMerge w:val="continue"/>
            <w:tcBorders>
              <w:left w:val="single" w:color="000000" w:sz="4" w:space="0"/>
              <w:right w:val="single" w:color="000000" w:sz="4" w:space="0"/>
            </w:tcBorders>
            <w:shd w:val="clear" w:color="auto" w:fill="auto"/>
            <w:vAlign w:val="center"/>
          </w:tcPr>
          <w:p w14:paraId="0CE535D5">
            <w:pPr>
              <w:keepNext w:val="0"/>
              <w:keepLines w:val="0"/>
              <w:pageBreakBefore w:val="0"/>
              <w:widowControl w:val="0"/>
              <w:kinsoku/>
              <w:wordWrap/>
              <w:overflowPunct/>
              <w:topLinePunct w:val="0"/>
              <w:autoSpaceDE/>
              <w:autoSpaceDN/>
              <w:bidi w:val="0"/>
              <w:adjustRightInd/>
              <w:snapToGrid/>
              <w:spacing w:line="260" w:lineRule="exact"/>
              <w:jc w:val="center"/>
              <w:rPr>
                <w:rFonts w:hint="eastAsia" w:ascii="仿宋_GB2312" w:hAnsi="仿宋_GB2312" w:eastAsia="仿宋_GB2312" w:cs="仿宋_GB2312"/>
                <w:b w:val="0"/>
                <w:bCs/>
                <w:color w:val="000000"/>
                <w:sz w:val="24"/>
                <w:szCs w:val="24"/>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0C7975">
            <w:pPr>
              <w:keepNext w:val="0"/>
              <w:keepLines w:val="0"/>
              <w:pageBreakBefore w:val="0"/>
              <w:widowControl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color w:val="000000"/>
                <w:sz w:val="24"/>
                <w:szCs w:val="24"/>
              </w:rPr>
            </w:pPr>
          </w:p>
        </w:tc>
        <w:tc>
          <w:tcPr>
            <w:tcW w:w="1100" w:type="dxa"/>
            <w:vMerge w:val="continue"/>
            <w:tcBorders>
              <w:left w:val="single" w:color="000000" w:sz="4" w:space="0"/>
              <w:right w:val="single" w:color="000000" w:sz="4" w:space="0"/>
            </w:tcBorders>
            <w:shd w:val="clear" w:color="auto" w:fill="auto"/>
            <w:vAlign w:val="center"/>
          </w:tcPr>
          <w:p w14:paraId="1BB0A9F6">
            <w:pPr>
              <w:keepNext w:val="0"/>
              <w:keepLines w:val="0"/>
              <w:pageBreakBefore w:val="0"/>
              <w:widowControl w:val="0"/>
              <w:kinsoku/>
              <w:wordWrap/>
              <w:overflowPunct/>
              <w:topLinePunct w:val="0"/>
              <w:autoSpaceDE/>
              <w:autoSpaceDN/>
              <w:bidi w:val="0"/>
              <w:adjustRightInd/>
              <w:snapToGrid/>
              <w:spacing w:line="240" w:lineRule="exact"/>
              <w:jc w:val="both"/>
              <w:rPr>
                <w:rFonts w:hint="eastAsia" w:ascii="仿宋_GB2312" w:hAnsi="仿宋_GB2312" w:eastAsia="仿宋_GB2312" w:cs="仿宋_GB2312"/>
                <w:b w:val="0"/>
                <w:bCs/>
                <w:color w:val="000000"/>
                <w:sz w:val="24"/>
                <w:szCs w:val="24"/>
              </w:rPr>
            </w:pP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BDAE1">
            <w:pPr>
              <w:keepNext w:val="0"/>
              <w:keepLines w:val="0"/>
              <w:pageBreakBefore w:val="0"/>
              <w:widowControl w:val="0"/>
              <w:kinsoku/>
              <w:wordWrap/>
              <w:overflowPunct/>
              <w:topLinePunct w:val="0"/>
              <w:autoSpaceDE/>
              <w:autoSpaceDN/>
              <w:bidi w:val="0"/>
              <w:adjustRightInd/>
              <w:snapToGrid/>
              <w:spacing w:line="240" w:lineRule="exact"/>
              <w:jc w:val="both"/>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向上争取资金</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D24E8">
            <w:pPr>
              <w:keepNext w:val="0"/>
              <w:keepLines w:val="0"/>
              <w:pageBreakBefore w:val="0"/>
              <w:widowControl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873FE">
            <w:pPr>
              <w:keepNext w:val="0"/>
              <w:keepLines w:val="0"/>
              <w:pageBreakBefore w:val="0"/>
              <w:widowControl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3.7</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F4B7A">
            <w:pPr>
              <w:keepNext w:val="0"/>
              <w:keepLines w:val="0"/>
              <w:pageBreakBefore w:val="0"/>
              <w:widowControl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亿元</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59FAB">
            <w:pPr>
              <w:keepNext w:val="0"/>
              <w:keepLines w:val="0"/>
              <w:pageBreakBefore w:val="0"/>
              <w:widowControl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kern w:val="0"/>
                <w:sz w:val="24"/>
                <w:szCs w:val="24"/>
                <w:lang w:bidi="ar"/>
              </w:rPr>
              <w:t>2%</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E642B">
            <w:pPr>
              <w:keepNext w:val="0"/>
              <w:keepLines w:val="0"/>
              <w:pageBreakBefore w:val="0"/>
              <w:widowControl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5.4</w:t>
            </w:r>
          </w:p>
        </w:tc>
      </w:tr>
      <w:tr w14:paraId="65B0EB6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trHeight w:val="340" w:hRule="atLeast"/>
          <w:jc w:val="center"/>
        </w:trPr>
        <w:tc>
          <w:tcPr>
            <w:tcW w:w="1214" w:type="dxa"/>
            <w:vMerge w:val="continue"/>
            <w:tcBorders>
              <w:left w:val="single" w:color="000000" w:sz="4" w:space="0"/>
              <w:right w:val="single" w:color="000000" w:sz="4" w:space="0"/>
            </w:tcBorders>
            <w:shd w:val="clear" w:color="auto" w:fill="auto"/>
            <w:vAlign w:val="center"/>
          </w:tcPr>
          <w:p w14:paraId="25AF60BE">
            <w:pPr>
              <w:keepNext w:val="0"/>
              <w:keepLines w:val="0"/>
              <w:pageBreakBefore w:val="0"/>
              <w:widowControl w:val="0"/>
              <w:kinsoku/>
              <w:wordWrap/>
              <w:overflowPunct/>
              <w:topLinePunct w:val="0"/>
              <w:autoSpaceDE/>
              <w:autoSpaceDN/>
              <w:bidi w:val="0"/>
              <w:adjustRightInd/>
              <w:snapToGrid/>
              <w:spacing w:line="260" w:lineRule="exact"/>
              <w:jc w:val="center"/>
              <w:rPr>
                <w:rFonts w:hint="eastAsia" w:ascii="仿宋_GB2312" w:hAnsi="仿宋_GB2312" w:eastAsia="仿宋_GB2312" w:cs="仿宋_GB2312"/>
                <w:b w:val="0"/>
                <w:bCs/>
                <w:color w:val="000000"/>
                <w:sz w:val="24"/>
                <w:szCs w:val="24"/>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C17A42">
            <w:pPr>
              <w:keepNext w:val="0"/>
              <w:keepLines w:val="0"/>
              <w:pageBreakBefore w:val="0"/>
              <w:widowControl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color w:val="000000"/>
                <w:sz w:val="24"/>
                <w:szCs w:val="24"/>
              </w:rPr>
            </w:pPr>
          </w:p>
        </w:tc>
        <w:tc>
          <w:tcPr>
            <w:tcW w:w="1100" w:type="dxa"/>
            <w:vMerge w:val="continue"/>
            <w:tcBorders>
              <w:left w:val="single" w:color="000000" w:sz="4" w:space="0"/>
              <w:right w:val="single" w:color="000000" w:sz="4" w:space="0"/>
            </w:tcBorders>
            <w:shd w:val="clear" w:color="auto" w:fill="auto"/>
            <w:vAlign w:val="center"/>
          </w:tcPr>
          <w:p w14:paraId="01E99C53">
            <w:pPr>
              <w:keepNext w:val="0"/>
              <w:keepLines w:val="0"/>
              <w:pageBreakBefore w:val="0"/>
              <w:widowControl w:val="0"/>
              <w:kinsoku/>
              <w:wordWrap/>
              <w:overflowPunct/>
              <w:topLinePunct w:val="0"/>
              <w:autoSpaceDE/>
              <w:autoSpaceDN/>
              <w:bidi w:val="0"/>
              <w:adjustRightInd/>
              <w:snapToGrid/>
              <w:spacing w:line="240" w:lineRule="exact"/>
              <w:jc w:val="both"/>
              <w:rPr>
                <w:rFonts w:hint="eastAsia" w:ascii="仿宋_GB2312" w:hAnsi="仿宋_GB2312" w:eastAsia="仿宋_GB2312" w:cs="仿宋_GB2312"/>
                <w:b w:val="0"/>
                <w:bCs/>
                <w:color w:val="000000"/>
                <w:sz w:val="24"/>
                <w:szCs w:val="24"/>
              </w:rPr>
            </w:pP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B075C">
            <w:pPr>
              <w:keepNext w:val="0"/>
              <w:keepLines w:val="0"/>
              <w:pageBreakBefore w:val="0"/>
              <w:widowControl w:val="0"/>
              <w:kinsoku/>
              <w:wordWrap/>
              <w:overflowPunct/>
              <w:topLinePunct w:val="0"/>
              <w:autoSpaceDE/>
              <w:autoSpaceDN/>
              <w:bidi w:val="0"/>
              <w:adjustRightInd/>
              <w:snapToGrid/>
              <w:spacing w:line="240" w:lineRule="exact"/>
              <w:jc w:val="both"/>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测绘地理信息质量检测</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6E66F">
            <w:pPr>
              <w:keepNext w:val="0"/>
              <w:keepLines w:val="0"/>
              <w:pageBreakBefore w:val="0"/>
              <w:widowControl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11947">
            <w:pPr>
              <w:keepNext w:val="0"/>
              <w:keepLines w:val="0"/>
              <w:pageBreakBefore w:val="0"/>
              <w:widowControl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15</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5A4DA">
            <w:pPr>
              <w:keepNext w:val="0"/>
              <w:keepLines w:val="0"/>
              <w:pageBreakBefore w:val="0"/>
              <w:widowControl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个</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37073">
            <w:pPr>
              <w:keepNext w:val="0"/>
              <w:keepLines w:val="0"/>
              <w:pageBreakBefore w:val="0"/>
              <w:widowControl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kern w:val="0"/>
                <w:sz w:val="24"/>
                <w:szCs w:val="24"/>
                <w:lang w:bidi="ar"/>
              </w:rPr>
              <w:t>2%</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9F6A3">
            <w:pPr>
              <w:keepNext w:val="0"/>
              <w:keepLines w:val="0"/>
              <w:pageBreakBefore w:val="0"/>
              <w:widowControl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15</w:t>
            </w:r>
          </w:p>
        </w:tc>
      </w:tr>
      <w:tr w14:paraId="6161CB1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trHeight w:val="340" w:hRule="atLeast"/>
          <w:jc w:val="center"/>
        </w:trPr>
        <w:tc>
          <w:tcPr>
            <w:tcW w:w="1214" w:type="dxa"/>
            <w:vMerge w:val="continue"/>
            <w:tcBorders>
              <w:left w:val="single" w:color="000000" w:sz="4" w:space="0"/>
              <w:right w:val="single" w:color="000000" w:sz="4" w:space="0"/>
            </w:tcBorders>
            <w:shd w:val="clear" w:color="auto" w:fill="auto"/>
            <w:vAlign w:val="center"/>
          </w:tcPr>
          <w:p w14:paraId="5539B09B">
            <w:pPr>
              <w:keepNext w:val="0"/>
              <w:keepLines w:val="0"/>
              <w:pageBreakBefore w:val="0"/>
              <w:widowControl w:val="0"/>
              <w:kinsoku/>
              <w:wordWrap/>
              <w:overflowPunct/>
              <w:topLinePunct w:val="0"/>
              <w:autoSpaceDE/>
              <w:autoSpaceDN/>
              <w:bidi w:val="0"/>
              <w:adjustRightInd/>
              <w:snapToGrid/>
              <w:spacing w:line="260" w:lineRule="exact"/>
              <w:jc w:val="center"/>
              <w:rPr>
                <w:rFonts w:hint="eastAsia" w:ascii="仿宋_GB2312" w:hAnsi="仿宋_GB2312" w:eastAsia="仿宋_GB2312" w:cs="仿宋_GB2312"/>
                <w:b w:val="0"/>
                <w:bCs/>
                <w:color w:val="000000"/>
                <w:sz w:val="24"/>
                <w:szCs w:val="24"/>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8FCF02">
            <w:pPr>
              <w:keepNext w:val="0"/>
              <w:keepLines w:val="0"/>
              <w:pageBreakBefore w:val="0"/>
              <w:widowControl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color w:val="000000"/>
                <w:sz w:val="24"/>
                <w:szCs w:val="24"/>
              </w:rPr>
            </w:pPr>
          </w:p>
        </w:tc>
        <w:tc>
          <w:tcPr>
            <w:tcW w:w="1100" w:type="dxa"/>
            <w:vMerge w:val="continue"/>
            <w:tcBorders>
              <w:left w:val="single" w:color="000000" w:sz="4" w:space="0"/>
              <w:right w:val="single" w:color="000000" w:sz="4" w:space="0"/>
            </w:tcBorders>
            <w:shd w:val="clear" w:color="auto" w:fill="auto"/>
            <w:vAlign w:val="center"/>
          </w:tcPr>
          <w:p w14:paraId="1A7D935D">
            <w:pPr>
              <w:keepNext w:val="0"/>
              <w:keepLines w:val="0"/>
              <w:pageBreakBefore w:val="0"/>
              <w:widowControl w:val="0"/>
              <w:kinsoku/>
              <w:wordWrap/>
              <w:overflowPunct/>
              <w:topLinePunct w:val="0"/>
              <w:autoSpaceDE/>
              <w:autoSpaceDN/>
              <w:bidi w:val="0"/>
              <w:adjustRightInd/>
              <w:snapToGrid/>
              <w:spacing w:line="240" w:lineRule="exact"/>
              <w:jc w:val="both"/>
              <w:rPr>
                <w:rFonts w:hint="eastAsia" w:ascii="仿宋_GB2312" w:hAnsi="仿宋_GB2312" w:eastAsia="仿宋_GB2312" w:cs="仿宋_GB2312"/>
                <w:b w:val="0"/>
                <w:bCs/>
                <w:color w:val="000000"/>
                <w:sz w:val="24"/>
                <w:szCs w:val="24"/>
              </w:rPr>
            </w:pP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872DD">
            <w:pPr>
              <w:keepNext w:val="0"/>
              <w:keepLines w:val="0"/>
              <w:pageBreakBefore w:val="0"/>
              <w:widowControl w:val="0"/>
              <w:kinsoku/>
              <w:wordWrap/>
              <w:overflowPunct/>
              <w:topLinePunct w:val="0"/>
              <w:autoSpaceDE/>
              <w:autoSpaceDN/>
              <w:bidi w:val="0"/>
              <w:adjustRightInd/>
              <w:snapToGrid/>
              <w:spacing w:line="240" w:lineRule="exact"/>
              <w:jc w:val="both"/>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“标准地”出让</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6B16D">
            <w:pPr>
              <w:keepNext w:val="0"/>
              <w:keepLines w:val="0"/>
              <w:pageBreakBefore w:val="0"/>
              <w:widowControl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6232A">
            <w:pPr>
              <w:keepNext w:val="0"/>
              <w:keepLines w:val="0"/>
              <w:pageBreakBefore w:val="0"/>
              <w:widowControl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1610</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CB454">
            <w:pPr>
              <w:keepNext w:val="0"/>
              <w:keepLines w:val="0"/>
              <w:pageBreakBefore w:val="0"/>
              <w:widowControl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亩</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BDAA6">
            <w:pPr>
              <w:keepNext w:val="0"/>
              <w:keepLines w:val="0"/>
              <w:pageBreakBefore w:val="0"/>
              <w:widowControl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kern w:val="0"/>
                <w:sz w:val="24"/>
                <w:szCs w:val="24"/>
                <w:lang w:bidi="ar"/>
              </w:rPr>
              <w:t>2%</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DAECD">
            <w:pPr>
              <w:keepNext w:val="0"/>
              <w:keepLines w:val="0"/>
              <w:pageBreakBefore w:val="0"/>
              <w:widowControl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1610</w:t>
            </w:r>
          </w:p>
        </w:tc>
      </w:tr>
      <w:tr w14:paraId="0374F28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trHeight w:val="340" w:hRule="atLeast"/>
          <w:jc w:val="center"/>
        </w:trPr>
        <w:tc>
          <w:tcPr>
            <w:tcW w:w="1214" w:type="dxa"/>
            <w:vMerge w:val="continue"/>
            <w:tcBorders>
              <w:left w:val="single" w:color="000000" w:sz="4" w:space="0"/>
              <w:right w:val="single" w:color="000000" w:sz="4" w:space="0"/>
            </w:tcBorders>
            <w:shd w:val="clear" w:color="auto" w:fill="auto"/>
            <w:vAlign w:val="center"/>
          </w:tcPr>
          <w:p w14:paraId="55F8BC99">
            <w:pPr>
              <w:keepNext w:val="0"/>
              <w:keepLines w:val="0"/>
              <w:pageBreakBefore w:val="0"/>
              <w:widowControl w:val="0"/>
              <w:kinsoku/>
              <w:wordWrap/>
              <w:overflowPunct/>
              <w:topLinePunct w:val="0"/>
              <w:autoSpaceDE/>
              <w:autoSpaceDN/>
              <w:bidi w:val="0"/>
              <w:adjustRightInd/>
              <w:snapToGrid/>
              <w:spacing w:line="260" w:lineRule="exact"/>
              <w:jc w:val="center"/>
              <w:rPr>
                <w:rFonts w:hint="eastAsia" w:ascii="仿宋_GB2312" w:hAnsi="仿宋_GB2312" w:eastAsia="仿宋_GB2312" w:cs="仿宋_GB2312"/>
                <w:b w:val="0"/>
                <w:bCs/>
                <w:color w:val="000000"/>
                <w:sz w:val="24"/>
                <w:szCs w:val="24"/>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1EC218">
            <w:pPr>
              <w:keepNext w:val="0"/>
              <w:keepLines w:val="0"/>
              <w:pageBreakBefore w:val="0"/>
              <w:widowControl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color w:val="000000"/>
                <w:sz w:val="24"/>
                <w:szCs w:val="24"/>
              </w:rPr>
            </w:pPr>
          </w:p>
        </w:tc>
        <w:tc>
          <w:tcPr>
            <w:tcW w:w="1100" w:type="dxa"/>
            <w:vMerge w:val="continue"/>
            <w:tcBorders>
              <w:left w:val="single" w:color="000000" w:sz="4" w:space="0"/>
              <w:right w:val="single" w:color="000000" w:sz="4" w:space="0"/>
            </w:tcBorders>
            <w:shd w:val="clear" w:color="auto" w:fill="auto"/>
            <w:vAlign w:val="center"/>
          </w:tcPr>
          <w:p w14:paraId="3FCCDD0B">
            <w:pPr>
              <w:keepNext w:val="0"/>
              <w:keepLines w:val="0"/>
              <w:pageBreakBefore w:val="0"/>
              <w:widowControl w:val="0"/>
              <w:kinsoku/>
              <w:wordWrap/>
              <w:overflowPunct/>
              <w:topLinePunct w:val="0"/>
              <w:autoSpaceDE/>
              <w:autoSpaceDN/>
              <w:bidi w:val="0"/>
              <w:adjustRightInd/>
              <w:snapToGrid/>
              <w:spacing w:line="240" w:lineRule="exact"/>
              <w:jc w:val="both"/>
              <w:rPr>
                <w:rFonts w:hint="eastAsia" w:ascii="仿宋_GB2312" w:hAnsi="仿宋_GB2312" w:eastAsia="仿宋_GB2312" w:cs="仿宋_GB2312"/>
                <w:b w:val="0"/>
                <w:bCs/>
                <w:color w:val="000000"/>
                <w:sz w:val="24"/>
                <w:szCs w:val="24"/>
              </w:rPr>
            </w:pP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AFA12">
            <w:pPr>
              <w:keepNext w:val="0"/>
              <w:keepLines w:val="0"/>
              <w:pageBreakBefore w:val="0"/>
              <w:widowControl w:val="0"/>
              <w:kinsoku/>
              <w:wordWrap/>
              <w:overflowPunct/>
              <w:topLinePunct w:val="0"/>
              <w:autoSpaceDE/>
              <w:autoSpaceDN/>
              <w:bidi w:val="0"/>
              <w:adjustRightInd/>
              <w:snapToGrid/>
              <w:spacing w:line="240" w:lineRule="exact"/>
              <w:jc w:val="both"/>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林权数据整合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65A12">
            <w:pPr>
              <w:keepNext w:val="0"/>
              <w:keepLines w:val="0"/>
              <w:pageBreakBefore w:val="0"/>
              <w:widowControl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0B1F5">
            <w:pPr>
              <w:keepNext w:val="0"/>
              <w:keepLines w:val="0"/>
              <w:pageBreakBefore w:val="0"/>
              <w:widowControl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199</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C7825">
            <w:pPr>
              <w:keepNext w:val="0"/>
              <w:keepLines w:val="0"/>
              <w:pageBreakBefore w:val="0"/>
              <w:widowControl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万宗</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8BC22">
            <w:pPr>
              <w:keepNext w:val="0"/>
              <w:keepLines w:val="0"/>
              <w:pageBreakBefore w:val="0"/>
              <w:widowControl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kern w:val="0"/>
                <w:sz w:val="24"/>
                <w:szCs w:val="24"/>
                <w:lang w:bidi="ar"/>
              </w:rPr>
              <w:t>2%</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BB577">
            <w:pPr>
              <w:keepNext w:val="0"/>
              <w:keepLines w:val="0"/>
              <w:pageBreakBefore w:val="0"/>
              <w:widowControl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199</w:t>
            </w:r>
          </w:p>
        </w:tc>
      </w:tr>
      <w:tr w14:paraId="61E36DF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trHeight w:val="340" w:hRule="atLeast"/>
          <w:jc w:val="center"/>
        </w:trPr>
        <w:tc>
          <w:tcPr>
            <w:tcW w:w="1214" w:type="dxa"/>
            <w:vMerge w:val="continue"/>
            <w:tcBorders>
              <w:left w:val="single" w:color="000000" w:sz="4" w:space="0"/>
              <w:right w:val="single" w:color="000000" w:sz="4" w:space="0"/>
            </w:tcBorders>
            <w:shd w:val="clear" w:color="auto" w:fill="auto"/>
            <w:vAlign w:val="center"/>
          </w:tcPr>
          <w:p w14:paraId="0FEDCD05">
            <w:pPr>
              <w:keepNext w:val="0"/>
              <w:keepLines w:val="0"/>
              <w:pageBreakBefore w:val="0"/>
              <w:widowControl w:val="0"/>
              <w:kinsoku/>
              <w:wordWrap/>
              <w:overflowPunct/>
              <w:topLinePunct w:val="0"/>
              <w:autoSpaceDE/>
              <w:autoSpaceDN/>
              <w:bidi w:val="0"/>
              <w:adjustRightInd/>
              <w:snapToGrid/>
              <w:spacing w:line="260" w:lineRule="exact"/>
              <w:jc w:val="center"/>
              <w:rPr>
                <w:rFonts w:hint="eastAsia" w:ascii="仿宋_GB2312" w:hAnsi="仿宋_GB2312" w:eastAsia="仿宋_GB2312" w:cs="仿宋_GB2312"/>
                <w:b w:val="0"/>
                <w:bCs/>
                <w:color w:val="000000"/>
                <w:sz w:val="24"/>
                <w:szCs w:val="24"/>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348FED">
            <w:pPr>
              <w:keepNext w:val="0"/>
              <w:keepLines w:val="0"/>
              <w:pageBreakBefore w:val="0"/>
              <w:widowControl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color w:val="000000"/>
                <w:sz w:val="24"/>
                <w:szCs w:val="24"/>
              </w:rPr>
            </w:pPr>
          </w:p>
        </w:tc>
        <w:tc>
          <w:tcPr>
            <w:tcW w:w="1100" w:type="dxa"/>
            <w:vMerge w:val="continue"/>
            <w:tcBorders>
              <w:left w:val="single" w:color="000000" w:sz="4" w:space="0"/>
              <w:bottom w:val="single" w:color="000000" w:sz="4" w:space="0"/>
              <w:right w:val="single" w:color="000000" w:sz="4" w:space="0"/>
            </w:tcBorders>
            <w:shd w:val="clear" w:color="auto" w:fill="auto"/>
            <w:vAlign w:val="center"/>
          </w:tcPr>
          <w:p w14:paraId="1D85E205">
            <w:pPr>
              <w:keepNext w:val="0"/>
              <w:keepLines w:val="0"/>
              <w:pageBreakBefore w:val="0"/>
              <w:widowControl w:val="0"/>
              <w:kinsoku/>
              <w:wordWrap/>
              <w:overflowPunct/>
              <w:topLinePunct w:val="0"/>
              <w:autoSpaceDE/>
              <w:autoSpaceDN/>
              <w:bidi w:val="0"/>
              <w:adjustRightInd/>
              <w:snapToGrid/>
              <w:spacing w:line="240" w:lineRule="exact"/>
              <w:jc w:val="both"/>
              <w:rPr>
                <w:rFonts w:hint="eastAsia" w:ascii="仿宋_GB2312" w:hAnsi="仿宋_GB2312" w:eastAsia="仿宋_GB2312" w:cs="仿宋_GB2312"/>
                <w:b w:val="0"/>
                <w:bCs/>
                <w:color w:val="000000"/>
                <w:sz w:val="24"/>
                <w:szCs w:val="24"/>
              </w:rPr>
            </w:pP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A4617">
            <w:pPr>
              <w:keepNext w:val="0"/>
              <w:keepLines w:val="0"/>
              <w:pageBreakBefore w:val="0"/>
              <w:widowControl w:val="0"/>
              <w:kinsoku/>
              <w:wordWrap/>
              <w:overflowPunct/>
              <w:topLinePunct w:val="0"/>
              <w:autoSpaceDE/>
              <w:autoSpaceDN/>
              <w:bidi w:val="0"/>
              <w:adjustRightInd/>
              <w:snapToGrid/>
              <w:spacing w:line="240" w:lineRule="exact"/>
              <w:jc w:val="both"/>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202年重点区域确权登记</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4A3B3">
            <w:pPr>
              <w:keepNext w:val="0"/>
              <w:keepLines w:val="0"/>
              <w:pageBreakBefore w:val="0"/>
              <w:widowControl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B6366">
            <w:pPr>
              <w:keepNext w:val="0"/>
              <w:keepLines w:val="0"/>
              <w:pageBreakBefore w:val="0"/>
              <w:widowControl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15</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C9594">
            <w:pPr>
              <w:keepNext w:val="0"/>
              <w:keepLines w:val="0"/>
              <w:pageBreakBefore w:val="0"/>
              <w:widowControl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单元</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8338B">
            <w:pPr>
              <w:keepNext w:val="0"/>
              <w:keepLines w:val="0"/>
              <w:pageBreakBefore w:val="0"/>
              <w:widowControl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kern w:val="0"/>
                <w:sz w:val="24"/>
                <w:szCs w:val="24"/>
                <w:lang w:bidi="ar"/>
              </w:rPr>
              <w:t>2%</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0CBC4">
            <w:pPr>
              <w:keepNext w:val="0"/>
              <w:keepLines w:val="0"/>
              <w:pageBreakBefore w:val="0"/>
              <w:widowControl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15</w:t>
            </w:r>
          </w:p>
        </w:tc>
      </w:tr>
      <w:tr w14:paraId="233FD4A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trHeight w:val="340" w:hRule="atLeast"/>
          <w:jc w:val="center"/>
        </w:trPr>
        <w:tc>
          <w:tcPr>
            <w:tcW w:w="1214" w:type="dxa"/>
            <w:vMerge w:val="continue"/>
            <w:tcBorders>
              <w:left w:val="single" w:color="000000" w:sz="4" w:space="0"/>
              <w:right w:val="single" w:color="000000" w:sz="4" w:space="0"/>
            </w:tcBorders>
            <w:shd w:val="clear" w:color="auto" w:fill="auto"/>
            <w:vAlign w:val="center"/>
          </w:tcPr>
          <w:p w14:paraId="55368840">
            <w:pPr>
              <w:keepNext w:val="0"/>
              <w:keepLines w:val="0"/>
              <w:pageBreakBefore w:val="0"/>
              <w:widowControl w:val="0"/>
              <w:kinsoku/>
              <w:wordWrap/>
              <w:overflowPunct/>
              <w:topLinePunct w:val="0"/>
              <w:autoSpaceDE/>
              <w:autoSpaceDN/>
              <w:bidi w:val="0"/>
              <w:adjustRightInd/>
              <w:snapToGrid/>
              <w:spacing w:line="260" w:lineRule="exact"/>
              <w:jc w:val="center"/>
              <w:rPr>
                <w:rFonts w:hint="eastAsia" w:ascii="仿宋_GB2312" w:hAnsi="仿宋_GB2312" w:eastAsia="仿宋_GB2312" w:cs="仿宋_GB2312"/>
                <w:b w:val="0"/>
                <w:bCs/>
                <w:color w:val="000000"/>
                <w:sz w:val="24"/>
                <w:szCs w:val="24"/>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AB3D6A">
            <w:pPr>
              <w:keepNext w:val="0"/>
              <w:keepLines w:val="0"/>
              <w:pageBreakBefore w:val="0"/>
              <w:widowControl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color w:val="000000"/>
                <w:sz w:val="24"/>
                <w:szCs w:val="24"/>
              </w:rPr>
            </w:pPr>
          </w:p>
        </w:tc>
        <w:tc>
          <w:tcPr>
            <w:tcW w:w="1100" w:type="dxa"/>
            <w:vMerge w:val="restart"/>
            <w:tcBorders>
              <w:top w:val="single" w:color="000000" w:sz="4" w:space="0"/>
              <w:left w:val="single" w:color="000000" w:sz="4" w:space="0"/>
              <w:right w:val="single" w:color="000000" w:sz="4" w:space="0"/>
            </w:tcBorders>
            <w:shd w:val="clear" w:color="auto" w:fill="auto"/>
            <w:vAlign w:val="center"/>
          </w:tcPr>
          <w:p w14:paraId="22D15EC9">
            <w:pPr>
              <w:keepNext w:val="0"/>
              <w:keepLines w:val="0"/>
              <w:pageBreakBefore w:val="0"/>
              <w:widowControl w:val="0"/>
              <w:kinsoku/>
              <w:wordWrap/>
              <w:overflowPunct/>
              <w:topLinePunct w:val="0"/>
              <w:autoSpaceDE/>
              <w:autoSpaceDN/>
              <w:bidi w:val="0"/>
              <w:adjustRightInd/>
              <w:snapToGrid/>
              <w:spacing w:line="240" w:lineRule="exact"/>
              <w:jc w:val="both"/>
              <w:textAlignment w:val="center"/>
              <w:rPr>
                <w:rFonts w:hint="eastAsia" w:ascii="仿宋_GB2312" w:hAnsi="仿宋_GB2312" w:eastAsia="仿宋_GB2312" w:cs="仿宋_GB2312"/>
                <w:b w:val="0"/>
                <w:bCs/>
                <w:color w:val="000000"/>
                <w:kern w:val="0"/>
                <w:sz w:val="24"/>
                <w:szCs w:val="24"/>
                <w:lang w:eastAsia="zh-CN" w:bidi="ar"/>
              </w:rPr>
            </w:pPr>
            <w:r>
              <w:rPr>
                <w:rFonts w:hint="eastAsia" w:ascii="仿宋_GB2312" w:hAnsi="仿宋_GB2312" w:eastAsia="仿宋_GB2312" w:cs="仿宋_GB2312"/>
                <w:b w:val="0"/>
                <w:bCs/>
                <w:color w:val="000000"/>
                <w:kern w:val="0"/>
                <w:sz w:val="24"/>
                <w:szCs w:val="24"/>
                <w:lang w:eastAsia="zh-CN" w:bidi="ar"/>
              </w:rPr>
              <w:t>质量指标</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783CA">
            <w:pPr>
              <w:keepNext w:val="0"/>
              <w:keepLines w:val="0"/>
              <w:pageBreakBefore w:val="0"/>
              <w:widowControl w:val="0"/>
              <w:kinsoku/>
              <w:wordWrap/>
              <w:overflowPunct/>
              <w:topLinePunct w:val="0"/>
              <w:autoSpaceDE/>
              <w:autoSpaceDN/>
              <w:bidi w:val="0"/>
              <w:adjustRightInd/>
              <w:snapToGrid/>
              <w:spacing w:line="240" w:lineRule="exact"/>
              <w:jc w:val="both"/>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地质灾害预警预报率</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808DF">
            <w:pPr>
              <w:keepNext w:val="0"/>
              <w:keepLines w:val="0"/>
              <w:pageBreakBefore w:val="0"/>
              <w:widowControl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491B4">
            <w:pPr>
              <w:keepNext w:val="0"/>
              <w:keepLines w:val="0"/>
              <w:pageBreakBefore w:val="0"/>
              <w:widowControl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98</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DA8F8">
            <w:pPr>
              <w:keepNext w:val="0"/>
              <w:keepLines w:val="0"/>
              <w:pageBreakBefore w:val="0"/>
              <w:widowControl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9F9AE">
            <w:pPr>
              <w:keepNext w:val="0"/>
              <w:keepLines w:val="0"/>
              <w:pageBreakBefore w:val="0"/>
              <w:widowControl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5%</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B8ADB">
            <w:pPr>
              <w:keepNext w:val="0"/>
              <w:keepLines w:val="0"/>
              <w:pageBreakBefore w:val="0"/>
              <w:widowControl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98</w:t>
            </w:r>
          </w:p>
        </w:tc>
      </w:tr>
      <w:tr w14:paraId="32FC37E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trHeight w:val="340" w:hRule="atLeast"/>
          <w:jc w:val="center"/>
        </w:trPr>
        <w:tc>
          <w:tcPr>
            <w:tcW w:w="1214" w:type="dxa"/>
            <w:vMerge w:val="continue"/>
            <w:tcBorders>
              <w:left w:val="single" w:color="000000" w:sz="4" w:space="0"/>
              <w:right w:val="single" w:color="000000" w:sz="4" w:space="0"/>
            </w:tcBorders>
            <w:shd w:val="clear" w:color="auto" w:fill="auto"/>
            <w:vAlign w:val="center"/>
          </w:tcPr>
          <w:p w14:paraId="57EB093D">
            <w:pPr>
              <w:keepNext w:val="0"/>
              <w:keepLines w:val="0"/>
              <w:pageBreakBefore w:val="0"/>
              <w:widowControl w:val="0"/>
              <w:kinsoku/>
              <w:wordWrap/>
              <w:overflowPunct/>
              <w:topLinePunct w:val="0"/>
              <w:autoSpaceDE/>
              <w:autoSpaceDN/>
              <w:bidi w:val="0"/>
              <w:adjustRightInd/>
              <w:snapToGrid/>
              <w:spacing w:line="260" w:lineRule="exact"/>
              <w:jc w:val="center"/>
              <w:rPr>
                <w:rFonts w:hint="eastAsia" w:ascii="仿宋_GB2312" w:hAnsi="仿宋_GB2312" w:eastAsia="仿宋_GB2312" w:cs="仿宋_GB2312"/>
                <w:b w:val="0"/>
                <w:bCs/>
                <w:color w:val="000000"/>
                <w:sz w:val="24"/>
                <w:szCs w:val="24"/>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5F7AE8">
            <w:pPr>
              <w:keepNext w:val="0"/>
              <w:keepLines w:val="0"/>
              <w:pageBreakBefore w:val="0"/>
              <w:widowControl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color w:val="000000"/>
                <w:sz w:val="24"/>
                <w:szCs w:val="24"/>
              </w:rPr>
            </w:pPr>
          </w:p>
        </w:tc>
        <w:tc>
          <w:tcPr>
            <w:tcW w:w="1100" w:type="dxa"/>
            <w:vMerge w:val="continue"/>
            <w:tcBorders>
              <w:left w:val="single" w:color="000000" w:sz="4" w:space="0"/>
              <w:bottom w:val="single" w:color="000000" w:sz="4" w:space="0"/>
              <w:right w:val="single" w:color="000000" w:sz="4" w:space="0"/>
            </w:tcBorders>
            <w:shd w:val="clear" w:color="auto" w:fill="auto"/>
            <w:vAlign w:val="center"/>
          </w:tcPr>
          <w:p w14:paraId="282EF7AB">
            <w:pPr>
              <w:keepNext w:val="0"/>
              <w:keepLines w:val="0"/>
              <w:pageBreakBefore w:val="0"/>
              <w:widowControl w:val="0"/>
              <w:kinsoku/>
              <w:wordWrap/>
              <w:overflowPunct/>
              <w:topLinePunct w:val="0"/>
              <w:autoSpaceDE/>
              <w:autoSpaceDN/>
              <w:bidi w:val="0"/>
              <w:adjustRightInd/>
              <w:snapToGrid/>
              <w:spacing w:line="240" w:lineRule="exact"/>
              <w:jc w:val="both"/>
              <w:textAlignment w:val="center"/>
              <w:rPr>
                <w:rFonts w:hint="eastAsia" w:ascii="仿宋_GB2312" w:hAnsi="仿宋_GB2312" w:eastAsia="仿宋_GB2312" w:cs="仿宋_GB2312"/>
                <w:b w:val="0"/>
                <w:bCs/>
                <w:color w:val="000000"/>
                <w:kern w:val="0"/>
                <w:sz w:val="24"/>
                <w:szCs w:val="24"/>
                <w:lang w:bidi="ar"/>
              </w:rPr>
            </w:pP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E253B">
            <w:pPr>
              <w:keepNext w:val="0"/>
              <w:keepLines w:val="0"/>
              <w:pageBreakBefore w:val="0"/>
              <w:widowControl w:val="0"/>
              <w:kinsoku/>
              <w:wordWrap/>
              <w:overflowPunct/>
              <w:topLinePunct w:val="0"/>
              <w:autoSpaceDE/>
              <w:autoSpaceDN/>
              <w:bidi w:val="0"/>
              <w:adjustRightInd/>
              <w:snapToGrid/>
              <w:spacing w:line="240" w:lineRule="exact"/>
              <w:jc w:val="both"/>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预算编制准确率</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F62A9">
            <w:pPr>
              <w:keepNext w:val="0"/>
              <w:keepLines w:val="0"/>
              <w:pageBreakBefore w:val="0"/>
              <w:widowControl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C0DA9">
            <w:pPr>
              <w:keepNext w:val="0"/>
              <w:keepLines w:val="0"/>
              <w:pageBreakBefore w:val="0"/>
              <w:widowControl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95</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90E69">
            <w:pPr>
              <w:keepNext w:val="0"/>
              <w:keepLines w:val="0"/>
              <w:pageBreakBefore w:val="0"/>
              <w:widowControl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85CB6">
            <w:pPr>
              <w:keepNext w:val="0"/>
              <w:keepLines w:val="0"/>
              <w:pageBreakBefore w:val="0"/>
              <w:widowControl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5%</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53AC2">
            <w:pPr>
              <w:keepNext w:val="0"/>
              <w:keepLines w:val="0"/>
              <w:pageBreakBefore w:val="0"/>
              <w:widowControl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98</w:t>
            </w:r>
          </w:p>
        </w:tc>
      </w:tr>
      <w:tr w14:paraId="7802C1D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trHeight w:val="340" w:hRule="atLeast"/>
          <w:jc w:val="center"/>
        </w:trPr>
        <w:tc>
          <w:tcPr>
            <w:tcW w:w="1214" w:type="dxa"/>
            <w:vMerge w:val="continue"/>
            <w:tcBorders>
              <w:left w:val="single" w:color="000000" w:sz="4" w:space="0"/>
              <w:right w:val="single" w:color="000000" w:sz="4" w:space="0"/>
            </w:tcBorders>
            <w:shd w:val="clear" w:color="auto" w:fill="auto"/>
            <w:vAlign w:val="center"/>
          </w:tcPr>
          <w:p w14:paraId="5A34EE4F">
            <w:pPr>
              <w:keepNext w:val="0"/>
              <w:keepLines w:val="0"/>
              <w:pageBreakBefore w:val="0"/>
              <w:widowControl w:val="0"/>
              <w:kinsoku/>
              <w:wordWrap/>
              <w:overflowPunct/>
              <w:topLinePunct w:val="0"/>
              <w:autoSpaceDE/>
              <w:autoSpaceDN/>
              <w:bidi w:val="0"/>
              <w:adjustRightInd/>
              <w:snapToGrid/>
              <w:spacing w:line="260" w:lineRule="exact"/>
              <w:jc w:val="center"/>
              <w:rPr>
                <w:rFonts w:hint="eastAsia" w:ascii="仿宋_GB2312" w:hAnsi="仿宋_GB2312" w:eastAsia="仿宋_GB2312" w:cs="仿宋_GB2312"/>
                <w:b w:val="0"/>
                <w:bCs/>
                <w:color w:val="000000"/>
                <w:sz w:val="24"/>
                <w:szCs w:val="24"/>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B9D30A">
            <w:pPr>
              <w:keepNext w:val="0"/>
              <w:keepLines w:val="0"/>
              <w:pageBreakBefore w:val="0"/>
              <w:widowControl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color w:val="000000"/>
                <w:sz w:val="24"/>
                <w:szCs w:val="24"/>
              </w:rPr>
            </w:pP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6EFEB">
            <w:pPr>
              <w:keepNext w:val="0"/>
              <w:keepLines w:val="0"/>
              <w:pageBreakBefore w:val="0"/>
              <w:widowControl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kern w:val="0"/>
                <w:sz w:val="24"/>
                <w:szCs w:val="24"/>
                <w:lang w:bidi="ar"/>
              </w:rPr>
              <w:t>时效指标</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9F185">
            <w:pPr>
              <w:keepNext w:val="0"/>
              <w:keepLines w:val="0"/>
              <w:pageBreakBefore w:val="0"/>
              <w:widowControl w:val="0"/>
              <w:kinsoku/>
              <w:wordWrap/>
              <w:overflowPunct/>
              <w:topLinePunct w:val="0"/>
              <w:autoSpaceDE/>
              <w:autoSpaceDN/>
              <w:bidi w:val="0"/>
              <w:adjustRightInd/>
              <w:snapToGrid/>
              <w:spacing w:line="240" w:lineRule="exact"/>
              <w:jc w:val="both"/>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全年任务完成时间</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EE2E3">
            <w:pPr>
              <w:keepNext w:val="0"/>
              <w:keepLines w:val="0"/>
              <w:pageBreakBefore w:val="0"/>
              <w:widowControl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1B9CF">
            <w:pPr>
              <w:keepNext w:val="0"/>
              <w:keepLines w:val="0"/>
              <w:pageBreakBefore w:val="0"/>
              <w:widowControl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1</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A38C9">
            <w:pPr>
              <w:keepNext w:val="0"/>
              <w:keepLines w:val="0"/>
              <w:pageBreakBefore w:val="0"/>
              <w:widowControl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年</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B2A52">
            <w:pPr>
              <w:keepNext w:val="0"/>
              <w:keepLines w:val="0"/>
              <w:pageBreakBefore w:val="0"/>
              <w:widowControl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10%</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79701">
            <w:pPr>
              <w:keepNext w:val="0"/>
              <w:keepLines w:val="0"/>
              <w:pageBreakBefore w:val="0"/>
              <w:widowControl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1</w:t>
            </w:r>
          </w:p>
        </w:tc>
      </w:tr>
      <w:tr w14:paraId="06F2618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trHeight w:val="340" w:hRule="atLeast"/>
          <w:jc w:val="center"/>
        </w:trPr>
        <w:tc>
          <w:tcPr>
            <w:tcW w:w="1214" w:type="dxa"/>
            <w:vMerge w:val="continue"/>
            <w:tcBorders>
              <w:left w:val="single" w:color="000000" w:sz="4" w:space="0"/>
              <w:right w:val="single" w:color="000000" w:sz="4" w:space="0"/>
            </w:tcBorders>
            <w:shd w:val="clear" w:color="auto" w:fill="auto"/>
            <w:vAlign w:val="center"/>
          </w:tcPr>
          <w:p w14:paraId="0DCCF2C7">
            <w:pPr>
              <w:keepNext w:val="0"/>
              <w:keepLines w:val="0"/>
              <w:pageBreakBefore w:val="0"/>
              <w:widowControl w:val="0"/>
              <w:kinsoku/>
              <w:wordWrap/>
              <w:overflowPunct/>
              <w:topLinePunct w:val="0"/>
              <w:autoSpaceDE/>
              <w:autoSpaceDN/>
              <w:bidi w:val="0"/>
              <w:adjustRightInd/>
              <w:snapToGrid/>
              <w:spacing w:line="260" w:lineRule="exact"/>
              <w:jc w:val="center"/>
              <w:rPr>
                <w:rFonts w:hint="eastAsia" w:ascii="仿宋_GB2312" w:hAnsi="仿宋_GB2312" w:eastAsia="仿宋_GB2312" w:cs="仿宋_GB2312"/>
                <w:b w:val="0"/>
                <w:bCs/>
                <w:color w:val="000000"/>
                <w:sz w:val="24"/>
                <w:szCs w:val="24"/>
              </w:rPr>
            </w:pPr>
          </w:p>
        </w:tc>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BE2B77">
            <w:pPr>
              <w:keepNext w:val="0"/>
              <w:keepLines w:val="0"/>
              <w:pageBreakBefore w:val="0"/>
              <w:widowControl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kern w:val="0"/>
                <w:sz w:val="24"/>
                <w:szCs w:val="24"/>
                <w:lang w:bidi="ar"/>
              </w:rPr>
              <w:t>效益指标</w:t>
            </w:r>
          </w:p>
        </w:tc>
        <w:tc>
          <w:tcPr>
            <w:tcW w:w="1100" w:type="dxa"/>
            <w:vMerge w:val="restart"/>
            <w:tcBorders>
              <w:top w:val="single" w:color="000000" w:sz="4" w:space="0"/>
              <w:left w:val="single" w:color="000000" w:sz="4" w:space="0"/>
              <w:right w:val="single" w:color="000000" w:sz="4" w:space="0"/>
            </w:tcBorders>
            <w:shd w:val="clear" w:color="auto" w:fill="auto"/>
            <w:vAlign w:val="center"/>
          </w:tcPr>
          <w:p w14:paraId="08F6270A">
            <w:pPr>
              <w:keepNext w:val="0"/>
              <w:keepLines w:val="0"/>
              <w:pageBreakBefore w:val="0"/>
              <w:widowControl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color w:val="000000"/>
                <w:kern w:val="0"/>
                <w:sz w:val="24"/>
                <w:szCs w:val="24"/>
                <w:lang w:bidi="ar"/>
              </w:rPr>
            </w:pPr>
            <w:r>
              <w:rPr>
                <w:rFonts w:hint="eastAsia" w:ascii="仿宋_GB2312" w:hAnsi="仿宋_GB2312" w:eastAsia="仿宋_GB2312" w:cs="仿宋_GB2312"/>
                <w:b w:val="0"/>
                <w:bCs/>
                <w:color w:val="000000"/>
                <w:kern w:val="0"/>
                <w:sz w:val="24"/>
                <w:szCs w:val="24"/>
                <w:lang w:bidi="ar"/>
              </w:rPr>
              <w:t>社会效益</w:t>
            </w:r>
          </w:p>
          <w:p w14:paraId="128F0DBF">
            <w:pPr>
              <w:keepNext w:val="0"/>
              <w:keepLines w:val="0"/>
              <w:pageBreakBefore w:val="0"/>
              <w:widowControl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kern w:val="0"/>
                <w:sz w:val="24"/>
                <w:szCs w:val="24"/>
                <w:lang w:bidi="ar"/>
              </w:rPr>
              <w:t>指标</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EC80B">
            <w:pPr>
              <w:keepNext w:val="0"/>
              <w:keepLines w:val="0"/>
              <w:pageBreakBefore w:val="0"/>
              <w:widowControl w:val="0"/>
              <w:kinsoku/>
              <w:wordWrap/>
              <w:overflowPunct/>
              <w:topLinePunct w:val="0"/>
              <w:autoSpaceDE/>
              <w:autoSpaceDN/>
              <w:bidi w:val="0"/>
              <w:adjustRightInd/>
              <w:snapToGrid/>
              <w:spacing w:line="240" w:lineRule="exact"/>
              <w:jc w:val="both"/>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提高监测预警区地质灾害防御能力</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CD201">
            <w:pPr>
              <w:keepNext w:val="0"/>
              <w:keepLines w:val="0"/>
              <w:pageBreakBefore w:val="0"/>
              <w:widowControl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1DE99">
            <w:pPr>
              <w:keepNext w:val="0"/>
              <w:keepLines w:val="0"/>
              <w:pageBreakBefore w:val="0"/>
              <w:widowControl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100</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E5CA1">
            <w:pPr>
              <w:keepNext w:val="0"/>
              <w:keepLines w:val="0"/>
              <w:pageBreakBefore w:val="0"/>
              <w:widowControl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DCFD4">
            <w:pPr>
              <w:keepNext w:val="0"/>
              <w:keepLines w:val="0"/>
              <w:pageBreakBefore w:val="0"/>
              <w:widowControl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10%</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20797">
            <w:pPr>
              <w:keepNext w:val="0"/>
              <w:keepLines w:val="0"/>
              <w:pageBreakBefore w:val="0"/>
              <w:widowControl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100</w:t>
            </w:r>
          </w:p>
        </w:tc>
      </w:tr>
      <w:tr w14:paraId="16CB88E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trHeight w:val="340" w:hRule="atLeast"/>
          <w:jc w:val="center"/>
        </w:trPr>
        <w:tc>
          <w:tcPr>
            <w:tcW w:w="1214" w:type="dxa"/>
            <w:vMerge w:val="continue"/>
            <w:tcBorders>
              <w:left w:val="single" w:color="000000" w:sz="4" w:space="0"/>
              <w:right w:val="single" w:color="000000" w:sz="4" w:space="0"/>
            </w:tcBorders>
            <w:shd w:val="clear" w:color="auto" w:fill="auto"/>
            <w:vAlign w:val="center"/>
          </w:tcPr>
          <w:p w14:paraId="0838E988">
            <w:pPr>
              <w:keepNext w:val="0"/>
              <w:keepLines w:val="0"/>
              <w:pageBreakBefore w:val="0"/>
              <w:widowControl w:val="0"/>
              <w:kinsoku/>
              <w:wordWrap/>
              <w:overflowPunct/>
              <w:topLinePunct w:val="0"/>
              <w:autoSpaceDE/>
              <w:autoSpaceDN/>
              <w:bidi w:val="0"/>
              <w:adjustRightInd/>
              <w:snapToGrid/>
              <w:spacing w:line="260" w:lineRule="exact"/>
              <w:jc w:val="center"/>
              <w:rPr>
                <w:rFonts w:hint="eastAsia" w:ascii="仿宋_GB2312" w:hAnsi="仿宋_GB2312" w:eastAsia="仿宋_GB2312" w:cs="仿宋_GB2312"/>
                <w:b w:val="0"/>
                <w:bCs/>
                <w:color w:val="000000"/>
                <w:sz w:val="24"/>
                <w:szCs w:val="24"/>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AF9ECD">
            <w:pPr>
              <w:keepNext w:val="0"/>
              <w:keepLines w:val="0"/>
              <w:pageBreakBefore w:val="0"/>
              <w:widowControl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color w:val="000000"/>
                <w:sz w:val="24"/>
                <w:szCs w:val="24"/>
              </w:rPr>
            </w:pPr>
          </w:p>
        </w:tc>
        <w:tc>
          <w:tcPr>
            <w:tcW w:w="1100" w:type="dxa"/>
            <w:vMerge w:val="continue"/>
            <w:tcBorders>
              <w:top w:val="single" w:color="000000" w:sz="4" w:space="0"/>
              <w:left w:val="single" w:color="000000" w:sz="4" w:space="0"/>
              <w:right w:val="single" w:color="000000" w:sz="4" w:space="0"/>
            </w:tcBorders>
            <w:shd w:val="clear" w:color="auto" w:fill="auto"/>
            <w:vAlign w:val="center"/>
          </w:tcPr>
          <w:p w14:paraId="4BE562F8">
            <w:pPr>
              <w:keepNext w:val="0"/>
              <w:keepLines w:val="0"/>
              <w:pageBreakBefore w:val="0"/>
              <w:widowControl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color w:val="000000"/>
                <w:sz w:val="24"/>
                <w:szCs w:val="24"/>
              </w:rPr>
            </w:pP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E3819">
            <w:pPr>
              <w:keepNext w:val="0"/>
              <w:keepLines w:val="0"/>
              <w:pageBreakBefore w:val="0"/>
              <w:widowControl w:val="0"/>
              <w:kinsoku/>
              <w:wordWrap/>
              <w:overflowPunct/>
              <w:topLinePunct w:val="0"/>
              <w:autoSpaceDE/>
              <w:autoSpaceDN/>
              <w:bidi w:val="0"/>
              <w:adjustRightInd/>
              <w:snapToGrid/>
              <w:spacing w:line="240" w:lineRule="exact"/>
              <w:jc w:val="both"/>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增加耕地面积，保障粮食安全</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238F8">
            <w:pPr>
              <w:keepNext w:val="0"/>
              <w:keepLines w:val="0"/>
              <w:pageBreakBefore w:val="0"/>
              <w:widowControl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4D8FA">
            <w:pPr>
              <w:keepNext w:val="0"/>
              <w:keepLines w:val="0"/>
              <w:pageBreakBefore w:val="0"/>
              <w:widowControl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95</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68795">
            <w:pPr>
              <w:keepNext w:val="0"/>
              <w:keepLines w:val="0"/>
              <w:pageBreakBefore w:val="0"/>
              <w:widowControl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95ACB">
            <w:pPr>
              <w:keepNext w:val="0"/>
              <w:keepLines w:val="0"/>
              <w:pageBreakBefore w:val="0"/>
              <w:widowControl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10%</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06317">
            <w:pPr>
              <w:keepNext w:val="0"/>
              <w:keepLines w:val="0"/>
              <w:pageBreakBefore w:val="0"/>
              <w:widowControl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95</w:t>
            </w:r>
          </w:p>
        </w:tc>
      </w:tr>
      <w:tr w14:paraId="2C4E366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trHeight w:val="340" w:hRule="atLeast"/>
          <w:jc w:val="center"/>
        </w:trPr>
        <w:tc>
          <w:tcPr>
            <w:tcW w:w="1214" w:type="dxa"/>
            <w:vMerge w:val="continue"/>
            <w:tcBorders>
              <w:left w:val="single" w:color="000000" w:sz="4" w:space="0"/>
              <w:right w:val="single" w:color="000000" w:sz="4" w:space="0"/>
            </w:tcBorders>
            <w:shd w:val="clear" w:color="auto" w:fill="auto"/>
            <w:vAlign w:val="center"/>
          </w:tcPr>
          <w:p w14:paraId="31AC8D2B">
            <w:pPr>
              <w:keepNext w:val="0"/>
              <w:keepLines w:val="0"/>
              <w:pageBreakBefore w:val="0"/>
              <w:widowControl w:val="0"/>
              <w:kinsoku/>
              <w:wordWrap/>
              <w:overflowPunct/>
              <w:topLinePunct w:val="0"/>
              <w:autoSpaceDE/>
              <w:autoSpaceDN/>
              <w:bidi w:val="0"/>
              <w:adjustRightInd/>
              <w:snapToGrid/>
              <w:spacing w:line="260" w:lineRule="exact"/>
              <w:jc w:val="center"/>
              <w:rPr>
                <w:rFonts w:hint="eastAsia" w:ascii="仿宋_GB2312" w:hAnsi="仿宋_GB2312" w:eastAsia="仿宋_GB2312" w:cs="仿宋_GB2312"/>
                <w:b w:val="0"/>
                <w:bCs/>
                <w:color w:val="000000"/>
                <w:sz w:val="24"/>
                <w:szCs w:val="24"/>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CA00C">
            <w:pPr>
              <w:keepNext w:val="0"/>
              <w:keepLines w:val="0"/>
              <w:pageBreakBefore w:val="0"/>
              <w:widowControl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kern w:val="0"/>
                <w:sz w:val="24"/>
                <w:szCs w:val="24"/>
                <w:lang w:bidi="ar"/>
              </w:rPr>
              <w:t>满意度指标</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42391">
            <w:pPr>
              <w:keepNext w:val="0"/>
              <w:keepLines w:val="0"/>
              <w:pageBreakBefore w:val="0"/>
              <w:widowControl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kern w:val="0"/>
                <w:sz w:val="24"/>
                <w:szCs w:val="24"/>
                <w:lang w:bidi="ar"/>
              </w:rPr>
              <w:t>满意度指标</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CAFF0">
            <w:pPr>
              <w:keepNext w:val="0"/>
              <w:keepLines w:val="0"/>
              <w:pageBreakBefore w:val="0"/>
              <w:widowControl w:val="0"/>
              <w:kinsoku/>
              <w:wordWrap/>
              <w:overflowPunct/>
              <w:topLinePunct w:val="0"/>
              <w:autoSpaceDE/>
              <w:autoSpaceDN/>
              <w:bidi w:val="0"/>
              <w:adjustRightInd/>
              <w:snapToGrid/>
              <w:spacing w:line="240" w:lineRule="exact"/>
              <w:jc w:val="both"/>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项目区群众满意度</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DC530">
            <w:pPr>
              <w:keepNext w:val="0"/>
              <w:keepLines w:val="0"/>
              <w:pageBreakBefore w:val="0"/>
              <w:widowControl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25D22">
            <w:pPr>
              <w:keepNext w:val="0"/>
              <w:keepLines w:val="0"/>
              <w:pageBreakBefore w:val="0"/>
              <w:widowControl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95</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82049">
            <w:pPr>
              <w:keepNext w:val="0"/>
              <w:keepLines w:val="0"/>
              <w:pageBreakBefore w:val="0"/>
              <w:widowControl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25748">
            <w:pPr>
              <w:keepNext w:val="0"/>
              <w:keepLines w:val="0"/>
              <w:pageBreakBefore w:val="0"/>
              <w:widowControl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10%</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4428C">
            <w:pPr>
              <w:keepNext w:val="0"/>
              <w:keepLines w:val="0"/>
              <w:pageBreakBefore w:val="0"/>
              <w:widowControl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95</w:t>
            </w:r>
          </w:p>
        </w:tc>
      </w:tr>
      <w:tr w14:paraId="6A569D2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trHeight w:val="340" w:hRule="atLeast"/>
          <w:jc w:val="center"/>
        </w:trPr>
        <w:tc>
          <w:tcPr>
            <w:tcW w:w="1214" w:type="dxa"/>
            <w:vMerge w:val="continue"/>
            <w:tcBorders>
              <w:left w:val="single" w:color="000000" w:sz="4" w:space="0"/>
              <w:bottom w:val="single" w:color="000000" w:sz="4" w:space="0"/>
              <w:right w:val="single" w:color="000000" w:sz="4" w:space="0"/>
            </w:tcBorders>
            <w:shd w:val="clear" w:color="auto" w:fill="auto"/>
            <w:vAlign w:val="center"/>
          </w:tcPr>
          <w:p w14:paraId="06A7601A">
            <w:pPr>
              <w:keepNext w:val="0"/>
              <w:keepLines w:val="0"/>
              <w:pageBreakBefore w:val="0"/>
              <w:widowControl w:val="0"/>
              <w:kinsoku/>
              <w:wordWrap/>
              <w:overflowPunct/>
              <w:topLinePunct w:val="0"/>
              <w:autoSpaceDE/>
              <w:autoSpaceDN/>
              <w:bidi w:val="0"/>
              <w:adjustRightInd/>
              <w:snapToGrid/>
              <w:spacing w:line="260" w:lineRule="exact"/>
              <w:jc w:val="center"/>
              <w:rPr>
                <w:rFonts w:hint="eastAsia" w:ascii="仿宋_GB2312" w:hAnsi="仿宋_GB2312" w:eastAsia="仿宋_GB2312" w:cs="仿宋_GB2312"/>
                <w:b w:val="0"/>
                <w:bCs/>
                <w:color w:val="000000"/>
                <w:sz w:val="24"/>
                <w:szCs w:val="24"/>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6CDDC">
            <w:pPr>
              <w:keepNext w:val="0"/>
              <w:keepLines w:val="0"/>
              <w:pageBreakBefore w:val="0"/>
              <w:widowControl w:val="0"/>
              <w:kinsoku/>
              <w:wordWrap/>
              <w:overflowPunct/>
              <w:topLinePunct w:val="0"/>
              <w:autoSpaceDE/>
              <w:autoSpaceDN/>
              <w:bidi w:val="0"/>
              <w:adjustRightInd/>
              <w:snapToGrid/>
              <w:spacing w:line="260" w:lineRule="exact"/>
              <w:jc w:val="center"/>
              <w:textAlignment w:val="center"/>
              <w:rPr>
                <w:rFonts w:hint="eastAsia" w:ascii="仿宋_GB2312" w:hAnsi="仿宋_GB2312" w:eastAsia="仿宋_GB2312" w:cs="仿宋_GB2312"/>
                <w:b w:val="0"/>
                <w:bCs/>
                <w:color w:val="000000"/>
                <w:kern w:val="0"/>
                <w:sz w:val="24"/>
                <w:szCs w:val="24"/>
                <w:lang w:bidi="ar"/>
              </w:rPr>
            </w:pPr>
            <w:r>
              <w:rPr>
                <w:rFonts w:hint="eastAsia" w:ascii="仿宋_GB2312" w:hAnsi="仿宋_GB2312" w:eastAsia="仿宋_GB2312" w:cs="仿宋_GB2312"/>
                <w:b w:val="0"/>
                <w:bCs/>
                <w:color w:val="000000"/>
                <w:kern w:val="0"/>
                <w:sz w:val="24"/>
                <w:szCs w:val="24"/>
                <w:lang w:bidi="ar"/>
              </w:rPr>
              <w:t>成本指标</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E1A93">
            <w:pPr>
              <w:keepNext w:val="0"/>
              <w:keepLines w:val="0"/>
              <w:pageBreakBefore w:val="0"/>
              <w:widowControl w:val="0"/>
              <w:kinsoku/>
              <w:wordWrap/>
              <w:overflowPunct/>
              <w:topLinePunct w:val="0"/>
              <w:autoSpaceDE/>
              <w:autoSpaceDN/>
              <w:bidi w:val="0"/>
              <w:adjustRightInd/>
              <w:snapToGrid/>
              <w:spacing w:line="260" w:lineRule="exact"/>
              <w:jc w:val="center"/>
              <w:textAlignment w:val="center"/>
              <w:rPr>
                <w:rFonts w:hint="eastAsia" w:ascii="仿宋_GB2312" w:hAnsi="仿宋_GB2312" w:eastAsia="仿宋_GB2312" w:cs="仿宋_GB2312"/>
                <w:b w:val="0"/>
                <w:bCs/>
                <w:color w:val="000000"/>
                <w:kern w:val="0"/>
                <w:sz w:val="24"/>
                <w:szCs w:val="24"/>
                <w:lang w:bidi="ar"/>
              </w:rPr>
            </w:pPr>
            <w:r>
              <w:rPr>
                <w:rFonts w:hint="eastAsia" w:ascii="仿宋_GB2312" w:hAnsi="仿宋_GB2312" w:eastAsia="仿宋_GB2312" w:cs="仿宋_GB2312"/>
                <w:b w:val="0"/>
                <w:bCs/>
                <w:color w:val="000000"/>
                <w:kern w:val="0"/>
                <w:sz w:val="24"/>
                <w:szCs w:val="24"/>
                <w:lang w:bidi="ar"/>
              </w:rPr>
              <w:t>经济成本指标</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DEFF1">
            <w:pPr>
              <w:keepNext w:val="0"/>
              <w:keepLines w:val="0"/>
              <w:pageBreakBefore w:val="0"/>
              <w:widowControl w:val="0"/>
              <w:kinsoku/>
              <w:wordWrap/>
              <w:overflowPunct/>
              <w:topLinePunct w:val="0"/>
              <w:autoSpaceDE/>
              <w:autoSpaceDN/>
              <w:bidi w:val="0"/>
              <w:adjustRightInd/>
              <w:snapToGrid/>
              <w:spacing w:line="260" w:lineRule="exact"/>
              <w:jc w:val="both"/>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预算控制数</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BE3B6">
            <w:pPr>
              <w:keepNext w:val="0"/>
              <w:keepLines w:val="0"/>
              <w:pageBreakBefore w:val="0"/>
              <w:widowControl w:val="0"/>
              <w:kinsoku/>
              <w:wordWrap/>
              <w:overflowPunct/>
              <w:topLinePunct w:val="0"/>
              <w:autoSpaceDE/>
              <w:autoSpaceDN/>
              <w:bidi w:val="0"/>
              <w:adjustRightInd/>
              <w:snapToGrid/>
              <w:spacing w:line="260" w:lineRule="exact"/>
              <w:jc w:val="center"/>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44C0B">
            <w:pPr>
              <w:keepNext w:val="0"/>
              <w:keepLines w:val="0"/>
              <w:pageBreakBefore w:val="0"/>
              <w:widowControl w:val="0"/>
              <w:kinsoku/>
              <w:wordWrap/>
              <w:overflowPunct/>
              <w:topLinePunct w:val="0"/>
              <w:autoSpaceDE/>
              <w:autoSpaceDN/>
              <w:bidi w:val="0"/>
              <w:adjustRightInd/>
              <w:snapToGrid/>
              <w:spacing w:line="260" w:lineRule="exact"/>
              <w:jc w:val="center"/>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21933.47</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98DA2">
            <w:pPr>
              <w:keepNext w:val="0"/>
              <w:keepLines w:val="0"/>
              <w:pageBreakBefore w:val="0"/>
              <w:widowControl w:val="0"/>
              <w:kinsoku/>
              <w:wordWrap/>
              <w:overflowPunct/>
              <w:topLinePunct w:val="0"/>
              <w:autoSpaceDE/>
              <w:autoSpaceDN/>
              <w:bidi w:val="0"/>
              <w:adjustRightInd/>
              <w:snapToGrid/>
              <w:spacing w:line="260" w:lineRule="exact"/>
              <w:jc w:val="center"/>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万元</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FA9DD">
            <w:pPr>
              <w:keepNext w:val="0"/>
              <w:keepLines w:val="0"/>
              <w:pageBreakBefore w:val="0"/>
              <w:widowControl w:val="0"/>
              <w:kinsoku/>
              <w:wordWrap/>
              <w:overflowPunct/>
              <w:topLinePunct w:val="0"/>
              <w:autoSpaceDE/>
              <w:autoSpaceDN/>
              <w:bidi w:val="0"/>
              <w:adjustRightInd/>
              <w:snapToGrid/>
              <w:spacing w:line="260" w:lineRule="exact"/>
              <w:jc w:val="center"/>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20%</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190E4">
            <w:pPr>
              <w:keepNext w:val="0"/>
              <w:keepLines w:val="0"/>
              <w:pageBreakBefore w:val="0"/>
              <w:widowControl w:val="0"/>
              <w:kinsoku/>
              <w:wordWrap/>
              <w:overflowPunct/>
              <w:topLinePunct w:val="0"/>
              <w:autoSpaceDE/>
              <w:autoSpaceDN/>
              <w:bidi w:val="0"/>
              <w:adjustRightInd/>
              <w:snapToGrid/>
              <w:spacing w:line="260" w:lineRule="exact"/>
              <w:jc w:val="center"/>
              <w:rPr>
                <w:rFonts w:hint="eastAsia" w:ascii="仿宋_GB2312" w:hAnsi="仿宋_GB2312" w:eastAsia="仿宋_GB2312" w:cs="仿宋_GB2312"/>
                <w:b w:val="0"/>
                <w:bCs/>
                <w:color w:val="000000"/>
                <w:sz w:val="24"/>
                <w:szCs w:val="24"/>
              </w:rPr>
            </w:pPr>
            <w:r>
              <w:rPr>
                <w:rFonts w:hint="eastAsia" w:ascii="仿宋_GB2312" w:hAnsi="仿宋_GB2312" w:eastAsia="仿宋_GB2312" w:cs="仿宋_GB2312"/>
                <w:b w:val="0"/>
                <w:bCs/>
                <w:color w:val="000000"/>
                <w:sz w:val="24"/>
                <w:szCs w:val="24"/>
              </w:rPr>
              <w:t>21933.47</w:t>
            </w:r>
          </w:p>
        </w:tc>
      </w:tr>
    </w:tbl>
    <w:p w14:paraId="3157F0DE">
      <w:pPr>
        <w:pStyle w:val="16"/>
        <w:ind w:left="0" w:leftChars="0" w:firstLine="0" w:firstLineChars="0"/>
        <w:rPr>
          <w:rFonts w:ascii="Times New Roman" w:eastAsia="黑体"/>
          <w:b w:val="0"/>
          <w:bCs/>
          <w:sz w:val="24"/>
          <w:szCs w:val="24"/>
        </w:rPr>
      </w:pPr>
    </w:p>
    <w:p w14:paraId="5CC550D4">
      <w:pPr>
        <w:rPr>
          <w:rStyle w:val="22"/>
          <w:rFonts w:hint="eastAsia" w:ascii="黑体" w:hAnsi="黑体" w:eastAsia="黑体"/>
          <w:b w:val="0"/>
          <w:color w:val="auto"/>
          <w:highlight w:val="none"/>
          <w:lang w:val="en-US" w:eastAsia="zh-CN"/>
        </w:rPr>
      </w:pPr>
      <w:r>
        <w:rPr>
          <w:rStyle w:val="22"/>
          <w:rFonts w:hint="eastAsia" w:ascii="黑体" w:hAnsi="黑体" w:eastAsia="黑体"/>
          <w:b w:val="0"/>
          <w:color w:val="auto"/>
          <w:highlight w:val="none"/>
          <w:lang w:val="en-US" w:eastAsia="zh-CN"/>
        </w:rPr>
        <w:br w:type="page"/>
      </w:r>
    </w:p>
    <w:p w14:paraId="012B0101">
      <w:pPr>
        <w:pStyle w:val="2"/>
        <w:ind w:left="0" w:leftChars="0" w:firstLine="0" w:firstLineChars="0"/>
        <w:rPr>
          <w:rStyle w:val="22"/>
          <w:rFonts w:hint="eastAsia" w:ascii="黑体" w:hAnsi="黑体" w:eastAsia="黑体"/>
          <w:b w:val="0"/>
          <w:color w:val="auto"/>
          <w:sz w:val="32"/>
          <w:szCs w:val="32"/>
          <w:highlight w:val="none"/>
          <w:lang w:val="en-US" w:eastAsia="zh-CN"/>
        </w:rPr>
      </w:pPr>
      <w:r>
        <w:rPr>
          <w:rStyle w:val="22"/>
          <w:rFonts w:hint="eastAsia" w:ascii="黑体" w:hAnsi="黑体" w:eastAsia="黑体"/>
          <w:b w:val="0"/>
          <w:color w:val="auto"/>
          <w:sz w:val="32"/>
          <w:szCs w:val="32"/>
          <w:highlight w:val="none"/>
          <w:lang w:val="en-US" w:eastAsia="zh-CN"/>
        </w:rPr>
        <w:t>附件2</w:t>
      </w:r>
    </w:p>
    <w:p w14:paraId="28955D2B">
      <w:pPr>
        <w:pStyle w:val="37"/>
        <w:keepNext w:val="0"/>
        <w:keepLines w:val="0"/>
        <w:pageBreakBefore w:val="0"/>
        <w:widowControl w:val="0"/>
        <w:kinsoku/>
        <w:wordWrap/>
        <w:overflowPunct/>
        <w:topLinePunct w:val="0"/>
        <w:autoSpaceDE/>
        <w:autoSpaceDN/>
        <w:bidi w:val="0"/>
        <w:spacing w:line="540" w:lineRule="exact"/>
        <w:ind w:left="0" w:leftChars="0"/>
        <w:jc w:val="center"/>
        <w:textAlignment w:val="auto"/>
        <w:rPr>
          <w:rFonts w:hint="default" w:ascii="方正小标宋简体" w:hAnsi="方正小标宋简体" w:eastAsia="方正小标宋简体" w:cs="方正小标宋简体"/>
          <w:color w:val="auto"/>
          <w:kern w:val="2"/>
          <w:sz w:val="44"/>
          <w:szCs w:val="44"/>
          <w:highlight w:val="none"/>
          <w:lang w:val="en-US" w:eastAsia="zh-CN"/>
        </w:rPr>
      </w:pPr>
      <w:r>
        <w:rPr>
          <w:rFonts w:hint="eastAsia" w:ascii="方正小标宋简体" w:hAnsi="方正小标宋简体" w:eastAsia="方正小标宋简体" w:cs="方正小标宋简体"/>
          <w:color w:val="auto"/>
          <w:kern w:val="2"/>
          <w:sz w:val="44"/>
          <w:szCs w:val="44"/>
          <w:highlight w:val="none"/>
          <w:lang w:val="en-US" w:eastAsia="zh-CN"/>
        </w:rPr>
        <w:t>广元市自然资源局</w:t>
      </w:r>
    </w:p>
    <w:p w14:paraId="0E9DCF2A">
      <w:pPr>
        <w:pStyle w:val="37"/>
        <w:keepNext w:val="0"/>
        <w:keepLines w:val="0"/>
        <w:pageBreakBefore w:val="0"/>
        <w:widowControl w:val="0"/>
        <w:kinsoku/>
        <w:wordWrap/>
        <w:overflowPunct/>
        <w:topLinePunct w:val="0"/>
        <w:autoSpaceDE/>
        <w:autoSpaceDN/>
        <w:bidi w:val="0"/>
        <w:spacing w:line="540" w:lineRule="exact"/>
        <w:ind w:left="0" w:leftChars="0"/>
        <w:jc w:val="center"/>
        <w:textAlignment w:val="auto"/>
        <w:rPr>
          <w:rFonts w:hint="eastAsia" w:ascii="方正小标宋简体" w:hAnsi="方正小标宋简体" w:eastAsia="方正小标宋简体" w:cs="方正小标宋简体"/>
          <w:color w:val="auto"/>
          <w:kern w:val="2"/>
          <w:sz w:val="44"/>
          <w:szCs w:val="44"/>
          <w:highlight w:val="none"/>
          <w:lang w:val="en-US" w:eastAsia="zh-CN"/>
        </w:rPr>
      </w:pPr>
      <w:r>
        <w:rPr>
          <w:rFonts w:hint="eastAsia" w:ascii="方正小标宋简体" w:hAnsi="方正小标宋简体" w:eastAsia="方正小标宋简体" w:cs="方正小标宋简体"/>
          <w:color w:val="auto"/>
          <w:kern w:val="2"/>
          <w:sz w:val="44"/>
          <w:szCs w:val="44"/>
          <w:highlight w:val="none"/>
          <w:lang w:val="en-US" w:eastAsia="zh-CN"/>
        </w:rPr>
        <w:t>关于元山弃土场配套工程及相关费用专项预算项目绩效评价报告</w:t>
      </w:r>
    </w:p>
    <w:p w14:paraId="547346F2">
      <w:pPr>
        <w:pStyle w:val="37"/>
        <w:keepNext w:val="0"/>
        <w:keepLines w:val="0"/>
        <w:pageBreakBefore w:val="0"/>
        <w:widowControl w:val="0"/>
        <w:kinsoku/>
        <w:wordWrap/>
        <w:overflowPunct/>
        <w:topLinePunct w:val="0"/>
        <w:autoSpaceDE/>
        <w:autoSpaceDN/>
        <w:bidi w:val="0"/>
        <w:spacing w:line="540" w:lineRule="exact"/>
        <w:ind w:left="0" w:leftChars="0" w:firstLine="640"/>
        <w:jc w:val="center"/>
        <w:textAlignment w:val="auto"/>
        <w:rPr>
          <w:rFonts w:ascii="宋体" w:hAnsi="宋体"/>
          <w:color w:val="auto"/>
          <w:kern w:val="2"/>
          <w:sz w:val="32"/>
          <w:szCs w:val="32"/>
          <w:highlight w:val="none"/>
        </w:rPr>
      </w:pPr>
    </w:p>
    <w:p w14:paraId="519A48F1">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ascii="黑体" w:hAnsi="宋体" w:eastAsia="黑体"/>
          <w:sz w:val="32"/>
          <w:szCs w:val="32"/>
          <w:highlight w:val="none"/>
          <w:lang w:val="zh-CN"/>
        </w:rPr>
      </w:pPr>
      <w:r>
        <w:rPr>
          <w:rFonts w:hint="eastAsia" w:ascii="黑体" w:hAnsi="宋体" w:eastAsia="黑体"/>
          <w:sz w:val="32"/>
          <w:szCs w:val="32"/>
          <w:highlight w:val="none"/>
        </w:rPr>
        <w:t>一、</w:t>
      </w:r>
      <w:r>
        <w:rPr>
          <w:rFonts w:hint="eastAsia" w:ascii="黑体" w:hAnsi="宋体" w:eastAsia="黑体"/>
          <w:sz w:val="32"/>
          <w:szCs w:val="32"/>
          <w:highlight w:val="none"/>
          <w:lang w:val="zh-CN"/>
        </w:rPr>
        <w:t>项目概况</w:t>
      </w:r>
    </w:p>
    <w:p w14:paraId="0F4375C5">
      <w:pPr>
        <w:keepNext w:val="0"/>
        <w:keepLines w:val="0"/>
        <w:pageBreakBefore w:val="0"/>
        <w:numPr>
          <w:ilvl w:val="0"/>
          <w:numId w:val="0"/>
        </w:numPr>
        <w:kinsoku/>
        <w:wordWrap/>
        <w:overflowPunct/>
        <w:topLinePunct w:val="0"/>
        <w:autoSpaceDE/>
        <w:autoSpaceDN/>
        <w:bidi w:val="0"/>
        <w:spacing w:line="540" w:lineRule="exact"/>
        <w:ind w:firstLine="643" w:firstLineChars="200"/>
        <w:textAlignment w:val="auto"/>
        <w:rPr>
          <w:rFonts w:hint="eastAsia" w:ascii="仿宋_GB2312" w:hAnsi="仿宋" w:eastAsia="仿宋_GB2312" w:cs="Times New Roman"/>
          <w:sz w:val="32"/>
          <w:szCs w:val="32"/>
          <w:lang w:val="zh-CN" w:eastAsia="zh-CN"/>
        </w:rPr>
      </w:pPr>
      <w:r>
        <w:rPr>
          <w:rFonts w:hint="eastAsia" w:ascii="楷体_GB2312" w:hAnsi="宋体" w:eastAsia="楷体_GB2312" w:cs="Times New Roman"/>
          <w:b/>
          <w:bCs w:val="0"/>
          <w:color w:val="auto"/>
          <w:sz w:val="32"/>
          <w:szCs w:val="32"/>
          <w:highlight w:val="none"/>
          <w:u w:val="none"/>
          <w:lang w:val="zh-CN"/>
        </w:rPr>
        <w:t>（一）设立背景及基本情况。</w:t>
      </w:r>
      <w:r>
        <w:rPr>
          <w:rFonts w:hint="eastAsia" w:ascii="仿宋_GB2312" w:hAnsi="仿宋" w:eastAsia="仿宋_GB2312" w:cs="Times New Roman"/>
          <w:sz w:val="32"/>
          <w:szCs w:val="32"/>
          <w:lang w:val="zh-CN" w:eastAsia="zh-CN"/>
        </w:rPr>
        <w:t>根据市人民政府办公室《关于进一步加强市城区弃土场建设管理的通知》（广府办函〔2015〕107号）精神，为有效解决市城区工程建设项目弃土堆放和利用问题，防止弃土乱倒引发地质灾害,决定在市中心城区东至大石镇片区，西至三江新区，南至龙潭片区，北至工农镇片区范围内科学规划选址弃土场。</w:t>
      </w:r>
    </w:p>
    <w:p w14:paraId="7872E4D1">
      <w:pPr>
        <w:keepNext w:val="0"/>
        <w:keepLines w:val="0"/>
        <w:pageBreakBefore w:val="0"/>
        <w:numPr>
          <w:ilvl w:val="0"/>
          <w:numId w:val="0"/>
        </w:numPr>
        <w:kinsoku/>
        <w:wordWrap/>
        <w:overflowPunct/>
        <w:topLinePunct w:val="0"/>
        <w:autoSpaceDE/>
        <w:autoSpaceDN/>
        <w:bidi w:val="0"/>
        <w:adjustRightInd w:val="0"/>
        <w:snapToGrid w:val="0"/>
        <w:spacing w:line="540" w:lineRule="exact"/>
        <w:ind w:left="0" w:leftChars="0" w:firstLine="640" w:firstLineChars="200"/>
        <w:textAlignment w:val="auto"/>
        <w:rPr>
          <w:rFonts w:hint="eastAsia" w:ascii="仿宋_GB2312" w:hAnsi="仿宋" w:eastAsia="仿宋_GB2312" w:cs="Times New Roman"/>
          <w:sz w:val="32"/>
          <w:szCs w:val="32"/>
          <w:lang w:val="zh-CN"/>
        </w:rPr>
      </w:pPr>
      <w:r>
        <w:rPr>
          <w:rFonts w:hint="eastAsia" w:ascii="仿宋_GB2312" w:hAnsi="仿宋" w:eastAsia="仿宋_GB2312" w:cs="Times New Roman"/>
          <w:sz w:val="32"/>
          <w:szCs w:val="32"/>
          <w:lang w:eastAsia="zh-CN"/>
        </w:rPr>
        <w:t>按市政府工作安排，在利州区龙潭乡</w:t>
      </w:r>
      <w:r>
        <w:rPr>
          <w:rFonts w:hint="eastAsia" w:ascii="仿宋_GB2312" w:hAnsi="仿宋" w:eastAsia="仿宋_GB2312" w:cs="Times New Roman"/>
          <w:sz w:val="32"/>
          <w:szCs w:val="32"/>
        </w:rPr>
        <w:t>元山村、界牌村、和平村</w:t>
      </w:r>
      <w:r>
        <w:rPr>
          <w:rFonts w:hint="eastAsia" w:ascii="仿宋_GB2312" w:hAnsi="仿宋" w:eastAsia="仿宋_GB2312" w:cs="Times New Roman"/>
          <w:sz w:val="32"/>
          <w:szCs w:val="32"/>
          <w:lang w:eastAsia="zh-CN"/>
        </w:rPr>
        <w:t>选址新建</w:t>
      </w:r>
      <w:r>
        <w:rPr>
          <w:rFonts w:hint="eastAsia" w:ascii="仿宋_GB2312" w:hAnsi="仿宋" w:eastAsia="仿宋_GB2312" w:cs="Times New Roman"/>
          <w:sz w:val="32"/>
          <w:szCs w:val="32"/>
        </w:rPr>
        <w:t>利州区龙潭乡元山弃土场及配套工程</w:t>
      </w:r>
      <w:r>
        <w:rPr>
          <w:rFonts w:hint="eastAsia" w:ascii="仿宋_GB2312" w:hAnsi="仿宋" w:eastAsia="仿宋_GB2312" w:cs="Times New Roman"/>
          <w:sz w:val="32"/>
          <w:szCs w:val="32"/>
          <w:lang w:eastAsia="zh-CN"/>
        </w:rPr>
        <w:t>项目</w:t>
      </w:r>
      <w:r>
        <w:rPr>
          <w:rFonts w:hint="eastAsia" w:ascii="仿宋_GB2312" w:hAnsi="仿宋" w:eastAsia="仿宋_GB2312" w:cs="Times New Roman"/>
          <w:sz w:val="32"/>
          <w:szCs w:val="32"/>
        </w:rPr>
        <w:t>，</w:t>
      </w:r>
      <w:r>
        <w:rPr>
          <w:rFonts w:hint="eastAsia" w:ascii="仿宋_GB2312" w:hAnsi="仿宋" w:eastAsia="仿宋_GB2312" w:cs="Times New Roman"/>
          <w:sz w:val="32"/>
          <w:szCs w:val="32"/>
          <w:lang w:eastAsia="zh-CN"/>
        </w:rPr>
        <w:t>该项目</w:t>
      </w:r>
      <w:r>
        <w:rPr>
          <w:rFonts w:hint="eastAsia" w:ascii="仿宋_GB2312" w:hAnsi="仿宋" w:eastAsia="仿宋_GB2312" w:cs="Times New Roman"/>
          <w:sz w:val="32"/>
          <w:szCs w:val="32"/>
        </w:rPr>
        <w:t>总占地面积约5</w:t>
      </w:r>
      <w:r>
        <w:rPr>
          <w:rFonts w:hint="eastAsia" w:ascii="仿宋_GB2312" w:hAnsi="仿宋" w:eastAsia="仿宋_GB2312" w:cs="Times New Roman"/>
          <w:sz w:val="32"/>
          <w:szCs w:val="32"/>
          <w:lang w:val="en-US" w:eastAsia="zh-CN"/>
        </w:rPr>
        <w:t>70</w:t>
      </w:r>
      <w:r>
        <w:rPr>
          <w:rFonts w:hint="eastAsia" w:ascii="仿宋_GB2312" w:hAnsi="仿宋" w:eastAsia="仿宋_GB2312" w:cs="Times New Roman"/>
          <w:sz w:val="32"/>
          <w:szCs w:val="32"/>
        </w:rPr>
        <w:t>亩</w:t>
      </w:r>
      <w:r>
        <w:rPr>
          <w:rFonts w:hint="eastAsia" w:ascii="仿宋_GB2312" w:hAnsi="仿宋" w:eastAsia="仿宋_GB2312" w:cs="Times New Roman"/>
          <w:sz w:val="32"/>
          <w:szCs w:val="32"/>
          <w:lang w:eastAsia="zh-CN"/>
        </w:rPr>
        <w:t>，</w:t>
      </w:r>
      <w:r>
        <w:rPr>
          <w:rFonts w:hint="eastAsia" w:ascii="仿宋_GB2312" w:hAnsi="仿宋" w:eastAsia="仿宋_GB2312" w:cs="Times New Roman"/>
          <w:sz w:val="32"/>
          <w:szCs w:val="32"/>
        </w:rPr>
        <w:t>主要建设内容</w:t>
      </w:r>
      <w:r>
        <w:rPr>
          <w:rFonts w:hint="eastAsia" w:ascii="仿宋_GB2312" w:hAnsi="仿宋" w:eastAsia="仿宋_GB2312" w:cs="Times New Roman"/>
          <w:sz w:val="32"/>
          <w:szCs w:val="32"/>
          <w:lang w:eastAsia="zh-CN"/>
        </w:rPr>
        <w:t>为</w:t>
      </w:r>
      <w:r>
        <w:rPr>
          <w:rFonts w:hint="eastAsia" w:ascii="仿宋_GB2312" w:hAnsi="仿宋" w:eastAsia="仿宋_GB2312" w:cs="Times New Roman"/>
          <w:sz w:val="32"/>
          <w:szCs w:val="32"/>
        </w:rPr>
        <w:t>弃土填埋场、拦渣坝、排水沟、盲沟、截洪沟及管理用房、照明、监控等配套设施。项目估算总投资16479万元，</w:t>
      </w:r>
      <w:r>
        <w:rPr>
          <w:rFonts w:hint="eastAsia" w:ascii="仿宋_GB2312" w:hAnsi="仿宋" w:eastAsia="仿宋_GB2312" w:cs="Times New Roman"/>
          <w:sz w:val="32"/>
          <w:szCs w:val="32"/>
          <w:lang w:eastAsia="zh-CN"/>
        </w:rPr>
        <w:t>预计收纳弃土</w:t>
      </w:r>
      <w:r>
        <w:rPr>
          <w:rFonts w:hint="eastAsia" w:ascii="仿宋_GB2312" w:hAnsi="仿宋" w:eastAsia="仿宋_GB2312" w:cs="Times New Roman"/>
          <w:sz w:val="32"/>
          <w:szCs w:val="32"/>
          <w:lang w:val="en-US" w:eastAsia="zh-CN"/>
        </w:rPr>
        <w:t>700万立方米。</w:t>
      </w:r>
    </w:p>
    <w:p w14:paraId="67AE105D">
      <w:pPr>
        <w:keepNext w:val="0"/>
        <w:keepLines w:val="0"/>
        <w:pageBreakBefore w:val="0"/>
        <w:numPr>
          <w:ilvl w:val="0"/>
          <w:numId w:val="0"/>
        </w:numPr>
        <w:kinsoku/>
        <w:wordWrap/>
        <w:overflowPunct/>
        <w:topLinePunct w:val="0"/>
        <w:autoSpaceDE/>
        <w:autoSpaceDN/>
        <w:bidi w:val="0"/>
        <w:adjustRightInd w:val="0"/>
        <w:snapToGrid w:val="0"/>
        <w:spacing w:line="540" w:lineRule="exact"/>
        <w:ind w:left="0" w:leftChars="0" w:firstLine="643" w:firstLineChars="200"/>
        <w:textAlignment w:val="auto"/>
        <w:rPr>
          <w:rFonts w:hint="eastAsia" w:ascii="仿宋_GB2312" w:hAnsi="仿宋" w:eastAsia="仿宋_GB2312" w:cs="Times New Roman"/>
          <w:sz w:val="32"/>
          <w:szCs w:val="32"/>
          <w:lang w:val="zh-CN"/>
        </w:rPr>
      </w:pPr>
      <w:r>
        <w:rPr>
          <w:rFonts w:hint="eastAsia" w:ascii="楷体_GB2312" w:hAnsi="宋体" w:eastAsia="楷体_GB2312" w:cs="Times New Roman"/>
          <w:b/>
          <w:bCs w:val="0"/>
          <w:color w:val="auto"/>
          <w:sz w:val="32"/>
          <w:szCs w:val="32"/>
          <w:highlight w:val="none"/>
          <w:u w:val="none"/>
          <w:lang w:val="zh-CN" w:eastAsia="zh-CN"/>
        </w:rPr>
        <w:t>（二）</w:t>
      </w:r>
      <w:r>
        <w:rPr>
          <w:rFonts w:hint="default" w:ascii="楷体_GB2312" w:hAnsi="宋体" w:eastAsia="楷体_GB2312" w:cs="Times New Roman"/>
          <w:b/>
          <w:bCs w:val="0"/>
          <w:color w:val="auto"/>
          <w:sz w:val="32"/>
          <w:szCs w:val="32"/>
          <w:highlight w:val="none"/>
          <w:u w:val="none"/>
          <w:lang w:val="en-US" w:eastAsia="zh-CN"/>
        </w:rPr>
        <w:t>实施目的及支持方向</w:t>
      </w:r>
      <w:r>
        <w:rPr>
          <w:rFonts w:hint="eastAsia" w:ascii="楷体_GB2312" w:hAnsi="宋体" w:eastAsia="楷体_GB2312" w:cs="Times New Roman"/>
          <w:b/>
          <w:bCs w:val="0"/>
          <w:color w:val="auto"/>
          <w:sz w:val="32"/>
          <w:szCs w:val="32"/>
          <w:highlight w:val="none"/>
          <w:u w:val="none"/>
          <w:lang w:val="en-US" w:eastAsia="zh-CN"/>
        </w:rPr>
        <w:t>。</w:t>
      </w:r>
      <w:r>
        <w:rPr>
          <w:rFonts w:hint="eastAsia" w:ascii="仿宋_GB2312" w:hAnsi="仿宋" w:eastAsia="仿宋_GB2312" w:cs="Times New Roman"/>
          <w:sz w:val="32"/>
          <w:szCs w:val="32"/>
        </w:rPr>
        <w:t>根据市人民政府《研究市城区弃土场建设有关问题的纪要》（广府阅〔2015〕44号）及市人民政府办公室《关于进一步加强市城区弃土场建设管理的通知》（广府办函〔2015〕107号）</w:t>
      </w:r>
      <w:r>
        <w:rPr>
          <w:rFonts w:hint="eastAsia" w:ascii="仿宋_GB2312" w:hAnsi="仿宋" w:eastAsia="仿宋_GB2312" w:cs="Times New Roman"/>
          <w:sz w:val="32"/>
          <w:szCs w:val="32"/>
          <w:lang w:eastAsia="zh-CN"/>
        </w:rPr>
        <w:t>等</w:t>
      </w:r>
      <w:r>
        <w:rPr>
          <w:rFonts w:hint="eastAsia" w:ascii="仿宋_GB2312" w:hAnsi="仿宋" w:eastAsia="仿宋_GB2312" w:cs="Times New Roman"/>
          <w:sz w:val="32"/>
          <w:szCs w:val="32"/>
          <w:lang w:val="en-US" w:eastAsia="zh-CN"/>
        </w:rPr>
        <w:t>文件精神，在市城区南边选址新建一座弃土场收纳弃土</w:t>
      </w:r>
      <w:r>
        <w:rPr>
          <w:rFonts w:hint="eastAsia" w:ascii="仿宋_GB2312" w:hAnsi="仿宋" w:eastAsia="仿宋_GB2312" w:cs="Times New Roman"/>
          <w:sz w:val="32"/>
          <w:szCs w:val="32"/>
        </w:rPr>
        <w:t>。</w:t>
      </w:r>
      <w:r>
        <w:rPr>
          <w:rFonts w:hint="eastAsia" w:ascii="仿宋_GB2312" w:hAnsi="仿宋" w:eastAsia="仿宋_GB2312" w:cs="Times New Roman"/>
          <w:sz w:val="32"/>
          <w:szCs w:val="32"/>
          <w:lang w:eastAsia="zh-CN"/>
        </w:rPr>
        <w:t>该项目符合中央决策部署，符合省委、省政府的重点任务要求、发展规划。该立项无可替代性，预期产出能满足需求，具有现实需求。经济、社会、环境或可持续性效益明显，受益人明确，为市城区在建项目弃土单位。</w:t>
      </w:r>
    </w:p>
    <w:p w14:paraId="198C45ED">
      <w:pPr>
        <w:keepNext w:val="0"/>
        <w:keepLines w:val="0"/>
        <w:pageBreakBefore w:val="0"/>
        <w:numPr>
          <w:ilvl w:val="0"/>
          <w:numId w:val="0"/>
        </w:numPr>
        <w:kinsoku/>
        <w:wordWrap/>
        <w:overflowPunct/>
        <w:topLinePunct w:val="0"/>
        <w:autoSpaceDE/>
        <w:autoSpaceDN/>
        <w:bidi w:val="0"/>
        <w:spacing w:line="540" w:lineRule="exact"/>
        <w:ind w:firstLine="643" w:firstLineChars="200"/>
        <w:textAlignment w:val="auto"/>
        <w:rPr>
          <w:rFonts w:hint="eastAsia" w:ascii="楷体_GB2312" w:hAnsi="宋体" w:eastAsia="楷体_GB2312" w:cs="Times New Roman"/>
          <w:b/>
          <w:bCs w:val="0"/>
          <w:color w:val="auto"/>
          <w:sz w:val="32"/>
          <w:szCs w:val="32"/>
          <w:highlight w:val="none"/>
          <w:u w:val="none"/>
          <w:lang w:val="zh-CN" w:eastAsia="zh-CN"/>
        </w:rPr>
      </w:pPr>
      <w:r>
        <w:rPr>
          <w:rFonts w:hint="eastAsia" w:ascii="楷体_GB2312" w:hAnsi="宋体" w:eastAsia="楷体_GB2312" w:cs="Times New Roman"/>
          <w:b/>
          <w:bCs w:val="0"/>
          <w:color w:val="auto"/>
          <w:sz w:val="32"/>
          <w:szCs w:val="32"/>
          <w:highlight w:val="none"/>
          <w:u w:val="none"/>
          <w:lang w:val="zh-CN" w:eastAsia="zh-CN"/>
        </w:rPr>
        <w:t>（三）</w:t>
      </w:r>
      <w:r>
        <w:rPr>
          <w:rFonts w:hint="default" w:ascii="楷体_GB2312" w:hAnsi="宋体" w:eastAsia="楷体_GB2312" w:cs="Times New Roman"/>
          <w:b/>
          <w:bCs w:val="0"/>
          <w:color w:val="auto"/>
          <w:sz w:val="32"/>
          <w:szCs w:val="32"/>
          <w:highlight w:val="none"/>
          <w:u w:val="none"/>
          <w:lang w:val="en-US" w:eastAsia="zh-CN"/>
        </w:rPr>
        <w:t>预算安排及分配管理</w:t>
      </w:r>
      <w:r>
        <w:rPr>
          <w:rFonts w:hint="eastAsia" w:ascii="楷体_GB2312" w:hAnsi="宋体" w:eastAsia="楷体_GB2312" w:cs="Times New Roman"/>
          <w:b/>
          <w:bCs w:val="0"/>
          <w:color w:val="auto"/>
          <w:sz w:val="32"/>
          <w:szCs w:val="32"/>
          <w:highlight w:val="none"/>
          <w:u w:val="none"/>
          <w:lang w:val="zh-CN" w:eastAsia="zh-CN"/>
        </w:rPr>
        <w:t>。</w:t>
      </w:r>
    </w:p>
    <w:p w14:paraId="0B9A94CB">
      <w:pPr>
        <w:keepNext w:val="0"/>
        <w:keepLines w:val="0"/>
        <w:pageBreakBefore w:val="0"/>
        <w:numPr>
          <w:ilvl w:val="0"/>
          <w:numId w:val="0"/>
        </w:numPr>
        <w:kinsoku/>
        <w:wordWrap/>
        <w:overflowPunct/>
        <w:topLinePunct w:val="0"/>
        <w:autoSpaceDE/>
        <w:autoSpaceDN/>
        <w:bidi w:val="0"/>
        <w:adjustRightInd w:val="0"/>
        <w:snapToGrid w:val="0"/>
        <w:spacing w:line="540" w:lineRule="exact"/>
        <w:ind w:left="0" w:leftChars="0" w:firstLine="640" w:firstLineChars="200"/>
        <w:textAlignment w:val="auto"/>
        <w:rPr>
          <w:rFonts w:hint="eastAsia" w:ascii="仿宋_GB2312" w:hAnsi="仿宋" w:eastAsia="仿宋_GB2312" w:cs="Times New Roman"/>
          <w:sz w:val="32"/>
          <w:szCs w:val="32"/>
          <w:lang w:val="en-US" w:eastAsia="zh-CN"/>
        </w:rPr>
      </w:pPr>
      <w:r>
        <w:rPr>
          <w:rFonts w:hint="eastAsia" w:ascii="仿宋_GB2312" w:hAnsi="仿宋" w:eastAsia="仿宋_GB2312" w:cs="Times New Roman"/>
          <w:sz w:val="32"/>
          <w:szCs w:val="32"/>
          <w:lang w:val="en-US" w:eastAsia="zh-CN"/>
        </w:rPr>
        <w:t>根据《2017年市国土城建会商会第2次会议纪要》（广府阅〔2017〕 18号）会议议定:市城区弃土场建筑垃圾消纳场项目由广元国成投资有限公司作业主，加快推进建设。万龙路元山弃土场一期，项目纳入市本级基建项目，2018年起分年度安排预算，按政府投资工程相关程序规范操作。2023年7月财政下达我局资金500万元，用于完成支付元山弃土场及配套工程相关费用，同年8月我局支付市国成公司500万元。</w:t>
      </w:r>
    </w:p>
    <w:p w14:paraId="2B272B2F">
      <w:pPr>
        <w:keepNext w:val="0"/>
        <w:keepLines w:val="0"/>
        <w:pageBreakBefore w:val="0"/>
        <w:widowControl w:val="0"/>
        <w:kinsoku/>
        <w:wordWrap/>
        <w:overflowPunct/>
        <w:topLinePunct w:val="0"/>
        <w:autoSpaceDE/>
        <w:autoSpaceDN/>
        <w:bidi w:val="0"/>
        <w:adjustRightInd w:val="0"/>
        <w:snapToGrid w:val="0"/>
        <w:spacing w:line="540" w:lineRule="exact"/>
        <w:ind w:firstLine="643" w:firstLineChars="200"/>
        <w:textAlignment w:val="auto"/>
        <w:rPr>
          <w:rFonts w:hint="eastAsia" w:ascii="仿宋_GB2312" w:hAnsi="仿宋" w:eastAsia="仿宋_GB2312" w:cs="Times New Roman"/>
          <w:sz w:val="32"/>
          <w:szCs w:val="32"/>
          <w:lang w:eastAsia="zh-CN"/>
        </w:rPr>
      </w:pPr>
      <w:r>
        <w:rPr>
          <w:rFonts w:hint="eastAsia" w:ascii="楷体_GB2312" w:hAnsi="宋体" w:eastAsia="楷体_GB2312" w:cs="Times New Roman"/>
          <w:b/>
          <w:bCs w:val="0"/>
          <w:color w:val="auto"/>
          <w:sz w:val="32"/>
          <w:szCs w:val="32"/>
          <w:highlight w:val="none"/>
          <w:u w:val="none"/>
          <w:lang w:val="zh-CN" w:eastAsia="zh-CN"/>
        </w:rPr>
        <w:t>（四）项目绩效目标设置。</w:t>
      </w:r>
      <w:r>
        <w:rPr>
          <w:rFonts w:hint="eastAsia" w:ascii="仿宋_GB2312" w:hAnsi="仿宋" w:eastAsia="仿宋_GB2312" w:cs="Times New Roman"/>
          <w:sz w:val="32"/>
          <w:szCs w:val="32"/>
        </w:rPr>
        <w:t>绩效目标和绩效指标可量化考核</w:t>
      </w:r>
      <w:r>
        <w:rPr>
          <w:rFonts w:hint="eastAsia" w:ascii="仿宋_GB2312" w:hAnsi="仿宋" w:eastAsia="仿宋_GB2312" w:cs="Times New Roman"/>
          <w:sz w:val="32"/>
          <w:szCs w:val="32"/>
          <w:lang w:eastAsia="zh-CN"/>
        </w:rPr>
        <w:t>，与规划部门的长期规划目标、年度工作目标相一致。绩效指标细化、量化，绩效目标和绩效指标契合政策或项目实质，产出和效果相关联。可对满意度指标进行量化预测，绩效目标具有一定的前瞻性和挑战性，绩效目标和绩效指标相匹配，</w:t>
      </w:r>
      <w:r>
        <w:rPr>
          <w:rFonts w:hint="eastAsia" w:ascii="仿宋_GB2312" w:hAnsi="仿宋" w:eastAsia="仿宋_GB2312" w:cs="Times New Roman"/>
          <w:sz w:val="32"/>
          <w:szCs w:val="32"/>
        </w:rPr>
        <w:t>全面完整，契合项目实质</w:t>
      </w:r>
      <w:r>
        <w:rPr>
          <w:rFonts w:hint="eastAsia" w:ascii="仿宋_GB2312" w:hAnsi="仿宋" w:eastAsia="仿宋_GB2312" w:cs="Times New Roman"/>
          <w:sz w:val="32"/>
          <w:szCs w:val="32"/>
          <w:lang w:eastAsia="zh-CN"/>
        </w:rPr>
        <w:t>。</w:t>
      </w:r>
    </w:p>
    <w:p w14:paraId="3CE708F2">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黑体" w:hAnsi="宋体" w:eastAsia="黑体" w:cs="Times New Roman"/>
          <w:sz w:val="32"/>
          <w:szCs w:val="32"/>
          <w:highlight w:val="none"/>
          <w:lang w:eastAsia="zh-CN"/>
        </w:rPr>
      </w:pPr>
      <w:r>
        <w:rPr>
          <w:rFonts w:hint="eastAsia" w:ascii="黑体" w:hAnsi="宋体" w:eastAsia="黑体" w:cs="Times New Roman"/>
          <w:sz w:val="32"/>
          <w:szCs w:val="32"/>
          <w:highlight w:val="none"/>
        </w:rPr>
        <w:t>二、</w:t>
      </w:r>
      <w:r>
        <w:rPr>
          <w:rFonts w:hint="eastAsia" w:ascii="黑体" w:hAnsi="宋体" w:eastAsia="黑体" w:cs="Times New Roman"/>
          <w:sz w:val="32"/>
          <w:szCs w:val="32"/>
          <w:highlight w:val="none"/>
          <w:lang w:eastAsia="zh-CN"/>
        </w:rPr>
        <w:t>评价实施</w:t>
      </w:r>
    </w:p>
    <w:p w14:paraId="380020D0">
      <w:pPr>
        <w:keepNext w:val="0"/>
        <w:keepLines w:val="0"/>
        <w:pageBreakBefore w:val="0"/>
        <w:widowControl w:val="0"/>
        <w:kinsoku/>
        <w:wordWrap/>
        <w:overflowPunct/>
        <w:topLinePunct w:val="0"/>
        <w:autoSpaceDE/>
        <w:autoSpaceDN/>
        <w:bidi w:val="0"/>
        <w:spacing w:line="540" w:lineRule="exact"/>
        <w:ind w:firstLine="640"/>
        <w:textAlignment w:val="auto"/>
        <w:outlineLvl w:val="9"/>
        <w:rPr>
          <w:rFonts w:hint="eastAsia" w:ascii="仿宋_GB2312" w:hAnsi="仿宋" w:eastAsia="仿宋_GB2312" w:cs="Times New Roman"/>
          <w:sz w:val="32"/>
          <w:szCs w:val="32"/>
        </w:rPr>
      </w:pPr>
      <w:r>
        <w:rPr>
          <w:rFonts w:hint="eastAsia" w:ascii="楷体_GB2312" w:hAnsi="宋体" w:eastAsia="楷体_GB2312" w:cs="Times New Roman"/>
          <w:b/>
          <w:bCs w:val="0"/>
          <w:color w:val="auto"/>
          <w:sz w:val="32"/>
          <w:szCs w:val="32"/>
          <w:highlight w:val="none"/>
          <w:u w:val="none"/>
          <w:lang w:val="zh-CN"/>
        </w:rPr>
        <w:t>（一）评价目的。</w:t>
      </w:r>
      <w:r>
        <w:rPr>
          <w:rFonts w:hint="eastAsia" w:ascii="仿宋_GB2312" w:hAnsi="Times New Roman" w:eastAsia="仿宋_GB2312" w:cs="Times New Roman"/>
          <w:kern w:val="2"/>
          <w:sz w:val="32"/>
          <w:szCs w:val="32"/>
          <w:highlight w:val="none"/>
          <w:lang w:val="en-US" w:eastAsia="zh-CN" w:bidi="ar-SA"/>
        </w:rPr>
        <w:t>通</w:t>
      </w:r>
      <w:r>
        <w:rPr>
          <w:rFonts w:hint="eastAsia" w:ascii="仿宋_GB2312" w:hAnsi="仿宋" w:eastAsia="仿宋_GB2312" w:cs="Times New Roman"/>
          <w:sz w:val="32"/>
          <w:szCs w:val="32"/>
          <w:lang w:val="en-US" w:eastAsia="zh-CN"/>
        </w:rPr>
        <w:t>过绩效评价，一是对项目预算及资金使用方案的合理性和有效性进行优化，去除不合理的预算项目。二是详细掌握资金使用情况，提高预算执行力。三是促进预算管理的公开化透明化</w:t>
      </w:r>
      <w:r>
        <w:rPr>
          <w:rFonts w:hint="eastAsia" w:ascii="仿宋_GB2312" w:hAnsi="仿宋" w:eastAsia="仿宋_GB2312" w:cs="Times New Roman"/>
          <w:sz w:val="32"/>
          <w:szCs w:val="32"/>
          <w:lang w:eastAsia="zh-CN"/>
        </w:rPr>
        <w:t>。</w:t>
      </w:r>
    </w:p>
    <w:p w14:paraId="747E5078">
      <w:pPr>
        <w:keepNext w:val="0"/>
        <w:keepLines w:val="0"/>
        <w:pageBreakBefore w:val="0"/>
        <w:numPr>
          <w:ilvl w:val="0"/>
          <w:numId w:val="0"/>
        </w:numPr>
        <w:kinsoku/>
        <w:wordWrap/>
        <w:overflowPunct/>
        <w:topLinePunct w:val="0"/>
        <w:autoSpaceDE/>
        <w:autoSpaceDN/>
        <w:bidi w:val="0"/>
        <w:spacing w:line="540" w:lineRule="exact"/>
        <w:ind w:firstLine="643" w:firstLineChars="200"/>
        <w:textAlignment w:val="auto"/>
        <w:rPr>
          <w:rFonts w:hint="eastAsia" w:ascii="楷体_GB2312" w:hAnsi="宋体" w:eastAsia="楷体_GB2312" w:cs="Times New Roman"/>
          <w:b/>
          <w:bCs w:val="0"/>
          <w:color w:val="auto"/>
          <w:sz w:val="32"/>
          <w:szCs w:val="32"/>
          <w:highlight w:val="none"/>
          <w:u w:val="none"/>
          <w:lang w:val="zh-CN"/>
        </w:rPr>
      </w:pPr>
      <w:r>
        <w:rPr>
          <w:rFonts w:hint="eastAsia" w:ascii="楷体_GB2312" w:hAnsi="宋体" w:eastAsia="楷体_GB2312" w:cs="Times New Roman"/>
          <w:b/>
          <w:bCs w:val="0"/>
          <w:color w:val="auto"/>
          <w:sz w:val="32"/>
          <w:szCs w:val="32"/>
          <w:highlight w:val="none"/>
          <w:u w:val="none"/>
          <w:lang w:val="zh-CN"/>
        </w:rPr>
        <w:t>（二）预设问题及评价重点。</w:t>
      </w:r>
    </w:p>
    <w:p w14:paraId="1F05B260">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640" w:firstLineChars="200"/>
        <w:textAlignment w:val="auto"/>
        <w:outlineLvl w:val="9"/>
        <w:rPr>
          <w:rFonts w:hint="eastAsia" w:ascii="仿宋_GB2312" w:hAnsi="仿宋" w:eastAsia="仿宋_GB2312" w:cs="Times New Roman"/>
          <w:sz w:val="32"/>
          <w:szCs w:val="32"/>
          <w:lang w:eastAsia="zh-CN"/>
        </w:rPr>
      </w:pPr>
      <w:r>
        <w:rPr>
          <w:rFonts w:hint="eastAsia" w:ascii="仿宋_GB2312" w:hAnsi="仿宋" w:eastAsia="仿宋_GB2312" w:cs="Times New Roman"/>
          <w:sz w:val="32"/>
          <w:szCs w:val="32"/>
          <w:lang w:val="en-US" w:eastAsia="zh-CN"/>
        </w:rPr>
        <w:t>按照绩效评价指标体系体系</w:t>
      </w:r>
      <w:r>
        <w:rPr>
          <w:rFonts w:hint="eastAsia" w:ascii="仿宋_GB2312" w:hAnsi="仿宋" w:eastAsia="仿宋_GB2312" w:cs="Times New Roman"/>
          <w:sz w:val="32"/>
          <w:szCs w:val="32"/>
          <w:lang w:val="zh-CN"/>
        </w:rPr>
        <w:t>，</w:t>
      </w:r>
      <w:r>
        <w:rPr>
          <w:rFonts w:hint="eastAsia" w:ascii="仿宋_GB2312" w:hAnsi="仿宋" w:eastAsia="仿宋_GB2312" w:cs="Times New Roman"/>
          <w:sz w:val="32"/>
          <w:szCs w:val="32"/>
          <w:lang w:val="en-US" w:eastAsia="zh-CN"/>
        </w:rPr>
        <w:t>该项目</w:t>
      </w:r>
      <w:r>
        <w:rPr>
          <w:rFonts w:hint="eastAsia" w:ascii="仿宋_GB2312" w:hAnsi="仿宋" w:eastAsia="仿宋_GB2312" w:cs="Times New Roman"/>
          <w:sz w:val="32"/>
          <w:szCs w:val="32"/>
          <w:lang w:eastAsia="zh-CN"/>
        </w:rPr>
        <w:t>经费使用应符合相关财务法规和政策，</w:t>
      </w:r>
      <w:r>
        <w:rPr>
          <w:rFonts w:hint="eastAsia" w:ascii="仿宋_GB2312" w:hAnsi="仿宋" w:eastAsia="仿宋_GB2312" w:cs="Times New Roman"/>
          <w:sz w:val="32"/>
          <w:szCs w:val="32"/>
          <w:lang w:val="en-US" w:eastAsia="zh-CN"/>
        </w:rPr>
        <w:t>按照合同约定和项目进度进行支付，做到专款专用，</w:t>
      </w:r>
      <w:r>
        <w:rPr>
          <w:rFonts w:hint="eastAsia" w:ascii="仿宋_GB2312" w:hAnsi="仿宋" w:eastAsia="仿宋_GB2312" w:cs="Times New Roman"/>
          <w:sz w:val="32"/>
          <w:szCs w:val="32"/>
          <w:lang w:eastAsia="zh-CN"/>
        </w:rPr>
        <w:t>确保资金使用的合法合规，避免违规行为发生。按照时间节点和实际情况开支，做到专款专用。</w:t>
      </w:r>
    </w:p>
    <w:p w14:paraId="4B2B295E">
      <w:pPr>
        <w:keepNext w:val="0"/>
        <w:keepLines w:val="0"/>
        <w:pageBreakBefore w:val="0"/>
        <w:kinsoku/>
        <w:wordWrap/>
        <w:overflowPunct/>
        <w:topLinePunct w:val="0"/>
        <w:autoSpaceDE/>
        <w:autoSpaceDN/>
        <w:bidi w:val="0"/>
        <w:adjustRightInd w:val="0"/>
        <w:snapToGrid w:val="0"/>
        <w:spacing w:line="540" w:lineRule="exact"/>
        <w:ind w:firstLine="643" w:firstLineChars="200"/>
        <w:textAlignment w:val="auto"/>
        <w:rPr>
          <w:rFonts w:hint="eastAsia" w:ascii="仿宋_GB2312" w:hAnsi="仿宋" w:eastAsia="仿宋_GB2312" w:cs="Times New Roman"/>
          <w:sz w:val="32"/>
          <w:szCs w:val="32"/>
        </w:rPr>
      </w:pPr>
      <w:r>
        <w:rPr>
          <w:rFonts w:hint="eastAsia" w:ascii="楷体_GB2312" w:hAnsi="宋体" w:eastAsia="楷体_GB2312" w:cs="Times New Roman"/>
          <w:b/>
          <w:bCs w:val="0"/>
          <w:color w:val="auto"/>
          <w:sz w:val="32"/>
          <w:szCs w:val="32"/>
          <w:highlight w:val="none"/>
          <w:u w:val="none"/>
          <w:lang w:val="zh-CN"/>
        </w:rPr>
        <w:t>（三）评价选点。</w:t>
      </w:r>
      <w:r>
        <w:rPr>
          <w:rFonts w:hint="eastAsia" w:ascii="仿宋_GB2312" w:hAnsi="仿宋" w:eastAsia="仿宋_GB2312" w:cs="Times New Roman"/>
          <w:sz w:val="32"/>
          <w:szCs w:val="32"/>
        </w:rPr>
        <w:t>年末通过数量指标、质量指标及产生的社会效益和政府满意度来自评项目绩效完成情况。</w:t>
      </w:r>
    </w:p>
    <w:p w14:paraId="4DB4933D">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420" w:firstLineChars="200"/>
        <w:textAlignment w:val="auto"/>
        <w:outlineLvl w:val="9"/>
        <w:rPr>
          <w:rFonts w:hint="eastAsia" w:cs="Times New Roman"/>
          <w:szCs w:val="32"/>
          <w:lang w:val="zh-CN" w:eastAsia="zh-CN"/>
        </w:rPr>
      </w:pPr>
    </w:p>
    <w:p w14:paraId="6E51A9B8">
      <w:pPr>
        <w:keepNext w:val="0"/>
        <w:keepLines w:val="0"/>
        <w:pageBreakBefore w:val="0"/>
        <w:numPr>
          <w:ilvl w:val="0"/>
          <w:numId w:val="0"/>
        </w:numPr>
        <w:kinsoku/>
        <w:wordWrap/>
        <w:overflowPunct/>
        <w:topLinePunct w:val="0"/>
        <w:autoSpaceDE/>
        <w:autoSpaceDN/>
        <w:bidi w:val="0"/>
        <w:spacing w:line="540" w:lineRule="exact"/>
        <w:ind w:firstLine="643" w:firstLineChars="200"/>
        <w:textAlignment w:val="auto"/>
        <w:rPr>
          <w:rFonts w:hint="eastAsia" w:ascii="仿宋_GB2312" w:hAnsi="仿宋" w:eastAsia="仿宋_GB2312" w:cs="Times New Roman"/>
          <w:sz w:val="32"/>
          <w:szCs w:val="32"/>
          <w:lang w:val="en-US" w:eastAsia="zh-CN"/>
        </w:rPr>
      </w:pPr>
      <w:r>
        <w:rPr>
          <w:rFonts w:hint="eastAsia" w:ascii="楷体_GB2312" w:hAnsi="宋体" w:eastAsia="楷体_GB2312" w:cs="Times New Roman"/>
          <w:b/>
          <w:bCs w:val="0"/>
          <w:color w:val="auto"/>
          <w:sz w:val="32"/>
          <w:szCs w:val="32"/>
          <w:highlight w:val="none"/>
          <w:u w:val="none"/>
          <w:lang w:val="zh-CN"/>
        </w:rPr>
        <w:t>（四）评价方法。</w:t>
      </w:r>
      <w:r>
        <w:rPr>
          <w:rFonts w:hint="eastAsia" w:ascii="仿宋_GB2312" w:hAnsi="仿宋" w:eastAsia="仿宋_GB2312" w:cs="Times New Roman"/>
          <w:sz w:val="32"/>
          <w:szCs w:val="32"/>
        </w:rPr>
        <w:t>采用单位自评法</w:t>
      </w:r>
      <w:r>
        <w:rPr>
          <w:rFonts w:hint="eastAsia" w:ascii="仿宋_GB2312" w:hAnsi="仿宋" w:eastAsia="仿宋_GB2312" w:cs="Times New Roman"/>
          <w:sz w:val="32"/>
          <w:szCs w:val="32"/>
          <w:lang w:val="en-US" w:eastAsia="zh-CN"/>
        </w:rPr>
        <w:t>.</w:t>
      </w:r>
    </w:p>
    <w:p w14:paraId="7721B438">
      <w:pPr>
        <w:keepNext w:val="0"/>
        <w:keepLines w:val="0"/>
        <w:pageBreakBefore w:val="0"/>
        <w:widowControl w:val="0"/>
        <w:numPr>
          <w:ilvl w:val="0"/>
          <w:numId w:val="0"/>
        </w:numPr>
        <w:kinsoku/>
        <w:wordWrap/>
        <w:overflowPunct/>
        <w:topLinePunct w:val="0"/>
        <w:autoSpaceDE/>
        <w:autoSpaceDN/>
        <w:bidi w:val="0"/>
        <w:adjustRightInd w:val="0"/>
        <w:snapToGrid w:val="0"/>
        <w:spacing w:line="540" w:lineRule="exact"/>
        <w:ind w:firstLine="643" w:firstLineChars="200"/>
        <w:contextualSpacing/>
        <w:jc w:val="both"/>
        <w:textAlignment w:val="auto"/>
        <w:rPr>
          <w:rFonts w:hint="eastAsia" w:ascii="仿宋_GB2312"/>
          <w:b w:val="0"/>
          <w:bCs w:val="0"/>
          <w:sz w:val="32"/>
          <w:szCs w:val="32"/>
          <w:highlight w:val="none"/>
          <w:lang w:val="en-US" w:eastAsia="zh-CN"/>
        </w:rPr>
      </w:pPr>
      <w:r>
        <w:rPr>
          <w:rFonts w:hint="eastAsia" w:ascii="楷体_GB2312" w:hAnsi="宋体" w:eastAsia="楷体_GB2312" w:cs="Times New Roman"/>
          <w:b/>
          <w:bCs w:val="0"/>
          <w:color w:val="auto"/>
          <w:sz w:val="32"/>
          <w:szCs w:val="32"/>
          <w:highlight w:val="none"/>
          <w:u w:val="none"/>
          <w:lang w:val="zh-CN"/>
        </w:rPr>
        <w:t>（五）评价组织。</w:t>
      </w:r>
      <w:r>
        <w:rPr>
          <w:rFonts w:hint="eastAsia" w:ascii="仿宋_GB2312" w:hAnsi="仿宋" w:eastAsia="仿宋_GB2312" w:cs="Times New Roman"/>
          <w:sz w:val="32"/>
          <w:szCs w:val="32"/>
          <w:lang w:val="en-US" w:eastAsia="zh-CN"/>
        </w:rPr>
        <w:t>按照财政资金“谁使用，谁自评”的原则，我单位在收到</w:t>
      </w:r>
      <w:r>
        <w:rPr>
          <w:rFonts w:hint="eastAsia" w:ascii="仿宋_GB2312" w:hAnsi="仿宋" w:eastAsia="仿宋_GB2312" w:cs="Times New Roman"/>
          <w:sz w:val="32"/>
          <w:szCs w:val="32"/>
          <w:lang w:val="zh-CN"/>
        </w:rPr>
        <w:t>自评工作通知后，立即</w:t>
      </w:r>
      <w:r>
        <w:rPr>
          <w:rFonts w:hint="eastAsia" w:ascii="仿宋_GB2312" w:hAnsi="仿宋" w:eastAsia="仿宋_GB2312" w:cs="Times New Roman"/>
          <w:sz w:val="32"/>
          <w:szCs w:val="32"/>
          <w:lang w:val="en-US" w:eastAsia="zh-CN"/>
        </w:rPr>
        <w:t>落实专人负责</w:t>
      </w:r>
      <w:r>
        <w:rPr>
          <w:rFonts w:hint="eastAsia" w:ascii="仿宋_GB2312" w:hAnsi="仿宋" w:eastAsia="仿宋_GB2312" w:cs="Times New Roman"/>
          <w:sz w:val="32"/>
          <w:szCs w:val="32"/>
          <w:lang w:val="zh-CN"/>
        </w:rPr>
        <w:t>，及时</w:t>
      </w:r>
      <w:r>
        <w:rPr>
          <w:rFonts w:hint="eastAsia" w:ascii="仿宋_GB2312" w:hAnsi="仿宋" w:eastAsia="仿宋_GB2312" w:cs="Times New Roman"/>
          <w:sz w:val="32"/>
          <w:szCs w:val="32"/>
          <w:lang w:val="en-US" w:eastAsia="zh-CN"/>
        </w:rPr>
        <w:t>与相关业务科实协调对接</w:t>
      </w:r>
      <w:r>
        <w:rPr>
          <w:rFonts w:hint="eastAsia" w:ascii="仿宋_GB2312" w:hAnsi="仿宋" w:eastAsia="仿宋_GB2312" w:cs="Times New Roman"/>
          <w:sz w:val="32"/>
          <w:szCs w:val="32"/>
          <w:lang w:val="zh-CN"/>
        </w:rPr>
        <w:t>，对项目概况、评价实施、绩效分析、评价结论、存在主要问题、改进建议等进行综合自评，形成自评结果。</w:t>
      </w:r>
    </w:p>
    <w:p w14:paraId="7F639680">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黑体" w:hAnsi="宋体" w:eastAsia="黑体" w:cs="Times New Roman"/>
          <w:sz w:val="32"/>
          <w:szCs w:val="32"/>
          <w:highlight w:val="none"/>
          <w:lang w:val="en-US" w:eastAsia="zh-CN"/>
        </w:rPr>
      </w:pPr>
      <w:r>
        <w:rPr>
          <w:rFonts w:hint="eastAsia" w:ascii="黑体" w:hAnsi="宋体" w:eastAsia="黑体" w:cs="Times New Roman"/>
          <w:sz w:val="32"/>
          <w:szCs w:val="32"/>
          <w:highlight w:val="none"/>
        </w:rPr>
        <w:t>三、</w:t>
      </w:r>
      <w:r>
        <w:rPr>
          <w:rFonts w:hint="eastAsia" w:ascii="黑体" w:hAnsi="宋体" w:eastAsia="黑体" w:cs="Times New Roman"/>
          <w:sz w:val="32"/>
          <w:szCs w:val="32"/>
          <w:highlight w:val="none"/>
          <w:lang w:eastAsia="zh-CN"/>
        </w:rPr>
        <w:t>绩效分析</w:t>
      </w:r>
      <w:r>
        <w:rPr>
          <w:rFonts w:hint="eastAsia" w:ascii="黑体" w:hAnsi="宋体" w:eastAsia="黑体" w:cs="Times New Roman"/>
          <w:sz w:val="32"/>
          <w:szCs w:val="32"/>
          <w:highlight w:val="none"/>
          <w:lang w:val="zh-CN"/>
        </w:rPr>
        <w:tab/>
      </w:r>
    </w:p>
    <w:p w14:paraId="0CA35E4D">
      <w:pPr>
        <w:keepNext w:val="0"/>
        <w:keepLines w:val="0"/>
        <w:pageBreakBefore w:val="0"/>
        <w:numPr>
          <w:ilvl w:val="0"/>
          <w:numId w:val="0"/>
        </w:numPr>
        <w:kinsoku/>
        <w:wordWrap/>
        <w:overflowPunct/>
        <w:topLinePunct w:val="0"/>
        <w:autoSpaceDE/>
        <w:autoSpaceDN/>
        <w:bidi w:val="0"/>
        <w:spacing w:line="540" w:lineRule="exact"/>
        <w:ind w:firstLine="643" w:firstLineChars="200"/>
        <w:textAlignment w:val="auto"/>
        <w:rPr>
          <w:rFonts w:hint="eastAsia" w:ascii="楷体_GB2312" w:hAnsi="宋体" w:eastAsia="楷体_GB2312" w:cs="Times New Roman"/>
          <w:b/>
          <w:bCs w:val="0"/>
          <w:color w:val="auto"/>
          <w:sz w:val="32"/>
          <w:szCs w:val="32"/>
          <w:highlight w:val="none"/>
          <w:u w:val="none"/>
          <w:lang w:val="en-US" w:eastAsia="zh-CN"/>
        </w:rPr>
      </w:pPr>
      <w:r>
        <w:rPr>
          <w:rFonts w:hint="eastAsia" w:ascii="楷体_GB2312" w:hAnsi="宋体" w:eastAsia="楷体_GB2312" w:cs="Times New Roman"/>
          <w:b/>
          <w:bCs w:val="0"/>
          <w:color w:val="auto"/>
          <w:sz w:val="32"/>
          <w:szCs w:val="32"/>
          <w:highlight w:val="none"/>
          <w:u w:val="none"/>
          <w:lang w:val="zh-CN"/>
        </w:rPr>
        <w:t>（一）</w:t>
      </w:r>
      <w:r>
        <w:rPr>
          <w:rFonts w:hint="eastAsia" w:ascii="楷体_GB2312" w:hAnsi="宋体" w:eastAsia="楷体_GB2312" w:cs="Times New Roman"/>
          <w:b/>
          <w:bCs w:val="0"/>
          <w:color w:val="auto"/>
          <w:sz w:val="32"/>
          <w:szCs w:val="32"/>
          <w:highlight w:val="none"/>
          <w:u w:val="none"/>
          <w:lang w:val="en-US" w:eastAsia="zh-CN"/>
        </w:rPr>
        <w:t>通用指标</w:t>
      </w:r>
      <w:r>
        <w:rPr>
          <w:rFonts w:hint="default" w:ascii="楷体_GB2312" w:hAnsi="宋体" w:eastAsia="楷体_GB2312" w:cs="Times New Roman"/>
          <w:b/>
          <w:bCs w:val="0"/>
          <w:color w:val="auto"/>
          <w:sz w:val="32"/>
          <w:szCs w:val="32"/>
          <w:highlight w:val="none"/>
          <w:u w:val="none"/>
          <w:lang w:val="zh-CN"/>
        </w:rPr>
        <w:t>绩效分析。</w:t>
      </w:r>
    </w:p>
    <w:p w14:paraId="6288D3C1">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contextualSpacing/>
        <w:jc w:val="both"/>
        <w:textAlignment w:val="auto"/>
        <w:rPr>
          <w:rFonts w:hint="eastAsia" w:ascii="仿宋_GB2312" w:hAnsi="仿宋" w:eastAsia="仿宋_GB2312" w:cs="Times New Roman"/>
          <w:sz w:val="32"/>
          <w:szCs w:val="32"/>
          <w:lang w:val="zh-CN"/>
        </w:rPr>
      </w:pPr>
      <w:r>
        <w:rPr>
          <w:rFonts w:hint="eastAsia" w:ascii="仿宋_GB2312" w:hAnsi="仿宋" w:eastAsia="仿宋_GB2312" w:cs="Times New Roman"/>
          <w:sz w:val="32"/>
          <w:szCs w:val="32"/>
          <w:lang w:val="en-US" w:eastAsia="zh-CN"/>
        </w:rPr>
        <w:t>1.</w:t>
      </w:r>
      <w:r>
        <w:rPr>
          <w:rFonts w:hint="eastAsia" w:ascii="仿宋_GB2312" w:hAnsi="仿宋" w:eastAsia="仿宋_GB2312" w:cs="Times New Roman"/>
          <w:sz w:val="32"/>
          <w:szCs w:val="32"/>
          <w:lang w:eastAsia="zh-CN"/>
        </w:rPr>
        <w:t>项目决策。</w:t>
      </w:r>
      <w:r>
        <w:rPr>
          <w:rFonts w:hint="eastAsia" w:ascii="仿宋_GB2312" w:hAnsi="仿宋" w:eastAsia="仿宋_GB2312" w:cs="Times New Roman"/>
          <w:sz w:val="32"/>
          <w:szCs w:val="32"/>
          <w:lang w:val="zh-CN"/>
        </w:rPr>
        <w:t>一是贯彻落实中央关于自然资源工作的方针政策和省委、市委决策部署，并按照单位的职能职责，资金预算合规、科学、合理的同时，把预算、绩效和自然资源改革发展工作深度融合。二是履行预算绩效设立审核程序，经集体研究决策后纳入预算。三是细化量化项目绩效目标，编制预算时对科室申报的预算项目进行全面梳理，严把审核关，所有项目必须有明细的资金测算，对审核后的所有项目全部进行入库管理。</w:t>
      </w:r>
    </w:p>
    <w:p w14:paraId="53A73A9B">
      <w:pPr>
        <w:keepNext w:val="0"/>
        <w:keepLines w:val="0"/>
        <w:pageBreakBefore w:val="0"/>
        <w:numPr>
          <w:ilvl w:val="0"/>
          <w:numId w:val="0"/>
        </w:numPr>
        <w:kinsoku/>
        <w:wordWrap/>
        <w:overflowPunct/>
        <w:topLinePunct w:val="0"/>
        <w:autoSpaceDE/>
        <w:autoSpaceDN/>
        <w:bidi w:val="0"/>
        <w:adjustRightInd w:val="0"/>
        <w:snapToGrid w:val="0"/>
        <w:spacing w:line="540" w:lineRule="exact"/>
        <w:ind w:left="0" w:leftChars="0" w:firstLine="640" w:firstLineChars="200"/>
        <w:textAlignment w:val="auto"/>
        <w:rPr>
          <w:rFonts w:hint="eastAsia" w:ascii="仿宋_GB2312" w:hAnsi="仿宋" w:eastAsia="仿宋_GB2312" w:cs="Times New Roman"/>
          <w:sz w:val="32"/>
          <w:szCs w:val="32"/>
          <w:lang w:val="en-US" w:eastAsia="zh-CN"/>
        </w:rPr>
      </w:pPr>
      <w:r>
        <w:rPr>
          <w:rFonts w:hint="eastAsia" w:ascii="仿宋_GB2312" w:hAnsi="仿宋" w:eastAsia="仿宋_GB2312" w:cs="Times New Roman"/>
          <w:sz w:val="32"/>
          <w:szCs w:val="32"/>
          <w:lang w:val="en-US" w:eastAsia="zh-CN"/>
        </w:rPr>
        <w:t>2.</w:t>
      </w:r>
      <w:r>
        <w:rPr>
          <w:rFonts w:hint="eastAsia" w:ascii="仿宋_GB2312" w:hAnsi="仿宋" w:eastAsia="仿宋_GB2312" w:cs="Times New Roman"/>
          <w:sz w:val="32"/>
          <w:szCs w:val="32"/>
          <w:lang w:eastAsia="zh-CN"/>
        </w:rPr>
        <w:t>项目管理。</w:t>
      </w:r>
      <w:r>
        <w:rPr>
          <w:rFonts w:hint="eastAsia" w:ascii="仿宋_GB2312" w:hAnsi="仿宋" w:eastAsia="仿宋_GB2312" w:cs="Times New Roman"/>
          <w:sz w:val="32"/>
          <w:szCs w:val="32"/>
          <w:lang w:val="en-US" w:eastAsia="zh-CN"/>
        </w:rPr>
        <w:t>一是</w:t>
      </w:r>
      <w:r>
        <w:rPr>
          <w:rFonts w:hint="eastAsia" w:ascii="仿宋_GB2312" w:hAnsi="仿宋" w:eastAsia="仿宋_GB2312" w:cs="Times New Roman"/>
          <w:sz w:val="32"/>
          <w:szCs w:val="32"/>
          <w:lang w:val="zh-CN"/>
        </w:rPr>
        <w:t>履行</w:t>
      </w:r>
      <w:r>
        <w:rPr>
          <w:rFonts w:hint="eastAsia" w:ascii="仿宋_GB2312" w:hAnsi="仿宋" w:eastAsia="仿宋_GB2312" w:cs="Times New Roman"/>
          <w:sz w:val="32"/>
          <w:szCs w:val="32"/>
          <w:lang w:val="en-US" w:eastAsia="zh-CN"/>
        </w:rPr>
        <w:t>项目</w:t>
      </w:r>
      <w:r>
        <w:rPr>
          <w:rFonts w:hint="eastAsia" w:ascii="仿宋_GB2312" w:hAnsi="仿宋" w:eastAsia="仿宋_GB2312" w:cs="Times New Roman"/>
          <w:sz w:val="32"/>
          <w:szCs w:val="32"/>
          <w:lang w:val="zh-CN"/>
        </w:rPr>
        <w:t>预算绩效设立审核程序，经集体研究决策后纳入</w:t>
      </w:r>
      <w:r>
        <w:rPr>
          <w:rFonts w:hint="eastAsia" w:ascii="仿宋_GB2312" w:hAnsi="仿宋" w:eastAsia="仿宋_GB2312" w:cs="Times New Roman"/>
          <w:sz w:val="32"/>
          <w:szCs w:val="32"/>
          <w:lang w:val="en-US" w:eastAsia="zh-CN"/>
        </w:rPr>
        <w:t>基建</w:t>
      </w:r>
      <w:r>
        <w:rPr>
          <w:rFonts w:hint="eastAsia" w:ascii="仿宋_GB2312" w:hAnsi="仿宋" w:eastAsia="仿宋_GB2312" w:cs="Times New Roman"/>
          <w:sz w:val="32"/>
          <w:szCs w:val="32"/>
          <w:lang w:val="zh-CN"/>
        </w:rPr>
        <w:t>预算。</w:t>
      </w:r>
      <w:r>
        <w:rPr>
          <w:rFonts w:hint="eastAsia" w:ascii="仿宋_GB2312" w:hAnsi="仿宋" w:eastAsia="仿宋_GB2312" w:cs="Times New Roman"/>
          <w:sz w:val="32"/>
          <w:szCs w:val="32"/>
          <w:lang w:val="en-US" w:eastAsia="zh-CN"/>
        </w:rPr>
        <w:t>二</w:t>
      </w:r>
      <w:r>
        <w:rPr>
          <w:rFonts w:hint="eastAsia" w:ascii="仿宋_GB2312" w:hAnsi="仿宋" w:eastAsia="仿宋_GB2312" w:cs="Times New Roman"/>
          <w:sz w:val="32"/>
          <w:szCs w:val="32"/>
          <w:lang w:val="zh-CN"/>
        </w:rPr>
        <w:t>是细化量化项目绩效目标，编制预算时对科室申报的预算项目进行全面梳理，严把审核关，所有项目必须有明细的资金测算，对审核后进行入库管理。</w:t>
      </w:r>
      <w:r>
        <w:rPr>
          <w:rFonts w:hint="eastAsia" w:ascii="仿宋_GB2312" w:hAnsi="仿宋" w:eastAsia="仿宋_GB2312" w:cs="Times New Roman"/>
          <w:sz w:val="32"/>
          <w:szCs w:val="32"/>
          <w:lang w:val="en-US" w:eastAsia="zh-CN"/>
        </w:rPr>
        <w:t>该项目属于过路资金，财政下达资金后，我局严格按照《预算法》《项目资金管理办法》及时支付市国成公司，确保项目按时按质完成。</w:t>
      </w:r>
    </w:p>
    <w:p w14:paraId="55D2288C">
      <w:pPr>
        <w:keepNext w:val="0"/>
        <w:keepLines w:val="0"/>
        <w:pageBreakBefore w:val="0"/>
        <w:numPr>
          <w:ilvl w:val="0"/>
          <w:numId w:val="0"/>
        </w:numPr>
        <w:kinsoku/>
        <w:wordWrap/>
        <w:overflowPunct/>
        <w:topLinePunct w:val="0"/>
        <w:autoSpaceDE/>
        <w:autoSpaceDN/>
        <w:bidi w:val="0"/>
        <w:adjustRightInd w:val="0"/>
        <w:snapToGrid w:val="0"/>
        <w:spacing w:line="540" w:lineRule="exact"/>
        <w:ind w:left="0" w:leftChars="0" w:firstLine="640" w:firstLineChars="200"/>
        <w:textAlignment w:val="auto"/>
        <w:rPr>
          <w:rFonts w:hint="eastAsia" w:ascii="仿宋_GB2312" w:hAnsi="仿宋" w:eastAsia="仿宋_GB2312" w:cs="Times New Roman"/>
          <w:sz w:val="32"/>
          <w:szCs w:val="32"/>
        </w:rPr>
      </w:pPr>
      <w:r>
        <w:rPr>
          <w:rFonts w:hint="eastAsia" w:ascii="仿宋_GB2312" w:hAnsi="仿宋" w:eastAsia="仿宋_GB2312" w:cs="Times New Roman"/>
          <w:sz w:val="32"/>
          <w:szCs w:val="32"/>
          <w:lang w:val="en-US" w:eastAsia="zh-CN"/>
        </w:rPr>
        <w:t>3.项目实施。</w:t>
      </w:r>
      <w:r>
        <w:rPr>
          <w:rFonts w:hint="eastAsia" w:ascii="仿宋_GB2312" w:hAnsi="仿宋" w:eastAsia="仿宋_GB2312" w:cs="Times New Roman"/>
          <w:sz w:val="32"/>
          <w:szCs w:val="32"/>
        </w:rPr>
        <w:t>市财政局于2023年7月下达我局基金预算指标500万元弃土场及配套工程</w:t>
      </w:r>
      <w:r>
        <w:rPr>
          <w:rFonts w:hint="eastAsia" w:ascii="仿宋_GB2312" w:hAnsi="仿宋" w:eastAsia="仿宋_GB2312" w:cs="Times New Roman"/>
          <w:sz w:val="32"/>
          <w:szCs w:val="32"/>
          <w:lang w:val="en-US" w:eastAsia="zh-CN"/>
        </w:rPr>
        <w:t>相关</w:t>
      </w:r>
      <w:r>
        <w:rPr>
          <w:rFonts w:hint="eastAsia" w:ascii="仿宋_GB2312" w:hAnsi="仿宋" w:eastAsia="仿宋_GB2312" w:cs="Times New Roman"/>
          <w:sz w:val="32"/>
          <w:szCs w:val="32"/>
        </w:rPr>
        <w:t>关费用（广财投[2023]59号，我局于2023年8月支付国成公司500万元专项用于弃土场工程款</w:t>
      </w:r>
      <w:r>
        <w:rPr>
          <w:rFonts w:hint="eastAsia" w:ascii="仿宋_GB2312" w:hAnsi="仿宋" w:eastAsia="仿宋_GB2312" w:cs="Times New Roman"/>
          <w:sz w:val="32"/>
          <w:szCs w:val="32"/>
          <w:lang w:eastAsia="zh-CN"/>
        </w:rPr>
        <w:t>，</w:t>
      </w:r>
      <w:r>
        <w:rPr>
          <w:rFonts w:hint="eastAsia" w:ascii="仿宋_GB2312" w:hAnsi="仿宋" w:eastAsia="仿宋_GB2312" w:cs="Times New Roman"/>
          <w:sz w:val="32"/>
          <w:szCs w:val="32"/>
          <w:lang w:val="en-US" w:eastAsia="zh-CN"/>
        </w:rPr>
        <w:t>预算执行率100%。通过项目的实施，</w:t>
      </w:r>
      <w:r>
        <w:rPr>
          <w:rFonts w:hint="eastAsia" w:ascii="仿宋_GB2312" w:hAnsi="仿宋" w:eastAsia="仿宋_GB2312" w:cs="Times New Roman"/>
          <w:sz w:val="32"/>
          <w:szCs w:val="32"/>
        </w:rPr>
        <w:t>有效解决市城区工程建设项目弃土堆放和利用问题。</w:t>
      </w:r>
    </w:p>
    <w:p w14:paraId="36FCF91A">
      <w:pPr>
        <w:pStyle w:val="16"/>
        <w:keepNext w:val="0"/>
        <w:keepLines w:val="0"/>
        <w:pageBreakBefore w:val="0"/>
        <w:widowControl w:val="0"/>
        <w:kinsoku/>
        <w:wordWrap/>
        <w:overflowPunct/>
        <w:topLinePunct w:val="0"/>
        <w:autoSpaceDE/>
        <w:autoSpaceDN/>
        <w:bidi w:val="0"/>
        <w:spacing w:after="0" w:line="540" w:lineRule="exact"/>
        <w:ind w:left="0" w:leftChars="0" w:firstLine="640"/>
        <w:textAlignment w:val="auto"/>
        <w:rPr>
          <w:rFonts w:hint="eastAsia" w:ascii="仿宋_GB2312" w:hAnsi="仿宋" w:eastAsia="仿宋_GB2312" w:cs="Times New Roman"/>
          <w:kern w:val="2"/>
          <w:sz w:val="32"/>
          <w:szCs w:val="32"/>
          <w:lang w:val="en-US" w:eastAsia="zh-CN" w:bidi="ar-SA"/>
        </w:rPr>
      </w:pPr>
      <w:r>
        <w:rPr>
          <w:rFonts w:hint="eastAsia" w:ascii="仿宋_GB2312" w:hAnsi="仿宋" w:eastAsia="仿宋_GB2312" w:cs="Times New Roman"/>
          <w:kern w:val="2"/>
          <w:sz w:val="32"/>
          <w:szCs w:val="32"/>
          <w:lang w:val="en-US" w:eastAsia="zh-CN" w:bidi="ar-SA"/>
        </w:rPr>
        <w:t>4.项目结果。该项目满足了市城区工程建设项目的弃土需求，规范处置了建筑垃圾，为营造良好的城市环境做出了贡献。同时通过收纳弃土，进行土地一级开发整理，达到一定年限的沉降期后，可以作为城市建设用地。</w:t>
      </w:r>
    </w:p>
    <w:p w14:paraId="106B7050">
      <w:pPr>
        <w:keepNext w:val="0"/>
        <w:keepLines w:val="0"/>
        <w:pageBreakBefore w:val="0"/>
        <w:numPr>
          <w:ilvl w:val="0"/>
          <w:numId w:val="0"/>
        </w:numPr>
        <w:kinsoku/>
        <w:wordWrap/>
        <w:overflowPunct/>
        <w:topLinePunct w:val="0"/>
        <w:autoSpaceDE/>
        <w:autoSpaceDN/>
        <w:bidi w:val="0"/>
        <w:spacing w:line="540" w:lineRule="exact"/>
        <w:ind w:firstLine="643" w:firstLineChars="200"/>
        <w:textAlignment w:val="auto"/>
        <w:rPr>
          <w:rFonts w:hint="eastAsia" w:ascii="楷体_GB2312" w:hAnsi="宋体" w:eastAsia="楷体_GB2312" w:cs="Times New Roman"/>
          <w:b/>
          <w:bCs w:val="0"/>
          <w:color w:val="auto"/>
          <w:sz w:val="32"/>
          <w:szCs w:val="32"/>
          <w:highlight w:val="none"/>
          <w:u w:val="none"/>
          <w:lang w:val="zh-CN" w:eastAsia="zh-CN"/>
        </w:rPr>
      </w:pPr>
      <w:r>
        <w:rPr>
          <w:rFonts w:hint="eastAsia" w:ascii="楷体_GB2312" w:hAnsi="宋体" w:eastAsia="楷体_GB2312" w:cs="Times New Roman"/>
          <w:b/>
          <w:bCs w:val="0"/>
          <w:color w:val="auto"/>
          <w:sz w:val="32"/>
          <w:szCs w:val="32"/>
          <w:highlight w:val="none"/>
          <w:u w:val="none"/>
          <w:lang w:val="zh-CN"/>
        </w:rPr>
        <w:t>（二）</w:t>
      </w:r>
      <w:r>
        <w:rPr>
          <w:rFonts w:hint="eastAsia" w:ascii="楷体_GB2312" w:hAnsi="宋体" w:eastAsia="楷体_GB2312" w:cs="Times New Roman"/>
          <w:b/>
          <w:bCs w:val="0"/>
          <w:color w:val="auto"/>
          <w:sz w:val="32"/>
          <w:szCs w:val="32"/>
          <w:highlight w:val="none"/>
          <w:u w:val="none"/>
          <w:lang w:val="en-US" w:eastAsia="zh-CN"/>
        </w:rPr>
        <w:t>专用指标</w:t>
      </w:r>
      <w:r>
        <w:rPr>
          <w:rFonts w:hint="default" w:ascii="楷体_GB2312" w:hAnsi="宋体" w:eastAsia="楷体_GB2312" w:cs="Times New Roman"/>
          <w:b/>
          <w:bCs w:val="0"/>
          <w:color w:val="auto"/>
          <w:sz w:val="32"/>
          <w:szCs w:val="32"/>
          <w:highlight w:val="none"/>
          <w:u w:val="none"/>
          <w:lang w:val="zh-CN"/>
        </w:rPr>
        <w:t>绩效分析</w:t>
      </w:r>
      <w:r>
        <w:rPr>
          <w:rFonts w:hint="eastAsia" w:ascii="楷体_GB2312" w:hAnsi="宋体" w:eastAsia="楷体_GB2312" w:cs="Times New Roman"/>
          <w:b/>
          <w:bCs w:val="0"/>
          <w:color w:val="auto"/>
          <w:sz w:val="32"/>
          <w:szCs w:val="32"/>
          <w:highlight w:val="none"/>
          <w:u w:val="none"/>
          <w:lang w:val="zh-CN" w:eastAsia="zh-CN"/>
        </w:rPr>
        <w:t>。</w:t>
      </w:r>
    </w:p>
    <w:p w14:paraId="45810072">
      <w:pPr>
        <w:keepNext w:val="0"/>
        <w:keepLines w:val="0"/>
        <w:pageBreakBefore w:val="0"/>
        <w:widowControl w:val="0"/>
        <w:numPr>
          <w:ilvl w:val="0"/>
          <w:numId w:val="0"/>
        </w:numPr>
        <w:kinsoku/>
        <w:wordWrap/>
        <w:overflowPunct/>
        <w:topLinePunct w:val="0"/>
        <w:autoSpaceDE/>
        <w:autoSpaceDN/>
        <w:bidi w:val="0"/>
        <w:adjustRightInd w:val="0"/>
        <w:snapToGrid w:val="0"/>
        <w:spacing w:line="540" w:lineRule="exact"/>
        <w:ind w:firstLine="640" w:firstLineChars="200"/>
        <w:contextualSpacing/>
        <w:jc w:val="both"/>
        <w:textAlignment w:val="auto"/>
        <w:rPr>
          <w:rFonts w:hint="eastAsia" w:ascii="仿宋_GB2312" w:hAnsi="仿宋" w:eastAsia="仿宋_GB2312" w:cs="Times New Roman"/>
          <w:sz w:val="32"/>
          <w:szCs w:val="32"/>
          <w:lang w:val="en-US" w:eastAsia="zh-CN"/>
        </w:rPr>
      </w:pPr>
      <w:r>
        <w:rPr>
          <w:rFonts w:hint="eastAsia" w:ascii="仿宋_GB2312" w:hAnsi="仿宋" w:eastAsia="仿宋_GB2312" w:cs="Times New Roman"/>
          <w:sz w:val="32"/>
          <w:szCs w:val="32"/>
          <w:lang w:val="en-US" w:eastAsia="zh-CN"/>
        </w:rPr>
        <w:t>1.产业发展。该项目是市委市政府支持重点项目。通过收纳弃土，进行土地一级开发整理，达到一定年限的沉降期后，可以作为城市建设用地。</w:t>
      </w:r>
    </w:p>
    <w:p w14:paraId="5342D7D3">
      <w:pPr>
        <w:keepNext w:val="0"/>
        <w:keepLines w:val="0"/>
        <w:pageBreakBefore w:val="0"/>
        <w:widowControl w:val="0"/>
        <w:numPr>
          <w:ilvl w:val="0"/>
          <w:numId w:val="0"/>
        </w:numPr>
        <w:kinsoku/>
        <w:wordWrap/>
        <w:overflowPunct/>
        <w:topLinePunct w:val="0"/>
        <w:autoSpaceDE/>
        <w:autoSpaceDN/>
        <w:bidi w:val="0"/>
        <w:adjustRightInd w:val="0"/>
        <w:snapToGrid w:val="0"/>
        <w:spacing w:line="540" w:lineRule="exact"/>
        <w:ind w:firstLine="640" w:firstLineChars="200"/>
        <w:contextualSpacing/>
        <w:jc w:val="both"/>
        <w:textAlignment w:val="auto"/>
        <w:rPr>
          <w:rFonts w:hint="eastAsia" w:ascii="仿宋_GB2312" w:hAnsi="仿宋" w:eastAsia="仿宋_GB2312" w:cs="Times New Roman"/>
          <w:sz w:val="32"/>
          <w:szCs w:val="32"/>
          <w:lang w:val="en-US" w:eastAsia="zh-CN"/>
        </w:rPr>
      </w:pPr>
      <w:r>
        <w:rPr>
          <w:rFonts w:hint="eastAsia" w:ascii="仿宋_GB2312" w:hAnsi="仿宋" w:eastAsia="仿宋_GB2312" w:cs="Times New Roman"/>
          <w:sz w:val="32"/>
          <w:szCs w:val="32"/>
          <w:lang w:val="en-US" w:eastAsia="zh-CN"/>
        </w:rPr>
        <w:t>2.基础设施。该项目满足了市城区工程建设项目的弃土需求，规范处置了建筑垃圾，为营造良好的城市环境做出了贡献。同时通过收纳弃土，进行土地一级开发整理，达到一定年限的沉降期后，可以作为城市建设用地。</w:t>
      </w:r>
    </w:p>
    <w:p w14:paraId="14EE6C55">
      <w:pPr>
        <w:keepNext w:val="0"/>
        <w:keepLines w:val="0"/>
        <w:pageBreakBefore w:val="0"/>
        <w:widowControl w:val="0"/>
        <w:numPr>
          <w:ilvl w:val="0"/>
          <w:numId w:val="0"/>
        </w:numPr>
        <w:kinsoku/>
        <w:wordWrap/>
        <w:overflowPunct/>
        <w:topLinePunct w:val="0"/>
        <w:autoSpaceDE/>
        <w:autoSpaceDN/>
        <w:bidi w:val="0"/>
        <w:adjustRightInd w:val="0"/>
        <w:snapToGrid w:val="0"/>
        <w:spacing w:line="540" w:lineRule="exact"/>
        <w:ind w:firstLine="640" w:firstLineChars="200"/>
        <w:contextualSpacing/>
        <w:jc w:val="both"/>
        <w:textAlignment w:val="auto"/>
        <w:rPr>
          <w:rFonts w:hint="eastAsia" w:ascii="仿宋_GB2312" w:hAnsi="仿宋" w:eastAsia="仿宋_GB2312" w:cs="Times New Roman"/>
          <w:sz w:val="32"/>
          <w:szCs w:val="32"/>
          <w:lang w:val="en-US" w:eastAsia="zh-CN"/>
        </w:rPr>
      </w:pPr>
      <w:r>
        <w:rPr>
          <w:rFonts w:hint="eastAsia" w:ascii="仿宋_GB2312" w:hAnsi="仿宋" w:eastAsia="仿宋_GB2312" w:cs="Times New Roman"/>
          <w:sz w:val="32"/>
          <w:szCs w:val="32"/>
          <w:lang w:val="en-US" w:eastAsia="zh-CN"/>
        </w:rPr>
        <w:t>4.</w:t>
      </w:r>
      <w:r>
        <w:rPr>
          <w:rFonts w:hint="eastAsia" w:ascii="仿宋_GB2312" w:hAnsi="仿宋" w:eastAsia="仿宋_GB2312" w:cs="Times New Roman"/>
          <w:sz w:val="32"/>
          <w:szCs w:val="32"/>
          <w:lang w:val="zh-CN" w:eastAsia="zh-CN"/>
        </w:rPr>
        <w:t>行政运转。</w:t>
      </w:r>
      <w:r>
        <w:rPr>
          <w:rFonts w:hint="eastAsia" w:ascii="仿宋_GB2312" w:hAnsi="仿宋" w:eastAsia="仿宋_GB2312" w:cs="Times New Roman"/>
          <w:sz w:val="32"/>
          <w:szCs w:val="32"/>
          <w:lang w:val="en-US" w:eastAsia="zh-CN"/>
        </w:rPr>
        <w:t>本</w:t>
      </w:r>
      <w:r>
        <w:rPr>
          <w:rFonts w:hint="eastAsia" w:ascii="仿宋_GB2312" w:hAnsi="仿宋" w:eastAsia="仿宋_GB2312" w:cs="Times New Roman"/>
          <w:sz w:val="32"/>
          <w:szCs w:val="32"/>
          <w:lang w:val="zh-CN" w:eastAsia="zh-CN"/>
        </w:rPr>
        <w:t>单位财务管理制度健全，严格执行财务管理制度，账务处理及时，会计核算规范。</w:t>
      </w:r>
    </w:p>
    <w:p w14:paraId="63D054C4">
      <w:pPr>
        <w:keepNext w:val="0"/>
        <w:keepLines w:val="0"/>
        <w:pageBreakBefore w:val="0"/>
        <w:numPr>
          <w:ilvl w:val="0"/>
          <w:numId w:val="0"/>
        </w:numPr>
        <w:kinsoku/>
        <w:wordWrap/>
        <w:overflowPunct/>
        <w:topLinePunct w:val="0"/>
        <w:autoSpaceDE/>
        <w:autoSpaceDN/>
        <w:bidi w:val="0"/>
        <w:spacing w:line="540" w:lineRule="exact"/>
        <w:ind w:firstLine="643" w:firstLineChars="200"/>
        <w:textAlignment w:val="auto"/>
        <w:rPr>
          <w:rFonts w:hint="default" w:ascii="楷体_GB2312" w:hAnsi="宋体" w:eastAsia="楷体_GB2312"/>
          <w:b/>
          <w:bCs w:val="0"/>
          <w:color w:val="auto"/>
          <w:sz w:val="32"/>
          <w:szCs w:val="32"/>
          <w:highlight w:val="none"/>
          <w:u w:val="none"/>
          <w:lang w:val="zh-CN"/>
        </w:rPr>
      </w:pPr>
      <w:r>
        <w:rPr>
          <w:rFonts w:hint="eastAsia" w:ascii="楷体_GB2312" w:hAnsi="宋体" w:eastAsia="楷体_GB2312"/>
          <w:b/>
          <w:bCs w:val="0"/>
          <w:color w:val="auto"/>
          <w:sz w:val="32"/>
          <w:szCs w:val="32"/>
          <w:highlight w:val="none"/>
          <w:u w:val="none"/>
          <w:lang w:val="zh-CN"/>
        </w:rPr>
        <w:t>（三）</w:t>
      </w:r>
      <w:r>
        <w:rPr>
          <w:rFonts w:hint="eastAsia" w:ascii="楷体_GB2312" w:hAnsi="宋体" w:eastAsia="楷体_GB2312"/>
          <w:b/>
          <w:bCs w:val="0"/>
          <w:color w:val="auto"/>
          <w:sz w:val="32"/>
          <w:szCs w:val="32"/>
          <w:highlight w:val="none"/>
          <w:u w:val="none"/>
          <w:lang w:val="en-US" w:eastAsia="zh-CN"/>
        </w:rPr>
        <w:t>个性指标</w:t>
      </w:r>
      <w:r>
        <w:rPr>
          <w:rFonts w:hint="default" w:ascii="楷体_GB2312" w:hAnsi="宋体" w:eastAsia="楷体_GB2312"/>
          <w:b/>
          <w:bCs w:val="0"/>
          <w:color w:val="auto"/>
          <w:sz w:val="32"/>
          <w:szCs w:val="32"/>
          <w:highlight w:val="none"/>
          <w:u w:val="none"/>
          <w:lang w:val="zh-CN"/>
        </w:rPr>
        <w:t>绩效分析。</w:t>
      </w:r>
    </w:p>
    <w:p w14:paraId="5AFFF9EF">
      <w:pPr>
        <w:pStyle w:val="7"/>
        <w:keepNext w:val="0"/>
        <w:keepLines w:val="0"/>
        <w:pageBreakBefore w:val="0"/>
        <w:numPr>
          <w:ilvl w:val="0"/>
          <w:numId w:val="0"/>
        </w:numPr>
        <w:tabs>
          <w:tab w:val="left" w:pos="2160"/>
        </w:tabs>
        <w:kinsoku/>
        <w:wordWrap/>
        <w:overflowPunct/>
        <w:topLinePunct w:val="0"/>
        <w:autoSpaceDE/>
        <w:autoSpaceDN/>
        <w:bidi w:val="0"/>
        <w:adjustRightInd/>
        <w:spacing w:line="540" w:lineRule="exact"/>
        <w:ind w:firstLine="640" w:firstLineChars="200"/>
        <w:textAlignment w:val="auto"/>
        <w:rPr>
          <w:rFonts w:hint="eastAsia" w:ascii="仿宋_GB2312" w:hAnsi="仿宋_GB2312" w:eastAsia="仿宋_GB2312" w:cs="仿宋_GB2312"/>
          <w:color w:val="auto"/>
          <w:kern w:val="0"/>
          <w:position w:val="0"/>
          <w:sz w:val="32"/>
          <w:szCs w:val="32"/>
          <w:highlight w:val="none"/>
          <w:u w:val="none"/>
          <w:shd w:val="clear" w:color="auto" w:fill="FFFFFF"/>
          <w:lang w:val="en-US" w:eastAsia="zh-CN" w:bidi="ar-SA"/>
        </w:rPr>
      </w:pPr>
      <w:r>
        <w:rPr>
          <w:rFonts w:hint="eastAsia" w:ascii="仿宋_GB2312" w:hAnsi="仿宋_GB2312" w:eastAsia="仿宋_GB2312" w:cs="仿宋_GB2312"/>
          <w:color w:val="auto"/>
          <w:kern w:val="0"/>
          <w:position w:val="0"/>
          <w:sz w:val="32"/>
          <w:szCs w:val="32"/>
          <w:highlight w:val="none"/>
          <w:u w:val="none"/>
          <w:shd w:val="clear" w:color="auto" w:fill="FFFFFF"/>
          <w:lang w:val="en-US" w:eastAsia="zh-CN" w:bidi="ar-SA"/>
        </w:rPr>
        <w:t>通过收纳弃土，进行土地开发整理，有效解决市城区工程建设项目弃土堆放和利用问题，防止弃土乱倒引发地质灾害。</w:t>
      </w:r>
    </w:p>
    <w:p w14:paraId="5F4AB544">
      <w:pPr>
        <w:pStyle w:val="7"/>
        <w:keepNext w:val="0"/>
        <w:keepLines w:val="0"/>
        <w:pageBreakBefore w:val="0"/>
        <w:numPr>
          <w:ilvl w:val="0"/>
          <w:numId w:val="0"/>
        </w:numPr>
        <w:tabs>
          <w:tab w:val="left" w:pos="2160"/>
        </w:tabs>
        <w:kinsoku/>
        <w:wordWrap/>
        <w:overflowPunct/>
        <w:topLinePunct w:val="0"/>
        <w:autoSpaceDE/>
        <w:autoSpaceDN/>
        <w:bidi w:val="0"/>
        <w:adjustRightInd/>
        <w:spacing w:line="540" w:lineRule="exact"/>
        <w:ind w:firstLine="640" w:firstLineChars="200"/>
        <w:textAlignment w:val="auto"/>
        <w:rPr>
          <w:rFonts w:hint="eastAsia" w:ascii="黑体" w:hAnsi="宋体" w:eastAsia="黑体"/>
          <w:color w:val="auto"/>
          <w:sz w:val="32"/>
          <w:szCs w:val="32"/>
          <w:highlight w:val="none"/>
          <w:u w:val="none"/>
        </w:rPr>
      </w:pPr>
      <w:r>
        <w:rPr>
          <w:rFonts w:hint="eastAsia" w:ascii="黑体" w:hAnsi="宋体" w:eastAsia="黑体"/>
          <w:color w:val="auto"/>
          <w:sz w:val="32"/>
          <w:szCs w:val="32"/>
          <w:highlight w:val="none"/>
          <w:u w:val="none"/>
          <w:lang w:eastAsia="zh-CN"/>
        </w:rPr>
        <w:t>四</w:t>
      </w:r>
      <w:r>
        <w:rPr>
          <w:rFonts w:hint="eastAsia" w:ascii="黑体" w:hAnsi="宋体" w:eastAsia="黑体"/>
          <w:color w:val="auto"/>
          <w:sz w:val="32"/>
          <w:szCs w:val="32"/>
          <w:highlight w:val="none"/>
          <w:u w:val="none"/>
        </w:rPr>
        <w:t>、评价结论</w:t>
      </w:r>
    </w:p>
    <w:p w14:paraId="7ACE2467">
      <w:pPr>
        <w:keepNext w:val="0"/>
        <w:keepLines w:val="0"/>
        <w:pageBreakBefore w:val="0"/>
        <w:widowControl w:val="0"/>
        <w:numPr>
          <w:ilvl w:val="0"/>
          <w:numId w:val="0"/>
        </w:numPr>
        <w:kinsoku/>
        <w:wordWrap/>
        <w:overflowPunct/>
        <w:topLinePunct w:val="0"/>
        <w:autoSpaceDE/>
        <w:autoSpaceDN/>
        <w:bidi w:val="0"/>
        <w:adjustRightInd w:val="0"/>
        <w:snapToGrid w:val="0"/>
        <w:spacing w:line="540" w:lineRule="exact"/>
        <w:ind w:firstLine="640" w:firstLineChars="200"/>
        <w:contextualSpacing/>
        <w:jc w:val="both"/>
        <w:textAlignment w:val="auto"/>
        <w:rPr>
          <w:rFonts w:hint="eastAsia" w:ascii="仿宋_GB2312" w:hAnsi="仿宋" w:eastAsia="仿宋_GB2312" w:cs="Times New Roman"/>
          <w:sz w:val="32"/>
          <w:szCs w:val="32"/>
          <w:lang w:val="en-US" w:eastAsia="zh-CN"/>
        </w:rPr>
      </w:pPr>
      <w:r>
        <w:rPr>
          <w:rFonts w:hint="eastAsia" w:ascii="仿宋_GB2312" w:hAnsi="仿宋" w:eastAsia="仿宋_GB2312" w:cs="Times New Roman"/>
          <w:sz w:val="32"/>
          <w:szCs w:val="32"/>
          <w:lang w:val="en-US" w:eastAsia="zh-CN"/>
        </w:rPr>
        <w:t>按照《专项预算项目绩效评价指标体系》，自评得分100分。我局严格执行财经纪律、法规和各项规章制度，加强财务管理，规范会计核算，资金高效运行。项目决策科学，依据充分，项目管理规范；绩效执行进度达到预期；项目完成效果好，实施后达到了预期目的。</w:t>
      </w:r>
    </w:p>
    <w:p w14:paraId="67117DD8">
      <w:pPr>
        <w:pStyle w:val="7"/>
        <w:keepNext w:val="0"/>
        <w:keepLines w:val="0"/>
        <w:pageBreakBefore w:val="0"/>
        <w:numPr>
          <w:ilvl w:val="0"/>
          <w:numId w:val="0"/>
        </w:numPr>
        <w:tabs>
          <w:tab w:val="left" w:pos="2160"/>
        </w:tabs>
        <w:kinsoku/>
        <w:wordWrap/>
        <w:overflowPunct/>
        <w:topLinePunct w:val="0"/>
        <w:autoSpaceDE/>
        <w:autoSpaceDN/>
        <w:bidi w:val="0"/>
        <w:adjustRightInd/>
        <w:spacing w:line="540" w:lineRule="exact"/>
        <w:ind w:firstLine="640" w:firstLineChars="200"/>
        <w:textAlignment w:val="auto"/>
        <w:rPr>
          <w:rFonts w:hint="eastAsia" w:ascii="黑体" w:hAnsi="宋体" w:eastAsia="黑体" w:cs="Times New Roman"/>
          <w:color w:val="auto"/>
          <w:sz w:val="32"/>
          <w:szCs w:val="32"/>
          <w:highlight w:val="none"/>
          <w:u w:val="none"/>
          <w:lang w:eastAsia="zh-CN"/>
        </w:rPr>
      </w:pPr>
      <w:r>
        <w:rPr>
          <w:rFonts w:hint="eastAsia" w:ascii="黑体" w:hAnsi="宋体" w:eastAsia="黑体" w:cs="Times New Roman"/>
          <w:color w:val="auto"/>
          <w:sz w:val="32"/>
          <w:szCs w:val="32"/>
          <w:highlight w:val="none"/>
          <w:u w:val="none"/>
          <w:lang w:eastAsia="zh-CN"/>
        </w:rPr>
        <w:t>五、存在主要问题</w:t>
      </w:r>
    </w:p>
    <w:p w14:paraId="75953AC8">
      <w:pPr>
        <w:keepNext w:val="0"/>
        <w:keepLines w:val="0"/>
        <w:pageBreakBefore w:val="0"/>
        <w:widowControl w:val="0"/>
        <w:numPr>
          <w:ilvl w:val="0"/>
          <w:numId w:val="0"/>
        </w:numPr>
        <w:kinsoku/>
        <w:wordWrap/>
        <w:overflowPunct/>
        <w:topLinePunct w:val="0"/>
        <w:autoSpaceDE/>
        <w:autoSpaceDN/>
        <w:bidi w:val="0"/>
        <w:adjustRightInd w:val="0"/>
        <w:snapToGrid w:val="0"/>
        <w:spacing w:line="540" w:lineRule="exact"/>
        <w:ind w:firstLine="640" w:firstLineChars="200"/>
        <w:contextualSpacing/>
        <w:jc w:val="both"/>
        <w:textAlignment w:val="auto"/>
        <w:rPr>
          <w:rFonts w:hint="eastAsia" w:ascii="仿宋_GB2312" w:hAnsi="仿宋_GB2312" w:cs="仿宋_GB2312"/>
          <w:color w:val="auto"/>
          <w:kern w:val="0"/>
          <w:sz w:val="32"/>
          <w:szCs w:val="32"/>
          <w:highlight w:val="none"/>
          <w:u w:val="none"/>
          <w:shd w:val="clear" w:color="auto" w:fill="FFFFFF"/>
          <w:lang w:val="zh-CN" w:eastAsia="zh-CN"/>
        </w:rPr>
      </w:pPr>
      <w:r>
        <w:rPr>
          <w:rFonts w:hint="eastAsia" w:ascii="仿宋_GB2312" w:hAnsi="仿宋_GB2312" w:eastAsia="仿宋_GB2312" w:cs="仿宋_GB2312"/>
          <w:color w:val="auto"/>
          <w:kern w:val="0"/>
          <w:sz w:val="32"/>
          <w:szCs w:val="32"/>
          <w:highlight w:val="none"/>
          <w:u w:val="none"/>
          <w:shd w:val="clear" w:color="auto" w:fill="FFFFFF"/>
          <w:lang w:val="zh-CN" w:eastAsia="zh-CN"/>
        </w:rPr>
        <w:t xml:space="preserve"> </w:t>
      </w:r>
      <w:r>
        <w:rPr>
          <w:rFonts w:hint="eastAsia" w:ascii="仿宋_GB2312" w:hAnsi="仿宋_GB2312" w:cs="仿宋_GB2312"/>
          <w:color w:val="auto"/>
          <w:kern w:val="0"/>
          <w:sz w:val="32"/>
          <w:szCs w:val="32"/>
          <w:highlight w:val="none"/>
          <w:u w:val="none"/>
          <w:shd w:val="clear" w:color="auto" w:fill="FFFFFF"/>
          <w:lang w:val="en-US" w:eastAsia="zh-CN"/>
        </w:rPr>
        <w:t>无</w:t>
      </w:r>
      <w:r>
        <w:rPr>
          <w:rFonts w:hint="eastAsia" w:ascii="仿宋_GB2312" w:hAnsi="仿宋_GB2312" w:cs="仿宋_GB2312"/>
          <w:color w:val="auto"/>
          <w:kern w:val="0"/>
          <w:sz w:val="32"/>
          <w:szCs w:val="32"/>
          <w:highlight w:val="none"/>
          <w:u w:val="none"/>
          <w:shd w:val="clear" w:color="auto" w:fill="FFFFFF"/>
          <w:lang w:val="zh-CN" w:eastAsia="zh-CN"/>
        </w:rPr>
        <w:t>。</w:t>
      </w:r>
    </w:p>
    <w:p w14:paraId="481D19F1">
      <w:pPr>
        <w:pStyle w:val="7"/>
        <w:keepNext w:val="0"/>
        <w:keepLines w:val="0"/>
        <w:pageBreakBefore w:val="0"/>
        <w:numPr>
          <w:ilvl w:val="0"/>
          <w:numId w:val="0"/>
        </w:numPr>
        <w:tabs>
          <w:tab w:val="left" w:pos="2160"/>
        </w:tabs>
        <w:kinsoku/>
        <w:wordWrap/>
        <w:overflowPunct/>
        <w:topLinePunct w:val="0"/>
        <w:autoSpaceDE/>
        <w:autoSpaceDN/>
        <w:bidi w:val="0"/>
        <w:adjustRightInd/>
        <w:spacing w:line="540" w:lineRule="exact"/>
        <w:ind w:firstLine="640" w:firstLineChars="200"/>
        <w:textAlignment w:val="auto"/>
        <w:rPr>
          <w:rFonts w:hint="eastAsia" w:ascii="黑体" w:hAnsi="宋体" w:eastAsia="黑体" w:cs="Times New Roman"/>
          <w:color w:val="auto"/>
          <w:sz w:val="32"/>
          <w:szCs w:val="32"/>
          <w:highlight w:val="none"/>
          <w:u w:val="none"/>
          <w:lang w:val="zh-CN" w:eastAsia="zh-CN"/>
        </w:rPr>
      </w:pPr>
      <w:r>
        <w:rPr>
          <w:rFonts w:hint="eastAsia" w:ascii="黑体" w:hAnsi="宋体" w:eastAsia="黑体" w:cs="Times New Roman"/>
          <w:color w:val="auto"/>
          <w:sz w:val="32"/>
          <w:szCs w:val="32"/>
          <w:highlight w:val="none"/>
          <w:u w:val="none"/>
          <w:lang w:val="zh-CN" w:eastAsia="zh-CN"/>
        </w:rPr>
        <w:t>六、改进建议</w:t>
      </w:r>
    </w:p>
    <w:p w14:paraId="2221BBC3">
      <w:pPr>
        <w:keepNext w:val="0"/>
        <w:keepLines w:val="0"/>
        <w:pageBreakBefore w:val="0"/>
        <w:widowControl w:val="0"/>
        <w:numPr>
          <w:ilvl w:val="0"/>
          <w:numId w:val="0"/>
        </w:numPr>
        <w:kinsoku/>
        <w:wordWrap/>
        <w:overflowPunct/>
        <w:topLinePunct w:val="0"/>
        <w:autoSpaceDE/>
        <w:autoSpaceDN/>
        <w:bidi w:val="0"/>
        <w:adjustRightInd w:val="0"/>
        <w:snapToGrid w:val="0"/>
        <w:spacing w:line="540" w:lineRule="exact"/>
        <w:ind w:firstLine="640" w:firstLineChars="200"/>
        <w:contextualSpacing/>
        <w:jc w:val="both"/>
        <w:textAlignment w:val="auto"/>
        <w:rPr>
          <w:rFonts w:hint="eastAsia" w:ascii="仿宋_GB2312" w:hAnsi="仿宋_GB2312" w:cs="仿宋_GB2312"/>
          <w:color w:val="auto"/>
          <w:kern w:val="0"/>
          <w:sz w:val="32"/>
          <w:szCs w:val="32"/>
          <w:highlight w:val="none"/>
          <w:u w:val="none"/>
          <w:shd w:val="clear" w:color="auto" w:fill="FFFFFF"/>
          <w:lang w:val="zh-CN" w:eastAsia="zh-CN"/>
        </w:rPr>
      </w:pPr>
      <w:r>
        <w:rPr>
          <w:rFonts w:hint="eastAsia" w:ascii="仿宋_GB2312" w:hAnsi="仿宋_GB2312" w:eastAsia="仿宋_GB2312" w:cs="仿宋_GB2312"/>
          <w:color w:val="auto"/>
          <w:kern w:val="0"/>
          <w:sz w:val="32"/>
          <w:szCs w:val="32"/>
          <w:highlight w:val="none"/>
          <w:u w:val="none"/>
          <w:shd w:val="clear" w:color="auto" w:fill="FFFFFF"/>
          <w:lang w:val="zh-CN" w:eastAsia="zh-CN"/>
        </w:rPr>
        <w:t xml:space="preserve"> </w:t>
      </w:r>
      <w:bookmarkStart w:id="80" w:name="_Hlk110546638"/>
      <w:r>
        <w:rPr>
          <w:rFonts w:hint="eastAsia" w:ascii="仿宋_GB2312" w:hAnsi="仿宋_GB2312" w:cs="仿宋_GB2312"/>
          <w:color w:val="auto"/>
          <w:kern w:val="0"/>
          <w:sz w:val="32"/>
          <w:szCs w:val="32"/>
          <w:highlight w:val="none"/>
          <w:u w:val="none"/>
          <w:shd w:val="clear" w:color="auto" w:fill="FFFFFF"/>
          <w:lang w:val="en-US" w:eastAsia="zh-CN"/>
        </w:rPr>
        <w:t>无</w:t>
      </w:r>
      <w:r>
        <w:rPr>
          <w:rFonts w:hint="eastAsia" w:ascii="仿宋_GB2312" w:hAnsi="仿宋_GB2312" w:cs="仿宋_GB2312"/>
          <w:color w:val="auto"/>
          <w:kern w:val="0"/>
          <w:sz w:val="32"/>
          <w:szCs w:val="32"/>
          <w:highlight w:val="none"/>
          <w:u w:val="none"/>
          <w:shd w:val="clear" w:color="auto" w:fill="FFFFFF"/>
          <w:lang w:val="zh-CN" w:eastAsia="zh-CN"/>
        </w:rPr>
        <w:t>。</w:t>
      </w:r>
    </w:p>
    <w:bookmarkEnd w:id="80"/>
    <w:p w14:paraId="47711654">
      <w:pPr>
        <w:keepNext w:val="0"/>
        <w:keepLines w:val="0"/>
        <w:pageBreakBefore w:val="0"/>
        <w:kinsoku/>
        <w:wordWrap/>
        <w:overflowPunct/>
        <w:topLinePunct w:val="0"/>
        <w:autoSpaceDE/>
        <w:autoSpaceDN/>
        <w:bidi w:val="0"/>
        <w:adjustRightInd/>
        <w:snapToGrid w:val="0"/>
        <w:spacing w:line="540" w:lineRule="exact"/>
        <w:ind w:left="0" w:leftChars="0" w:firstLine="420" w:firstLineChars="200"/>
        <w:textAlignment w:val="auto"/>
        <w:outlineLvl w:val="9"/>
        <w:rPr>
          <w:rFonts w:hint="eastAsia" w:ascii="Times New Roman" w:hAnsi="Times New Roman" w:cs="Times New Roman"/>
          <w:color w:val="000000"/>
          <w:kern w:val="0"/>
          <w:szCs w:val="32"/>
          <w:highlight w:val="none"/>
          <w:shd w:val="clear" w:color="auto" w:fill="FFFFFF"/>
          <w:lang w:val="zh-CN" w:eastAsia="zh-CN"/>
        </w:rPr>
      </w:pPr>
    </w:p>
    <w:p w14:paraId="03B3712C">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contextualSpacing/>
        <w:jc w:val="both"/>
        <w:textAlignment w:val="auto"/>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附表：1.项目资金分配涉及所有点位自评得分情况表</w:t>
      </w:r>
    </w:p>
    <w:p w14:paraId="1CDA61B0">
      <w:pPr>
        <w:keepNext w:val="0"/>
        <w:keepLines w:val="0"/>
        <w:pageBreakBefore w:val="0"/>
        <w:widowControl w:val="0"/>
        <w:kinsoku/>
        <w:wordWrap/>
        <w:overflowPunct/>
        <w:topLinePunct w:val="0"/>
        <w:autoSpaceDE/>
        <w:autoSpaceDN/>
        <w:bidi w:val="0"/>
        <w:adjustRightInd w:val="0"/>
        <w:snapToGrid w:val="0"/>
        <w:spacing w:line="540" w:lineRule="exact"/>
        <w:ind w:firstLine="1920" w:firstLineChars="600"/>
        <w:contextualSpacing/>
        <w:jc w:val="both"/>
        <w:textAlignment w:val="auto"/>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专项预算项目绩效目标完成情况自评表</w:t>
      </w:r>
    </w:p>
    <w:p w14:paraId="2F7C6D08">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contextualSpacing/>
        <w:jc w:val="both"/>
        <w:textAlignment w:val="auto"/>
        <w:rPr>
          <w:rFonts w:hint="default" w:ascii="仿宋_GB2312" w:hAnsi="仿宋_GB2312" w:eastAsia="仿宋_GB2312" w:cs="仿宋_GB2312"/>
          <w:b w:val="0"/>
          <w:bCs/>
          <w:sz w:val="32"/>
          <w:szCs w:val="32"/>
          <w:lang w:val="en-US" w:eastAsia="zh-CN"/>
        </w:rPr>
      </w:pPr>
    </w:p>
    <w:p w14:paraId="149B6428">
      <w:pPr>
        <w:pStyle w:val="2"/>
        <w:rPr>
          <w:rFonts w:hint="default"/>
          <w:lang w:val="en-US" w:eastAsia="zh-CN"/>
        </w:rPr>
      </w:pPr>
    </w:p>
    <w:p w14:paraId="2B1C7396">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contextualSpacing/>
        <w:jc w:val="both"/>
        <w:textAlignment w:val="auto"/>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 xml:space="preserve">                         广元市自然资源局</w:t>
      </w:r>
    </w:p>
    <w:p w14:paraId="755C2767">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contextualSpacing/>
        <w:jc w:val="both"/>
        <w:textAlignment w:val="auto"/>
        <w:rPr>
          <w:rFonts w:hint="default"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 xml:space="preserve">                         2024年8月4日</w:t>
      </w:r>
    </w:p>
    <w:p w14:paraId="0AB8B22A">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contextualSpacing/>
        <w:jc w:val="both"/>
        <w:textAlignment w:val="auto"/>
        <w:rPr>
          <w:rFonts w:hint="eastAsia" w:ascii="仿宋_GB2312" w:hAnsi="仿宋_GB2312" w:eastAsia="仿宋_GB2312" w:cs="仿宋_GB2312"/>
          <w:b w:val="0"/>
          <w:bCs/>
          <w:sz w:val="32"/>
          <w:szCs w:val="32"/>
          <w:lang w:val="zh-CN" w:eastAsia="zh-CN"/>
        </w:rPr>
      </w:pPr>
      <w:r>
        <w:rPr>
          <w:rFonts w:hint="eastAsia" w:ascii="仿宋_GB2312" w:hAnsi="仿宋_GB2312" w:eastAsia="仿宋_GB2312" w:cs="仿宋_GB2312"/>
          <w:b w:val="0"/>
          <w:bCs/>
          <w:sz w:val="32"/>
          <w:szCs w:val="32"/>
          <w:lang w:val="zh-CN" w:eastAsia="zh-CN"/>
        </w:rPr>
        <w:br w:type="page"/>
      </w:r>
    </w:p>
    <w:p w14:paraId="20852F15">
      <w:pPr>
        <w:keepNext w:val="0"/>
        <w:keepLines w:val="0"/>
        <w:pageBreakBefore w:val="0"/>
        <w:widowControl/>
        <w:numPr>
          <w:ilvl w:val="0"/>
          <w:numId w:val="0"/>
        </w:numPr>
        <w:kinsoku/>
        <w:wordWrap/>
        <w:overflowPunct/>
        <w:topLinePunct w:val="0"/>
        <w:autoSpaceDE/>
        <w:autoSpaceDN/>
        <w:bidi w:val="0"/>
        <w:adjustRightInd w:val="0"/>
        <w:snapToGrid w:val="0"/>
        <w:spacing w:line="576" w:lineRule="exact"/>
        <w:contextualSpacing/>
        <w:jc w:val="left"/>
        <w:textAlignment w:val="auto"/>
        <w:rPr>
          <w:rFonts w:hint="eastAsia" w:ascii="黑体" w:hAnsi="黑体" w:eastAsia="黑体" w:cs="黑体"/>
          <w:b w:val="0"/>
          <w:bCs w:val="0"/>
          <w:color w:val="auto"/>
          <w:kern w:val="0"/>
          <w:sz w:val="32"/>
          <w:szCs w:val="32"/>
          <w:highlight w:val="none"/>
          <w:u w:val="none"/>
          <w:shd w:val="clear" w:color="auto" w:fill="FFFFFF"/>
          <w:lang w:val="zh-CN" w:eastAsia="zh-CN"/>
        </w:rPr>
      </w:pPr>
      <w:r>
        <w:rPr>
          <w:rFonts w:hint="eastAsia" w:ascii="黑体" w:hAnsi="黑体" w:eastAsia="黑体" w:cs="黑体"/>
          <w:b w:val="0"/>
          <w:bCs w:val="0"/>
          <w:color w:val="auto"/>
          <w:kern w:val="0"/>
          <w:sz w:val="32"/>
          <w:szCs w:val="32"/>
          <w:highlight w:val="none"/>
          <w:u w:val="none"/>
          <w:shd w:val="clear" w:color="auto" w:fill="FFFFFF"/>
          <w:lang w:val="zh-CN" w:eastAsia="zh-CN"/>
        </w:rPr>
        <w:t>附表</w:t>
      </w:r>
      <w:r>
        <w:rPr>
          <w:rFonts w:hint="eastAsia" w:ascii="黑体" w:hAnsi="黑体" w:eastAsia="黑体" w:cs="黑体"/>
          <w:b w:val="0"/>
          <w:bCs w:val="0"/>
          <w:color w:val="auto"/>
          <w:kern w:val="0"/>
          <w:sz w:val="32"/>
          <w:szCs w:val="32"/>
          <w:highlight w:val="none"/>
          <w:u w:val="none"/>
          <w:shd w:val="clear" w:color="auto" w:fill="FFFFFF"/>
          <w:lang w:val="en-US" w:eastAsia="zh-CN"/>
        </w:rPr>
        <w:t>1</w:t>
      </w:r>
    </w:p>
    <w:p w14:paraId="5345EE29">
      <w:pPr>
        <w:keepNext w:val="0"/>
        <w:keepLines w:val="0"/>
        <w:pageBreakBefore w:val="0"/>
        <w:kinsoku/>
        <w:wordWrap/>
        <w:overflowPunct/>
        <w:topLinePunct w:val="0"/>
        <w:autoSpaceDE/>
        <w:autoSpaceDN/>
        <w:bidi w:val="0"/>
        <w:spacing w:line="576" w:lineRule="exact"/>
        <w:ind w:left="0" w:leftChars="0"/>
        <w:jc w:val="center"/>
        <w:textAlignment w:val="auto"/>
        <w:rPr>
          <w:rFonts w:hint="eastAsia" w:ascii="方正小标宋_GBK" w:hAnsi="方正小标宋_GBK" w:eastAsia="方正小标宋_GBK" w:cs="方正小标宋_GBK"/>
          <w:b w:val="0"/>
          <w:bCs w:val="0"/>
          <w:color w:val="auto"/>
          <w:sz w:val="40"/>
          <w:szCs w:val="40"/>
          <w:highlight w:val="none"/>
          <w:u w:val="none"/>
          <w:lang w:val="en-US" w:eastAsia="zh-CN"/>
        </w:rPr>
      </w:pPr>
      <w:r>
        <w:rPr>
          <w:rFonts w:hint="eastAsia" w:ascii="方正小标宋_GBK" w:hAnsi="方正小标宋_GBK" w:eastAsia="方正小标宋_GBK" w:cs="方正小标宋_GBK"/>
          <w:b w:val="0"/>
          <w:bCs w:val="0"/>
          <w:color w:val="auto"/>
          <w:sz w:val="40"/>
          <w:szCs w:val="40"/>
          <w:highlight w:val="none"/>
          <w:u w:val="none"/>
          <w:lang w:val="en-US" w:eastAsia="zh-CN"/>
        </w:rPr>
        <w:t>项目资金分配涉及所有点位自评得分情况表</w:t>
      </w:r>
    </w:p>
    <w:tbl>
      <w:tblPr>
        <w:tblStyle w:val="18"/>
        <w:tblW w:w="88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3"/>
        <w:gridCol w:w="3843"/>
        <w:gridCol w:w="2861"/>
        <w:gridCol w:w="993"/>
      </w:tblGrid>
      <w:tr w14:paraId="496B6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23" w:type="dxa"/>
            <w:vAlign w:val="center"/>
          </w:tcPr>
          <w:p w14:paraId="21CF68E2">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bCs/>
                <w:color w:val="auto"/>
                <w:sz w:val="24"/>
                <w:szCs w:val="24"/>
                <w:highlight w:val="none"/>
                <w:u w:val="none"/>
                <w:vertAlign w:val="baseline"/>
                <w:lang w:val="en-US" w:eastAsia="zh-CN"/>
              </w:rPr>
            </w:pPr>
            <w:r>
              <w:rPr>
                <w:rFonts w:hint="eastAsia" w:ascii="仿宋_GB2312" w:hAnsi="仿宋_GB2312" w:eastAsia="仿宋_GB2312" w:cs="仿宋_GB2312"/>
                <w:b/>
                <w:bCs/>
                <w:color w:val="auto"/>
                <w:sz w:val="24"/>
                <w:szCs w:val="24"/>
                <w:highlight w:val="none"/>
                <w:u w:val="none"/>
                <w:vertAlign w:val="baseline"/>
                <w:lang w:val="en-US" w:eastAsia="zh-CN"/>
              </w:rPr>
              <w:t>序号</w:t>
            </w:r>
          </w:p>
        </w:tc>
        <w:tc>
          <w:tcPr>
            <w:tcW w:w="3843" w:type="dxa"/>
            <w:vAlign w:val="center"/>
          </w:tcPr>
          <w:p w14:paraId="76D1B728">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bCs/>
                <w:color w:val="auto"/>
                <w:sz w:val="24"/>
                <w:szCs w:val="24"/>
                <w:highlight w:val="none"/>
                <w:u w:val="none"/>
                <w:vertAlign w:val="baseline"/>
                <w:lang w:val="en" w:eastAsia="zh-CN"/>
              </w:rPr>
            </w:pPr>
            <w:r>
              <w:rPr>
                <w:rFonts w:hint="eastAsia" w:ascii="仿宋_GB2312" w:hAnsi="仿宋_GB2312" w:eastAsia="仿宋_GB2312" w:cs="仿宋_GB2312"/>
                <w:b/>
                <w:bCs/>
                <w:color w:val="auto"/>
                <w:sz w:val="24"/>
                <w:szCs w:val="24"/>
                <w:highlight w:val="none"/>
                <w:u w:val="none"/>
                <w:vertAlign w:val="baseline"/>
                <w:lang w:val="en-US" w:eastAsia="zh-CN"/>
              </w:rPr>
              <w:t>项目资金末端分配点位</w:t>
            </w:r>
          </w:p>
        </w:tc>
        <w:tc>
          <w:tcPr>
            <w:tcW w:w="2861" w:type="dxa"/>
            <w:vAlign w:val="center"/>
          </w:tcPr>
          <w:p w14:paraId="4CCE3786">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bCs/>
                <w:color w:val="auto"/>
                <w:sz w:val="24"/>
                <w:szCs w:val="24"/>
                <w:highlight w:val="none"/>
                <w:u w:val="none"/>
                <w:vertAlign w:val="baseline"/>
                <w:lang w:val="en-US" w:eastAsia="zh-CN"/>
              </w:rPr>
            </w:pPr>
            <w:r>
              <w:rPr>
                <w:rFonts w:hint="eastAsia" w:ascii="仿宋_GB2312" w:hAnsi="仿宋_GB2312" w:eastAsia="仿宋_GB2312" w:cs="仿宋_GB2312"/>
                <w:b/>
                <w:bCs/>
                <w:color w:val="auto"/>
                <w:sz w:val="24"/>
                <w:szCs w:val="24"/>
                <w:highlight w:val="none"/>
                <w:u w:val="none"/>
                <w:vertAlign w:val="baseline"/>
                <w:lang w:val="en" w:eastAsia="zh-CN"/>
              </w:rPr>
              <w:t>自评得分（百分制）</w:t>
            </w:r>
          </w:p>
        </w:tc>
        <w:tc>
          <w:tcPr>
            <w:tcW w:w="993" w:type="dxa"/>
            <w:vAlign w:val="center"/>
          </w:tcPr>
          <w:p w14:paraId="70A57570">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bCs/>
                <w:color w:val="auto"/>
                <w:sz w:val="24"/>
                <w:szCs w:val="24"/>
                <w:highlight w:val="none"/>
                <w:u w:val="none"/>
                <w:vertAlign w:val="baseline"/>
                <w:lang w:val="en-US" w:eastAsia="zh-CN"/>
              </w:rPr>
            </w:pPr>
            <w:r>
              <w:rPr>
                <w:rFonts w:hint="eastAsia" w:ascii="仿宋_GB2312" w:hAnsi="仿宋_GB2312" w:eastAsia="仿宋_GB2312" w:cs="仿宋_GB2312"/>
                <w:b/>
                <w:bCs/>
                <w:color w:val="auto"/>
                <w:sz w:val="24"/>
                <w:szCs w:val="24"/>
                <w:highlight w:val="none"/>
                <w:u w:val="none"/>
                <w:vertAlign w:val="baseline"/>
                <w:lang w:val="en-US" w:eastAsia="zh-CN"/>
              </w:rPr>
              <w:t>备注</w:t>
            </w:r>
          </w:p>
        </w:tc>
      </w:tr>
      <w:tr w14:paraId="3B99F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23" w:type="dxa"/>
            <w:vAlign w:val="center"/>
          </w:tcPr>
          <w:p w14:paraId="6E3037D3">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lang w:val="en-US" w:eastAsia="zh-CN"/>
              </w:rPr>
            </w:pPr>
            <w:r>
              <w:rPr>
                <w:rFonts w:hint="eastAsia" w:ascii="仿宋_GB2312" w:hAnsi="仿宋_GB2312" w:eastAsia="仿宋_GB2312" w:cs="仿宋_GB2312"/>
                <w:b w:val="0"/>
                <w:bCs w:val="0"/>
                <w:color w:val="auto"/>
                <w:sz w:val="24"/>
                <w:szCs w:val="24"/>
                <w:highlight w:val="none"/>
                <w:u w:val="none"/>
                <w:lang w:val="en-US" w:eastAsia="zh-CN"/>
              </w:rPr>
              <w:t>1</w:t>
            </w:r>
          </w:p>
        </w:tc>
        <w:tc>
          <w:tcPr>
            <w:tcW w:w="3843" w:type="dxa"/>
            <w:vAlign w:val="center"/>
          </w:tcPr>
          <w:p w14:paraId="73074E6E">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color w:val="auto"/>
                <w:sz w:val="24"/>
                <w:szCs w:val="24"/>
                <w:highlight w:val="none"/>
                <w:u w:val="none"/>
                <w:vertAlign w:val="baseline"/>
                <w:lang w:val="en-US" w:eastAsia="zh-CN"/>
              </w:rPr>
            </w:pPr>
            <w:r>
              <w:rPr>
                <w:rFonts w:hint="eastAsia" w:ascii="仿宋_GB2312" w:hAnsi="仿宋_GB2312" w:eastAsia="仿宋_GB2312" w:cs="仿宋_GB2312"/>
                <w:color w:val="auto"/>
                <w:sz w:val="24"/>
                <w:szCs w:val="24"/>
                <w:highlight w:val="none"/>
                <w:u w:val="none"/>
                <w:vertAlign w:val="baseline"/>
                <w:lang w:val="en-US" w:eastAsia="zh-CN"/>
              </w:rPr>
              <w:t>市国成公司</w:t>
            </w:r>
          </w:p>
        </w:tc>
        <w:tc>
          <w:tcPr>
            <w:tcW w:w="2861" w:type="dxa"/>
            <w:vAlign w:val="center"/>
          </w:tcPr>
          <w:p w14:paraId="2D1F0645">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color w:val="auto"/>
                <w:sz w:val="24"/>
                <w:szCs w:val="24"/>
                <w:highlight w:val="none"/>
                <w:u w:val="none"/>
                <w:vertAlign w:val="baseline"/>
                <w:lang w:val="en-US" w:eastAsia="zh-CN"/>
              </w:rPr>
            </w:pPr>
            <w:r>
              <w:rPr>
                <w:rFonts w:hint="eastAsia" w:ascii="仿宋_GB2312" w:hAnsi="仿宋_GB2312" w:eastAsia="仿宋_GB2312" w:cs="仿宋_GB2312"/>
                <w:color w:val="auto"/>
                <w:sz w:val="24"/>
                <w:szCs w:val="24"/>
                <w:highlight w:val="none"/>
                <w:u w:val="none"/>
                <w:vertAlign w:val="baseline"/>
                <w:lang w:val="en-US" w:eastAsia="zh-CN"/>
              </w:rPr>
              <w:t>100</w:t>
            </w:r>
          </w:p>
        </w:tc>
        <w:tc>
          <w:tcPr>
            <w:tcW w:w="993" w:type="dxa"/>
            <w:vAlign w:val="center"/>
          </w:tcPr>
          <w:p w14:paraId="05A2553B">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color w:val="auto"/>
                <w:sz w:val="24"/>
                <w:szCs w:val="24"/>
                <w:highlight w:val="none"/>
                <w:u w:val="none"/>
                <w:vertAlign w:val="baseline"/>
                <w:lang w:val="en-US" w:eastAsia="zh-CN"/>
              </w:rPr>
            </w:pPr>
          </w:p>
        </w:tc>
      </w:tr>
      <w:tr w14:paraId="270B1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23" w:type="dxa"/>
            <w:vAlign w:val="center"/>
          </w:tcPr>
          <w:p w14:paraId="353D8DBE">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lang w:val="en-US" w:eastAsia="zh-CN"/>
              </w:rPr>
            </w:pPr>
            <w:r>
              <w:rPr>
                <w:rFonts w:hint="eastAsia" w:ascii="仿宋_GB2312" w:hAnsi="仿宋_GB2312" w:eastAsia="仿宋_GB2312" w:cs="仿宋_GB2312"/>
                <w:b w:val="0"/>
                <w:bCs w:val="0"/>
                <w:color w:val="auto"/>
                <w:sz w:val="24"/>
                <w:szCs w:val="24"/>
                <w:highlight w:val="none"/>
                <w:u w:val="none"/>
                <w:lang w:val="en-US" w:eastAsia="zh-CN"/>
              </w:rPr>
              <w:t>2</w:t>
            </w:r>
          </w:p>
        </w:tc>
        <w:tc>
          <w:tcPr>
            <w:tcW w:w="3843" w:type="dxa"/>
            <w:vAlign w:val="center"/>
          </w:tcPr>
          <w:p w14:paraId="78A20ECE">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color w:val="auto"/>
                <w:sz w:val="24"/>
                <w:szCs w:val="24"/>
                <w:highlight w:val="none"/>
                <w:u w:val="none"/>
                <w:vertAlign w:val="baseline"/>
                <w:lang w:val="en-US" w:eastAsia="zh-CN"/>
              </w:rPr>
            </w:pPr>
          </w:p>
        </w:tc>
        <w:tc>
          <w:tcPr>
            <w:tcW w:w="2861" w:type="dxa"/>
            <w:vAlign w:val="center"/>
          </w:tcPr>
          <w:p w14:paraId="55ACAF20">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color w:val="auto"/>
                <w:sz w:val="24"/>
                <w:szCs w:val="24"/>
                <w:highlight w:val="none"/>
                <w:u w:val="none"/>
                <w:vertAlign w:val="baseline"/>
                <w:lang w:val="en-US" w:eastAsia="zh-CN"/>
              </w:rPr>
            </w:pPr>
          </w:p>
        </w:tc>
        <w:tc>
          <w:tcPr>
            <w:tcW w:w="993" w:type="dxa"/>
            <w:vAlign w:val="center"/>
          </w:tcPr>
          <w:p w14:paraId="7C803A66">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color w:val="auto"/>
                <w:sz w:val="24"/>
                <w:szCs w:val="24"/>
                <w:highlight w:val="none"/>
                <w:u w:val="none"/>
                <w:vertAlign w:val="baseline"/>
                <w:lang w:val="en-US" w:eastAsia="zh-CN"/>
              </w:rPr>
            </w:pPr>
          </w:p>
        </w:tc>
      </w:tr>
      <w:tr w14:paraId="2C27D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23" w:type="dxa"/>
            <w:vAlign w:val="center"/>
          </w:tcPr>
          <w:p w14:paraId="5E114C80">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lang w:val="en-US" w:eastAsia="zh-CN"/>
              </w:rPr>
            </w:pPr>
            <w:r>
              <w:rPr>
                <w:rFonts w:hint="eastAsia" w:ascii="仿宋_GB2312" w:hAnsi="仿宋_GB2312" w:eastAsia="仿宋_GB2312" w:cs="仿宋_GB2312"/>
                <w:b w:val="0"/>
                <w:bCs w:val="0"/>
                <w:color w:val="auto"/>
                <w:sz w:val="24"/>
                <w:szCs w:val="24"/>
                <w:highlight w:val="none"/>
                <w:u w:val="none"/>
                <w:lang w:val="en-US" w:eastAsia="zh-CN"/>
              </w:rPr>
              <w:t>3</w:t>
            </w:r>
          </w:p>
        </w:tc>
        <w:tc>
          <w:tcPr>
            <w:tcW w:w="3843" w:type="dxa"/>
            <w:vAlign w:val="center"/>
          </w:tcPr>
          <w:p w14:paraId="64F1929B">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color w:val="auto"/>
                <w:sz w:val="24"/>
                <w:szCs w:val="24"/>
                <w:highlight w:val="none"/>
                <w:u w:val="none"/>
                <w:vertAlign w:val="baseline"/>
                <w:lang w:val="en" w:eastAsia="zh-CN"/>
              </w:rPr>
            </w:pPr>
          </w:p>
        </w:tc>
        <w:tc>
          <w:tcPr>
            <w:tcW w:w="2861" w:type="dxa"/>
            <w:vAlign w:val="center"/>
          </w:tcPr>
          <w:p w14:paraId="4EDAAED7">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color w:val="auto"/>
                <w:sz w:val="24"/>
                <w:szCs w:val="24"/>
                <w:highlight w:val="none"/>
                <w:u w:val="none"/>
                <w:vertAlign w:val="baseline"/>
                <w:lang w:val="en" w:eastAsia="zh-CN"/>
              </w:rPr>
            </w:pPr>
          </w:p>
        </w:tc>
        <w:tc>
          <w:tcPr>
            <w:tcW w:w="993" w:type="dxa"/>
            <w:vAlign w:val="center"/>
          </w:tcPr>
          <w:p w14:paraId="1B0CBB98">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color w:val="auto"/>
                <w:sz w:val="24"/>
                <w:szCs w:val="24"/>
                <w:highlight w:val="none"/>
                <w:u w:val="none"/>
                <w:vertAlign w:val="baseline"/>
                <w:lang w:val="en-US" w:eastAsia="zh-CN"/>
              </w:rPr>
            </w:pPr>
          </w:p>
        </w:tc>
      </w:tr>
      <w:tr w14:paraId="0C992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23" w:type="dxa"/>
            <w:vAlign w:val="center"/>
          </w:tcPr>
          <w:p w14:paraId="609D1781">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lang w:val="en-US" w:eastAsia="zh-CN"/>
              </w:rPr>
            </w:pPr>
            <w:r>
              <w:rPr>
                <w:rFonts w:hint="eastAsia" w:ascii="仿宋_GB2312" w:hAnsi="仿宋_GB2312" w:eastAsia="仿宋_GB2312" w:cs="仿宋_GB2312"/>
                <w:b w:val="0"/>
                <w:bCs w:val="0"/>
                <w:color w:val="auto"/>
                <w:sz w:val="24"/>
                <w:szCs w:val="24"/>
                <w:highlight w:val="none"/>
                <w:u w:val="none"/>
                <w:lang w:val="en-US" w:eastAsia="zh-CN"/>
              </w:rPr>
              <w:t>4</w:t>
            </w:r>
          </w:p>
        </w:tc>
        <w:tc>
          <w:tcPr>
            <w:tcW w:w="3843" w:type="dxa"/>
            <w:vAlign w:val="center"/>
          </w:tcPr>
          <w:p w14:paraId="039EA581">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color w:val="auto"/>
                <w:sz w:val="24"/>
                <w:szCs w:val="24"/>
                <w:highlight w:val="none"/>
                <w:u w:val="none"/>
                <w:vertAlign w:val="baseline"/>
                <w:lang w:val="en" w:eastAsia="zh-CN"/>
              </w:rPr>
            </w:pPr>
          </w:p>
        </w:tc>
        <w:tc>
          <w:tcPr>
            <w:tcW w:w="2861" w:type="dxa"/>
            <w:vAlign w:val="center"/>
          </w:tcPr>
          <w:p w14:paraId="18EDA821">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color w:val="auto"/>
                <w:sz w:val="24"/>
                <w:szCs w:val="24"/>
                <w:highlight w:val="none"/>
                <w:u w:val="none"/>
                <w:vertAlign w:val="baseline"/>
                <w:lang w:val="en" w:eastAsia="zh-CN"/>
              </w:rPr>
            </w:pPr>
          </w:p>
        </w:tc>
        <w:tc>
          <w:tcPr>
            <w:tcW w:w="993" w:type="dxa"/>
            <w:vAlign w:val="center"/>
          </w:tcPr>
          <w:p w14:paraId="7B3B576B">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color w:val="auto"/>
                <w:sz w:val="24"/>
                <w:szCs w:val="24"/>
                <w:highlight w:val="none"/>
                <w:u w:val="none"/>
                <w:vertAlign w:val="baseline"/>
                <w:lang w:val="en-US" w:eastAsia="zh-CN"/>
              </w:rPr>
            </w:pPr>
          </w:p>
        </w:tc>
      </w:tr>
      <w:tr w14:paraId="56A03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23" w:type="dxa"/>
            <w:vAlign w:val="center"/>
          </w:tcPr>
          <w:p w14:paraId="01171280">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lang w:val="en-US" w:eastAsia="zh-CN"/>
              </w:rPr>
            </w:pPr>
            <w:r>
              <w:rPr>
                <w:rFonts w:hint="eastAsia" w:ascii="仿宋_GB2312" w:hAnsi="仿宋_GB2312" w:eastAsia="仿宋_GB2312" w:cs="仿宋_GB2312"/>
                <w:b w:val="0"/>
                <w:bCs w:val="0"/>
                <w:color w:val="auto"/>
                <w:sz w:val="24"/>
                <w:szCs w:val="24"/>
                <w:highlight w:val="none"/>
                <w:u w:val="none"/>
                <w:lang w:val="en-US" w:eastAsia="zh-CN"/>
              </w:rPr>
              <w:t>5</w:t>
            </w:r>
          </w:p>
        </w:tc>
        <w:tc>
          <w:tcPr>
            <w:tcW w:w="3843" w:type="dxa"/>
            <w:vAlign w:val="center"/>
          </w:tcPr>
          <w:p w14:paraId="66175B70">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color w:val="auto"/>
                <w:sz w:val="24"/>
                <w:szCs w:val="24"/>
                <w:highlight w:val="none"/>
                <w:u w:val="none"/>
                <w:vertAlign w:val="baseline"/>
                <w:lang w:val="en" w:eastAsia="zh-CN"/>
              </w:rPr>
            </w:pPr>
          </w:p>
        </w:tc>
        <w:tc>
          <w:tcPr>
            <w:tcW w:w="2861" w:type="dxa"/>
            <w:vAlign w:val="center"/>
          </w:tcPr>
          <w:p w14:paraId="746AABE4">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color w:val="auto"/>
                <w:sz w:val="24"/>
                <w:szCs w:val="24"/>
                <w:highlight w:val="none"/>
                <w:u w:val="none"/>
                <w:vertAlign w:val="baseline"/>
                <w:lang w:val="en" w:eastAsia="zh-CN"/>
              </w:rPr>
            </w:pPr>
          </w:p>
        </w:tc>
        <w:tc>
          <w:tcPr>
            <w:tcW w:w="993" w:type="dxa"/>
            <w:vAlign w:val="center"/>
          </w:tcPr>
          <w:p w14:paraId="34BB66A9">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color w:val="auto"/>
                <w:sz w:val="24"/>
                <w:szCs w:val="24"/>
                <w:highlight w:val="none"/>
                <w:u w:val="none"/>
                <w:vertAlign w:val="baseline"/>
                <w:lang w:val="en-US" w:eastAsia="zh-CN"/>
              </w:rPr>
            </w:pPr>
          </w:p>
        </w:tc>
      </w:tr>
      <w:tr w14:paraId="3B2E3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23" w:type="dxa"/>
            <w:vAlign w:val="center"/>
          </w:tcPr>
          <w:p w14:paraId="3F0148B4">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lang w:val="en-US" w:eastAsia="zh-CN"/>
              </w:rPr>
            </w:pPr>
            <w:r>
              <w:rPr>
                <w:rFonts w:hint="eastAsia" w:ascii="仿宋_GB2312" w:hAnsi="仿宋_GB2312" w:eastAsia="仿宋_GB2312" w:cs="仿宋_GB2312"/>
                <w:b w:val="0"/>
                <w:bCs w:val="0"/>
                <w:color w:val="auto"/>
                <w:sz w:val="24"/>
                <w:szCs w:val="24"/>
                <w:highlight w:val="none"/>
                <w:u w:val="none"/>
                <w:lang w:val="en-US" w:eastAsia="zh-CN"/>
              </w:rPr>
              <w:t>6</w:t>
            </w:r>
          </w:p>
        </w:tc>
        <w:tc>
          <w:tcPr>
            <w:tcW w:w="3843" w:type="dxa"/>
            <w:vAlign w:val="center"/>
          </w:tcPr>
          <w:p w14:paraId="5B30AD5A">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color w:val="auto"/>
                <w:sz w:val="24"/>
                <w:szCs w:val="24"/>
                <w:highlight w:val="none"/>
                <w:u w:val="none"/>
                <w:vertAlign w:val="baseline"/>
                <w:lang w:val="en" w:eastAsia="zh-CN"/>
              </w:rPr>
            </w:pPr>
          </w:p>
        </w:tc>
        <w:tc>
          <w:tcPr>
            <w:tcW w:w="2861" w:type="dxa"/>
            <w:vAlign w:val="center"/>
          </w:tcPr>
          <w:p w14:paraId="2A960246">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color w:val="auto"/>
                <w:sz w:val="24"/>
                <w:szCs w:val="24"/>
                <w:highlight w:val="none"/>
                <w:u w:val="none"/>
                <w:vertAlign w:val="baseline"/>
                <w:lang w:val="en" w:eastAsia="zh-CN"/>
              </w:rPr>
            </w:pPr>
          </w:p>
        </w:tc>
        <w:tc>
          <w:tcPr>
            <w:tcW w:w="993" w:type="dxa"/>
            <w:vAlign w:val="center"/>
          </w:tcPr>
          <w:p w14:paraId="03459DB8">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color w:val="auto"/>
                <w:sz w:val="24"/>
                <w:szCs w:val="24"/>
                <w:highlight w:val="none"/>
                <w:u w:val="none"/>
                <w:vertAlign w:val="baseline"/>
                <w:lang w:val="en-US" w:eastAsia="zh-CN"/>
              </w:rPr>
            </w:pPr>
          </w:p>
        </w:tc>
      </w:tr>
      <w:tr w14:paraId="1E11F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23" w:type="dxa"/>
            <w:vAlign w:val="center"/>
          </w:tcPr>
          <w:p w14:paraId="7721BAD4">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lang w:val="en-US" w:eastAsia="zh-CN"/>
              </w:rPr>
            </w:pPr>
            <w:r>
              <w:rPr>
                <w:rFonts w:hint="eastAsia" w:ascii="仿宋_GB2312" w:hAnsi="仿宋_GB2312" w:eastAsia="仿宋_GB2312" w:cs="仿宋_GB2312"/>
                <w:b w:val="0"/>
                <w:bCs w:val="0"/>
                <w:color w:val="auto"/>
                <w:sz w:val="24"/>
                <w:szCs w:val="24"/>
                <w:highlight w:val="none"/>
                <w:u w:val="none"/>
                <w:lang w:val="en-US" w:eastAsia="zh-CN"/>
              </w:rPr>
              <w:t>7</w:t>
            </w:r>
          </w:p>
        </w:tc>
        <w:tc>
          <w:tcPr>
            <w:tcW w:w="3843" w:type="dxa"/>
            <w:vAlign w:val="center"/>
          </w:tcPr>
          <w:p w14:paraId="29965FDD">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color w:val="auto"/>
                <w:sz w:val="24"/>
                <w:szCs w:val="24"/>
                <w:highlight w:val="none"/>
                <w:u w:val="none"/>
                <w:vertAlign w:val="baseline"/>
                <w:lang w:val="en" w:eastAsia="zh-CN"/>
              </w:rPr>
            </w:pPr>
          </w:p>
        </w:tc>
        <w:tc>
          <w:tcPr>
            <w:tcW w:w="2861" w:type="dxa"/>
            <w:vAlign w:val="center"/>
          </w:tcPr>
          <w:p w14:paraId="3CA7870B">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color w:val="auto"/>
                <w:sz w:val="24"/>
                <w:szCs w:val="24"/>
                <w:highlight w:val="none"/>
                <w:u w:val="none"/>
                <w:vertAlign w:val="baseline"/>
                <w:lang w:val="en" w:eastAsia="zh-CN"/>
              </w:rPr>
            </w:pPr>
          </w:p>
        </w:tc>
        <w:tc>
          <w:tcPr>
            <w:tcW w:w="993" w:type="dxa"/>
            <w:vAlign w:val="center"/>
          </w:tcPr>
          <w:p w14:paraId="7515BECF">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color w:val="auto"/>
                <w:sz w:val="24"/>
                <w:szCs w:val="24"/>
                <w:highlight w:val="none"/>
                <w:u w:val="none"/>
                <w:vertAlign w:val="baseline"/>
                <w:lang w:val="en-US" w:eastAsia="zh-CN"/>
              </w:rPr>
            </w:pPr>
          </w:p>
        </w:tc>
      </w:tr>
      <w:tr w14:paraId="622E9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23" w:type="dxa"/>
            <w:vAlign w:val="center"/>
          </w:tcPr>
          <w:p w14:paraId="4885D640">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lang w:val="en-US" w:eastAsia="zh-CN"/>
              </w:rPr>
            </w:pPr>
            <w:r>
              <w:rPr>
                <w:rFonts w:hint="eastAsia" w:ascii="仿宋_GB2312" w:hAnsi="仿宋_GB2312" w:eastAsia="仿宋_GB2312" w:cs="仿宋_GB2312"/>
                <w:b w:val="0"/>
                <w:bCs w:val="0"/>
                <w:color w:val="auto"/>
                <w:sz w:val="24"/>
                <w:szCs w:val="24"/>
                <w:highlight w:val="none"/>
                <w:u w:val="none"/>
                <w:lang w:val="en-US" w:eastAsia="zh-CN"/>
              </w:rPr>
              <w:t>8</w:t>
            </w:r>
          </w:p>
        </w:tc>
        <w:tc>
          <w:tcPr>
            <w:tcW w:w="3843" w:type="dxa"/>
            <w:vAlign w:val="center"/>
          </w:tcPr>
          <w:p w14:paraId="4AE6E220">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color w:val="auto"/>
                <w:sz w:val="24"/>
                <w:szCs w:val="24"/>
                <w:highlight w:val="none"/>
                <w:u w:val="none"/>
                <w:vertAlign w:val="baseline"/>
                <w:lang w:val="en" w:eastAsia="zh-CN"/>
              </w:rPr>
            </w:pPr>
          </w:p>
        </w:tc>
        <w:tc>
          <w:tcPr>
            <w:tcW w:w="2861" w:type="dxa"/>
            <w:vAlign w:val="center"/>
          </w:tcPr>
          <w:p w14:paraId="4B4E753A">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color w:val="auto"/>
                <w:sz w:val="24"/>
                <w:szCs w:val="24"/>
                <w:highlight w:val="none"/>
                <w:u w:val="none"/>
                <w:vertAlign w:val="baseline"/>
                <w:lang w:val="en" w:eastAsia="zh-CN"/>
              </w:rPr>
            </w:pPr>
          </w:p>
        </w:tc>
        <w:tc>
          <w:tcPr>
            <w:tcW w:w="993" w:type="dxa"/>
            <w:vAlign w:val="center"/>
          </w:tcPr>
          <w:p w14:paraId="15EDEAF4">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color w:val="auto"/>
                <w:sz w:val="24"/>
                <w:szCs w:val="24"/>
                <w:highlight w:val="none"/>
                <w:u w:val="none"/>
                <w:vertAlign w:val="baseline"/>
                <w:lang w:val="en-US" w:eastAsia="zh-CN"/>
              </w:rPr>
            </w:pPr>
          </w:p>
        </w:tc>
      </w:tr>
      <w:tr w14:paraId="26E00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23" w:type="dxa"/>
            <w:vAlign w:val="center"/>
          </w:tcPr>
          <w:p w14:paraId="3E41302A">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color w:val="auto"/>
                <w:sz w:val="24"/>
                <w:szCs w:val="24"/>
                <w:highlight w:val="none"/>
                <w:u w:val="none"/>
                <w:lang w:val="en-US" w:eastAsia="zh-CN"/>
              </w:rPr>
            </w:pPr>
            <w:r>
              <w:rPr>
                <w:rFonts w:hint="eastAsia" w:ascii="仿宋_GB2312" w:hAnsi="仿宋_GB2312" w:eastAsia="仿宋_GB2312" w:cs="仿宋_GB2312"/>
                <w:color w:val="auto"/>
                <w:sz w:val="24"/>
                <w:szCs w:val="24"/>
                <w:highlight w:val="none"/>
                <w:u w:val="none"/>
                <w:lang w:val="en-US" w:eastAsia="zh-CN"/>
              </w:rPr>
              <w:t>……</w:t>
            </w:r>
          </w:p>
        </w:tc>
        <w:tc>
          <w:tcPr>
            <w:tcW w:w="3843" w:type="dxa"/>
            <w:vAlign w:val="center"/>
          </w:tcPr>
          <w:p w14:paraId="25555B7F">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color w:val="auto"/>
                <w:sz w:val="24"/>
                <w:szCs w:val="24"/>
                <w:highlight w:val="none"/>
                <w:u w:val="none"/>
                <w:vertAlign w:val="baseline"/>
                <w:lang w:val="en" w:eastAsia="zh-CN"/>
              </w:rPr>
            </w:pPr>
          </w:p>
        </w:tc>
        <w:tc>
          <w:tcPr>
            <w:tcW w:w="2861" w:type="dxa"/>
            <w:vAlign w:val="center"/>
          </w:tcPr>
          <w:p w14:paraId="6BAC6F0F">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color w:val="auto"/>
                <w:sz w:val="24"/>
                <w:szCs w:val="24"/>
                <w:highlight w:val="none"/>
                <w:u w:val="none"/>
                <w:vertAlign w:val="baseline"/>
                <w:lang w:val="en" w:eastAsia="zh-CN"/>
              </w:rPr>
            </w:pPr>
          </w:p>
        </w:tc>
        <w:tc>
          <w:tcPr>
            <w:tcW w:w="993" w:type="dxa"/>
            <w:vAlign w:val="center"/>
          </w:tcPr>
          <w:p w14:paraId="0373B0F3">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color w:val="auto"/>
                <w:sz w:val="24"/>
                <w:szCs w:val="24"/>
                <w:highlight w:val="none"/>
                <w:u w:val="none"/>
                <w:vertAlign w:val="baseline"/>
                <w:lang w:val="en-US" w:eastAsia="zh-CN"/>
              </w:rPr>
            </w:pPr>
          </w:p>
        </w:tc>
      </w:tr>
    </w:tbl>
    <w:p w14:paraId="26326949">
      <w:pPr>
        <w:keepNext w:val="0"/>
        <w:keepLines w:val="0"/>
        <w:pageBreakBefore w:val="0"/>
        <w:widowControl w:val="0"/>
        <w:kinsoku/>
        <w:wordWrap/>
        <w:overflowPunct/>
        <w:topLinePunct w:val="0"/>
        <w:autoSpaceDE/>
        <w:autoSpaceDN/>
        <w:bidi w:val="0"/>
        <w:adjustRightInd/>
        <w:snapToGrid/>
        <w:spacing w:line="576" w:lineRule="exact"/>
        <w:ind w:left="960" w:leftChars="0" w:hanging="960" w:hangingChars="400"/>
        <w:jc w:val="left"/>
        <w:textAlignment w:val="auto"/>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备注：1.项目资金末端分配点位包括市本级、县（区）、市级部门下属单位及一次性单位等。</w:t>
      </w:r>
    </w:p>
    <w:p w14:paraId="452AAF62">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left="0" w:leftChars="0" w:firstLine="720" w:firstLineChars="300"/>
        <w:jc w:val="left"/>
        <w:textAlignment w:val="auto"/>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2.自评得分（百分制）从高到低划分为优、良、中、差四个档次，各个档次数量占比分别为20%、20%、55%、5%，且不同档次间得分分值应体现差异化，同档次得分分值相同的比例不超过该档次总数量的10%。</w:t>
      </w:r>
    </w:p>
    <w:p w14:paraId="34C05835">
      <w:pPr>
        <w:keepNext w:val="0"/>
        <w:keepLines w:val="0"/>
        <w:pageBreakBefore w:val="0"/>
        <w:widowControl w:val="0"/>
        <w:kinsoku/>
        <w:wordWrap/>
        <w:overflowPunct/>
        <w:topLinePunct w:val="0"/>
        <w:autoSpaceDE/>
        <w:autoSpaceDN/>
        <w:bidi w:val="0"/>
        <w:adjustRightInd/>
        <w:snapToGrid/>
        <w:spacing w:line="576" w:lineRule="exact"/>
        <w:ind w:left="0"/>
        <w:textAlignment w:val="auto"/>
        <w:rPr>
          <w:rFonts w:hint="eastAsia" w:ascii="Times New Roman" w:hAnsi="Times New Roman" w:eastAsia="仿宋_GB2312" w:cs="Times New Roman"/>
          <w:kern w:val="2"/>
          <w:sz w:val="32"/>
          <w:szCs w:val="24"/>
          <w:highlight w:val="none"/>
          <w:lang w:val="en-US" w:eastAsia="zh-CN" w:bidi="ar-SA"/>
        </w:rPr>
      </w:pPr>
      <w:r>
        <w:rPr>
          <w:rFonts w:hint="eastAsia" w:ascii="Times New Roman" w:hAnsi="Times New Roman" w:eastAsia="仿宋_GB2312" w:cs="Times New Roman"/>
          <w:kern w:val="2"/>
          <w:sz w:val="32"/>
          <w:szCs w:val="24"/>
          <w:highlight w:val="none"/>
          <w:lang w:val="en-US" w:eastAsia="zh-CN" w:bidi="ar-SA"/>
        </w:rPr>
        <w:br w:type="page"/>
      </w:r>
    </w:p>
    <w:p w14:paraId="5938E5F0">
      <w:pPr>
        <w:pStyle w:val="16"/>
        <w:keepNext w:val="0"/>
        <w:keepLines w:val="0"/>
        <w:pageBreakBefore w:val="0"/>
        <w:kinsoku/>
        <w:wordWrap/>
        <w:overflowPunct/>
        <w:topLinePunct w:val="0"/>
        <w:autoSpaceDE/>
        <w:autoSpaceDN/>
        <w:bidi w:val="0"/>
        <w:spacing w:after="0" w:line="576" w:lineRule="exact"/>
        <w:ind w:left="0" w:leftChars="0" w:firstLine="0" w:firstLineChars="0"/>
        <w:rPr>
          <w:rFonts w:hint="default" w:ascii="Times New Roman" w:hAnsi="Times New Roman" w:eastAsia="黑体" w:cs="Times New Roman"/>
          <w:kern w:val="2"/>
          <w:sz w:val="32"/>
          <w:szCs w:val="24"/>
          <w:highlight w:val="none"/>
          <w:lang w:val="en-US" w:eastAsia="zh-CN" w:bidi="ar-SA"/>
        </w:rPr>
      </w:pPr>
      <w:r>
        <w:rPr>
          <w:rFonts w:hint="default" w:ascii="Times New Roman" w:hAnsi="Times New Roman" w:eastAsia="黑体" w:cs="Times New Roman"/>
          <w:kern w:val="2"/>
          <w:sz w:val="32"/>
          <w:szCs w:val="24"/>
          <w:highlight w:val="none"/>
          <w:lang w:val="en-US" w:eastAsia="zh-CN" w:bidi="ar-SA"/>
        </w:rPr>
        <w:t>附表2</w:t>
      </w:r>
    </w:p>
    <w:p w14:paraId="35534BFC">
      <w:pPr>
        <w:pStyle w:val="16"/>
        <w:keepNext w:val="0"/>
        <w:keepLines w:val="0"/>
        <w:pageBreakBefore w:val="0"/>
        <w:kinsoku/>
        <w:wordWrap/>
        <w:overflowPunct/>
        <w:topLinePunct w:val="0"/>
        <w:autoSpaceDE/>
        <w:autoSpaceDN/>
        <w:bidi w:val="0"/>
        <w:spacing w:after="0" w:line="576" w:lineRule="exact"/>
        <w:ind w:left="0" w:leftChars="0" w:firstLine="0" w:firstLineChars="0"/>
        <w:jc w:val="center"/>
        <w:rPr>
          <w:rFonts w:hint="default" w:ascii="Times New Roman" w:hAnsi="Times New Roman" w:eastAsia="黑体" w:cs="Times New Roman"/>
          <w:kern w:val="2"/>
          <w:sz w:val="32"/>
          <w:szCs w:val="24"/>
          <w:highlight w:val="none"/>
          <w:lang w:val="en-US" w:eastAsia="zh-CN" w:bidi="ar-SA"/>
        </w:rPr>
      </w:pPr>
      <w:r>
        <w:rPr>
          <w:rFonts w:hint="eastAsia" w:ascii="方正小标宋简体" w:hAnsi="方正小标宋简体" w:eastAsia="方正小标宋简体" w:cs="方正小标宋简体"/>
          <w:i w:val="0"/>
          <w:color w:val="000000"/>
          <w:kern w:val="0"/>
          <w:sz w:val="40"/>
          <w:szCs w:val="40"/>
          <w:u w:val="none"/>
          <w:lang w:val="en-US" w:eastAsia="zh-CN" w:bidi="ar"/>
        </w:rPr>
        <w:t>专项预算项目绩效目标完成情况自评表</w:t>
      </w:r>
    </w:p>
    <w:tbl>
      <w:tblPr>
        <w:tblStyle w:val="17"/>
        <w:tblW w:w="903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575"/>
        <w:gridCol w:w="956"/>
        <w:gridCol w:w="1103"/>
        <w:gridCol w:w="1160"/>
        <w:gridCol w:w="994"/>
        <w:gridCol w:w="857"/>
        <w:gridCol w:w="937"/>
        <w:gridCol w:w="828"/>
        <w:gridCol w:w="1629"/>
      </w:tblGrid>
      <w:tr w14:paraId="0D1282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40" w:hRule="atLeast"/>
          <w:jc w:val="center"/>
        </w:trPr>
        <w:tc>
          <w:tcPr>
            <w:tcW w:w="379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81892E0">
            <w:pPr>
              <w:keepNext w:val="0"/>
              <w:keepLines w:val="0"/>
              <w:pageBreakBefore w:val="0"/>
              <w:widowControl/>
              <w:suppressLineNumbers w:val="0"/>
              <w:kinsoku/>
              <w:wordWrap/>
              <w:overflowPunct/>
              <w:topLinePunct w:val="0"/>
              <w:autoSpaceDE/>
              <w:autoSpaceDN/>
              <w:bidi w:val="0"/>
              <w:adjustRightInd/>
              <w:snapToGrid/>
              <w:spacing w:line="260" w:lineRule="exact"/>
              <w:ind w:left="0" w:leftChars="0"/>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项目名称</w:t>
            </w:r>
          </w:p>
        </w:tc>
        <w:tc>
          <w:tcPr>
            <w:tcW w:w="524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B3833E6">
            <w:pPr>
              <w:keepNext w:val="0"/>
              <w:keepLines w:val="0"/>
              <w:pageBreakBefore w:val="0"/>
              <w:kinsoku/>
              <w:wordWrap/>
              <w:overflowPunct/>
              <w:topLinePunct w:val="0"/>
              <w:autoSpaceDE/>
              <w:autoSpaceDN/>
              <w:bidi w:val="0"/>
              <w:adjustRightInd/>
              <w:snapToGrid/>
              <w:spacing w:line="260" w:lineRule="exact"/>
              <w:ind w:left="0" w:leftChars="0"/>
              <w:jc w:val="center"/>
              <w:rPr>
                <w:rFonts w:hint="eastAsia" w:ascii="仿宋_GB2312" w:hAnsi="仿宋_GB2312" w:eastAsia="仿宋_GB2312" w:cs="仿宋_GB2312"/>
                <w:i w:val="0"/>
                <w:color w:val="000000"/>
                <w:sz w:val="24"/>
                <w:szCs w:val="24"/>
                <w:u w:val="none"/>
                <w:lang w:val="en-US" w:eastAsia="zh-CN"/>
              </w:rPr>
            </w:pPr>
            <w:r>
              <w:rPr>
                <w:rFonts w:hint="eastAsia" w:ascii="仿宋_GB2312" w:hAnsi="仿宋_GB2312" w:eastAsia="仿宋_GB2312" w:cs="仿宋_GB2312"/>
                <w:i w:val="0"/>
                <w:color w:val="000000"/>
                <w:sz w:val="24"/>
                <w:szCs w:val="24"/>
                <w:u w:val="none"/>
                <w:lang w:val="en-US" w:eastAsia="zh-CN"/>
              </w:rPr>
              <w:t>元山弃土场配套工程及相关费用</w:t>
            </w:r>
          </w:p>
        </w:tc>
      </w:tr>
      <w:tr w14:paraId="56CAB0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40" w:hRule="atLeast"/>
          <w:jc w:val="center"/>
        </w:trPr>
        <w:tc>
          <w:tcPr>
            <w:tcW w:w="379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C8BCF2F">
            <w:pPr>
              <w:keepNext w:val="0"/>
              <w:keepLines w:val="0"/>
              <w:pageBreakBefore w:val="0"/>
              <w:widowControl/>
              <w:suppressLineNumbers w:val="0"/>
              <w:kinsoku/>
              <w:wordWrap/>
              <w:overflowPunct/>
              <w:topLinePunct w:val="0"/>
              <w:autoSpaceDE/>
              <w:autoSpaceDN/>
              <w:bidi w:val="0"/>
              <w:adjustRightInd/>
              <w:snapToGrid/>
              <w:spacing w:line="260" w:lineRule="exact"/>
              <w:ind w:left="0" w:leftChars="0"/>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预算单位</w:t>
            </w:r>
          </w:p>
        </w:tc>
        <w:tc>
          <w:tcPr>
            <w:tcW w:w="524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D146B10">
            <w:pPr>
              <w:keepNext w:val="0"/>
              <w:keepLines w:val="0"/>
              <w:pageBreakBefore w:val="0"/>
              <w:kinsoku/>
              <w:wordWrap/>
              <w:overflowPunct/>
              <w:topLinePunct w:val="0"/>
              <w:autoSpaceDE/>
              <w:autoSpaceDN/>
              <w:bidi w:val="0"/>
              <w:adjustRightInd/>
              <w:snapToGrid/>
              <w:spacing w:line="260" w:lineRule="exact"/>
              <w:ind w:left="0" w:leftChars="0"/>
              <w:jc w:val="center"/>
              <w:rPr>
                <w:rFonts w:hint="eastAsia" w:ascii="仿宋_GB2312" w:hAnsi="仿宋_GB2312" w:eastAsia="仿宋_GB2312" w:cs="仿宋_GB2312"/>
                <w:i w:val="0"/>
                <w:color w:val="000000"/>
                <w:sz w:val="24"/>
                <w:szCs w:val="24"/>
                <w:u w:val="none"/>
                <w:lang w:val="en-US" w:eastAsia="zh-CN"/>
              </w:rPr>
            </w:pPr>
            <w:r>
              <w:rPr>
                <w:rFonts w:hint="eastAsia" w:ascii="仿宋_GB2312" w:hAnsi="仿宋_GB2312" w:eastAsia="仿宋_GB2312" w:cs="仿宋_GB2312"/>
                <w:i w:val="0"/>
                <w:color w:val="000000"/>
                <w:sz w:val="24"/>
                <w:szCs w:val="24"/>
                <w:u w:val="none"/>
              </w:rPr>
              <w:t>广元市自然资源</w:t>
            </w:r>
            <w:r>
              <w:rPr>
                <w:rFonts w:hint="eastAsia" w:ascii="仿宋_GB2312" w:hAnsi="仿宋_GB2312" w:eastAsia="仿宋_GB2312" w:cs="仿宋_GB2312"/>
                <w:i w:val="0"/>
                <w:color w:val="000000"/>
                <w:sz w:val="24"/>
                <w:szCs w:val="24"/>
                <w:u w:val="none"/>
                <w:lang w:val="en-US" w:eastAsia="zh-CN"/>
              </w:rPr>
              <w:t>局</w:t>
            </w:r>
          </w:p>
        </w:tc>
      </w:tr>
      <w:tr w14:paraId="3A5CE8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40" w:hRule="atLeast"/>
          <w:jc w:val="center"/>
        </w:trPr>
        <w:tc>
          <w:tcPr>
            <w:tcW w:w="379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6417A3D">
            <w:pPr>
              <w:keepNext w:val="0"/>
              <w:keepLines w:val="0"/>
              <w:pageBreakBefore w:val="0"/>
              <w:widowControl/>
              <w:suppressLineNumbers w:val="0"/>
              <w:kinsoku/>
              <w:wordWrap/>
              <w:overflowPunct/>
              <w:topLinePunct w:val="0"/>
              <w:autoSpaceDE/>
              <w:autoSpaceDN/>
              <w:bidi w:val="0"/>
              <w:adjustRightInd/>
              <w:snapToGrid/>
              <w:spacing w:line="260" w:lineRule="exact"/>
              <w:ind w:left="0" w:leftChars="0"/>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项目类型</w:t>
            </w:r>
          </w:p>
        </w:tc>
        <w:tc>
          <w:tcPr>
            <w:tcW w:w="524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D3B87C5">
            <w:pPr>
              <w:keepNext w:val="0"/>
              <w:keepLines w:val="0"/>
              <w:pageBreakBefore w:val="0"/>
              <w:kinsoku/>
              <w:wordWrap/>
              <w:overflowPunct/>
              <w:topLinePunct w:val="0"/>
              <w:autoSpaceDE/>
              <w:autoSpaceDN/>
              <w:bidi w:val="0"/>
              <w:adjustRightInd/>
              <w:snapToGrid/>
              <w:spacing w:line="260" w:lineRule="exact"/>
              <w:ind w:left="0" w:leftChars="0"/>
              <w:jc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sz w:val="24"/>
                <w:szCs w:val="24"/>
                <w:u w:val="none"/>
                <w:lang w:eastAsia="zh-CN"/>
              </w:rPr>
              <w:t>专项预算项目</w:t>
            </w:r>
          </w:p>
        </w:tc>
      </w:tr>
      <w:tr w14:paraId="10A4EB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40" w:hRule="atLeast"/>
          <w:jc w:val="center"/>
        </w:trPr>
        <w:tc>
          <w:tcPr>
            <w:tcW w:w="5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AD8872">
            <w:pPr>
              <w:keepNext w:val="0"/>
              <w:keepLines w:val="0"/>
              <w:pageBreakBefore w:val="0"/>
              <w:widowControl/>
              <w:suppressLineNumbers w:val="0"/>
              <w:kinsoku/>
              <w:wordWrap/>
              <w:overflowPunct/>
              <w:topLinePunct w:val="0"/>
              <w:autoSpaceDE/>
              <w:autoSpaceDN/>
              <w:bidi w:val="0"/>
              <w:adjustRightInd/>
              <w:snapToGrid/>
              <w:spacing w:line="260" w:lineRule="exact"/>
              <w:ind w:left="0" w:leftChars="0"/>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项目 概况</w:t>
            </w:r>
          </w:p>
        </w:tc>
        <w:tc>
          <w:tcPr>
            <w:tcW w:w="32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0FB9D54">
            <w:pPr>
              <w:keepNext w:val="0"/>
              <w:keepLines w:val="0"/>
              <w:pageBreakBefore w:val="0"/>
              <w:widowControl/>
              <w:suppressLineNumbers w:val="0"/>
              <w:kinsoku/>
              <w:wordWrap/>
              <w:overflowPunct/>
              <w:topLinePunct w:val="0"/>
              <w:autoSpaceDE/>
              <w:autoSpaceDN/>
              <w:bidi w:val="0"/>
              <w:adjustRightInd/>
              <w:snapToGrid/>
              <w:spacing w:line="26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中长期规划（名称、文号，仅指</w:t>
            </w:r>
          </w:p>
          <w:p w14:paraId="4987892D">
            <w:pPr>
              <w:keepNext w:val="0"/>
              <w:keepLines w:val="0"/>
              <w:pageBreakBefore w:val="0"/>
              <w:widowControl/>
              <w:suppressLineNumbers w:val="0"/>
              <w:kinsoku/>
              <w:wordWrap/>
              <w:overflowPunct/>
              <w:topLinePunct w:val="0"/>
              <w:autoSpaceDE/>
              <w:autoSpaceDN/>
              <w:bidi w:val="0"/>
              <w:adjustRightInd/>
              <w:snapToGrid/>
              <w:spacing w:line="260" w:lineRule="exact"/>
              <w:ind w:left="0" w:leftChars="0"/>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常年项目）</w:t>
            </w:r>
          </w:p>
        </w:tc>
        <w:tc>
          <w:tcPr>
            <w:tcW w:w="524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F2710E3">
            <w:pPr>
              <w:keepNext w:val="0"/>
              <w:keepLines w:val="0"/>
              <w:pageBreakBefore w:val="0"/>
              <w:kinsoku/>
              <w:wordWrap/>
              <w:overflowPunct/>
              <w:topLinePunct w:val="0"/>
              <w:autoSpaceDE/>
              <w:autoSpaceDN/>
              <w:bidi w:val="0"/>
              <w:adjustRightInd/>
              <w:snapToGrid/>
              <w:spacing w:line="260" w:lineRule="exact"/>
              <w:ind w:left="0" w:leftChars="0"/>
              <w:jc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sz w:val="24"/>
                <w:szCs w:val="24"/>
                <w:u w:val="none"/>
                <w:lang w:val="en-US" w:eastAsia="zh-CN"/>
              </w:rPr>
              <w:t>/</w:t>
            </w:r>
          </w:p>
        </w:tc>
      </w:tr>
      <w:tr w14:paraId="5AD3C5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40" w:hRule="atLeast"/>
          <w:jc w:val="center"/>
        </w:trPr>
        <w:tc>
          <w:tcPr>
            <w:tcW w:w="5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85EF4D">
            <w:pPr>
              <w:keepNext w:val="0"/>
              <w:keepLines w:val="0"/>
              <w:pageBreakBefore w:val="0"/>
              <w:kinsoku/>
              <w:wordWrap/>
              <w:overflowPunct/>
              <w:topLinePunct w:val="0"/>
              <w:autoSpaceDE/>
              <w:autoSpaceDN/>
              <w:bidi w:val="0"/>
              <w:adjustRightInd/>
              <w:snapToGrid/>
              <w:spacing w:line="260" w:lineRule="exact"/>
              <w:ind w:left="0" w:leftChars="0"/>
              <w:jc w:val="center"/>
              <w:rPr>
                <w:rFonts w:hint="eastAsia" w:ascii="仿宋_GB2312" w:hAnsi="仿宋_GB2312" w:eastAsia="仿宋_GB2312" w:cs="仿宋_GB2312"/>
                <w:i w:val="0"/>
                <w:color w:val="000000"/>
                <w:sz w:val="24"/>
                <w:szCs w:val="24"/>
                <w:u w:val="none"/>
              </w:rPr>
            </w:pPr>
          </w:p>
        </w:tc>
        <w:tc>
          <w:tcPr>
            <w:tcW w:w="32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72A11CE">
            <w:pPr>
              <w:keepNext w:val="0"/>
              <w:keepLines w:val="0"/>
              <w:pageBreakBefore w:val="0"/>
              <w:widowControl/>
              <w:suppressLineNumbers w:val="0"/>
              <w:kinsoku/>
              <w:wordWrap/>
              <w:overflowPunct/>
              <w:topLinePunct w:val="0"/>
              <w:autoSpaceDE/>
              <w:autoSpaceDN/>
              <w:bidi w:val="0"/>
              <w:adjustRightInd/>
              <w:snapToGrid/>
              <w:spacing w:line="260" w:lineRule="exact"/>
              <w:ind w:left="0" w:leftChars="0"/>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资金管理办法（名称、文号）</w:t>
            </w:r>
          </w:p>
        </w:tc>
        <w:tc>
          <w:tcPr>
            <w:tcW w:w="524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EFD8754">
            <w:pPr>
              <w:keepNext w:val="0"/>
              <w:keepLines w:val="0"/>
              <w:pageBreakBefore w:val="0"/>
              <w:kinsoku/>
              <w:wordWrap/>
              <w:overflowPunct/>
              <w:topLinePunct w:val="0"/>
              <w:autoSpaceDE/>
              <w:autoSpaceDN/>
              <w:bidi w:val="0"/>
              <w:adjustRightInd/>
              <w:snapToGrid/>
              <w:spacing w:line="260" w:lineRule="exact"/>
              <w:ind w:left="0" w:leftChars="0"/>
              <w:jc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sz w:val="24"/>
                <w:szCs w:val="24"/>
                <w:u w:val="none"/>
                <w:lang w:val="en-US" w:eastAsia="zh-CN"/>
              </w:rPr>
              <w:t>广元市自然资源局财务管理制度</w:t>
            </w:r>
          </w:p>
        </w:tc>
      </w:tr>
      <w:tr w14:paraId="44D38F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40" w:hRule="atLeast"/>
          <w:jc w:val="center"/>
        </w:trPr>
        <w:tc>
          <w:tcPr>
            <w:tcW w:w="5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81447B">
            <w:pPr>
              <w:keepNext w:val="0"/>
              <w:keepLines w:val="0"/>
              <w:pageBreakBefore w:val="0"/>
              <w:kinsoku/>
              <w:wordWrap/>
              <w:overflowPunct/>
              <w:topLinePunct w:val="0"/>
              <w:autoSpaceDE/>
              <w:autoSpaceDN/>
              <w:bidi w:val="0"/>
              <w:adjustRightInd/>
              <w:snapToGrid/>
              <w:spacing w:line="260" w:lineRule="exact"/>
              <w:ind w:left="0" w:leftChars="0"/>
              <w:jc w:val="center"/>
              <w:rPr>
                <w:rFonts w:hint="eastAsia" w:ascii="仿宋_GB2312" w:hAnsi="仿宋_GB2312" w:eastAsia="仿宋_GB2312" w:cs="仿宋_GB2312"/>
                <w:i w:val="0"/>
                <w:color w:val="000000"/>
                <w:sz w:val="24"/>
                <w:szCs w:val="24"/>
                <w:u w:val="none"/>
              </w:rPr>
            </w:pPr>
          </w:p>
        </w:tc>
        <w:tc>
          <w:tcPr>
            <w:tcW w:w="32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06BEF02">
            <w:pPr>
              <w:keepNext w:val="0"/>
              <w:keepLines w:val="0"/>
              <w:pageBreakBefore w:val="0"/>
              <w:widowControl/>
              <w:suppressLineNumbers w:val="0"/>
              <w:kinsoku/>
              <w:wordWrap/>
              <w:overflowPunct/>
              <w:topLinePunct w:val="0"/>
              <w:autoSpaceDE/>
              <w:autoSpaceDN/>
              <w:bidi w:val="0"/>
              <w:adjustRightInd/>
              <w:snapToGrid/>
              <w:spacing w:line="260" w:lineRule="exact"/>
              <w:ind w:left="0" w:leftChars="0"/>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绩效分配方式</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E1BFB">
            <w:pPr>
              <w:keepNext w:val="0"/>
              <w:keepLines w:val="0"/>
              <w:pageBreakBefore w:val="0"/>
              <w:widowControl/>
              <w:suppressLineNumbers w:val="0"/>
              <w:kinsoku/>
              <w:wordWrap/>
              <w:overflowPunct/>
              <w:topLinePunct w:val="0"/>
              <w:autoSpaceDE/>
              <w:autoSpaceDN/>
              <w:bidi w:val="0"/>
              <w:adjustRightInd/>
              <w:snapToGrid/>
              <w:spacing w:line="260" w:lineRule="exact"/>
              <w:ind w:left="0" w:leftChars="0"/>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sym w:font="Wingdings 2" w:char="00A3"/>
            </w:r>
            <w:r>
              <w:rPr>
                <w:rFonts w:hint="eastAsia" w:ascii="仿宋_GB2312" w:hAnsi="仿宋_GB2312" w:eastAsia="仿宋_GB2312" w:cs="仿宋_GB2312"/>
                <w:i w:val="0"/>
                <w:color w:val="000000"/>
                <w:kern w:val="0"/>
                <w:sz w:val="24"/>
                <w:szCs w:val="24"/>
                <w:u w:val="none"/>
                <w:lang w:val="en-US" w:eastAsia="zh-CN" w:bidi="ar"/>
              </w:rPr>
              <w:t>因素法</w:t>
            </w:r>
          </w:p>
        </w:tc>
        <w:tc>
          <w:tcPr>
            <w:tcW w:w="179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A32778">
            <w:pPr>
              <w:keepNext w:val="0"/>
              <w:keepLines w:val="0"/>
              <w:pageBreakBefore w:val="0"/>
              <w:widowControl/>
              <w:suppressLineNumbers w:val="0"/>
              <w:kinsoku/>
              <w:wordWrap/>
              <w:overflowPunct/>
              <w:topLinePunct w:val="0"/>
              <w:autoSpaceDE/>
              <w:autoSpaceDN/>
              <w:bidi w:val="0"/>
              <w:adjustRightInd/>
              <w:snapToGrid/>
              <w:spacing w:line="260" w:lineRule="exact"/>
              <w:ind w:left="0" w:leftChars="0"/>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£项目法</w:t>
            </w: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EC161">
            <w:pPr>
              <w:keepNext w:val="0"/>
              <w:keepLines w:val="0"/>
              <w:pageBreakBefore w:val="0"/>
              <w:widowControl/>
              <w:suppressLineNumbers w:val="0"/>
              <w:kinsoku/>
              <w:wordWrap/>
              <w:overflowPunct/>
              <w:topLinePunct w:val="0"/>
              <w:autoSpaceDE/>
              <w:autoSpaceDN/>
              <w:bidi w:val="0"/>
              <w:adjustRightInd/>
              <w:snapToGrid/>
              <w:spacing w:line="260" w:lineRule="exact"/>
              <w:ind w:left="0" w:leftChars="0"/>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sym w:font="Wingdings 2" w:char="0052"/>
            </w:r>
            <w:r>
              <w:rPr>
                <w:rFonts w:hint="eastAsia" w:ascii="仿宋_GB2312" w:hAnsi="仿宋_GB2312" w:eastAsia="仿宋_GB2312" w:cs="仿宋_GB2312"/>
                <w:i w:val="0"/>
                <w:color w:val="000000"/>
                <w:kern w:val="0"/>
                <w:sz w:val="24"/>
                <w:szCs w:val="24"/>
                <w:u w:val="none"/>
                <w:lang w:val="en-US" w:eastAsia="zh-CN" w:bidi="ar"/>
              </w:rPr>
              <w:t>据实据效</w:t>
            </w:r>
          </w:p>
        </w:tc>
        <w:tc>
          <w:tcPr>
            <w:tcW w:w="1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CBBF5">
            <w:pPr>
              <w:keepNext w:val="0"/>
              <w:keepLines w:val="0"/>
              <w:pageBreakBefore w:val="0"/>
              <w:widowControl/>
              <w:suppressLineNumbers w:val="0"/>
              <w:kinsoku/>
              <w:wordWrap/>
              <w:overflowPunct/>
              <w:topLinePunct w:val="0"/>
              <w:autoSpaceDE/>
              <w:autoSpaceDN/>
              <w:bidi w:val="0"/>
              <w:adjustRightInd/>
              <w:snapToGrid/>
              <w:spacing w:line="260" w:lineRule="exact"/>
              <w:ind w:left="0" w:leftChars="0"/>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£因素法与项目法相结合</w:t>
            </w:r>
          </w:p>
        </w:tc>
      </w:tr>
      <w:tr w14:paraId="223C69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40" w:hRule="atLeast"/>
          <w:jc w:val="center"/>
        </w:trPr>
        <w:tc>
          <w:tcPr>
            <w:tcW w:w="5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85E09D">
            <w:pPr>
              <w:keepNext w:val="0"/>
              <w:keepLines w:val="0"/>
              <w:pageBreakBefore w:val="0"/>
              <w:kinsoku/>
              <w:wordWrap/>
              <w:overflowPunct/>
              <w:topLinePunct w:val="0"/>
              <w:autoSpaceDE/>
              <w:autoSpaceDN/>
              <w:bidi w:val="0"/>
              <w:adjustRightInd/>
              <w:snapToGrid/>
              <w:spacing w:line="260" w:lineRule="exact"/>
              <w:ind w:left="0" w:leftChars="0"/>
              <w:jc w:val="center"/>
              <w:rPr>
                <w:rFonts w:hint="eastAsia" w:ascii="仿宋_GB2312" w:hAnsi="仿宋_GB2312" w:eastAsia="仿宋_GB2312" w:cs="仿宋_GB2312"/>
                <w:i w:val="0"/>
                <w:color w:val="000000"/>
                <w:sz w:val="24"/>
                <w:szCs w:val="24"/>
                <w:u w:val="none"/>
              </w:rPr>
            </w:pPr>
          </w:p>
        </w:tc>
        <w:tc>
          <w:tcPr>
            <w:tcW w:w="32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E1E02C2">
            <w:pPr>
              <w:keepNext w:val="0"/>
              <w:keepLines w:val="0"/>
              <w:pageBreakBefore w:val="0"/>
              <w:widowControl/>
              <w:suppressLineNumbers w:val="0"/>
              <w:kinsoku/>
              <w:wordWrap/>
              <w:overflowPunct/>
              <w:topLinePunct w:val="0"/>
              <w:autoSpaceDE/>
              <w:autoSpaceDN/>
              <w:bidi w:val="0"/>
              <w:adjustRightInd/>
              <w:snapToGrid/>
              <w:spacing w:line="260" w:lineRule="exact"/>
              <w:ind w:left="0" w:leftChars="0"/>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立项依据</w:t>
            </w:r>
          </w:p>
        </w:tc>
        <w:tc>
          <w:tcPr>
            <w:tcW w:w="524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4AA2CFD">
            <w:pPr>
              <w:keepNext w:val="0"/>
              <w:keepLines w:val="0"/>
              <w:pageBreakBefore w:val="0"/>
              <w:kinsoku/>
              <w:wordWrap/>
              <w:overflowPunct/>
              <w:topLinePunct w:val="0"/>
              <w:autoSpaceDE/>
              <w:autoSpaceDN/>
              <w:bidi w:val="0"/>
              <w:adjustRightInd/>
              <w:snapToGrid/>
              <w:spacing w:line="260" w:lineRule="exact"/>
              <w:ind w:left="0" w:leftChars="0"/>
              <w:jc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sz w:val="24"/>
                <w:szCs w:val="24"/>
                <w:u w:val="none"/>
                <w:lang w:val="en-US" w:eastAsia="zh-CN"/>
              </w:rPr>
              <w:t>根据市人民政府《研究市城区弃土场建设有关问题的纪要》（广府阅〔2015〕44号）及市人民政府办公室《关于进一步加强市城区弃土场建设管理的通知》（广府办函〔2015〕107号）</w:t>
            </w:r>
          </w:p>
        </w:tc>
      </w:tr>
      <w:tr w14:paraId="4DCD34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40" w:hRule="atLeast"/>
          <w:jc w:val="center"/>
        </w:trPr>
        <w:tc>
          <w:tcPr>
            <w:tcW w:w="5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BE3617">
            <w:pPr>
              <w:keepNext w:val="0"/>
              <w:keepLines w:val="0"/>
              <w:pageBreakBefore w:val="0"/>
              <w:kinsoku/>
              <w:wordWrap/>
              <w:overflowPunct/>
              <w:topLinePunct w:val="0"/>
              <w:autoSpaceDE/>
              <w:autoSpaceDN/>
              <w:bidi w:val="0"/>
              <w:adjustRightInd/>
              <w:snapToGrid/>
              <w:spacing w:line="260" w:lineRule="exact"/>
              <w:ind w:left="0" w:leftChars="0"/>
              <w:jc w:val="center"/>
              <w:rPr>
                <w:rFonts w:hint="eastAsia" w:ascii="仿宋_GB2312" w:hAnsi="仿宋_GB2312" w:eastAsia="仿宋_GB2312" w:cs="仿宋_GB2312"/>
                <w:i w:val="0"/>
                <w:color w:val="000000"/>
                <w:sz w:val="24"/>
                <w:szCs w:val="24"/>
                <w:u w:val="none"/>
              </w:rPr>
            </w:pPr>
          </w:p>
        </w:tc>
        <w:tc>
          <w:tcPr>
            <w:tcW w:w="32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9E6862E">
            <w:pPr>
              <w:keepNext w:val="0"/>
              <w:keepLines w:val="0"/>
              <w:pageBreakBefore w:val="0"/>
              <w:widowControl/>
              <w:suppressLineNumbers w:val="0"/>
              <w:kinsoku/>
              <w:wordWrap/>
              <w:overflowPunct/>
              <w:topLinePunct w:val="0"/>
              <w:autoSpaceDE/>
              <w:autoSpaceDN/>
              <w:bidi w:val="0"/>
              <w:adjustRightInd/>
              <w:snapToGrid/>
              <w:spacing w:line="260" w:lineRule="exact"/>
              <w:ind w:left="0" w:leftChars="0"/>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使用范围</w:t>
            </w:r>
          </w:p>
        </w:tc>
        <w:tc>
          <w:tcPr>
            <w:tcW w:w="524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943AEF8">
            <w:pPr>
              <w:keepNext w:val="0"/>
              <w:keepLines w:val="0"/>
              <w:pageBreakBefore w:val="0"/>
              <w:kinsoku/>
              <w:wordWrap/>
              <w:overflowPunct/>
              <w:topLinePunct w:val="0"/>
              <w:autoSpaceDE/>
              <w:autoSpaceDN/>
              <w:bidi w:val="0"/>
              <w:adjustRightInd/>
              <w:snapToGrid/>
              <w:spacing w:line="260" w:lineRule="exact"/>
              <w:ind w:left="0" w:leftChars="0"/>
              <w:jc w:val="center"/>
              <w:rPr>
                <w:rFonts w:hint="eastAsia" w:ascii="仿宋_GB2312" w:hAnsi="仿宋_GB2312" w:eastAsia="仿宋_GB2312" w:cs="仿宋_GB2312"/>
                <w:i w:val="0"/>
                <w:color w:val="000000"/>
                <w:sz w:val="24"/>
                <w:szCs w:val="24"/>
                <w:u w:val="none"/>
                <w:lang w:val="en-US" w:eastAsia="zh-CN"/>
              </w:rPr>
            </w:pPr>
            <w:r>
              <w:rPr>
                <w:rFonts w:hint="eastAsia" w:ascii="仿宋_GB2312" w:hAnsi="仿宋_GB2312" w:eastAsia="仿宋_GB2312" w:cs="仿宋_GB2312"/>
                <w:i w:val="0"/>
                <w:color w:val="000000"/>
                <w:sz w:val="24"/>
                <w:szCs w:val="24"/>
                <w:u w:val="none"/>
                <w:lang w:val="en-US" w:eastAsia="zh-CN"/>
              </w:rPr>
              <w:t>工程款</w:t>
            </w:r>
          </w:p>
        </w:tc>
      </w:tr>
      <w:tr w14:paraId="4206C7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40" w:hRule="atLeast"/>
          <w:jc w:val="center"/>
        </w:trPr>
        <w:tc>
          <w:tcPr>
            <w:tcW w:w="5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0E6C2B">
            <w:pPr>
              <w:keepNext w:val="0"/>
              <w:keepLines w:val="0"/>
              <w:pageBreakBefore w:val="0"/>
              <w:kinsoku/>
              <w:wordWrap/>
              <w:overflowPunct/>
              <w:topLinePunct w:val="0"/>
              <w:autoSpaceDE/>
              <w:autoSpaceDN/>
              <w:bidi w:val="0"/>
              <w:adjustRightInd/>
              <w:snapToGrid/>
              <w:spacing w:line="260" w:lineRule="exact"/>
              <w:ind w:left="0" w:leftChars="0"/>
              <w:jc w:val="center"/>
              <w:rPr>
                <w:rFonts w:hint="eastAsia" w:ascii="仿宋_GB2312" w:hAnsi="仿宋_GB2312" w:eastAsia="仿宋_GB2312" w:cs="仿宋_GB2312"/>
                <w:i w:val="0"/>
                <w:color w:val="000000"/>
                <w:sz w:val="24"/>
                <w:szCs w:val="24"/>
                <w:u w:val="none"/>
              </w:rPr>
            </w:pPr>
          </w:p>
        </w:tc>
        <w:tc>
          <w:tcPr>
            <w:tcW w:w="32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8D693C8">
            <w:pPr>
              <w:keepNext w:val="0"/>
              <w:keepLines w:val="0"/>
              <w:pageBreakBefore w:val="0"/>
              <w:widowControl/>
              <w:suppressLineNumbers w:val="0"/>
              <w:kinsoku/>
              <w:wordWrap/>
              <w:overflowPunct/>
              <w:topLinePunct w:val="0"/>
              <w:autoSpaceDE/>
              <w:autoSpaceDN/>
              <w:bidi w:val="0"/>
              <w:adjustRightInd/>
              <w:snapToGrid/>
              <w:spacing w:line="260" w:lineRule="exact"/>
              <w:ind w:left="0" w:leftChars="0"/>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申报（补助）条件</w:t>
            </w:r>
          </w:p>
        </w:tc>
        <w:tc>
          <w:tcPr>
            <w:tcW w:w="524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6AF5B8F">
            <w:pPr>
              <w:keepNext w:val="0"/>
              <w:keepLines w:val="0"/>
              <w:pageBreakBefore w:val="0"/>
              <w:kinsoku/>
              <w:wordWrap/>
              <w:overflowPunct/>
              <w:topLinePunct w:val="0"/>
              <w:autoSpaceDE/>
              <w:autoSpaceDN/>
              <w:bidi w:val="0"/>
              <w:adjustRightInd/>
              <w:snapToGrid/>
              <w:spacing w:line="260" w:lineRule="exact"/>
              <w:ind w:left="0" w:leftChars="0"/>
              <w:jc w:val="center"/>
              <w:rPr>
                <w:rFonts w:hint="eastAsia" w:ascii="仿宋_GB2312" w:hAnsi="仿宋_GB2312" w:eastAsia="仿宋_GB2312" w:cs="仿宋_GB2312"/>
                <w:i w:val="0"/>
                <w:color w:val="000000"/>
                <w:sz w:val="24"/>
                <w:szCs w:val="24"/>
                <w:u w:val="none"/>
              </w:rPr>
            </w:pPr>
          </w:p>
        </w:tc>
      </w:tr>
      <w:tr w14:paraId="69DF80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40" w:hRule="atLeast"/>
          <w:jc w:val="center"/>
        </w:trPr>
        <w:tc>
          <w:tcPr>
            <w:tcW w:w="5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60BFD1">
            <w:pPr>
              <w:keepNext w:val="0"/>
              <w:keepLines w:val="0"/>
              <w:pageBreakBefore w:val="0"/>
              <w:kinsoku/>
              <w:wordWrap/>
              <w:overflowPunct/>
              <w:topLinePunct w:val="0"/>
              <w:autoSpaceDE/>
              <w:autoSpaceDN/>
              <w:bidi w:val="0"/>
              <w:adjustRightInd/>
              <w:snapToGrid/>
              <w:spacing w:line="260" w:lineRule="exact"/>
              <w:ind w:left="0" w:leftChars="0"/>
              <w:jc w:val="center"/>
              <w:rPr>
                <w:rFonts w:hint="eastAsia" w:ascii="仿宋_GB2312" w:hAnsi="仿宋_GB2312" w:eastAsia="仿宋_GB2312" w:cs="仿宋_GB2312"/>
                <w:i w:val="0"/>
                <w:color w:val="000000"/>
                <w:sz w:val="24"/>
                <w:szCs w:val="24"/>
                <w:u w:val="none"/>
              </w:rPr>
            </w:pPr>
          </w:p>
        </w:tc>
        <w:tc>
          <w:tcPr>
            <w:tcW w:w="32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F2C5062">
            <w:pPr>
              <w:keepNext w:val="0"/>
              <w:keepLines w:val="0"/>
              <w:pageBreakBefore w:val="0"/>
              <w:widowControl/>
              <w:suppressLineNumbers w:val="0"/>
              <w:kinsoku/>
              <w:wordWrap/>
              <w:overflowPunct/>
              <w:topLinePunct w:val="0"/>
              <w:autoSpaceDE/>
              <w:autoSpaceDN/>
              <w:bidi w:val="0"/>
              <w:adjustRightInd/>
              <w:snapToGrid/>
              <w:spacing w:line="260" w:lineRule="exact"/>
              <w:ind w:left="0" w:leftChars="0"/>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项目起止年限</w:t>
            </w:r>
          </w:p>
        </w:tc>
        <w:tc>
          <w:tcPr>
            <w:tcW w:w="524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9B93CB0">
            <w:pPr>
              <w:keepNext w:val="0"/>
              <w:keepLines w:val="0"/>
              <w:pageBreakBefore w:val="0"/>
              <w:kinsoku/>
              <w:wordWrap/>
              <w:overflowPunct/>
              <w:topLinePunct w:val="0"/>
              <w:autoSpaceDE/>
              <w:autoSpaceDN/>
              <w:bidi w:val="0"/>
              <w:adjustRightInd/>
              <w:snapToGrid/>
              <w:spacing w:line="260" w:lineRule="exact"/>
              <w:ind w:left="0" w:leftChars="0"/>
              <w:jc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sz w:val="24"/>
                <w:szCs w:val="24"/>
                <w:u w:val="none"/>
                <w:lang w:val="en-US" w:eastAsia="zh-CN"/>
              </w:rPr>
              <w:t>2023-2023</w:t>
            </w:r>
          </w:p>
        </w:tc>
      </w:tr>
      <w:tr w14:paraId="51F3E7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40" w:hRule="atLeast"/>
          <w:jc w:val="center"/>
        </w:trPr>
        <w:tc>
          <w:tcPr>
            <w:tcW w:w="1531"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0E4429">
            <w:pPr>
              <w:keepNext w:val="0"/>
              <w:keepLines w:val="0"/>
              <w:pageBreakBefore w:val="0"/>
              <w:widowControl/>
              <w:suppressLineNumbers w:val="0"/>
              <w:kinsoku/>
              <w:wordWrap/>
              <w:overflowPunct/>
              <w:topLinePunct w:val="0"/>
              <w:autoSpaceDE/>
              <w:autoSpaceDN/>
              <w:bidi w:val="0"/>
              <w:adjustRightInd/>
              <w:snapToGrid/>
              <w:spacing w:line="26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项目资金</w:t>
            </w:r>
          </w:p>
          <w:p w14:paraId="64A95F65">
            <w:pPr>
              <w:keepNext w:val="0"/>
              <w:keepLines w:val="0"/>
              <w:pageBreakBefore w:val="0"/>
              <w:widowControl/>
              <w:suppressLineNumbers w:val="0"/>
              <w:kinsoku/>
              <w:wordWrap/>
              <w:overflowPunct/>
              <w:topLinePunct w:val="0"/>
              <w:autoSpaceDE/>
              <w:autoSpaceDN/>
              <w:bidi w:val="0"/>
              <w:adjustRightInd/>
              <w:snapToGrid/>
              <w:spacing w:line="260" w:lineRule="exact"/>
              <w:ind w:left="0" w:leftChars="0"/>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（万元）</w:t>
            </w:r>
          </w:p>
        </w:tc>
        <w:tc>
          <w:tcPr>
            <w:tcW w:w="226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CC4D21">
            <w:pPr>
              <w:keepNext w:val="0"/>
              <w:keepLines w:val="0"/>
              <w:pageBreakBefore w:val="0"/>
              <w:widowControl/>
              <w:suppressLineNumbers w:val="0"/>
              <w:kinsoku/>
              <w:wordWrap/>
              <w:overflowPunct/>
              <w:topLinePunct w:val="0"/>
              <w:autoSpaceDE/>
              <w:autoSpaceDN/>
              <w:bidi w:val="0"/>
              <w:adjustRightInd/>
              <w:snapToGrid/>
              <w:spacing w:line="260" w:lineRule="exact"/>
              <w:ind w:left="0" w:leftChars="0"/>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年度资金总额：</w:t>
            </w:r>
          </w:p>
        </w:tc>
        <w:tc>
          <w:tcPr>
            <w:tcW w:w="524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C398F1B">
            <w:pPr>
              <w:keepNext w:val="0"/>
              <w:keepLines w:val="0"/>
              <w:pageBreakBefore w:val="0"/>
              <w:kinsoku/>
              <w:wordWrap/>
              <w:overflowPunct/>
              <w:topLinePunct w:val="0"/>
              <w:autoSpaceDE/>
              <w:autoSpaceDN/>
              <w:bidi w:val="0"/>
              <w:adjustRightInd/>
              <w:snapToGrid/>
              <w:spacing w:line="260" w:lineRule="exact"/>
              <w:ind w:left="0" w:leftChars="0"/>
              <w:jc w:val="center"/>
              <w:rPr>
                <w:rFonts w:hint="eastAsia" w:ascii="仿宋_GB2312" w:hAnsi="仿宋_GB2312" w:eastAsia="仿宋_GB2312" w:cs="仿宋_GB2312"/>
                <w:i w:val="0"/>
                <w:color w:val="000000"/>
                <w:sz w:val="24"/>
                <w:szCs w:val="24"/>
                <w:u w:val="none"/>
                <w:lang w:val="en-US" w:eastAsia="zh-CN"/>
              </w:rPr>
            </w:pPr>
            <w:r>
              <w:rPr>
                <w:rFonts w:hint="eastAsia" w:ascii="仿宋_GB2312" w:hAnsi="仿宋_GB2312" w:eastAsia="仿宋_GB2312" w:cs="仿宋_GB2312"/>
                <w:i w:val="0"/>
                <w:color w:val="000000"/>
                <w:sz w:val="24"/>
                <w:szCs w:val="24"/>
                <w:u w:val="none"/>
                <w:lang w:val="en-US" w:eastAsia="zh-CN"/>
              </w:rPr>
              <w:t>500</w:t>
            </w:r>
          </w:p>
        </w:tc>
      </w:tr>
      <w:tr w14:paraId="230D7A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40" w:hRule="atLeast"/>
          <w:jc w:val="center"/>
        </w:trPr>
        <w:tc>
          <w:tcPr>
            <w:tcW w:w="153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FD6F7A">
            <w:pPr>
              <w:keepNext w:val="0"/>
              <w:keepLines w:val="0"/>
              <w:pageBreakBefore w:val="0"/>
              <w:kinsoku/>
              <w:wordWrap/>
              <w:overflowPunct/>
              <w:topLinePunct w:val="0"/>
              <w:autoSpaceDE/>
              <w:autoSpaceDN/>
              <w:bidi w:val="0"/>
              <w:adjustRightInd/>
              <w:snapToGrid/>
              <w:spacing w:line="260" w:lineRule="exact"/>
              <w:ind w:left="0" w:leftChars="0"/>
              <w:jc w:val="center"/>
              <w:rPr>
                <w:rFonts w:hint="eastAsia" w:ascii="仿宋_GB2312" w:hAnsi="仿宋_GB2312" w:eastAsia="仿宋_GB2312" w:cs="仿宋_GB2312"/>
                <w:i w:val="0"/>
                <w:color w:val="000000"/>
                <w:sz w:val="24"/>
                <w:szCs w:val="24"/>
                <w:u w:val="none"/>
              </w:rPr>
            </w:pPr>
          </w:p>
        </w:tc>
        <w:tc>
          <w:tcPr>
            <w:tcW w:w="226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979ED8">
            <w:pPr>
              <w:keepNext w:val="0"/>
              <w:keepLines w:val="0"/>
              <w:pageBreakBefore w:val="0"/>
              <w:widowControl/>
              <w:suppressLineNumbers w:val="0"/>
              <w:kinsoku/>
              <w:wordWrap/>
              <w:overflowPunct/>
              <w:topLinePunct w:val="0"/>
              <w:autoSpaceDE/>
              <w:autoSpaceDN/>
              <w:bidi w:val="0"/>
              <w:adjustRightInd/>
              <w:snapToGrid/>
              <w:spacing w:line="260" w:lineRule="exact"/>
              <w:ind w:left="0" w:leftChars="0"/>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其中：财政拨款</w:t>
            </w:r>
          </w:p>
        </w:tc>
        <w:tc>
          <w:tcPr>
            <w:tcW w:w="524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5A12431">
            <w:pPr>
              <w:keepNext w:val="0"/>
              <w:keepLines w:val="0"/>
              <w:pageBreakBefore w:val="0"/>
              <w:kinsoku/>
              <w:wordWrap/>
              <w:overflowPunct/>
              <w:topLinePunct w:val="0"/>
              <w:autoSpaceDE/>
              <w:autoSpaceDN/>
              <w:bidi w:val="0"/>
              <w:adjustRightInd/>
              <w:snapToGrid/>
              <w:spacing w:line="260" w:lineRule="exact"/>
              <w:ind w:left="0" w:leftChars="0"/>
              <w:jc w:val="center"/>
              <w:rPr>
                <w:rFonts w:hint="eastAsia" w:ascii="仿宋_GB2312" w:hAnsi="仿宋_GB2312" w:eastAsia="仿宋_GB2312" w:cs="仿宋_GB2312"/>
                <w:i w:val="0"/>
                <w:color w:val="000000"/>
                <w:sz w:val="24"/>
                <w:szCs w:val="24"/>
                <w:u w:val="none"/>
                <w:lang w:val="en-US" w:eastAsia="zh-CN"/>
              </w:rPr>
            </w:pPr>
            <w:r>
              <w:rPr>
                <w:rFonts w:hint="eastAsia" w:ascii="仿宋_GB2312" w:hAnsi="仿宋_GB2312" w:eastAsia="仿宋_GB2312" w:cs="仿宋_GB2312"/>
                <w:i w:val="0"/>
                <w:color w:val="000000"/>
                <w:sz w:val="24"/>
                <w:szCs w:val="24"/>
                <w:u w:val="none"/>
                <w:lang w:val="en-US" w:eastAsia="zh-CN"/>
              </w:rPr>
              <w:t>500</w:t>
            </w:r>
          </w:p>
        </w:tc>
      </w:tr>
      <w:tr w14:paraId="1DBF67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40" w:hRule="atLeast"/>
          <w:jc w:val="center"/>
        </w:trPr>
        <w:tc>
          <w:tcPr>
            <w:tcW w:w="153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6B1FCC">
            <w:pPr>
              <w:keepNext w:val="0"/>
              <w:keepLines w:val="0"/>
              <w:pageBreakBefore w:val="0"/>
              <w:kinsoku/>
              <w:wordWrap/>
              <w:overflowPunct/>
              <w:topLinePunct w:val="0"/>
              <w:autoSpaceDE/>
              <w:autoSpaceDN/>
              <w:bidi w:val="0"/>
              <w:adjustRightInd/>
              <w:snapToGrid/>
              <w:spacing w:line="260" w:lineRule="exact"/>
              <w:ind w:left="0" w:leftChars="0"/>
              <w:jc w:val="center"/>
              <w:rPr>
                <w:rFonts w:hint="eastAsia" w:ascii="仿宋_GB2312" w:hAnsi="仿宋_GB2312" w:eastAsia="仿宋_GB2312" w:cs="仿宋_GB2312"/>
                <w:i w:val="0"/>
                <w:color w:val="000000"/>
                <w:sz w:val="24"/>
                <w:szCs w:val="24"/>
                <w:u w:val="none"/>
              </w:rPr>
            </w:pPr>
          </w:p>
        </w:tc>
        <w:tc>
          <w:tcPr>
            <w:tcW w:w="226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10A60E">
            <w:pPr>
              <w:keepNext w:val="0"/>
              <w:keepLines w:val="0"/>
              <w:pageBreakBefore w:val="0"/>
              <w:widowControl/>
              <w:suppressLineNumbers w:val="0"/>
              <w:kinsoku/>
              <w:wordWrap/>
              <w:overflowPunct/>
              <w:topLinePunct w:val="0"/>
              <w:autoSpaceDE/>
              <w:autoSpaceDN/>
              <w:bidi w:val="0"/>
              <w:adjustRightInd/>
              <w:snapToGrid/>
              <w:spacing w:line="260" w:lineRule="exact"/>
              <w:ind w:left="0" w:leftChars="0"/>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其他资金</w:t>
            </w:r>
          </w:p>
        </w:tc>
        <w:tc>
          <w:tcPr>
            <w:tcW w:w="524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B4E30E6">
            <w:pPr>
              <w:keepNext w:val="0"/>
              <w:keepLines w:val="0"/>
              <w:pageBreakBefore w:val="0"/>
              <w:kinsoku/>
              <w:wordWrap/>
              <w:overflowPunct/>
              <w:topLinePunct w:val="0"/>
              <w:autoSpaceDE/>
              <w:autoSpaceDN/>
              <w:bidi w:val="0"/>
              <w:adjustRightInd/>
              <w:snapToGrid/>
              <w:spacing w:line="260" w:lineRule="exact"/>
              <w:ind w:left="0" w:leftChars="0"/>
              <w:jc w:val="center"/>
              <w:rPr>
                <w:rFonts w:hint="eastAsia" w:ascii="仿宋_GB2312" w:hAnsi="仿宋_GB2312" w:eastAsia="仿宋_GB2312" w:cs="仿宋_GB2312"/>
                <w:i w:val="0"/>
                <w:color w:val="000000"/>
                <w:sz w:val="24"/>
                <w:szCs w:val="24"/>
                <w:u w:val="none"/>
              </w:rPr>
            </w:pPr>
          </w:p>
        </w:tc>
      </w:tr>
      <w:tr w14:paraId="46DD84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40" w:hRule="atLeast"/>
          <w:jc w:val="center"/>
        </w:trPr>
        <w:tc>
          <w:tcPr>
            <w:tcW w:w="5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07A0F3">
            <w:pPr>
              <w:keepNext w:val="0"/>
              <w:keepLines w:val="0"/>
              <w:pageBreakBefore w:val="0"/>
              <w:widowControl/>
              <w:suppressLineNumbers w:val="0"/>
              <w:kinsoku/>
              <w:wordWrap/>
              <w:overflowPunct/>
              <w:topLinePunct w:val="0"/>
              <w:autoSpaceDE/>
              <w:autoSpaceDN/>
              <w:bidi w:val="0"/>
              <w:adjustRightInd/>
              <w:snapToGrid/>
              <w:spacing w:line="260" w:lineRule="exact"/>
              <w:ind w:left="0" w:leftChars="0"/>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总体 目标</w:t>
            </w:r>
          </w:p>
        </w:tc>
        <w:tc>
          <w:tcPr>
            <w:tcW w:w="8464"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1E9ADE1">
            <w:pPr>
              <w:keepNext w:val="0"/>
              <w:keepLines w:val="0"/>
              <w:pageBreakBefore w:val="0"/>
              <w:widowControl/>
              <w:suppressLineNumbers w:val="0"/>
              <w:kinsoku/>
              <w:wordWrap/>
              <w:overflowPunct/>
              <w:topLinePunct w:val="0"/>
              <w:autoSpaceDE/>
              <w:autoSpaceDN/>
              <w:bidi w:val="0"/>
              <w:adjustRightInd/>
              <w:snapToGrid/>
              <w:spacing w:line="260" w:lineRule="exact"/>
              <w:ind w:left="0" w:leftChars="0"/>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年度目标</w:t>
            </w:r>
          </w:p>
        </w:tc>
      </w:tr>
      <w:tr w14:paraId="52CB2A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40" w:hRule="atLeast"/>
          <w:jc w:val="center"/>
        </w:trPr>
        <w:tc>
          <w:tcPr>
            <w:tcW w:w="5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961653">
            <w:pPr>
              <w:keepNext w:val="0"/>
              <w:keepLines w:val="0"/>
              <w:pageBreakBefore w:val="0"/>
              <w:kinsoku/>
              <w:wordWrap/>
              <w:overflowPunct/>
              <w:topLinePunct w:val="0"/>
              <w:autoSpaceDE/>
              <w:autoSpaceDN/>
              <w:bidi w:val="0"/>
              <w:adjustRightInd/>
              <w:snapToGrid/>
              <w:spacing w:line="260" w:lineRule="exact"/>
              <w:ind w:left="0" w:leftChars="0"/>
              <w:jc w:val="center"/>
              <w:rPr>
                <w:rFonts w:hint="eastAsia" w:ascii="仿宋_GB2312" w:hAnsi="仿宋_GB2312" w:eastAsia="仿宋_GB2312" w:cs="仿宋_GB2312"/>
                <w:i w:val="0"/>
                <w:color w:val="000000"/>
                <w:sz w:val="24"/>
                <w:szCs w:val="24"/>
                <w:u w:val="none"/>
              </w:rPr>
            </w:pPr>
          </w:p>
        </w:tc>
        <w:tc>
          <w:tcPr>
            <w:tcW w:w="8464"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BA1C874">
            <w:pPr>
              <w:keepNext w:val="0"/>
              <w:keepLines w:val="0"/>
              <w:pageBreakBefore w:val="0"/>
              <w:kinsoku/>
              <w:wordWrap/>
              <w:overflowPunct/>
              <w:topLinePunct w:val="0"/>
              <w:autoSpaceDE/>
              <w:autoSpaceDN/>
              <w:bidi w:val="0"/>
              <w:adjustRightInd/>
              <w:snapToGrid/>
              <w:spacing w:line="260" w:lineRule="exact"/>
              <w:ind w:left="0" w:leftChars="0"/>
              <w:jc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sz w:val="24"/>
                <w:szCs w:val="24"/>
                <w:u w:val="none"/>
                <w:lang w:val="en-US" w:eastAsia="zh-CN"/>
              </w:rPr>
              <w:t>完成支付元山弃土场及配套工程相关费用500万元，有效解决市城区工程建设项目弃土堆放和利用问题。</w:t>
            </w:r>
          </w:p>
        </w:tc>
      </w:tr>
      <w:tr w14:paraId="297681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40" w:hRule="atLeast"/>
          <w:jc w:val="center"/>
        </w:trPr>
        <w:tc>
          <w:tcPr>
            <w:tcW w:w="575" w:type="dxa"/>
            <w:vMerge w:val="restart"/>
            <w:tcBorders>
              <w:top w:val="single" w:color="000000" w:sz="4" w:space="0"/>
              <w:left w:val="single" w:color="000000" w:sz="4" w:space="0"/>
              <w:bottom w:val="single" w:color="000000" w:sz="4" w:space="0"/>
            </w:tcBorders>
            <w:shd w:val="clear" w:color="auto" w:fill="auto"/>
            <w:vAlign w:val="center"/>
          </w:tcPr>
          <w:p w14:paraId="2901B534">
            <w:pPr>
              <w:keepNext w:val="0"/>
              <w:keepLines w:val="0"/>
              <w:pageBreakBefore w:val="0"/>
              <w:widowControl/>
              <w:suppressLineNumbers w:val="0"/>
              <w:kinsoku/>
              <w:wordWrap/>
              <w:overflowPunct/>
              <w:topLinePunct w:val="0"/>
              <w:autoSpaceDE/>
              <w:autoSpaceDN/>
              <w:bidi w:val="0"/>
              <w:adjustRightInd/>
              <w:snapToGrid/>
              <w:spacing w:line="260" w:lineRule="exact"/>
              <w:ind w:left="0" w:leftChars="0"/>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绩效 指标</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E2F7A">
            <w:pPr>
              <w:keepNext w:val="0"/>
              <w:keepLines w:val="0"/>
              <w:pageBreakBefore w:val="0"/>
              <w:widowControl/>
              <w:suppressLineNumbers w:val="0"/>
              <w:kinsoku/>
              <w:wordWrap/>
              <w:overflowPunct/>
              <w:topLinePunct w:val="0"/>
              <w:autoSpaceDE/>
              <w:autoSpaceDN/>
              <w:bidi w:val="0"/>
              <w:adjustRightInd/>
              <w:snapToGrid/>
              <w:spacing w:line="260" w:lineRule="exact"/>
              <w:ind w:left="0" w:leftChars="0"/>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一级指标</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9A5F2">
            <w:pPr>
              <w:keepNext w:val="0"/>
              <w:keepLines w:val="0"/>
              <w:pageBreakBefore w:val="0"/>
              <w:widowControl/>
              <w:suppressLineNumbers w:val="0"/>
              <w:kinsoku/>
              <w:wordWrap/>
              <w:overflowPunct/>
              <w:topLinePunct w:val="0"/>
              <w:autoSpaceDE/>
              <w:autoSpaceDN/>
              <w:bidi w:val="0"/>
              <w:adjustRightInd/>
              <w:snapToGrid/>
              <w:spacing w:line="260" w:lineRule="exact"/>
              <w:ind w:left="0" w:leftChars="0"/>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二级指标</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7C8E5">
            <w:pPr>
              <w:keepNext w:val="0"/>
              <w:keepLines w:val="0"/>
              <w:pageBreakBefore w:val="0"/>
              <w:widowControl/>
              <w:suppressLineNumbers w:val="0"/>
              <w:kinsoku/>
              <w:wordWrap/>
              <w:overflowPunct/>
              <w:topLinePunct w:val="0"/>
              <w:autoSpaceDE/>
              <w:autoSpaceDN/>
              <w:bidi w:val="0"/>
              <w:adjustRightInd/>
              <w:snapToGrid/>
              <w:spacing w:line="260" w:lineRule="exact"/>
              <w:ind w:left="0" w:leftChars="0"/>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三级指标</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09336">
            <w:pPr>
              <w:keepNext w:val="0"/>
              <w:keepLines w:val="0"/>
              <w:pageBreakBefore w:val="0"/>
              <w:widowControl/>
              <w:suppressLineNumbers w:val="0"/>
              <w:kinsoku/>
              <w:wordWrap/>
              <w:overflowPunct/>
              <w:topLinePunct w:val="0"/>
              <w:autoSpaceDE/>
              <w:autoSpaceDN/>
              <w:bidi w:val="0"/>
              <w:adjustRightInd/>
              <w:snapToGrid/>
              <w:spacing w:line="260" w:lineRule="exact"/>
              <w:ind w:left="0" w:leftChars="0"/>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指标性质</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2EC4E">
            <w:pPr>
              <w:keepNext w:val="0"/>
              <w:keepLines w:val="0"/>
              <w:pageBreakBefore w:val="0"/>
              <w:widowControl/>
              <w:suppressLineNumbers w:val="0"/>
              <w:kinsoku/>
              <w:wordWrap/>
              <w:overflowPunct/>
              <w:topLinePunct w:val="0"/>
              <w:autoSpaceDE/>
              <w:autoSpaceDN/>
              <w:bidi w:val="0"/>
              <w:adjustRightInd/>
              <w:snapToGrid/>
              <w:spacing w:line="260" w:lineRule="exact"/>
              <w:ind w:left="0" w:leftChars="0"/>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指标值</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4ED58">
            <w:pPr>
              <w:keepNext w:val="0"/>
              <w:keepLines w:val="0"/>
              <w:pageBreakBefore w:val="0"/>
              <w:widowControl/>
              <w:suppressLineNumbers w:val="0"/>
              <w:kinsoku/>
              <w:wordWrap/>
              <w:overflowPunct/>
              <w:topLinePunct w:val="0"/>
              <w:autoSpaceDE/>
              <w:autoSpaceDN/>
              <w:bidi w:val="0"/>
              <w:adjustRightInd/>
              <w:snapToGrid/>
              <w:spacing w:line="260" w:lineRule="exact"/>
              <w:ind w:left="0" w:leftChars="0"/>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度量单位</w:t>
            </w: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A6958">
            <w:pPr>
              <w:keepNext w:val="0"/>
              <w:keepLines w:val="0"/>
              <w:pageBreakBefore w:val="0"/>
              <w:widowControl/>
              <w:suppressLineNumbers w:val="0"/>
              <w:kinsoku/>
              <w:wordWrap/>
              <w:overflowPunct/>
              <w:topLinePunct w:val="0"/>
              <w:autoSpaceDE/>
              <w:autoSpaceDN/>
              <w:bidi w:val="0"/>
              <w:adjustRightInd/>
              <w:snapToGrid/>
              <w:spacing w:line="260" w:lineRule="exact"/>
              <w:ind w:left="0" w:leftChars="0"/>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权重</w:t>
            </w:r>
          </w:p>
        </w:tc>
        <w:tc>
          <w:tcPr>
            <w:tcW w:w="1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E84AB">
            <w:pPr>
              <w:keepNext w:val="0"/>
              <w:keepLines w:val="0"/>
              <w:pageBreakBefore w:val="0"/>
              <w:widowControl/>
              <w:suppressLineNumbers w:val="0"/>
              <w:kinsoku/>
              <w:wordWrap/>
              <w:overflowPunct/>
              <w:topLinePunct w:val="0"/>
              <w:autoSpaceDE/>
              <w:autoSpaceDN/>
              <w:bidi w:val="0"/>
              <w:adjustRightInd/>
              <w:snapToGrid/>
              <w:spacing w:line="260" w:lineRule="exact"/>
              <w:ind w:left="0" w:leftChars="0"/>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实际完成指标值</w:t>
            </w:r>
          </w:p>
        </w:tc>
      </w:tr>
      <w:tr w14:paraId="4709C7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40" w:hRule="atLeast"/>
          <w:jc w:val="center"/>
        </w:trPr>
        <w:tc>
          <w:tcPr>
            <w:tcW w:w="575" w:type="dxa"/>
            <w:vMerge w:val="continue"/>
            <w:tcBorders>
              <w:top w:val="single" w:color="000000" w:sz="4" w:space="0"/>
              <w:left w:val="single" w:color="000000" w:sz="4" w:space="0"/>
              <w:bottom w:val="single" w:color="000000" w:sz="4" w:space="0"/>
            </w:tcBorders>
            <w:shd w:val="clear" w:color="auto" w:fill="auto"/>
            <w:vAlign w:val="center"/>
          </w:tcPr>
          <w:p w14:paraId="6DB44EE4">
            <w:pPr>
              <w:keepNext w:val="0"/>
              <w:keepLines w:val="0"/>
              <w:pageBreakBefore w:val="0"/>
              <w:kinsoku/>
              <w:wordWrap/>
              <w:overflowPunct/>
              <w:topLinePunct w:val="0"/>
              <w:autoSpaceDE/>
              <w:autoSpaceDN/>
              <w:bidi w:val="0"/>
              <w:adjustRightInd/>
              <w:snapToGrid/>
              <w:spacing w:line="260" w:lineRule="exact"/>
              <w:ind w:left="0" w:leftChars="0"/>
              <w:jc w:val="center"/>
              <w:rPr>
                <w:rFonts w:hint="eastAsia" w:ascii="仿宋_GB2312" w:hAnsi="仿宋_GB2312" w:eastAsia="仿宋_GB2312" w:cs="仿宋_GB2312"/>
                <w:i w:val="0"/>
                <w:color w:val="000000"/>
                <w:sz w:val="24"/>
                <w:szCs w:val="24"/>
                <w:u w:val="none"/>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80F0A">
            <w:pPr>
              <w:keepNext w:val="0"/>
              <w:keepLines w:val="0"/>
              <w:pageBreakBefore w:val="0"/>
              <w:widowControl/>
              <w:suppressLineNumbers w:val="0"/>
              <w:kinsoku/>
              <w:wordWrap/>
              <w:overflowPunct/>
              <w:topLinePunct w:val="0"/>
              <w:autoSpaceDE/>
              <w:autoSpaceDN/>
              <w:bidi w:val="0"/>
              <w:adjustRightInd/>
              <w:snapToGrid/>
              <w:spacing w:line="260" w:lineRule="exact"/>
              <w:ind w:left="0" w:leftChars="0"/>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产出指标</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E6B2F">
            <w:pPr>
              <w:keepNext w:val="0"/>
              <w:keepLines w:val="0"/>
              <w:pageBreakBefore w:val="0"/>
              <w:widowControl/>
              <w:suppressLineNumbers w:val="0"/>
              <w:kinsoku/>
              <w:wordWrap/>
              <w:overflowPunct/>
              <w:topLinePunct w:val="0"/>
              <w:autoSpaceDE/>
              <w:autoSpaceDN/>
              <w:bidi w:val="0"/>
              <w:adjustRightInd/>
              <w:snapToGrid/>
              <w:spacing w:line="260" w:lineRule="exact"/>
              <w:ind w:left="0" w:leftChars="0"/>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数量指标</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987A9">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收纳弃土面积</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0BA54">
            <w:pPr>
              <w:keepNext w:val="0"/>
              <w:keepLines w:val="0"/>
              <w:pageBreakBefore w:val="0"/>
              <w:kinsoku/>
              <w:wordWrap/>
              <w:overflowPunct/>
              <w:topLinePunct w:val="0"/>
              <w:autoSpaceDE/>
              <w:autoSpaceDN/>
              <w:bidi w:val="0"/>
              <w:adjustRightInd/>
              <w:snapToGrid/>
              <w:spacing w:line="260" w:lineRule="exact"/>
              <w:ind w:left="0" w:leftChars="0"/>
              <w:jc w:val="center"/>
              <w:rPr>
                <w:rFonts w:hint="eastAsia" w:ascii="仿宋_GB2312" w:hAnsi="仿宋_GB2312" w:eastAsia="仿宋_GB2312" w:cs="仿宋_GB2312"/>
                <w:i w:val="0"/>
                <w:color w:val="000000"/>
                <w:sz w:val="24"/>
                <w:szCs w:val="24"/>
                <w:u w:val="none"/>
                <w:lang w:eastAsia="zh-CN"/>
              </w:rPr>
            </w:pPr>
            <w:r>
              <w:rPr>
                <w:rFonts w:hint="eastAsia" w:ascii="仿宋_GB2312" w:hAnsi="仿宋_GB2312" w:eastAsia="仿宋_GB2312" w:cs="仿宋_GB2312"/>
                <w:i w:val="0"/>
                <w:color w:val="000000"/>
                <w:sz w:val="24"/>
                <w:szCs w:val="24"/>
                <w:u w:val="none"/>
                <w:lang w:val="en-US" w:eastAsia="zh-CN"/>
              </w:rPr>
              <w:t>≥</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7BD2B">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仿宋_GB2312" w:hAnsi="仿宋_GB2312" w:eastAsia="仿宋_GB2312" w:cs="仿宋_GB2312"/>
                <w:i w:val="0"/>
                <w:color w:val="000000"/>
                <w:sz w:val="24"/>
                <w:szCs w:val="24"/>
                <w:u w:val="none"/>
                <w:lang w:val="en-US" w:eastAsia="zh-CN"/>
              </w:rPr>
            </w:pPr>
            <w:r>
              <w:rPr>
                <w:rFonts w:hint="eastAsia" w:ascii="仿宋_GB2312" w:hAnsi="仿宋_GB2312" w:eastAsia="仿宋_GB2312" w:cs="仿宋_GB2312"/>
                <w:i w:val="0"/>
                <w:color w:val="000000"/>
                <w:sz w:val="24"/>
                <w:szCs w:val="24"/>
                <w:u w:val="none"/>
                <w:lang w:val="en-US" w:eastAsia="zh-CN"/>
              </w:rPr>
              <w:t>7000000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F92EF">
            <w:pPr>
              <w:keepNext w:val="0"/>
              <w:keepLines w:val="0"/>
              <w:pageBreakBefore w:val="0"/>
              <w:kinsoku/>
              <w:wordWrap/>
              <w:overflowPunct/>
              <w:topLinePunct w:val="0"/>
              <w:autoSpaceDE/>
              <w:autoSpaceDN/>
              <w:bidi w:val="0"/>
              <w:adjustRightInd/>
              <w:snapToGrid/>
              <w:spacing w:line="260" w:lineRule="exact"/>
              <w:ind w:left="0" w:leftChars="0"/>
              <w:jc w:val="center"/>
              <w:rPr>
                <w:rFonts w:hint="eastAsia" w:ascii="仿宋_GB2312" w:hAnsi="仿宋_GB2312" w:eastAsia="仿宋_GB2312" w:cs="仿宋_GB2312"/>
                <w:i w:val="0"/>
                <w:color w:val="000000"/>
                <w:sz w:val="24"/>
                <w:szCs w:val="24"/>
                <w:u w:val="none"/>
                <w:lang w:val="en-US" w:eastAsia="zh-CN"/>
              </w:rPr>
            </w:pPr>
            <w:r>
              <w:rPr>
                <w:rFonts w:hint="eastAsia" w:ascii="仿宋_GB2312" w:hAnsi="仿宋_GB2312" w:eastAsia="仿宋_GB2312" w:cs="仿宋_GB2312"/>
                <w:i w:val="0"/>
                <w:color w:val="000000"/>
                <w:sz w:val="24"/>
                <w:szCs w:val="24"/>
                <w:u w:val="none"/>
                <w:lang w:val="en-US" w:eastAsia="zh-CN"/>
              </w:rPr>
              <w:t>立方米</w:t>
            </w: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A4252">
            <w:pPr>
              <w:keepNext w:val="0"/>
              <w:keepLines w:val="0"/>
              <w:pageBreakBefore w:val="0"/>
              <w:kinsoku/>
              <w:wordWrap/>
              <w:overflowPunct/>
              <w:topLinePunct w:val="0"/>
              <w:autoSpaceDE/>
              <w:autoSpaceDN/>
              <w:bidi w:val="0"/>
              <w:adjustRightInd/>
              <w:snapToGrid/>
              <w:spacing w:line="260" w:lineRule="exact"/>
              <w:ind w:left="0" w:leftChars="0"/>
              <w:jc w:val="center"/>
              <w:rPr>
                <w:rFonts w:hint="eastAsia" w:ascii="仿宋_GB2312" w:hAnsi="仿宋_GB2312" w:eastAsia="仿宋_GB2312" w:cs="仿宋_GB2312"/>
                <w:i w:val="0"/>
                <w:color w:val="000000"/>
                <w:sz w:val="24"/>
                <w:szCs w:val="24"/>
                <w:u w:val="none"/>
                <w:lang w:val="en-US" w:eastAsia="zh-CN"/>
              </w:rPr>
            </w:pPr>
            <w:r>
              <w:rPr>
                <w:rFonts w:hint="eastAsia" w:ascii="仿宋_GB2312" w:hAnsi="仿宋_GB2312" w:eastAsia="仿宋_GB2312" w:cs="仿宋_GB2312"/>
                <w:i w:val="0"/>
                <w:color w:val="000000"/>
                <w:sz w:val="24"/>
                <w:szCs w:val="24"/>
                <w:u w:val="none"/>
                <w:lang w:val="en-US" w:eastAsia="zh-CN"/>
              </w:rPr>
              <w:t>30</w:t>
            </w:r>
          </w:p>
        </w:tc>
        <w:tc>
          <w:tcPr>
            <w:tcW w:w="1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DBF3A">
            <w:pPr>
              <w:keepNext w:val="0"/>
              <w:keepLines w:val="0"/>
              <w:pageBreakBefore w:val="0"/>
              <w:kinsoku/>
              <w:wordWrap/>
              <w:overflowPunct/>
              <w:topLinePunct w:val="0"/>
              <w:autoSpaceDE/>
              <w:autoSpaceDN/>
              <w:bidi w:val="0"/>
              <w:adjustRightInd/>
              <w:snapToGrid/>
              <w:spacing w:line="260" w:lineRule="exact"/>
              <w:ind w:left="0" w:leftChars="0"/>
              <w:jc w:val="center"/>
              <w:rPr>
                <w:rFonts w:hint="eastAsia" w:ascii="仿宋_GB2312" w:hAnsi="仿宋_GB2312" w:eastAsia="仿宋_GB2312" w:cs="仿宋_GB2312"/>
                <w:i w:val="0"/>
                <w:color w:val="000000"/>
                <w:sz w:val="24"/>
                <w:szCs w:val="24"/>
                <w:u w:val="none"/>
                <w:lang w:val="en-US" w:eastAsia="zh-CN"/>
              </w:rPr>
            </w:pPr>
            <w:r>
              <w:rPr>
                <w:rFonts w:hint="eastAsia" w:ascii="仿宋_GB2312" w:hAnsi="仿宋_GB2312" w:eastAsia="仿宋_GB2312" w:cs="仿宋_GB2312"/>
                <w:i w:val="0"/>
                <w:color w:val="000000"/>
                <w:sz w:val="24"/>
                <w:szCs w:val="24"/>
                <w:u w:val="none"/>
                <w:lang w:val="en-US" w:eastAsia="zh-CN"/>
              </w:rPr>
              <w:t>7000000</w:t>
            </w:r>
          </w:p>
        </w:tc>
      </w:tr>
      <w:tr w14:paraId="678208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40" w:hRule="atLeast"/>
          <w:jc w:val="center"/>
        </w:trPr>
        <w:tc>
          <w:tcPr>
            <w:tcW w:w="575" w:type="dxa"/>
            <w:vMerge w:val="continue"/>
            <w:tcBorders>
              <w:top w:val="single" w:color="000000" w:sz="4" w:space="0"/>
              <w:left w:val="single" w:color="000000" w:sz="4" w:space="0"/>
              <w:bottom w:val="single" w:color="000000" w:sz="4" w:space="0"/>
            </w:tcBorders>
            <w:shd w:val="clear" w:color="auto" w:fill="auto"/>
            <w:vAlign w:val="center"/>
          </w:tcPr>
          <w:p w14:paraId="06B8A64B">
            <w:pPr>
              <w:keepNext w:val="0"/>
              <w:keepLines w:val="0"/>
              <w:pageBreakBefore w:val="0"/>
              <w:kinsoku/>
              <w:wordWrap/>
              <w:overflowPunct/>
              <w:topLinePunct w:val="0"/>
              <w:autoSpaceDE/>
              <w:autoSpaceDN/>
              <w:bidi w:val="0"/>
              <w:adjustRightInd/>
              <w:snapToGrid/>
              <w:spacing w:line="260" w:lineRule="exact"/>
              <w:ind w:left="0" w:leftChars="0"/>
              <w:jc w:val="center"/>
              <w:rPr>
                <w:rFonts w:hint="eastAsia" w:ascii="仿宋_GB2312" w:hAnsi="仿宋_GB2312" w:eastAsia="仿宋_GB2312" w:cs="仿宋_GB2312"/>
                <w:i w:val="0"/>
                <w:color w:val="000000"/>
                <w:sz w:val="24"/>
                <w:szCs w:val="24"/>
                <w:u w:val="none"/>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DE041">
            <w:pPr>
              <w:keepNext w:val="0"/>
              <w:keepLines w:val="0"/>
              <w:pageBreakBefore w:val="0"/>
              <w:widowControl/>
              <w:suppressLineNumbers w:val="0"/>
              <w:kinsoku/>
              <w:wordWrap/>
              <w:overflowPunct/>
              <w:topLinePunct w:val="0"/>
              <w:autoSpaceDE/>
              <w:autoSpaceDN/>
              <w:bidi w:val="0"/>
              <w:adjustRightInd/>
              <w:snapToGrid/>
              <w:spacing w:line="26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产出指标</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CD614">
            <w:pPr>
              <w:keepNext w:val="0"/>
              <w:keepLines w:val="0"/>
              <w:pageBreakBefore w:val="0"/>
              <w:widowControl/>
              <w:suppressLineNumbers w:val="0"/>
              <w:kinsoku/>
              <w:wordWrap/>
              <w:overflowPunct/>
              <w:topLinePunct w:val="0"/>
              <w:autoSpaceDE/>
              <w:autoSpaceDN/>
              <w:bidi w:val="0"/>
              <w:adjustRightInd/>
              <w:snapToGrid/>
              <w:spacing w:line="26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质量指标</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A845F">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收纳弃土积完成率</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A5FDD">
            <w:pPr>
              <w:keepNext w:val="0"/>
              <w:keepLines w:val="0"/>
              <w:pageBreakBefore w:val="0"/>
              <w:kinsoku/>
              <w:wordWrap/>
              <w:overflowPunct/>
              <w:topLinePunct w:val="0"/>
              <w:autoSpaceDE/>
              <w:autoSpaceDN/>
              <w:bidi w:val="0"/>
              <w:adjustRightInd/>
              <w:snapToGrid/>
              <w:spacing w:line="260" w:lineRule="exact"/>
              <w:ind w:left="0" w:leftChars="0"/>
              <w:jc w:val="center"/>
              <w:rPr>
                <w:rFonts w:hint="eastAsia" w:ascii="仿宋_GB2312" w:hAnsi="仿宋_GB2312" w:eastAsia="仿宋_GB2312" w:cs="仿宋_GB2312"/>
                <w:i w:val="0"/>
                <w:color w:val="000000"/>
                <w:kern w:val="2"/>
                <w:sz w:val="24"/>
                <w:szCs w:val="24"/>
                <w:u w:val="none"/>
                <w:lang w:val="en-US" w:eastAsia="zh-CN" w:bidi="ar-SA"/>
              </w:rPr>
            </w:pPr>
            <w:r>
              <w:rPr>
                <w:rFonts w:hint="eastAsia" w:ascii="仿宋_GB2312" w:hAnsi="仿宋_GB2312" w:eastAsia="仿宋_GB2312" w:cs="仿宋_GB2312"/>
                <w:i w:val="0"/>
                <w:color w:val="000000"/>
                <w:sz w:val="24"/>
                <w:szCs w:val="24"/>
                <w:u w:val="none"/>
                <w:lang w:val="en-US" w:eastAsia="zh-CN"/>
              </w:rPr>
              <w:t>=</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DCE53">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仿宋_GB2312" w:hAnsi="仿宋_GB2312" w:eastAsia="仿宋_GB2312" w:cs="仿宋_GB2312"/>
                <w:i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100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4230B">
            <w:pPr>
              <w:keepNext w:val="0"/>
              <w:keepLines w:val="0"/>
              <w:pageBreakBefore w:val="0"/>
              <w:kinsoku/>
              <w:wordWrap/>
              <w:overflowPunct/>
              <w:topLinePunct w:val="0"/>
              <w:autoSpaceDE/>
              <w:autoSpaceDN/>
              <w:bidi w:val="0"/>
              <w:adjustRightInd/>
              <w:snapToGrid/>
              <w:spacing w:line="260" w:lineRule="exact"/>
              <w:ind w:left="0" w:leftChars="0"/>
              <w:jc w:val="center"/>
              <w:rPr>
                <w:rFonts w:hint="eastAsia" w:ascii="仿宋_GB2312" w:hAnsi="仿宋_GB2312" w:eastAsia="仿宋_GB2312" w:cs="仿宋_GB2312"/>
                <w:i w:val="0"/>
                <w:color w:val="000000"/>
                <w:kern w:val="2"/>
                <w:sz w:val="24"/>
                <w:szCs w:val="24"/>
                <w:u w:val="none"/>
                <w:lang w:val="en-US" w:eastAsia="zh-CN" w:bidi="ar-SA"/>
              </w:rPr>
            </w:pPr>
            <w:r>
              <w:rPr>
                <w:rFonts w:hint="eastAsia" w:ascii="仿宋_GB2312" w:hAnsi="仿宋_GB2312" w:eastAsia="仿宋_GB2312" w:cs="仿宋_GB2312"/>
                <w:i w:val="0"/>
                <w:color w:val="000000"/>
                <w:sz w:val="24"/>
                <w:szCs w:val="24"/>
                <w:u w:val="none"/>
                <w:lang w:val="en-US" w:eastAsia="zh-CN"/>
              </w:rPr>
              <w:t>%</w:t>
            </w: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37B25">
            <w:pPr>
              <w:keepNext w:val="0"/>
              <w:keepLines w:val="0"/>
              <w:pageBreakBefore w:val="0"/>
              <w:kinsoku/>
              <w:wordWrap/>
              <w:overflowPunct/>
              <w:topLinePunct w:val="0"/>
              <w:autoSpaceDE/>
              <w:autoSpaceDN/>
              <w:bidi w:val="0"/>
              <w:adjustRightInd/>
              <w:snapToGrid/>
              <w:spacing w:line="260" w:lineRule="exact"/>
              <w:ind w:left="0" w:leftChars="0"/>
              <w:jc w:val="center"/>
              <w:rPr>
                <w:rFonts w:hint="eastAsia" w:ascii="仿宋_GB2312" w:hAnsi="仿宋_GB2312" w:eastAsia="仿宋_GB2312" w:cs="仿宋_GB2312"/>
                <w:i w:val="0"/>
                <w:color w:val="000000"/>
                <w:kern w:val="2"/>
                <w:sz w:val="24"/>
                <w:szCs w:val="24"/>
                <w:u w:val="none"/>
                <w:lang w:val="en-US" w:eastAsia="zh-CN" w:bidi="ar-SA"/>
              </w:rPr>
            </w:pPr>
            <w:r>
              <w:rPr>
                <w:rFonts w:hint="eastAsia" w:ascii="仿宋_GB2312" w:hAnsi="仿宋_GB2312" w:eastAsia="仿宋_GB2312" w:cs="仿宋_GB2312"/>
                <w:i w:val="0"/>
                <w:color w:val="000000"/>
                <w:kern w:val="2"/>
                <w:sz w:val="24"/>
                <w:szCs w:val="24"/>
                <w:u w:val="none"/>
                <w:lang w:val="en-US" w:eastAsia="zh-CN" w:bidi="ar-SA"/>
              </w:rPr>
              <w:t>20</w:t>
            </w:r>
          </w:p>
        </w:tc>
        <w:tc>
          <w:tcPr>
            <w:tcW w:w="1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188B9">
            <w:pPr>
              <w:keepNext w:val="0"/>
              <w:keepLines w:val="0"/>
              <w:pageBreakBefore w:val="0"/>
              <w:kinsoku/>
              <w:wordWrap/>
              <w:overflowPunct/>
              <w:topLinePunct w:val="0"/>
              <w:autoSpaceDE/>
              <w:autoSpaceDN/>
              <w:bidi w:val="0"/>
              <w:adjustRightInd/>
              <w:snapToGrid/>
              <w:spacing w:line="260" w:lineRule="exact"/>
              <w:ind w:left="0" w:leftChars="0"/>
              <w:jc w:val="center"/>
              <w:rPr>
                <w:rFonts w:hint="eastAsia" w:ascii="仿宋_GB2312" w:hAnsi="仿宋_GB2312" w:eastAsia="仿宋_GB2312" w:cs="仿宋_GB2312"/>
                <w:i w:val="0"/>
                <w:color w:val="000000"/>
                <w:sz w:val="24"/>
                <w:szCs w:val="24"/>
                <w:u w:val="none"/>
                <w:lang w:val="en-US" w:eastAsia="zh-CN"/>
              </w:rPr>
            </w:pPr>
            <w:r>
              <w:rPr>
                <w:rFonts w:hint="eastAsia" w:ascii="仿宋_GB2312" w:hAnsi="仿宋_GB2312" w:eastAsia="仿宋_GB2312" w:cs="仿宋_GB2312"/>
                <w:i w:val="0"/>
                <w:color w:val="000000"/>
                <w:sz w:val="24"/>
                <w:szCs w:val="24"/>
                <w:u w:val="none"/>
                <w:lang w:val="en-US" w:eastAsia="zh-CN"/>
              </w:rPr>
              <w:t>100</w:t>
            </w:r>
          </w:p>
        </w:tc>
      </w:tr>
      <w:tr w14:paraId="0B7D71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40" w:hRule="atLeast"/>
          <w:jc w:val="center"/>
        </w:trPr>
        <w:tc>
          <w:tcPr>
            <w:tcW w:w="575" w:type="dxa"/>
            <w:vMerge w:val="continue"/>
            <w:tcBorders>
              <w:top w:val="single" w:color="000000" w:sz="4" w:space="0"/>
              <w:left w:val="single" w:color="000000" w:sz="4" w:space="0"/>
              <w:bottom w:val="single" w:color="000000" w:sz="4" w:space="0"/>
            </w:tcBorders>
            <w:shd w:val="clear" w:color="auto" w:fill="auto"/>
            <w:vAlign w:val="center"/>
          </w:tcPr>
          <w:p w14:paraId="23D47388">
            <w:pPr>
              <w:keepNext w:val="0"/>
              <w:keepLines w:val="0"/>
              <w:pageBreakBefore w:val="0"/>
              <w:kinsoku/>
              <w:wordWrap/>
              <w:overflowPunct/>
              <w:topLinePunct w:val="0"/>
              <w:autoSpaceDE/>
              <w:autoSpaceDN/>
              <w:bidi w:val="0"/>
              <w:adjustRightInd/>
              <w:snapToGrid/>
              <w:spacing w:line="260" w:lineRule="exact"/>
              <w:ind w:left="0" w:leftChars="0"/>
              <w:jc w:val="center"/>
              <w:rPr>
                <w:rFonts w:hint="eastAsia" w:ascii="仿宋_GB2312" w:hAnsi="仿宋_GB2312" w:eastAsia="仿宋_GB2312" w:cs="仿宋_GB2312"/>
                <w:i w:val="0"/>
                <w:color w:val="000000"/>
                <w:sz w:val="24"/>
                <w:szCs w:val="24"/>
                <w:u w:val="none"/>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77565">
            <w:pPr>
              <w:keepNext w:val="0"/>
              <w:keepLines w:val="0"/>
              <w:pageBreakBefore w:val="0"/>
              <w:widowControl/>
              <w:suppressLineNumbers w:val="0"/>
              <w:kinsoku/>
              <w:wordWrap/>
              <w:overflowPunct/>
              <w:topLinePunct w:val="0"/>
              <w:autoSpaceDE/>
              <w:autoSpaceDN/>
              <w:bidi w:val="0"/>
              <w:adjustRightInd/>
              <w:snapToGrid/>
              <w:spacing w:line="260" w:lineRule="exact"/>
              <w:ind w:left="0" w:leftChars="0"/>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效益指标</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B632A">
            <w:pPr>
              <w:keepNext w:val="0"/>
              <w:keepLines w:val="0"/>
              <w:pageBreakBefore w:val="0"/>
              <w:widowControl/>
              <w:suppressLineNumbers w:val="0"/>
              <w:kinsoku/>
              <w:wordWrap/>
              <w:overflowPunct/>
              <w:topLinePunct w:val="0"/>
              <w:autoSpaceDE/>
              <w:autoSpaceDN/>
              <w:bidi w:val="0"/>
              <w:adjustRightInd/>
              <w:snapToGrid/>
              <w:spacing w:line="26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经济效益</w:t>
            </w:r>
          </w:p>
          <w:p w14:paraId="1C180CCA">
            <w:pPr>
              <w:keepNext w:val="0"/>
              <w:keepLines w:val="0"/>
              <w:pageBreakBefore w:val="0"/>
              <w:widowControl/>
              <w:suppressLineNumbers w:val="0"/>
              <w:kinsoku/>
              <w:wordWrap/>
              <w:overflowPunct/>
              <w:topLinePunct w:val="0"/>
              <w:autoSpaceDE/>
              <w:autoSpaceDN/>
              <w:bidi w:val="0"/>
              <w:adjustRightInd/>
              <w:snapToGrid/>
              <w:spacing w:line="260" w:lineRule="exact"/>
              <w:ind w:left="0" w:leftChars="0"/>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指标</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B5D28">
            <w:pPr>
              <w:keepNext w:val="0"/>
              <w:keepLines w:val="0"/>
              <w:pageBreakBefore w:val="0"/>
              <w:numPr>
                <w:ilvl w:val="0"/>
                <w:numId w:val="0"/>
              </w:numPr>
              <w:kinsoku/>
              <w:wordWrap/>
              <w:overflowPunct/>
              <w:topLinePunct w:val="0"/>
              <w:autoSpaceDE/>
              <w:autoSpaceDN/>
              <w:bidi w:val="0"/>
              <w:adjustRightInd/>
              <w:snapToGrid/>
              <w:spacing w:line="260" w:lineRule="exact"/>
              <w:ind w:firstLine="480" w:firstLineChars="200"/>
              <w:jc w:val="center"/>
              <w:rPr>
                <w:rFonts w:hint="eastAsia" w:ascii="仿宋_GB2312" w:hAnsi="仿宋_GB2312" w:eastAsia="仿宋_GB2312" w:cs="仿宋_GB2312"/>
                <w:b w:val="0"/>
                <w:bCs w:val="0"/>
                <w:color w:val="auto"/>
                <w:kern w:val="0"/>
                <w:sz w:val="24"/>
                <w:szCs w:val="24"/>
                <w:highlight w:val="none"/>
                <w:u w:val="none"/>
                <w:shd w:val="clear" w:color="auto" w:fill="FFFFFF"/>
                <w:lang w:val="en-US" w:eastAsia="zh-CN"/>
              </w:rPr>
            </w:pPr>
            <w:r>
              <w:rPr>
                <w:rFonts w:hint="eastAsia" w:ascii="仿宋_GB2312" w:hAnsi="仿宋_GB2312" w:eastAsia="仿宋_GB2312" w:cs="仿宋_GB2312"/>
                <w:i w:val="0"/>
                <w:color w:val="000000"/>
                <w:sz w:val="24"/>
                <w:szCs w:val="24"/>
                <w:u w:val="none"/>
                <w:lang w:val="en-US" w:eastAsia="zh-CN"/>
              </w:rPr>
              <w:t>增加政府收益。</w:t>
            </w:r>
          </w:p>
          <w:p w14:paraId="5531BBD4">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仿宋_GB2312" w:hAnsi="仿宋_GB2312" w:eastAsia="仿宋_GB2312" w:cs="仿宋_GB2312"/>
                <w:i w:val="0"/>
                <w:color w:val="000000"/>
                <w:sz w:val="24"/>
                <w:szCs w:val="24"/>
                <w:u w:val="none"/>
              </w:rPr>
            </w:pP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91853">
            <w:pPr>
              <w:keepNext w:val="0"/>
              <w:keepLines w:val="0"/>
              <w:pageBreakBefore w:val="0"/>
              <w:kinsoku/>
              <w:wordWrap/>
              <w:overflowPunct/>
              <w:topLinePunct w:val="0"/>
              <w:autoSpaceDE/>
              <w:autoSpaceDN/>
              <w:bidi w:val="0"/>
              <w:adjustRightInd/>
              <w:snapToGrid/>
              <w:spacing w:line="260" w:lineRule="exact"/>
              <w:ind w:left="0" w:leftChars="0"/>
              <w:jc w:val="center"/>
              <w:rPr>
                <w:rFonts w:hint="eastAsia" w:ascii="仿宋_GB2312" w:hAnsi="仿宋_GB2312" w:eastAsia="仿宋_GB2312" w:cs="仿宋_GB2312"/>
                <w:i w:val="0"/>
                <w:color w:val="000000"/>
                <w:kern w:val="2"/>
                <w:sz w:val="24"/>
                <w:szCs w:val="24"/>
                <w:u w:val="none"/>
                <w:lang w:val="en-US" w:eastAsia="zh-CN" w:bidi="ar-SA"/>
              </w:rPr>
            </w:pPr>
            <w:r>
              <w:rPr>
                <w:rFonts w:hint="eastAsia" w:ascii="仿宋_GB2312" w:hAnsi="仿宋_GB2312" w:eastAsia="仿宋_GB2312" w:cs="仿宋_GB2312"/>
                <w:i w:val="0"/>
                <w:color w:val="000000"/>
                <w:kern w:val="2"/>
                <w:sz w:val="24"/>
                <w:szCs w:val="24"/>
                <w:u w:val="none"/>
                <w:lang w:val="en-US" w:eastAsia="zh-CN" w:bidi="ar-SA"/>
              </w:rPr>
              <w:t>定性</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4A56C">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优良</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5E988">
            <w:pPr>
              <w:keepNext w:val="0"/>
              <w:keepLines w:val="0"/>
              <w:pageBreakBefore w:val="0"/>
              <w:kinsoku/>
              <w:wordWrap/>
              <w:overflowPunct/>
              <w:topLinePunct w:val="0"/>
              <w:autoSpaceDE/>
              <w:autoSpaceDN/>
              <w:bidi w:val="0"/>
              <w:adjustRightInd/>
              <w:snapToGrid/>
              <w:spacing w:line="260" w:lineRule="exact"/>
              <w:ind w:left="0" w:leftChars="0"/>
              <w:jc w:val="center"/>
              <w:rPr>
                <w:rFonts w:hint="eastAsia" w:ascii="仿宋_GB2312" w:hAnsi="仿宋_GB2312" w:eastAsia="仿宋_GB2312" w:cs="仿宋_GB2312"/>
                <w:i w:val="0"/>
                <w:color w:val="000000"/>
                <w:kern w:val="2"/>
                <w:sz w:val="24"/>
                <w:szCs w:val="24"/>
                <w:u w:val="none"/>
                <w:lang w:val="en-US" w:eastAsia="zh-CN" w:bidi="ar-SA"/>
              </w:rPr>
            </w:pPr>
            <w:r>
              <w:rPr>
                <w:rFonts w:hint="eastAsia" w:ascii="仿宋_GB2312" w:hAnsi="仿宋_GB2312" w:eastAsia="仿宋_GB2312" w:cs="仿宋_GB2312"/>
                <w:i w:val="0"/>
                <w:color w:val="000000"/>
                <w:kern w:val="2"/>
                <w:sz w:val="24"/>
                <w:szCs w:val="24"/>
                <w:u w:val="none"/>
                <w:lang w:val="en-US" w:eastAsia="zh-CN" w:bidi="ar-SA"/>
              </w:rPr>
              <w:t>级</w:t>
            </w: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E8739">
            <w:pPr>
              <w:keepNext w:val="0"/>
              <w:keepLines w:val="0"/>
              <w:pageBreakBefore w:val="0"/>
              <w:kinsoku/>
              <w:wordWrap/>
              <w:overflowPunct/>
              <w:topLinePunct w:val="0"/>
              <w:autoSpaceDE/>
              <w:autoSpaceDN/>
              <w:bidi w:val="0"/>
              <w:adjustRightInd/>
              <w:snapToGrid/>
              <w:spacing w:line="260" w:lineRule="exact"/>
              <w:ind w:left="0" w:leftChars="0"/>
              <w:jc w:val="center"/>
              <w:rPr>
                <w:rFonts w:hint="eastAsia" w:ascii="仿宋_GB2312" w:hAnsi="仿宋_GB2312" w:eastAsia="仿宋_GB2312" w:cs="仿宋_GB2312"/>
                <w:i w:val="0"/>
                <w:color w:val="000000"/>
                <w:kern w:val="2"/>
                <w:sz w:val="24"/>
                <w:szCs w:val="24"/>
                <w:u w:val="none"/>
                <w:lang w:val="en-US" w:eastAsia="zh-CN" w:bidi="ar-SA"/>
              </w:rPr>
            </w:pPr>
            <w:r>
              <w:rPr>
                <w:rFonts w:hint="eastAsia" w:ascii="仿宋_GB2312" w:hAnsi="仿宋_GB2312" w:eastAsia="仿宋_GB2312" w:cs="仿宋_GB2312"/>
                <w:i w:val="0"/>
                <w:color w:val="000000"/>
                <w:kern w:val="2"/>
                <w:sz w:val="24"/>
                <w:szCs w:val="24"/>
                <w:u w:val="none"/>
                <w:lang w:val="en-US" w:eastAsia="zh-CN" w:bidi="ar-SA"/>
              </w:rPr>
              <w:t>20</w:t>
            </w:r>
          </w:p>
        </w:tc>
        <w:tc>
          <w:tcPr>
            <w:tcW w:w="1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95F4E">
            <w:pPr>
              <w:keepNext w:val="0"/>
              <w:keepLines w:val="0"/>
              <w:pageBreakBefore w:val="0"/>
              <w:kinsoku/>
              <w:wordWrap/>
              <w:overflowPunct/>
              <w:topLinePunct w:val="0"/>
              <w:autoSpaceDE/>
              <w:autoSpaceDN/>
              <w:bidi w:val="0"/>
              <w:adjustRightInd/>
              <w:snapToGrid/>
              <w:spacing w:line="260" w:lineRule="exact"/>
              <w:ind w:left="0" w:leftChars="0"/>
              <w:jc w:val="center"/>
              <w:rPr>
                <w:rFonts w:hint="eastAsia" w:ascii="仿宋_GB2312" w:hAnsi="仿宋_GB2312" w:eastAsia="仿宋_GB2312" w:cs="仿宋_GB2312"/>
                <w:i w:val="0"/>
                <w:color w:val="000000"/>
                <w:sz w:val="24"/>
                <w:szCs w:val="24"/>
                <w:u w:val="none"/>
                <w:lang w:val="en-US" w:eastAsia="zh-CN"/>
              </w:rPr>
            </w:pPr>
            <w:r>
              <w:rPr>
                <w:rFonts w:hint="eastAsia" w:ascii="仿宋_GB2312" w:hAnsi="仿宋_GB2312" w:eastAsia="仿宋_GB2312" w:cs="仿宋_GB2312"/>
                <w:i w:val="0"/>
                <w:color w:val="000000"/>
                <w:sz w:val="24"/>
                <w:szCs w:val="24"/>
                <w:u w:val="none"/>
                <w:lang w:val="en-US" w:eastAsia="zh-CN"/>
              </w:rPr>
              <w:t>优良</w:t>
            </w:r>
          </w:p>
        </w:tc>
      </w:tr>
      <w:tr w14:paraId="61C2F7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40" w:hRule="atLeast"/>
          <w:jc w:val="center"/>
        </w:trPr>
        <w:tc>
          <w:tcPr>
            <w:tcW w:w="575" w:type="dxa"/>
            <w:tcBorders>
              <w:top w:val="single" w:color="000000" w:sz="4" w:space="0"/>
              <w:left w:val="single" w:color="000000" w:sz="4" w:space="0"/>
              <w:bottom w:val="single" w:color="000000" w:sz="4" w:space="0"/>
            </w:tcBorders>
            <w:shd w:val="clear" w:color="auto" w:fill="auto"/>
            <w:vAlign w:val="center"/>
          </w:tcPr>
          <w:p w14:paraId="56F4608D">
            <w:pPr>
              <w:keepNext w:val="0"/>
              <w:keepLines w:val="0"/>
              <w:pageBreakBefore w:val="0"/>
              <w:kinsoku/>
              <w:wordWrap/>
              <w:overflowPunct/>
              <w:topLinePunct w:val="0"/>
              <w:autoSpaceDE/>
              <w:autoSpaceDN/>
              <w:bidi w:val="0"/>
              <w:adjustRightInd/>
              <w:snapToGrid/>
              <w:spacing w:line="260" w:lineRule="exact"/>
              <w:ind w:left="0" w:leftChars="0"/>
              <w:jc w:val="center"/>
              <w:rPr>
                <w:rFonts w:hint="eastAsia" w:ascii="仿宋_GB2312" w:hAnsi="仿宋_GB2312" w:eastAsia="仿宋_GB2312" w:cs="仿宋_GB2312"/>
                <w:i w:val="0"/>
                <w:color w:val="000000"/>
                <w:sz w:val="24"/>
                <w:szCs w:val="24"/>
                <w:u w:val="none"/>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2757E">
            <w:pPr>
              <w:keepNext w:val="0"/>
              <w:keepLines w:val="0"/>
              <w:pageBreakBefore w:val="0"/>
              <w:widowControl/>
              <w:suppressLineNumbers w:val="0"/>
              <w:kinsoku/>
              <w:wordWrap/>
              <w:overflowPunct/>
              <w:topLinePunct w:val="0"/>
              <w:autoSpaceDE/>
              <w:autoSpaceDN/>
              <w:bidi w:val="0"/>
              <w:adjustRightInd/>
              <w:snapToGrid/>
              <w:spacing w:line="26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满意度指标</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7E43E">
            <w:pPr>
              <w:keepNext w:val="0"/>
              <w:keepLines w:val="0"/>
              <w:pageBreakBefore w:val="0"/>
              <w:widowControl/>
              <w:suppressLineNumbers w:val="0"/>
              <w:kinsoku/>
              <w:wordWrap/>
              <w:overflowPunct/>
              <w:topLinePunct w:val="0"/>
              <w:autoSpaceDE/>
              <w:autoSpaceDN/>
              <w:bidi w:val="0"/>
              <w:adjustRightInd/>
              <w:snapToGrid/>
              <w:spacing w:line="26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满意度指标</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C8151">
            <w:pPr>
              <w:keepNext w:val="0"/>
              <w:keepLines w:val="0"/>
              <w:pageBreakBefore w:val="0"/>
              <w:kinsoku/>
              <w:wordWrap/>
              <w:overflowPunct/>
              <w:topLinePunct w:val="0"/>
              <w:autoSpaceDE/>
              <w:autoSpaceDN/>
              <w:bidi w:val="0"/>
              <w:adjustRightInd/>
              <w:snapToGrid/>
              <w:spacing w:line="260" w:lineRule="exact"/>
              <w:ind w:left="0" w:leftChars="0"/>
              <w:jc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sz w:val="24"/>
                <w:szCs w:val="24"/>
                <w:u w:val="none"/>
              </w:rPr>
              <w:t>群众满意度</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69BE1">
            <w:pPr>
              <w:keepNext w:val="0"/>
              <w:keepLines w:val="0"/>
              <w:pageBreakBefore w:val="0"/>
              <w:kinsoku/>
              <w:wordWrap/>
              <w:overflowPunct/>
              <w:topLinePunct w:val="0"/>
              <w:autoSpaceDE/>
              <w:autoSpaceDN/>
              <w:bidi w:val="0"/>
              <w:adjustRightInd/>
              <w:snapToGrid/>
              <w:spacing w:line="260" w:lineRule="exact"/>
              <w:ind w:left="0" w:leftChars="0"/>
              <w:jc w:val="center"/>
              <w:rPr>
                <w:rFonts w:hint="eastAsia" w:ascii="仿宋_GB2312" w:hAnsi="仿宋_GB2312" w:eastAsia="仿宋_GB2312" w:cs="仿宋_GB2312"/>
                <w:i w:val="0"/>
                <w:color w:val="000000"/>
                <w:sz w:val="24"/>
                <w:szCs w:val="24"/>
                <w:u w:val="none"/>
                <w:lang w:val="en-US" w:eastAsia="zh-CN"/>
              </w:rPr>
            </w:pPr>
            <w:r>
              <w:rPr>
                <w:rFonts w:hint="eastAsia" w:ascii="仿宋_GB2312" w:hAnsi="仿宋_GB2312" w:eastAsia="仿宋_GB2312" w:cs="仿宋_GB2312"/>
                <w:i w:val="0"/>
                <w:color w:val="000000"/>
                <w:sz w:val="24"/>
                <w:szCs w:val="24"/>
                <w:u w:val="none"/>
                <w:lang w:val="en-US" w:eastAsia="zh-CN"/>
              </w:rPr>
              <w:t>≥</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8C5C1">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仿宋_GB2312" w:hAnsi="仿宋_GB2312" w:eastAsia="仿宋_GB2312" w:cs="仿宋_GB2312"/>
                <w:i w:val="0"/>
                <w:color w:val="000000"/>
                <w:sz w:val="24"/>
                <w:szCs w:val="24"/>
                <w:u w:val="none"/>
                <w:lang w:val="en-US" w:eastAsia="zh-CN"/>
              </w:rPr>
            </w:pPr>
            <w:r>
              <w:rPr>
                <w:rFonts w:hint="eastAsia" w:ascii="仿宋_GB2312" w:hAnsi="仿宋_GB2312" w:eastAsia="仿宋_GB2312" w:cs="仿宋_GB2312"/>
                <w:i w:val="0"/>
                <w:iCs w:val="0"/>
                <w:color w:val="000000"/>
                <w:kern w:val="0"/>
                <w:sz w:val="24"/>
                <w:szCs w:val="24"/>
                <w:u w:val="none"/>
                <w:lang w:val="en-US" w:eastAsia="zh-CN" w:bidi="ar"/>
              </w:rPr>
              <w:t>95</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E07F4">
            <w:pPr>
              <w:keepNext w:val="0"/>
              <w:keepLines w:val="0"/>
              <w:pageBreakBefore w:val="0"/>
              <w:kinsoku/>
              <w:wordWrap/>
              <w:overflowPunct/>
              <w:topLinePunct w:val="0"/>
              <w:autoSpaceDE/>
              <w:autoSpaceDN/>
              <w:bidi w:val="0"/>
              <w:adjustRightInd/>
              <w:snapToGrid/>
              <w:spacing w:line="260" w:lineRule="exact"/>
              <w:ind w:left="0" w:leftChars="0"/>
              <w:jc w:val="center"/>
              <w:rPr>
                <w:rFonts w:hint="eastAsia" w:ascii="仿宋_GB2312" w:hAnsi="仿宋_GB2312" w:eastAsia="仿宋_GB2312" w:cs="仿宋_GB2312"/>
                <w:i w:val="0"/>
                <w:color w:val="000000"/>
                <w:sz w:val="24"/>
                <w:szCs w:val="24"/>
                <w:u w:val="none"/>
                <w:lang w:val="en-US" w:eastAsia="zh-CN"/>
              </w:rPr>
            </w:pPr>
            <w:r>
              <w:rPr>
                <w:rFonts w:hint="eastAsia" w:ascii="仿宋_GB2312" w:hAnsi="仿宋_GB2312" w:eastAsia="仿宋_GB2312" w:cs="仿宋_GB2312"/>
                <w:i w:val="0"/>
                <w:color w:val="000000"/>
                <w:sz w:val="24"/>
                <w:szCs w:val="24"/>
                <w:u w:val="none"/>
                <w:lang w:val="en-US" w:eastAsia="zh-CN"/>
              </w:rPr>
              <w:t>%</w:t>
            </w: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CA9EA">
            <w:pPr>
              <w:keepNext w:val="0"/>
              <w:keepLines w:val="0"/>
              <w:pageBreakBefore w:val="0"/>
              <w:kinsoku/>
              <w:wordWrap/>
              <w:overflowPunct/>
              <w:topLinePunct w:val="0"/>
              <w:autoSpaceDE/>
              <w:autoSpaceDN/>
              <w:bidi w:val="0"/>
              <w:adjustRightInd/>
              <w:snapToGrid/>
              <w:spacing w:line="260" w:lineRule="exact"/>
              <w:ind w:left="0" w:leftChars="0"/>
              <w:jc w:val="center"/>
              <w:rPr>
                <w:rFonts w:hint="eastAsia" w:ascii="仿宋_GB2312" w:hAnsi="仿宋_GB2312" w:eastAsia="仿宋_GB2312" w:cs="仿宋_GB2312"/>
                <w:i w:val="0"/>
                <w:color w:val="000000"/>
                <w:sz w:val="24"/>
                <w:szCs w:val="24"/>
                <w:u w:val="none"/>
                <w:lang w:val="en-US" w:eastAsia="zh-CN"/>
              </w:rPr>
            </w:pPr>
            <w:r>
              <w:rPr>
                <w:rFonts w:hint="eastAsia" w:ascii="仿宋_GB2312" w:hAnsi="仿宋_GB2312" w:eastAsia="仿宋_GB2312" w:cs="仿宋_GB2312"/>
                <w:i w:val="0"/>
                <w:color w:val="000000"/>
                <w:sz w:val="24"/>
                <w:szCs w:val="24"/>
                <w:u w:val="none"/>
                <w:lang w:val="en-US" w:eastAsia="zh-CN"/>
              </w:rPr>
              <w:t>10</w:t>
            </w:r>
          </w:p>
        </w:tc>
        <w:tc>
          <w:tcPr>
            <w:tcW w:w="1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0DA43">
            <w:pPr>
              <w:keepNext w:val="0"/>
              <w:keepLines w:val="0"/>
              <w:pageBreakBefore w:val="0"/>
              <w:kinsoku/>
              <w:wordWrap/>
              <w:overflowPunct/>
              <w:topLinePunct w:val="0"/>
              <w:autoSpaceDE/>
              <w:autoSpaceDN/>
              <w:bidi w:val="0"/>
              <w:adjustRightInd/>
              <w:snapToGrid/>
              <w:spacing w:line="260" w:lineRule="exact"/>
              <w:ind w:left="0" w:leftChars="0"/>
              <w:jc w:val="center"/>
              <w:rPr>
                <w:rFonts w:hint="eastAsia" w:ascii="仿宋_GB2312" w:hAnsi="仿宋_GB2312" w:eastAsia="仿宋_GB2312" w:cs="仿宋_GB2312"/>
                <w:i w:val="0"/>
                <w:color w:val="000000"/>
                <w:sz w:val="24"/>
                <w:szCs w:val="24"/>
                <w:u w:val="none"/>
                <w:lang w:val="en-US" w:eastAsia="zh-CN"/>
              </w:rPr>
            </w:pPr>
            <w:r>
              <w:rPr>
                <w:rFonts w:hint="eastAsia" w:ascii="仿宋_GB2312" w:hAnsi="仿宋_GB2312" w:eastAsia="仿宋_GB2312" w:cs="仿宋_GB2312"/>
                <w:i w:val="0"/>
                <w:color w:val="000000"/>
                <w:sz w:val="24"/>
                <w:szCs w:val="24"/>
                <w:u w:val="none"/>
                <w:lang w:val="en-US" w:eastAsia="zh-CN"/>
              </w:rPr>
              <w:t>95</w:t>
            </w:r>
          </w:p>
        </w:tc>
      </w:tr>
      <w:tr w14:paraId="3DCF43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40" w:hRule="atLeast"/>
          <w:jc w:val="center"/>
        </w:trPr>
        <w:tc>
          <w:tcPr>
            <w:tcW w:w="575" w:type="dxa"/>
            <w:tcBorders>
              <w:top w:val="single" w:color="000000" w:sz="4" w:space="0"/>
              <w:left w:val="single" w:color="000000" w:sz="4" w:space="0"/>
              <w:bottom w:val="single" w:color="000000" w:sz="4" w:space="0"/>
            </w:tcBorders>
            <w:shd w:val="clear" w:color="auto" w:fill="auto"/>
            <w:vAlign w:val="center"/>
          </w:tcPr>
          <w:p w14:paraId="6B4F1F84">
            <w:pPr>
              <w:keepNext w:val="0"/>
              <w:keepLines w:val="0"/>
              <w:pageBreakBefore w:val="0"/>
              <w:kinsoku/>
              <w:wordWrap/>
              <w:overflowPunct/>
              <w:topLinePunct w:val="0"/>
              <w:autoSpaceDE/>
              <w:autoSpaceDN/>
              <w:bidi w:val="0"/>
              <w:adjustRightInd/>
              <w:snapToGrid/>
              <w:spacing w:line="260" w:lineRule="exact"/>
              <w:ind w:left="0" w:leftChars="0"/>
              <w:jc w:val="center"/>
              <w:rPr>
                <w:rFonts w:hint="eastAsia" w:ascii="仿宋_GB2312" w:hAnsi="仿宋_GB2312" w:eastAsia="仿宋_GB2312" w:cs="仿宋_GB2312"/>
                <w:i w:val="0"/>
                <w:color w:val="000000"/>
                <w:sz w:val="24"/>
                <w:szCs w:val="24"/>
                <w:u w:val="none"/>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6F031">
            <w:pPr>
              <w:keepNext w:val="0"/>
              <w:keepLines w:val="0"/>
              <w:pageBreakBefore w:val="0"/>
              <w:widowControl/>
              <w:suppressLineNumbers w:val="0"/>
              <w:kinsoku/>
              <w:wordWrap/>
              <w:overflowPunct/>
              <w:topLinePunct w:val="0"/>
              <w:autoSpaceDE/>
              <w:autoSpaceDN/>
              <w:bidi w:val="0"/>
              <w:adjustRightInd/>
              <w:snapToGrid/>
              <w:spacing w:line="26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成本指标</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1B2F0">
            <w:pPr>
              <w:keepNext w:val="0"/>
              <w:keepLines w:val="0"/>
              <w:pageBreakBefore w:val="0"/>
              <w:widowControl/>
              <w:suppressLineNumbers w:val="0"/>
              <w:kinsoku/>
              <w:wordWrap/>
              <w:overflowPunct/>
              <w:topLinePunct w:val="0"/>
              <w:autoSpaceDE/>
              <w:autoSpaceDN/>
              <w:bidi w:val="0"/>
              <w:adjustRightInd/>
              <w:snapToGrid/>
              <w:spacing w:line="26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经济成本指标</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7B80E">
            <w:pPr>
              <w:keepNext w:val="0"/>
              <w:keepLines w:val="0"/>
              <w:pageBreakBefore w:val="0"/>
              <w:kinsoku/>
              <w:wordWrap/>
              <w:overflowPunct/>
              <w:topLinePunct w:val="0"/>
              <w:autoSpaceDE/>
              <w:autoSpaceDN/>
              <w:bidi w:val="0"/>
              <w:adjustRightInd/>
              <w:snapToGrid/>
              <w:spacing w:line="260" w:lineRule="exact"/>
              <w:ind w:left="0" w:leftChars="0"/>
              <w:jc w:val="center"/>
              <w:rPr>
                <w:rFonts w:hint="eastAsia" w:ascii="仿宋_GB2312" w:hAnsi="仿宋_GB2312" w:eastAsia="仿宋_GB2312" w:cs="仿宋_GB2312"/>
                <w:i w:val="0"/>
                <w:color w:val="000000"/>
                <w:sz w:val="24"/>
                <w:szCs w:val="24"/>
                <w:u w:val="none"/>
                <w:lang w:val="en-US" w:eastAsia="zh-CN"/>
              </w:rPr>
            </w:pPr>
            <w:r>
              <w:rPr>
                <w:rFonts w:hint="eastAsia" w:ascii="仿宋_GB2312" w:hAnsi="仿宋_GB2312" w:eastAsia="仿宋_GB2312" w:cs="仿宋_GB2312"/>
                <w:i w:val="0"/>
                <w:color w:val="000000"/>
                <w:sz w:val="24"/>
                <w:szCs w:val="24"/>
                <w:u w:val="none"/>
                <w:lang w:val="en-US" w:eastAsia="zh-CN"/>
              </w:rPr>
              <w:t>预算控制数</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5D0EB">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8619D">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500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1B832">
            <w:pPr>
              <w:keepNext w:val="0"/>
              <w:keepLines w:val="0"/>
              <w:pageBreakBefore w:val="0"/>
              <w:kinsoku/>
              <w:wordWrap/>
              <w:overflowPunct/>
              <w:topLinePunct w:val="0"/>
              <w:autoSpaceDE/>
              <w:autoSpaceDN/>
              <w:bidi w:val="0"/>
              <w:adjustRightInd/>
              <w:snapToGrid/>
              <w:spacing w:line="260" w:lineRule="exact"/>
              <w:ind w:left="0" w:leftChars="0"/>
              <w:jc w:val="center"/>
              <w:rPr>
                <w:rFonts w:hint="eastAsia" w:ascii="仿宋_GB2312" w:hAnsi="仿宋_GB2312" w:eastAsia="仿宋_GB2312" w:cs="仿宋_GB2312"/>
                <w:i w:val="0"/>
                <w:color w:val="000000"/>
                <w:sz w:val="24"/>
                <w:szCs w:val="24"/>
                <w:u w:val="none"/>
                <w:lang w:val="en-US" w:eastAsia="zh-CN"/>
              </w:rPr>
            </w:pPr>
            <w:r>
              <w:rPr>
                <w:rFonts w:hint="eastAsia" w:ascii="仿宋_GB2312" w:hAnsi="仿宋_GB2312" w:eastAsia="仿宋_GB2312" w:cs="仿宋_GB2312"/>
                <w:i w:val="0"/>
                <w:color w:val="000000"/>
                <w:sz w:val="24"/>
                <w:szCs w:val="24"/>
                <w:u w:val="none"/>
                <w:lang w:val="en-US" w:eastAsia="zh-CN"/>
              </w:rPr>
              <w:t>万元</w:t>
            </w: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C2EFD">
            <w:pPr>
              <w:keepNext w:val="0"/>
              <w:keepLines w:val="0"/>
              <w:pageBreakBefore w:val="0"/>
              <w:kinsoku/>
              <w:wordWrap/>
              <w:overflowPunct/>
              <w:topLinePunct w:val="0"/>
              <w:autoSpaceDE/>
              <w:autoSpaceDN/>
              <w:bidi w:val="0"/>
              <w:adjustRightInd/>
              <w:snapToGrid/>
              <w:spacing w:line="260" w:lineRule="exact"/>
              <w:ind w:left="0" w:leftChars="0"/>
              <w:jc w:val="center"/>
              <w:rPr>
                <w:rFonts w:hint="eastAsia" w:ascii="仿宋_GB2312" w:hAnsi="仿宋_GB2312" w:eastAsia="仿宋_GB2312" w:cs="仿宋_GB2312"/>
                <w:i w:val="0"/>
                <w:color w:val="000000"/>
                <w:sz w:val="24"/>
                <w:szCs w:val="24"/>
                <w:u w:val="none"/>
                <w:lang w:val="en-US" w:eastAsia="zh-CN"/>
              </w:rPr>
            </w:pPr>
            <w:r>
              <w:rPr>
                <w:rFonts w:hint="eastAsia" w:ascii="仿宋_GB2312" w:hAnsi="仿宋_GB2312" w:eastAsia="仿宋_GB2312" w:cs="仿宋_GB2312"/>
                <w:i w:val="0"/>
                <w:color w:val="000000"/>
                <w:sz w:val="24"/>
                <w:szCs w:val="24"/>
                <w:u w:val="none"/>
                <w:lang w:val="en-US" w:eastAsia="zh-CN"/>
              </w:rPr>
              <w:t>20</w:t>
            </w:r>
          </w:p>
        </w:tc>
        <w:tc>
          <w:tcPr>
            <w:tcW w:w="1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F4776">
            <w:pPr>
              <w:keepNext w:val="0"/>
              <w:keepLines w:val="0"/>
              <w:pageBreakBefore w:val="0"/>
              <w:kinsoku/>
              <w:wordWrap/>
              <w:overflowPunct/>
              <w:topLinePunct w:val="0"/>
              <w:autoSpaceDE/>
              <w:autoSpaceDN/>
              <w:bidi w:val="0"/>
              <w:adjustRightInd/>
              <w:snapToGrid/>
              <w:spacing w:line="260" w:lineRule="exact"/>
              <w:ind w:left="0" w:leftChars="0"/>
              <w:jc w:val="center"/>
              <w:rPr>
                <w:rFonts w:hint="eastAsia" w:ascii="仿宋_GB2312" w:hAnsi="仿宋_GB2312" w:eastAsia="仿宋_GB2312" w:cs="仿宋_GB2312"/>
                <w:i w:val="0"/>
                <w:color w:val="000000"/>
                <w:sz w:val="24"/>
                <w:szCs w:val="24"/>
                <w:u w:val="none"/>
                <w:lang w:val="en-US" w:eastAsia="zh-CN"/>
              </w:rPr>
            </w:pPr>
            <w:r>
              <w:rPr>
                <w:rFonts w:hint="eastAsia" w:ascii="仿宋_GB2312" w:hAnsi="仿宋_GB2312" w:eastAsia="仿宋_GB2312" w:cs="仿宋_GB2312"/>
                <w:i w:val="0"/>
                <w:color w:val="000000"/>
                <w:sz w:val="24"/>
                <w:szCs w:val="24"/>
                <w:u w:val="none"/>
                <w:lang w:val="en-US" w:eastAsia="zh-CN"/>
              </w:rPr>
              <w:t>500</w:t>
            </w:r>
          </w:p>
        </w:tc>
      </w:tr>
    </w:tbl>
    <w:p w14:paraId="2E3D0FE4">
      <w:pPr>
        <w:pStyle w:val="16"/>
        <w:keepNext w:val="0"/>
        <w:keepLines w:val="0"/>
        <w:pageBreakBefore w:val="0"/>
        <w:kinsoku/>
        <w:wordWrap/>
        <w:overflowPunct/>
        <w:topLinePunct w:val="0"/>
        <w:autoSpaceDE/>
        <w:autoSpaceDN/>
        <w:bidi w:val="0"/>
        <w:spacing w:after="0" w:line="576" w:lineRule="exact"/>
        <w:ind w:left="0" w:leftChars="0"/>
        <w:rPr>
          <w:rFonts w:hint="default" w:ascii="黑体" w:hAnsi="黑体" w:eastAsia="黑体" w:cs="黑体"/>
          <w:sz w:val="24"/>
          <w:szCs w:val="24"/>
          <w:highlight w:val="none"/>
          <w:lang w:val="en-US" w:eastAsia="zh-CN"/>
        </w:rPr>
      </w:pPr>
    </w:p>
    <w:p w14:paraId="140DADA8">
      <w:pPr>
        <w:rPr>
          <w:rStyle w:val="22"/>
          <w:rFonts w:hint="default" w:ascii="黑体" w:hAnsi="黑体" w:eastAsia="黑体"/>
          <w:b w:val="0"/>
          <w:color w:val="auto"/>
          <w:highlight w:val="none"/>
          <w:lang w:val="en-US" w:eastAsia="zh-CN"/>
        </w:rPr>
      </w:pPr>
      <w:r>
        <w:rPr>
          <w:rStyle w:val="22"/>
          <w:rFonts w:hint="default" w:ascii="黑体" w:hAnsi="黑体" w:eastAsia="黑体"/>
          <w:b w:val="0"/>
          <w:color w:val="auto"/>
          <w:highlight w:val="none"/>
          <w:lang w:val="en-US" w:eastAsia="zh-CN"/>
        </w:rPr>
        <w:br w:type="page"/>
      </w:r>
    </w:p>
    <w:p w14:paraId="14DFAE74">
      <w:pPr>
        <w:pStyle w:val="37"/>
        <w:keepNext w:val="0"/>
        <w:keepLines w:val="0"/>
        <w:pageBreakBefore w:val="0"/>
        <w:widowControl w:val="0"/>
        <w:kinsoku/>
        <w:wordWrap/>
        <w:overflowPunct/>
        <w:topLinePunct w:val="0"/>
        <w:autoSpaceDE/>
        <w:autoSpaceDN/>
        <w:bidi w:val="0"/>
        <w:spacing w:line="578" w:lineRule="exact"/>
        <w:ind w:left="0" w:leftChars="0"/>
        <w:jc w:val="center"/>
        <w:textAlignment w:val="auto"/>
        <w:rPr>
          <w:rFonts w:hint="default" w:ascii="方正小标宋简体" w:hAnsi="方正小标宋简体" w:eastAsia="方正小标宋简体" w:cs="方正小标宋简体"/>
          <w:color w:val="auto"/>
          <w:kern w:val="2"/>
          <w:sz w:val="44"/>
          <w:szCs w:val="44"/>
          <w:highlight w:val="none"/>
          <w:lang w:val="en-US" w:eastAsia="zh-CN"/>
        </w:rPr>
      </w:pPr>
      <w:r>
        <w:rPr>
          <w:rFonts w:hint="eastAsia" w:ascii="方正小标宋简体" w:hAnsi="方正小标宋简体" w:eastAsia="方正小标宋简体" w:cs="方正小标宋简体"/>
          <w:color w:val="auto"/>
          <w:kern w:val="2"/>
          <w:sz w:val="44"/>
          <w:szCs w:val="44"/>
          <w:highlight w:val="none"/>
          <w:lang w:val="en-US" w:eastAsia="zh-CN"/>
        </w:rPr>
        <w:t>广元市自然资源局</w:t>
      </w:r>
    </w:p>
    <w:p w14:paraId="6AF43101">
      <w:pPr>
        <w:pStyle w:val="37"/>
        <w:keepNext w:val="0"/>
        <w:keepLines w:val="0"/>
        <w:pageBreakBefore w:val="0"/>
        <w:widowControl w:val="0"/>
        <w:kinsoku/>
        <w:wordWrap/>
        <w:overflowPunct/>
        <w:topLinePunct w:val="0"/>
        <w:autoSpaceDE/>
        <w:autoSpaceDN/>
        <w:bidi w:val="0"/>
        <w:spacing w:line="578" w:lineRule="exact"/>
        <w:ind w:left="0" w:leftChars="0"/>
        <w:jc w:val="center"/>
        <w:textAlignment w:val="auto"/>
        <w:rPr>
          <w:rFonts w:hint="eastAsia" w:ascii="方正小标宋简体" w:hAnsi="方正小标宋简体" w:eastAsia="方正小标宋简体" w:cs="方正小标宋简体"/>
          <w:color w:val="auto"/>
          <w:kern w:val="2"/>
          <w:sz w:val="44"/>
          <w:szCs w:val="44"/>
          <w:highlight w:val="none"/>
          <w:lang w:val="en-US" w:eastAsia="zh-CN"/>
        </w:rPr>
      </w:pPr>
      <w:r>
        <w:rPr>
          <w:rFonts w:hint="eastAsia" w:ascii="方正小标宋简体" w:hAnsi="方正小标宋简体" w:eastAsia="方正小标宋简体" w:cs="方正小标宋简体"/>
          <w:color w:val="auto"/>
          <w:kern w:val="2"/>
          <w:sz w:val="44"/>
          <w:szCs w:val="44"/>
          <w:highlight w:val="none"/>
          <w:lang w:val="en-US" w:eastAsia="zh-CN"/>
        </w:rPr>
        <w:t>关于全市硅基新材料产业发展专题培训费专项预算项目绩效评价报告</w:t>
      </w:r>
    </w:p>
    <w:p w14:paraId="17799073">
      <w:pPr>
        <w:pStyle w:val="37"/>
        <w:keepNext w:val="0"/>
        <w:keepLines w:val="0"/>
        <w:pageBreakBefore w:val="0"/>
        <w:widowControl w:val="0"/>
        <w:kinsoku/>
        <w:wordWrap/>
        <w:overflowPunct/>
        <w:topLinePunct w:val="0"/>
        <w:autoSpaceDE/>
        <w:autoSpaceDN/>
        <w:bidi w:val="0"/>
        <w:spacing w:line="578" w:lineRule="exact"/>
        <w:ind w:left="0" w:leftChars="0" w:firstLine="640"/>
        <w:jc w:val="center"/>
        <w:textAlignment w:val="auto"/>
        <w:rPr>
          <w:rFonts w:ascii="宋体" w:hAnsi="宋体"/>
          <w:color w:val="auto"/>
          <w:kern w:val="2"/>
          <w:sz w:val="32"/>
          <w:szCs w:val="32"/>
          <w:highlight w:val="none"/>
        </w:rPr>
      </w:pPr>
    </w:p>
    <w:p w14:paraId="1C49E35E">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rPr>
          <w:rFonts w:ascii="黑体" w:hAnsi="宋体" w:eastAsia="黑体"/>
          <w:sz w:val="32"/>
          <w:szCs w:val="32"/>
          <w:highlight w:val="none"/>
          <w:lang w:val="zh-CN"/>
        </w:rPr>
      </w:pPr>
      <w:r>
        <w:rPr>
          <w:rFonts w:hint="eastAsia" w:ascii="黑体" w:hAnsi="宋体" w:eastAsia="黑体"/>
          <w:sz w:val="32"/>
          <w:szCs w:val="32"/>
          <w:highlight w:val="none"/>
        </w:rPr>
        <w:t>一、</w:t>
      </w:r>
      <w:r>
        <w:rPr>
          <w:rFonts w:hint="eastAsia" w:ascii="黑体" w:hAnsi="宋体" w:eastAsia="黑体"/>
          <w:sz w:val="32"/>
          <w:szCs w:val="32"/>
          <w:highlight w:val="none"/>
          <w:lang w:val="zh-CN"/>
        </w:rPr>
        <w:t>项目概况</w:t>
      </w:r>
    </w:p>
    <w:p w14:paraId="16B9507D">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楷体_GB2312" w:hAnsi="宋体" w:eastAsia="楷体_GB2312" w:cs="Times New Roman"/>
          <w:b/>
          <w:bCs w:val="0"/>
          <w:color w:val="auto"/>
          <w:sz w:val="32"/>
          <w:szCs w:val="32"/>
          <w:highlight w:val="none"/>
          <w:u w:val="none"/>
          <w:lang w:val="zh-CN"/>
        </w:rPr>
      </w:pPr>
      <w:r>
        <w:rPr>
          <w:rFonts w:hint="eastAsia" w:ascii="楷体_GB2312" w:hAnsi="宋体" w:eastAsia="楷体_GB2312" w:cs="Times New Roman"/>
          <w:b/>
          <w:bCs w:val="0"/>
          <w:color w:val="auto"/>
          <w:sz w:val="32"/>
          <w:szCs w:val="32"/>
          <w:highlight w:val="none"/>
          <w:u w:val="none"/>
          <w:lang w:val="zh-CN"/>
        </w:rPr>
        <w:t>（一）设立背景及基本情况。</w:t>
      </w:r>
    </w:p>
    <w:p w14:paraId="1AFB8469">
      <w:pPr>
        <w:pageBreakBefore w:val="0"/>
        <w:widowControl w:val="0"/>
        <w:kinsoku/>
        <w:wordWrap/>
        <w:overflowPunct/>
        <w:topLinePunct w:val="0"/>
        <w:autoSpaceDE/>
        <w:autoSpaceDN/>
        <w:bidi w:val="0"/>
        <w:adjustRightInd w:val="0"/>
        <w:snapToGrid w:val="0"/>
        <w:spacing w:line="520" w:lineRule="exact"/>
        <w:ind w:firstLine="640" w:firstLineChars="200"/>
        <w:contextualSpacing/>
        <w:jc w:val="both"/>
        <w:textAlignment w:val="auto"/>
        <w:rPr>
          <w:rFonts w:hint="default"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rPr>
        <w:t>按照市委市</w:t>
      </w:r>
      <w:r>
        <w:rPr>
          <w:rFonts w:hint="eastAsia" w:ascii="仿宋_GB2312" w:hAnsi="仿宋_GB2312" w:eastAsia="仿宋_GB2312" w:cs="仿宋_GB2312"/>
          <w:b w:val="0"/>
          <w:bCs/>
          <w:sz w:val="32"/>
          <w:szCs w:val="32"/>
          <w:lang w:val="en-US" w:eastAsia="zh-CN"/>
        </w:rPr>
        <w:t>组织部《关于印发2023年市级重点专题培训计划的通知》（广组训[2023]10号）文件要求，我局联合市委组织部于2023年7月9日-15日在安徽蚌埠举办“全市硅基新材料产业发展专题培训”，全市共60人参加培训，经费14.58万元。</w:t>
      </w:r>
    </w:p>
    <w:p w14:paraId="3FBD23B8">
      <w:pPr>
        <w:keepNext w:val="0"/>
        <w:keepLines w:val="0"/>
        <w:pageBreakBefore w:val="0"/>
        <w:widowControl w:val="0"/>
        <w:kinsoku/>
        <w:wordWrap/>
        <w:overflowPunct/>
        <w:topLinePunct w:val="0"/>
        <w:autoSpaceDE/>
        <w:autoSpaceDN/>
        <w:bidi w:val="0"/>
        <w:adjustRightInd/>
        <w:snapToGrid/>
        <w:spacing w:line="576" w:lineRule="exact"/>
        <w:ind w:left="0" w:firstLine="643" w:firstLineChars="200"/>
        <w:jc w:val="both"/>
        <w:textAlignment w:val="auto"/>
        <w:rPr>
          <w:rFonts w:hint="default" w:ascii="仿宋_GB2312" w:hAnsi="仿宋_GB2312" w:eastAsia="仿宋_GB2312" w:cs="仿宋_GB2312"/>
          <w:b w:val="0"/>
          <w:bCs/>
          <w:sz w:val="32"/>
          <w:szCs w:val="32"/>
          <w:lang w:val="en-US" w:eastAsia="zh-CN"/>
        </w:rPr>
      </w:pPr>
      <w:r>
        <w:rPr>
          <w:rFonts w:hint="eastAsia" w:ascii="楷体_GB2312" w:hAnsi="宋体" w:eastAsia="楷体_GB2312" w:cs="Times New Roman"/>
          <w:b/>
          <w:bCs w:val="0"/>
          <w:color w:val="auto"/>
          <w:sz w:val="32"/>
          <w:szCs w:val="32"/>
          <w:highlight w:val="none"/>
          <w:u w:val="none"/>
          <w:lang w:val="en-US" w:eastAsia="zh-CN"/>
        </w:rPr>
        <w:t>（二）</w:t>
      </w:r>
      <w:r>
        <w:rPr>
          <w:rFonts w:hint="default" w:ascii="楷体_GB2312" w:hAnsi="宋体" w:eastAsia="楷体_GB2312" w:cs="Times New Roman"/>
          <w:b/>
          <w:bCs w:val="0"/>
          <w:color w:val="auto"/>
          <w:sz w:val="32"/>
          <w:szCs w:val="32"/>
          <w:highlight w:val="none"/>
          <w:u w:val="none"/>
          <w:lang w:val="en-US" w:eastAsia="zh-CN"/>
        </w:rPr>
        <w:t>实施目的及支持方向</w:t>
      </w:r>
      <w:r>
        <w:rPr>
          <w:rFonts w:hint="eastAsia" w:ascii="楷体_GB2312" w:hAnsi="宋体" w:eastAsia="楷体_GB2312" w:cs="Times New Roman"/>
          <w:b/>
          <w:bCs w:val="0"/>
          <w:color w:val="auto"/>
          <w:sz w:val="32"/>
          <w:szCs w:val="32"/>
          <w:highlight w:val="none"/>
          <w:u w:val="none"/>
          <w:lang w:val="en-US" w:eastAsia="zh-CN"/>
        </w:rPr>
        <w:t>。</w:t>
      </w:r>
      <w:r>
        <w:rPr>
          <w:rFonts w:hint="eastAsia" w:ascii="仿宋_GB2312" w:hAnsi="仿宋_GB2312" w:eastAsia="仿宋_GB2312" w:cs="仿宋_GB2312"/>
          <w:b w:val="0"/>
          <w:bCs/>
          <w:sz w:val="32"/>
          <w:szCs w:val="32"/>
          <w:lang w:val="en-US" w:eastAsia="zh-CN"/>
        </w:rPr>
        <w:t>我局制度了《财务管理制度》、《专项资金管理制度》、《三重一大制度》《政府采购内控管理制度》等相关制度。我局</w:t>
      </w:r>
      <w:r>
        <w:rPr>
          <w:rFonts w:hint="default" w:ascii="仿宋_GB2312" w:hAnsi="仿宋_GB2312" w:eastAsia="仿宋_GB2312" w:cs="仿宋_GB2312"/>
          <w:b w:val="0"/>
          <w:bCs/>
          <w:sz w:val="32"/>
          <w:szCs w:val="32"/>
        </w:rPr>
        <w:t>严格按照项目管理有关规定管理专项经费，为保障项目资金安全，确保资金专款专用， 从资金申请、资金使用、会计核算三个环节加强资金管理，在项目资金申请环节，严格按照国库集中支付流程申请财政资金；在资金使用环节，严格遵守相关法律法规规定，严格按照单位财务管理审批流程办理款项支付；在会计核算环节，对本项目资金实行单独核算，确保专款专用</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lang w:val="en-US" w:eastAsia="zh-CN"/>
        </w:rPr>
        <w:t>按时组织完成全市硅基新材料产业专题培训，全力推进全市硅基新材料产业高质量发展。</w:t>
      </w:r>
    </w:p>
    <w:p w14:paraId="255BE307">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楷体_GB2312" w:hAnsi="宋体" w:eastAsia="楷体_GB2312" w:cs="Times New Roman"/>
          <w:b/>
          <w:bCs w:val="0"/>
          <w:color w:val="auto"/>
          <w:sz w:val="32"/>
          <w:szCs w:val="32"/>
          <w:highlight w:val="none"/>
          <w:u w:val="none"/>
          <w:lang w:val="zh-CN" w:eastAsia="zh-CN"/>
        </w:rPr>
      </w:pPr>
      <w:r>
        <w:rPr>
          <w:rFonts w:hint="eastAsia" w:ascii="楷体_GB2312" w:hAnsi="宋体" w:eastAsia="楷体_GB2312" w:cs="Times New Roman"/>
          <w:b/>
          <w:bCs w:val="0"/>
          <w:color w:val="auto"/>
          <w:sz w:val="32"/>
          <w:szCs w:val="32"/>
          <w:highlight w:val="none"/>
          <w:u w:val="none"/>
          <w:lang w:val="zh-CN" w:eastAsia="zh-CN"/>
        </w:rPr>
        <w:t>（三）</w:t>
      </w:r>
      <w:r>
        <w:rPr>
          <w:rFonts w:hint="default" w:ascii="楷体_GB2312" w:hAnsi="宋体" w:eastAsia="楷体_GB2312" w:cs="Times New Roman"/>
          <w:b/>
          <w:bCs w:val="0"/>
          <w:color w:val="auto"/>
          <w:sz w:val="32"/>
          <w:szCs w:val="32"/>
          <w:highlight w:val="none"/>
          <w:u w:val="none"/>
          <w:lang w:val="en-US" w:eastAsia="zh-CN"/>
        </w:rPr>
        <w:t>预算安排及分配管理</w:t>
      </w:r>
      <w:r>
        <w:rPr>
          <w:rFonts w:hint="eastAsia" w:ascii="楷体_GB2312" w:hAnsi="宋体" w:eastAsia="楷体_GB2312" w:cs="Times New Roman"/>
          <w:b/>
          <w:bCs w:val="0"/>
          <w:color w:val="auto"/>
          <w:sz w:val="32"/>
          <w:szCs w:val="32"/>
          <w:highlight w:val="none"/>
          <w:u w:val="none"/>
          <w:lang w:val="zh-CN" w:eastAsia="zh-CN"/>
        </w:rPr>
        <w:t>。</w:t>
      </w:r>
    </w:p>
    <w:p w14:paraId="354C2924">
      <w:pPr>
        <w:pageBreakBefore w:val="0"/>
        <w:widowControl w:val="0"/>
        <w:kinsoku/>
        <w:wordWrap/>
        <w:overflowPunct/>
        <w:topLinePunct w:val="0"/>
        <w:autoSpaceDE/>
        <w:autoSpaceDN/>
        <w:bidi w:val="0"/>
        <w:adjustRightInd w:val="0"/>
        <w:snapToGrid w:val="0"/>
        <w:spacing w:line="520" w:lineRule="exact"/>
        <w:ind w:firstLine="640" w:firstLineChars="200"/>
        <w:contextualSpacing/>
        <w:jc w:val="both"/>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lang w:val="en-US" w:eastAsia="zh-CN"/>
        </w:rPr>
        <w:t>根据我局的资金申请，</w:t>
      </w:r>
      <w:r>
        <w:rPr>
          <w:rFonts w:hint="eastAsia" w:ascii="仿宋_GB2312" w:hAnsi="仿宋_GB2312" w:eastAsia="仿宋_GB2312" w:cs="仿宋_GB2312"/>
          <w:b w:val="0"/>
          <w:bCs/>
          <w:sz w:val="32"/>
          <w:szCs w:val="32"/>
        </w:rPr>
        <w:t>市财政于2023年9月5日下达主题培训费14.58万元，我局按照合同约定支付培训经费14.58万元。我局制度了《财务管理制度》和《专项资金管理制度》和《三重一大制度》，确保项目高效率使用和支付过程中严格执行相关制度，专款专用，无截留，无挪用。</w:t>
      </w:r>
    </w:p>
    <w:p w14:paraId="0785EC4E">
      <w:pPr>
        <w:keepNext w:val="0"/>
        <w:keepLines w:val="0"/>
        <w:pageBreakBefore w:val="0"/>
        <w:widowControl w:val="0"/>
        <w:kinsoku/>
        <w:wordWrap/>
        <w:overflowPunct/>
        <w:topLinePunct w:val="0"/>
        <w:autoSpaceDE/>
        <w:autoSpaceDN/>
        <w:bidi w:val="0"/>
        <w:adjustRightInd w:val="0"/>
        <w:snapToGrid w:val="0"/>
        <w:spacing w:line="576" w:lineRule="exact"/>
        <w:ind w:firstLine="643" w:firstLineChars="200"/>
        <w:textAlignment w:val="auto"/>
        <w:rPr>
          <w:rFonts w:hint="eastAsia" w:ascii="仿宋_GB2312" w:hAnsi="仿宋_GB2312" w:eastAsia="仿宋_GB2312" w:cs="仿宋_GB2312"/>
          <w:b w:val="0"/>
          <w:bCs/>
          <w:sz w:val="32"/>
          <w:szCs w:val="32"/>
          <w:lang w:eastAsia="zh-CN"/>
        </w:rPr>
      </w:pPr>
      <w:r>
        <w:rPr>
          <w:rFonts w:hint="eastAsia" w:ascii="楷体_GB2312" w:hAnsi="宋体" w:eastAsia="楷体_GB2312" w:cs="Times New Roman"/>
          <w:b/>
          <w:bCs w:val="0"/>
          <w:color w:val="auto"/>
          <w:sz w:val="32"/>
          <w:szCs w:val="32"/>
          <w:highlight w:val="none"/>
          <w:u w:val="none"/>
          <w:lang w:val="zh-CN" w:eastAsia="zh-CN"/>
        </w:rPr>
        <w:t>（四）项目绩效目标设置。</w:t>
      </w:r>
      <w:r>
        <w:rPr>
          <w:rFonts w:hint="eastAsia" w:ascii="仿宋_GB2312" w:hAnsi="仿宋_GB2312" w:eastAsia="仿宋_GB2312" w:cs="仿宋_GB2312"/>
          <w:b w:val="0"/>
          <w:bCs/>
          <w:sz w:val="32"/>
          <w:szCs w:val="32"/>
        </w:rPr>
        <w:t>绩效目标和绩效指标可量化考核</w:t>
      </w:r>
      <w:r>
        <w:rPr>
          <w:rFonts w:hint="eastAsia" w:ascii="仿宋_GB2312" w:hAnsi="仿宋_GB2312" w:eastAsia="仿宋_GB2312" w:cs="仿宋_GB2312"/>
          <w:b w:val="0"/>
          <w:bCs/>
          <w:sz w:val="32"/>
          <w:szCs w:val="32"/>
          <w:lang w:eastAsia="zh-CN"/>
        </w:rPr>
        <w:t>，与规划部门的长期规划目标、年度工作目标相一致。绩效指标细化、量化，绩效目标和绩效指标契合政策或项目实质，产出和效果相关联。可对满意度指标进行量化预测，绩效目标具有一定的前瞻性和挑战性，绩效目标和绩效指标相匹配，</w:t>
      </w:r>
      <w:r>
        <w:rPr>
          <w:rFonts w:hint="eastAsia" w:ascii="仿宋_GB2312" w:hAnsi="仿宋_GB2312" w:eastAsia="仿宋_GB2312" w:cs="仿宋_GB2312"/>
          <w:b w:val="0"/>
          <w:bCs/>
          <w:sz w:val="32"/>
          <w:szCs w:val="32"/>
        </w:rPr>
        <w:t>全面完整，契合项目实质</w:t>
      </w:r>
      <w:r>
        <w:rPr>
          <w:rFonts w:hint="eastAsia" w:ascii="仿宋_GB2312" w:hAnsi="仿宋_GB2312" w:eastAsia="仿宋_GB2312" w:cs="仿宋_GB2312"/>
          <w:b w:val="0"/>
          <w:bCs/>
          <w:sz w:val="32"/>
          <w:szCs w:val="32"/>
          <w:lang w:eastAsia="zh-CN"/>
        </w:rPr>
        <w:t>。</w:t>
      </w:r>
    </w:p>
    <w:p w14:paraId="2C92DF5B">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rPr>
          <w:rFonts w:hint="eastAsia" w:ascii="黑体" w:hAnsi="宋体" w:eastAsia="黑体" w:cs="Times New Roman"/>
          <w:sz w:val="32"/>
          <w:szCs w:val="32"/>
          <w:highlight w:val="none"/>
          <w:lang w:eastAsia="zh-CN"/>
        </w:rPr>
      </w:pPr>
      <w:r>
        <w:rPr>
          <w:rFonts w:hint="eastAsia" w:ascii="黑体" w:hAnsi="宋体" w:eastAsia="黑体" w:cs="Times New Roman"/>
          <w:sz w:val="32"/>
          <w:szCs w:val="32"/>
          <w:highlight w:val="none"/>
        </w:rPr>
        <w:t>二、</w:t>
      </w:r>
      <w:r>
        <w:rPr>
          <w:rFonts w:hint="eastAsia" w:ascii="黑体" w:hAnsi="宋体" w:eastAsia="黑体" w:cs="Times New Roman"/>
          <w:sz w:val="32"/>
          <w:szCs w:val="32"/>
          <w:highlight w:val="none"/>
          <w:lang w:eastAsia="zh-CN"/>
        </w:rPr>
        <w:t>评价实施</w:t>
      </w:r>
    </w:p>
    <w:p w14:paraId="485DAEAC">
      <w:pPr>
        <w:keepNext w:val="0"/>
        <w:keepLines w:val="0"/>
        <w:pageBreakBefore w:val="0"/>
        <w:widowControl w:val="0"/>
        <w:kinsoku/>
        <w:wordWrap/>
        <w:overflowPunct/>
        <w:topLinePunct w:val="0"/>
        <w:autoSpaceDE/>
        <w:autoSpaceDN/>
        <w:bidi w:val="0"/>
        <w:spacing w:line="578" w:lineRule="exact"/>
        <w:ind w:firstLine="640"/>
        <w:textAlignment w:val="auto"/>
        <w:outlineLvl w:val="9"/>
        <w:rPr>
          <w:rFonts w:hint="eastAsia" w:ascii="仿宋_GB2312" w:hAnsi="仿宋_GB2312" w:eastAsia="仿宋_GB2312" w:cs="仿宋_GB2312"/>
          <w:b w:val="0"/>
          <w:bCs/>
          <w:sz w:val="32"/>
          <w:szCs w:val="32"/>
        </w:rPr>
      </w:pPr>
      <w:r>
        <w:rPr>
          <w:rFonts w:hint="eastAsia" w:ascii="楷体_GB2312" w:hAnsi="宋体" w:eastAsia="楷体_GB2312" w:cs="Times New Roman"/>
          <w:b/>
          <w:bCs w:val="0"/>
          <w:color w:val="auto"/>
          <w:sz w:val="32"/>
          <w:szCs w:val="32"/>
          <w:highlight w:val="none"/>
          <w:u w:val="none"/>
          <w:lang w:val="zh-CN"/>
        </w:rPr>
        <w:t>（一）评价目的。</w:t>
      </w:r>
      <w:r>
        <w:rPr>
          <w:rFonts w:hint="eastAsia" w:ascii="仿宋_GB2312" w:hAnsi="仿宋_GB2312" w:eastAsia="仿宋_GB2312" w:cs="仿宋_GB2312"/>
          <w:b w:val="0"/>
          <w:bCs/>
          <w:sz w:val="32"/>
          <w:szCs w:val="32"/>
          <w:lang w:val="en-US" w:eastAsia="zh-CN"/>
        </w:rPr>
        <w:t>通过绩效评价，一是对项目预算及资金使用方案的合理性和有效性进行优化，去除不合理的预算项目。二是详细掌握资金使用情况，提高预算执行力。三是促进预算管理的公开化透明化</w:t>
      </w:r>
      <w:r>
        <w:rPr>
          <w:rFonts w:hint="eastAsia" w:ascii="仿宋_GB2312" w:hAnsi="仿宋_GB2312" w:eastAsia="仿宋_GB2312" w:cs="仿宋_GB2312"/>
          <w:b w:val="0"/>
          <w:bCs/>
          <w:sz w:val="32"/>
          <w:szCs w:val="32"/>
          <w:lang w:eastAsia="zh-CN"/>
        </w:rPr>
        <w:t>。</w:t>
      </w:r>
    </w:p>
    <w:p w14:paraId="14A171C7">
      <w:pPr>
        <w:pageBreakBefore w:val="0"/>
        <w:widowControl w:val="0"/>
        <w:kinsoku/>
        <w:wordWrap/>
        <w:overflowPunct/>
        <w:topLinePunct w:val="0"/>
        <w:autoSpaceDE/>
        <w:autoSpaceDN/>
        <w:bidi w:val="0"/>
        <w:adjustRightInd w:val="0"/>
        <w:snapToGrid w:val="0"/>
        <w:spacing w:line="520" w:lineRule="exact"/>
        <w:ind w:firstLine="643" w:firstLineChars="200"/>
        <w:contextualSpacing/>
        <w:jc w:val="both"/>
        <w:textAlignment w:val="auto"/>
        <w:rPr>
          <w:rFonts w:hint="default" w:ascii="仿宋_GB2312" w:hAnsi="仿宋_GB2312" w:eastAsia="仿宋_GB2312" w:cs="仿宋_GB2312"/>
          <w:b w:val="0"/>
          <w:bCs/>
          <w:sz w:val="32"/>
          <w:szCs w:val="32"/>
          <w:lang w:val="en-US" w:eastAsia="zh-CN"/>
        </w:rPr>
      </w:pPr>
      <w:r>
        <w:rPr>
          <w:rFonts w:hint="eastAsia" w:ascii="楷体_GB2312" w:hAnsi="宋体" w:eastAsia="楷体_GB2312" w:cs="Times New Roman"/>
          <w:b/>
          <w:bCs w:val="0"/>
          <w:color w:val="auto"/>
          <w:sz w:val="32"/>
          <w:szCs w:val="32"/>
          <w:highlight w:val="none"/>
          <w:u w:val="none"/>
          <w:lang w:val="zh-CN"/>
        </w:rPr>
        <w:t>（二）预设问题及评价重点。</w:t>
      </w:r>
      <w:r>
        <w:rPr>
          <w:rFonts w:hint="eastAsia" w:ascii="楷体_GB2312" w:hAnsi="宋体" w:eastAsia="楷体_GB2312"/>
          <w:b w:val="0"/>
          <w:bCs/>
          <w:color w:val="auto"/>
          <w:sz w:val="32"/>
          <w:szCs w:val="32"/>
          <w:highlight w:val="none"/>
          <w:u w:val="none"/>
          <w:lang w:val="en-US" w:eastAsia="zh-CN"/>
        </w:rPr>
        <w:t>按</w:t>
      </w:r>
      <w:r>
        <w:rPr>
          <w:rFonts w:hint="eastAsia" w:ascii="仿宋_GB2312" w:hAnsi="仿宋_GB2312" w:eastAsia="仿宋_GB2312" w:cs="仿宋_GB2312"/>
          <w:b w:val="0"/>
          <w:bCs/>
          <w:sz w:val="32"/>
          <w:szCs w:val="32"/>
          <w:lang w:val="en-US" w:eastAsia="zh-CN"/>
        </w:rPr>
        <w:t>照绩效评价指标体系体系</w:t>
      </w:r>
      <w:r>
        <w:rPr>
          <w:rFonts w:hint="eastAsia" w:ascii="仿宋_GB2312" w:hAnsi="仿宋_GB2312" w:eastAsia="仿宋_GB2312" w:cs="仿宋_GB2312"/>
          <w:b w:val="0"/>
          <w:bCs/>
          <w:sz w:val="32"/>
          <w:szCs w:val="32"/>
          <w:lang w:val="zh-CN"/>
        </w:rPr>
        <w:t>，</w:t>
      </w:r>
      <w:r>
        <w:rPr>
          <w:rFonts w:hint="eastAsia" w:ascii="仿宋_GB2312" w:hAnsi="仿宋_GB2312" w:eastAsia="仿宋_GB2312" w:cs="仿宋_GB2312"/>
          <w:b w:val="0"/>
          <w:bCs/>
          <w:sz w:val="32"/>
          <w:szCs w:val="32"/>
          <w:lang w:val="en-US" w:eastAsia="zh-CN"/>
        </w:rPr>
        <w:t>该项目</w:t>
      </w:r>
      <w:r>
        <w:rPr>
          <w:rFonts w:hint="eastAsia" w:ascii="仿宋_GB2312" w:hAnsi="仿宋_GB2312" w:eastAsia="仿宋_GB2312" w:cs="仿宋_GB2312"/>
          <w:b w:val="0"/>
          <w:bCs/>
          <w:sz w:val="32"/>
          <w:szCs w:val="32"/>
          <w:lang w:eastAsia="zh-CN"/>
        </w:rPr>
        <w:t>经费使用应符合相关财务法规和政策，</w:t>
      </w:r>
      <w:r>
        <w:rPr>
          <w:rFonts w:hint="eastAsia" w:ascii="仿宋_GB2312" w:hAnsi="仿宋_GB2312" w:eastAsia="仿宋_GB2312" w:cs="仿宋_GB2312"/>
          <w:b w:val="0"/>
          <w:bCs/>
          <w:sz w:val="32"/>
          <w:szCs w:val="32"/>
          <w:lang w:val="en-US" w:eastAsia="zh-CN"/>
        </w:rPr>
        <w:t>按照合同约定和项目进度进行支付，做到专款专用，</w:t>
      </w:r>
      <w:r>
        <w:rPr>
          <w:rFonts w:hint="eastAsia" w:ascii="仿宋_GB2312" w:hAnsi="仿宋_GB2312" w:eastAsia="仿宋_GB2312" w:cs="仿宋_GB2312"/>
          <w:b w:val="0"/>
          <w:bCs/>
          <w:sz w:val="32"/>
          <w:szCs w:val="32"/>
          <w:lang w:eastAsia="zh-CN"/>
        </w:rPr>
        <w:t>确保资金使用的合法合规，避免违规行为发生。</w:t>
      </w:r>
      <w:r>
        <w:rPr>
          <w:rFonts w:hint="eastAsia" w:ascii="仿宋_GB2312" w:hAnsi="仿宋_GB2312" w:eastAsia="仿宋_GB2312" w:cs="仿宋_GB2312"/>
          <w:b w:val="0"/>
          <w:bCs/>
          <w:sz w:val="32"/>
          <w:szCs w:val="32"/>
          <w:lang w:val="en-US" w:eastAsia="zh-CN"/>
        </w:rPr>
        <w:t>按时组织完成全市硅基新材料产业专题培训，全力推进全市硅基新材料产业高质量发展。</w:t>
      </w:r>
    </w:p>
    <w:p w14:paraId="2AACAA15">
      <w:pPr>
        <w:adjustRightInd w:val="0"/>
        <w:snapToGrid w:val="0"/>
        <w:spacing w:line="580" w:lineRule="exact"/>
        <w:ind w:firstLine="643" w:firstLineChars="200"/>
        <w:rPr>
          <w:rFonts w:ascii="仿宋_GB2312" w:hAnsi="宋体"/>
          <w:sz w:val="32"/>
          <w:szCs w:val="32"/>
        </w:rPr>
      </w:pPr>
      <w:r>
        <w:rPr>
          <w:rFonts w:hint="eastAsia" w:ascii="楷体_GB2312" w:hAnsi="宋体" w:eastAsia="楷体_GB2312" w:cs="Times New Roman"/>
          <w:b/>
          <w:bCs w:val="0"/>
          <w:color w:val="auto"/>
          <w:sz w:val="32"/>
          <w:szCs w:val="32"/>
          <w:highlight w:val="none"/>
          <w:u w:val="none"/>
          <w:lang w:val="zh-CN"/>
        </w:rPr>
        <w:t>（三）评价选点。</w:t>
      </w:r>
      <w:r>
        <w:rPr>
          <w:rFonts w:hint="eastAsia" w:ascii="仿宋_GB2312" w:hAnsi="仿宋_GB2312" w:eastAsia="仿宋_GB2312" w:cs="仿宋_GB2312"/>
          <w:b w:val="0"/>
          <w:bCs/>
          <w:sz w:val="32"/>
          <w:szCs w:val="32"/>
        </w:rPr>
        <w:t>年末通过数量指标、质量指标及产生的社会效益和政府满意度来自评项目绩效完成情况。</w:t>
      </w:r>
    </w:p>
    <w:p w14:paraId="057EBF5F">
      <w:pPr>
        <w:keepNext w:val="0"/>
        <w:keepLines w:val="0"/>
        <w:pageBreakBefore w:val="0"/>
        <w:widowControl w:val="0"/>
        <w:kinsoku/>
        <w:wordWrap/>
        <w:overflowPunct/>
        <w:topLinePunct w:val="0"/>
        <w:autoSpaceDE/>
        <w:autoSpaceDN/>
        <w:bidi w:val="0"/>
        <w:spacing w:line="578" w:lineRule="exact"/>
        <w:ind w:firstLine="640"/>
        <w:textAlignment w:val="auto"/>
        <w:outlineLvl w:val="9"/>
        <w:rPr>
          <w:rFonts w:hint="eastAsia" w:ascii="仿宋_GB2312" w:hAnsi="仿宋_GB2312" w:eastAsia="仿宋_GB2312" w:cs="仿宋_GB2312"/>
          <w:b w:val="0"/>
          <w:bCs/>
          <w:sz w:val="32"/>
          <w:szCs w:val="32"/>
          <w:lang w:val="en-US" w:eastAsia="zh-CN"/>
        </w:rPr>
      </w:pPr>
      <w:r>
        <w:rPr>
          <w:rFonts w:hint="eastAsia" w:ascii="楷体_GB2312" w:hAnsi="宋体" w:eastAsia="楷体_GB2312" w:cs="Times New Roman"/>
          <w:b/>
          <w:bCs w:val="0"/>
          <w:color w:val="auto"/>
          <w:sz w:val="32"/>
          <w:szCs w:val="32"/>
          <w:highlight w:val="none"/>
          <w:u w:val="none"/>
          <w:lang w:val="zh-CN"/>
        </w:rPr>
        <w:t>（四）评价方法。</w:t>
      </w:r>
      <w:r>
        <w:rPr>
          <w:rFonts w:hint="eastAsia" w:ascii="仿宋_GB2312" w:hAnsi="仿宋_GB2312" w:eastAsia="仿宋_GB2312" w:cs="仿宋_GB2312"/>
          <w:b w:val="0"/>
          <w:bCs/>
          <w:sz w:val="32"/>
          <w:szCs w:val="32"/>
        </w:rPr>
        <w:t>采用单位自评法</w:t>
      </w:r>
      <w:r>
        <w:rPr>
          <w:rFonts w:hint="eastAsia" w:ascii="仿宋_GB2312" w:hAnsi="仿宋_GB2312" w:eastAsia="仿宋_GB2312" w:cs="仿宋_GB2312"/>
          <w:b w:val="0"/>
          <w:bCs/>
          <w:sz w:val="32"/>
          <w:szCs w:val="32"/>
          <w:lang w:val="en-US" w:eastAsia="zh-CN"/>
        </w:rPr>
        <w:t>.</w:t>
      </w:r>
    </w:p>
    <w:p w14:paraId="4836C603">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3" w:firstLineChars="200"/>
        <w:contextualSpacing/>
        <w:jc w:val="both"/>
        <w:textAlignment w:val="auto"/>
        <w:rPr>
          <w:rFonts w:hint="eastAsia" w:ascii="仿宋_GB2312" w:hAnsi="仿宋_GB2312" w:eastAsia="仿宋_GB2312" w:cs="仿宋_GB2312"/>
          <w:b w:val="0"/>
          <w:bCs/>
          <w:sz w:val="32"/>
          <w:szCs w:val="32"/>
          <w:lang w:val="en-US" w:eastAsia="zh-CN"/>
        </w:rPr>
      </w:pPr>
      <w:r>
        <w:rPr>
          <w:rFonts w:hint="eastAsia" w:ascii="楷体_GB2312" w:hAnsi="宋体" w:eastAsia="楷体_GB2312" w:cs="Times New Roman"/>
          <w:b/>
          <w:bCs w:val="0"/>
          <w:color w:val="auto"/>
          <w:sz w:val="32"/>
          <w:szCs w:val="32"/>
          <w:highlight w:val="none"/>
          <w:u w:val="none"/>
          <w:lang w:val="zh-CN"/>
        </w:rPr>
        <w:t>（五）评价组织。</w:t>
      </w:r>
      <w:r>
        <w:rPr>
          <w:rFonts w:hint="eastAsia" w:ascii="仿宋_GB2312" w:hAnsi="仿宋_GB2312" w:eastAsia="仿宋_GB2312" w:cs="仿宋_GB2312"/>
          <w:b w:val="0"/>
          <w:bCs/>
          <w:sz w:val="32"/>
          <w:szCs w:val="32"/>
          <w:lang w:val="en-US" w:eastAsia="zh-CN"/>
        </w:rPr>
        <w:t>按照财政资金“谁使用，谁自评”的原则，我单位在收到</w:t>
      </w:r>
      <w:r>
        <w:rPr>
          <w:rFonts w:hint="eastAsia" w:ascii="仿宋_GB2312" w:hAnsi="仿宋_GB2312" w:eastAsia="仿宋_GB2312" w:cs="仿宋_GB2312"/>
          <w:b w:val="0"/>
          <w:bCs/>
          <w:sz w:val="32"/>
          <w:szCs w:val="32"/>
          <w:lang w:val="zh-CN"/>
        </w:rPr>
        <w:t>自评工作通知后，立即</w:t>
      </w:r>
      <w:r>
        <w:rPr>
          <w:rFonts w:hint="eastAsia" w:ascii="仿宋_GB2312" w:hAnsi="仿宋_GB2312" w:eastAsia="仿宋_GB2312" w:cs="仿宋_GB2312"/>
          <w:b w:val="0"/>
          <w:bCs/>
          <w:sz w:val="32"/>
          <w:szCs w:val="32"/>
          <w:lang w:val="en-US" w:eastAsia="zh-CN"/>
        </w:rPr>
        <w:t>落实专人负责</w:t>
      </w:r>
      <w:r>
        <w:rPr>
          <w:rFonts w:hint="eastAsia" w:ascii="仿宋_GB2312" w:hAnsi="仿宋_GB2312" w:eastAsia="仿宋_GB2312" w:cs="仿宋_GB2312"/>
          <w:b w:val="0"/>
          <w:bCs/>
          <w:sz w:val="32"/>
          <w:szCs w:val="32"/>
          <w:lang w:val="zh-CN"/>
        </w:rPr>
        <w:t>，及时</w:t>
      </w:r>
      <w:r>
        <w:rPr>
          <w:rFonts w:hint="eastAsia" w:ascii="仿宋_GB2312" w:hAnsi="仿宋_GB2312" w:eastAsia="仿宋_GB2312" w:cs="仿宋_GB2312"/>
          <w:b w:val="0"/>
          <w:bCs/>
          <w:sz w:val="32"/>
          <w:szCs w:val="32"/>
          <w:lang w:val="en-US" w:eastAsia="zh-CN"/>
        </w:rPr>
        <w:t>与相关业务科实协调对接</w:t>
      </w:r>
      <w:r>
        <w:rPr>
          <w:rFonts w:hint="eastAsia" w:ascii="仿宋_GB2312" w:hAnsi="仿宋_GB2312" w:eastAsia="仿宋_GB2312" w:cs="仿宋_GB2312"/>
          <w:b w:val="0"/>
          <w:bCs/>
          <w:sz w:val="32"/>
          <w:szCs w:val="32"/>
          <w:lang w:val="zh-CN"/>
        </w:rPr>
        <w:t>，对项目概况、评价实施、绩效分析、评价结论、存在主要问题、改进建议等进行综合自评，形成自评结果。</w:t>
      </w:r>
    </w:p>
    <w:p w14:paraId="3046614E">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rPr>
          <w:rFonts w:hint="eastAsia" w:ascii="黑体" w:hAnsi="宋体" w:eastAsia="黑体" w:cs="Times New Roman"/>
          <w:sz w:val="32"/>
          <w:szCs w:val="32"/>
          <w:highlight w:val="none"/>
          <w:lang w:val="en-US" w:eastAsia="zh-CN"/>
        </w:rPr>
      </w:pPr>
      <w:r>
        <w:rPr>
          <w:rFonts w:hint="eastAsia" w:ascii="黑体" w:hAnsi="宋体" w:eastAsia="黑体" w:cs="Times New Roman"/>
          <w:sz w:val="32"/>
          <w:szCs w:val="32"/>
          <w:highlight w:val="none"/>
        </w:rPr>
        <w:t>三、</w:t>
      </w:r>
      <w:r>
        <w:rPr>
          <w:rFonts w:hint="eastAsia" w:ascii="黑体" w:hAnsi="宋体" w:eastAsia="黑体" w:cs="Times New Roman"/>
          <w:sz w:val="32"/>
          <w:szCs w:val="32"/>
          <w:highlight w:val="none"/>
          <w:lang w:eastAsia="zh-CN"/>
        </w:rPr>
        <w:t>绩效分析</w:t>
      </w:r>
      <w:r>
        <w:rPr>
          <w:rFonts w:hint="eastAsia" w:ascii="黑体" w:hAnsi="宋体" w:eastAsia="黑体" w:cs="Times New Roman"/>
          <w:sz w:val="32"/>
          <w:szCs w:val="32"/>
          <w:highlight w:val="none"/>
          <w:lang w:val="zh-CN"/>
        </w:rPr>
        <w:tab/>
      </w:r>
    </w:p>
    <w:p w14:paraId="2D55B14A">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楷体_GB2312" w:hAnsi="宋体" w:eastAsia="楷体_GB2312" w:cs="Times New Roman"/>
          <w:b/>
          <w:bCs w:val="0"/>
          <w:color w:val="auto"/>
          <w:sz w:val="32"/>
          <w:szCs w:val="32"/>
          <w:highlight w:val="none"/>
          <w:u w:val="none"/>
          <w:lang w:val="en-US" w:eastAsia="zh-CN"/>
        </w:rPr>
      </w:pPr>
      <w:r>
        <w:rPr>
          <w:rFonts w:hint="eastAsia" w:ascii="楷体_GB2312" w:hAnsi="宋体" w:eastAsia="楷体_GB2312" w:cs="Times New Roman"/>
          <w:b/>
          <w:bCs w:val="0"/>
          <w:color w:val="auto"/>
          <w:sz w:val="32"/>
          <w:szCs w:val="32"/>
          <w:highlight w:val="none"/>
          <w:u w:val="none"/>
          <w:lang w:val="zh-CN"/>
        </w:rPr>
        <w:t>（一）</w:t>
      </w:r>
      <w:r>
        <w:rPr>
          <w:rFonts w:hint="eastAsia" w:ascii="楷体_GB2312" w:hAnsi="宋体" w:eastAsia="楷体_GB2312" w:cs="Times New Roman"/>
          <w:b/>
          <w:bCs w:val="0"/>
          <w:color w:val="auto"/>
          <w:sz w:val="32"/>
          <w:szCs w:val="32"/>
          <w:highlight w:val="none"/>
          <w:u w:val="none"/>
          <w:lang w:val="en-US" w:eastAsia="zh-CN"/>
        </w:rPr>
        <w:t>通用指标</w:t>
      </w:r>
      <w:r>
        <w:rPr>
          <w:rFonts w:hint="default" w:ascii="楷体_GB2312" w:hAnsi="宋体" w:eastAsia="楷体_GB2312" w:cs="Times New Roman"/>
          <w:b/>
          <w:bCs w:val="0"/>
          <w:color w:val="auto"/>
          <w:sz w:val="32"/>
          <w:szCs w:val="32"/>
          <w:highlight w:val="none"/>
          <w:u w:val="none"/>
          <w:lang w:val="zh-CN"/>
        </w:rPr>
        <w:t>绩效分析。</w:t>
      </w:r>
    </w:p>
    <w:p w14:paraId="5B3167E3">
      <w:pPr>
        <w:pageBreakBefore w:val="0"/>
        <w:widowControl w:val="0"/>
        <w:kinsoku/>
        <w:wordWrap/>
        <w:overflowPunct/>
        <w:topLinePunct w:val="0"/>
        <w:autoSpaceDE/>
        <w:autoSpaceDN/>
        <w:bidi w:val="0"/>
        <w:adjustRightInd w:val="0"/>
        <w:snapToGrid w:val="0"/>
        <w:spacing w:line="520" w:lineRule="exact"/>
        <w:ind w:firstLine="640" w:firstLineChars="200"/>
        <w:contextualSpacing/>
        <w:jc w:val="both"/>
        <w:textAlignment w:val="auto"/>
        <w:rPr>
          <w:rFonts w:hint="eastAsia" w:ascii="仿宋_GB2312" w:hAnsi="仿宋_GB2312" w:eastAsia="仿宋_GB2312" w:cs="仿宋_GB2312"/>
          <w:b w:val="0"/>
          <w:bCs/>
          <w:sz w:val="32"/>
          <w:szCs w:val="32"/>
          <w:lang w:val="zh-CN"/>
        </w:rPr>
      </w:pPr>
      <w:r>
        <w:rPr>
          <w:rFonts w:hint="eastAsia" w:ascii="仿宋_GB2312" w:hAnsi="仿宋_GB2312" w:eastAsia="仿宋_GB2312" w:cs="仿宋_GB2312"/>
          <w:b w:val="0"/>
          <w:bCs/>
          <w:sz w:val="32"/>
          <w:szCs w:val="32"/>
          <w:lang w:val="en-US" w:eastAsia="zh-CN"/>
        </w:rPr>
        <w:t>1.</w:t>
      </w:r>
      <w:r>
        <w:rPr>
          <w:rFonts w:hint="eastAsia" w:ascii="仿宋_GB2312" w:hAnsi="仿宋_GB2312" w:eastAsia="仿宋_GB2312" w:cs="仿宋_GB2312"/>
          <w:b w:val="0"/>
          <w:bCs/>
          <w:sz w:val="32"/>
          <w:szCs w:val="32"/>
          <w:lang w:eastAsia="zh-CN"/>
        </w:rPr>
        <w:t>项目决策。</w:t>
      </w:r>
      <w:r>
        <w:rPr>
          <w:rFonts w:hint="eastAsia" w:ascii="仿宋_GB2312" w:hAnsi="仿宋_GB2312" w:eastAsia="仿宋_GB2312" w:cs="仿宋_GB2312"/>
          <w:b w:val="0"/>
          <w:bCs/>
          <w:sz w:val="32"/>
          <w:szCs w:val="32"/>
          <w:lang w:val="zh-CN"/>
        </w:rPr>
        <w:t>一是贯彻落实中央关于自然资源工作的方针政策和省委、市委决策部署，并按照单位的职能职责，资金预算合规、科学、合理的同时，把预算、绩效和自然资源改革发展工作深度融合。二是履行预算绩效设立审核程序，经集体研究决策后纳入预算。三是细化量化项目绩效目标，编制预算时对科室申报的预算项目进行全面梳理，严把审核关，所有项目必须有明细的资金测算，对审核后的所有项目全部进行入库管理。</w:t>
      </w:r>
    </w:p>
    <w:p w14:paraId="42792375">
      <w:pPr>
        <w:pageBreakBefore w:val="0"/>
        <w:widowControl w:val="0"/>
        <w:kinsoku/>
        <w:wordWrap/>
        <w:overflowPunct/>
        <w:topLinePunct w:val="0"/>
        <w:autoSpaceDE/>
        <w:autoSpaceDN/>
        <w:bidi w:val="0"/>
        <w:adjustRightInd w:val="0"/>
        <w:snapToGrid w:val="0"/>
        <w:spacing w:line="520" w:lineRule="exact"/>
        <w:ind w:firstLine="640" w:firstLineChars="200"/>
        <w:contextualSpacing/>
        <w:jc w:val="both"/>
        <w:textAlignment w:val="auto"/>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2.</w:t>
      </w:r>
      <w:r>
        <w:rPr>
          <w:rFonts w:hint="eastAsia" w:ascii="仿宋_GB2312" w:hAnsi="仿宋_GB2312" w:eastAsia="仿宋_GB2312" w:cs="仿宋_GB2312"/>
          <w:b w:val="0"/>
          <w:bCs/>
          <w:sz w:val="32"/>
          <w:szCs w:val="32"/>
          <w:lang w:eastAsia="zh-CN"/>
        </w:rPr>
        <w:t>项目管理。</w:t>
      </w:r>
      <w:r>
        <w:rPr>
          <w:rFonts w:hint="eastAsia" w:ascii="仿宋_GB2312" w:hAnsi="仿宋_GB2312" w:eastAsia="仿宋_GB2312" w:cs="仿宋_GB2312"/>
          <w:b w:val="0"/>
          <w:bCs/>
          <w:sz w:val="32"/>
          <w:szCs w:val="32"/>
          <w:lang w:val="en-US" w:eastAsia="zh-CN"/>
        </w:rPr>
        <w:t>一是</w:t>
      </w:r>
      <w:r>
        <w:rPr>
          <w:rFonts w:hint="eastAsia" w:ascii="仿宋_GB2312" w:hAnsi="仿宋_GB2312" w:eastAsia="仿宋_GB2312" w:cs="仿宋_GB2312"/>
          <w:b w:val="0"/>
          <w:bCs/>
          <w:sz w:val="32"/>
          <w:szCs w:val="32"/>
          <w:lang w:val="zh-CN"/>
        </w:rPr>
        <w:t>履行</w:t>
      </w:r>
      <w:r>
        <w:rPr>
          <w:rFonts w:hint="eastAsia" w:ascii="仿宋_GB2312" w:hAnsi="仿宋_GB2312" w:eastAsia="仿宋_GB2312" w:cs="仿宋_GB2312"/>
          <w:b w:val="0"/>
          <w:bCs/>
          <w:sz w:val="32"/>
          <w:szCs w:val="32"/>
          <w:lang w:val="en-US" w:eastAsia="zh-CN"/>
        </w:rPr>
        <w:t>项目</w:t>
      </w:r>
      <w:r>
        <w:rPr>
          <w:rFonts w:hint="eastAsia" w:ascii="仿宋_GB2312" w:hAnsi="仿宋_GB2312" w:eastAsia="仿宋_GB2312" w:cs="仿宋_GB2312"/>
          <w:b w:val="0"/>
          <w:bCs/>
          <w:sz w:val="32"/>
          <w:szCs w:val="32"/>
          <w:lang w:val="zh-CN"/>
        </w:rPr>
        <w:t>预算绩效设立审核程序，经集体研究决策后纳入</w:t>
      </w:r>
      <w:r>
        <w:rPr>
          <w:rFonts w:hint="eastAsia" w:ascii="仿宋_GB2312" w:hAnsi="仿宋_GB2312" w:eastAsia="仿宋_GB2312" w:cs="仿宋_GB2312"/>
          <w:b w:val="0"/>
          <w:bCs/>
          <w:sz w:val="32"/>
          <w:szCs w:val="32"/>
          <w:lang w:val="en-US" w:eastAsia="zh-CN"/>
        </w:rPr>
        <w:t>基建</w:t>
      </w:r>
      <w:r>
        <w:rPr>
          <w:rFonts w:hint="eastAsia" w:ascii="仿宋_GB2312" w:hAnsi="仿宋_GB2312" w:eastAsia="仿宋_GB2312" w:cs="仿宋_GB2312"/>
          <w:b w:val="0"/>
          <w:bCs/>
          <w:sz w:val="32"/>
          <w:szCs w:val="32"/>
          <w:lang w:val="zh-CN"/>
        </w:rPr>
        <w:t>预算。</w:t>
      </w:r>
      <w:r>
        <w:rPr>
          <w:rFonts w:hint="eastAsia" w:ascii="仿宋_GB2312" w:hAnsi="仿宋_GB2312" w:eastAsia="仿宋_GB2312" w:cs="仿宋_GB2312"/>
          <w:b w:val="0"/>
          <w:bCs/>
          <w:sz w:val="32"/>
          <w:szCs w:val="32"/>
          <w:lang w:val="en-US" w:eastAsia="zh-CN"/>
        </w:rPr>
        <w:t>二</w:t>
      </w:r>
      <w:r>
        <w:rPr>
          <w:rFonts w:hint="eastAsia" w:ascii="仿宋_GB2312" w:hAnsi="仿宋_GB2312" w:eastAsia="仿宋_GB2312" w:cs="仿宋_GB2312"/>
          <w:b w:val="0"/>
          <w:bCs/>
          <w:sz w:val="32"/>
          <w:szCs w:val="32"/>
          <w:lang w:val="zh-CN"/>
        </w:rPr>
        <w:t>是细化量化项目绩效目标，编制预算时对科室申报的预算项目进行全面梳理，严把审核关，项目必须有明细的资金测算，对审核后进行入库管理。</w:t>
      </w:r>
      <w:r>
        <w:rPr>
          <w:rFonts w:hint="eastAsia" w:ascii="仿宋_GB2312" w:hAnsi="仿宋_GB2312" w:eastAsia="仿宋_GB2312" w:cs="仿宋_GB2312"/>
          <w:b w:val="0"/>
          <w:bCs/>
          <w:sz w:val="32"/>
          <w:szCs w:val="32"/>
          <w:lang w:val="en-US" w:eastAsia="zh-CN"/>
        </w:rPr>
        <w:t>财政下达资金后，我局严格按照《预算法》《项目资金管理办法》及时支付，确保项目按时按质完成。</w:t>
      </w:r>
    </w:p>
    <w:p w14:paraId="69648CC3">
      <w:pPr>
        <w:pageBreakBefore w:val="0"/>
        <w:widowControl w:val="0"/>
        <w:kinsoku/>
        <w:wordWrap/>
        <w:overflowPunct/>
        <w:topLinePunct w:val="0"/>
        <w:autoSpaceDE/>
        <w:autoSpaceDN/>
        <w:bidi w:val="0"/>
        <w:adjustRightInd w:val="0"/>
        <w:snapToGrid w:val="0"/>
        <w:spacing w:line="520" w:lineRule="exact"/>
        <w:ind w:firstLine="640" w:firstLineChars="200"/>
        <w:contextualSpacing/>
        <w:jc w:val="both"/>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lang w:val="en-US" w:eastAsia="zh-CN"/>
        </w:rPr>
        <w:t>3.项目实施。根据我局的资金申请，</w:t>
      </w:r>
      <w:r>
        <w:rPr>
          <w:rFonts w:hint="eastAsia" w:ascii="仿宋_GB2312" w:hAnsi="仿宋_GB2312" w:eastAsia="仿宋_GB2312" w:cs="仿宋_GB2312"/>
          <w:b w:val="0"/>
          <w:bCs/>
          <w:sz w:val="32"/>
          <w:szCs w:val="32"/>
        </w:rPr>
        <w:t>市财政于2023年9月5日下达主题培训费14.58万元，我局按照合同约定支付培训经费14.58万元</w:t>
      </w:r>
      <w:r>
        <w:rPr>
          <w:rFonts w:hint="eastAsia" w:ascii="仿宋_GB2312" w:hAnsi="仿宋_GB2312" w:eastAsia="仿宋_GB2312" w:cs="仿宋_GB2312"/>
          <w:b w:val="0"/>
          <w:bCs/>
          <w:sz w:val="32"/>
          <w:szCs w:val="32"/>
          <w:lang w:val="en-US" w:eastAsia="zh-CN"/>
        </w:rPr>
        <w:t>。预算执行率100%。</w:t>
      </w:r>
      <w:r>
        <w:rPr>
          <w:rFonts w:hint="eastAsia" w:ascii="仿宋_GB2312" w:hAnsi="仿宋_GB2312" w:eastAsia="仿宋_GB2312" w:cs="仿宋_GB2312"/>
          <w:b w:val="0"/>
          <w:bCs/>
          <w:sz w:val="32"/>
          <w:szCs w:val="32"/>
        </w:rPr>
        <w:t>我局制度了《财务管理制度》和《专项资金管理制度》和《三重一大制度》，确保项目高效率使用和支付过程中严格执行相关制度，专款专用，无截留，无挪用。</w:t>
      </w:r>
    </w:p>
    <w:p w14:paraId="1B7BD680">
      <w:pPr>
        <w:pageBreakBefore w:val="0"/>
        <w:widowControl w:val="0"/>
        <w:kinsoku/>
        <w:wordWrap/>
        <w:overflowPunct/>
        <w:topLinePunct w:val="0"/>
        <w:autoSpaceDE/>
        <w:autoSpaceDN/>
        <w:bidi w:val="0"/>
        <w:adjustRightInd w:val="0"/>
        <w:snapToGrid w:val="0"/>
        <w:spacing w:line="520" w:lineRule="exact"/>
        <w:ind w:firstLine="640" w:firstLineChars="200"/>
        <w:contextualSpacing/>
        <w:jc w:val="both"/>
        <w:textAlignment w:val="auto"/>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4.项目结果。完成全市60人按时参加培训，全力推进全市硅基新材料产业高质量发展。</w:t>
      </w:r>
    </w:p>
    <w:p w14:paraId="49446D81">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楷体_GB2312" w:hAnsi="宋体" w:eastAsia="楷体_GB2312" w:cs="Times New Roman"/>
          <w:b/>
          <w:bCs w:val="0"/>
          <w:color w:val="auto"/>
          <w:sz w:val="32"/>
          <w:szCs w:val="32"/>
          <w:highlight w:val="none"/>
          <w:u w:val="none"/>
          <w:lang w:val="zh-CN" w:eastAsia="zh-CN"/>
        </w:rPr>
      </w:pPr>
      <w:r>
        <w:rPr>
          <w:rFonts w:hint="eastAsia" w:ascii="楷体_GB2312" w:hAnsi="宋体" w:eastAsia="楷体_GB2312" w:cs="Times New Roman"/>
          <w:b/>
          <w:bCs w:val="0"/>
          <w:color w:val="auto"/>
          <w:sz w:val="32"/>
          <w:szCs w:val="32"/>
          <w:highlight w:val="none"/>
          <w:u w:val="none"/>
          <w:lang w:val="zh-CN"/>
        </w:rPr>
        <w:t>（二）</w:t>
      </w:r>
      <w:r>
        <w:rPr>
          <w:rFonts w:hint="eastAsia" w:ascii="楷体_GB2312" w:hAnsi="宋体" w:eastAsia="楷体_GB2312" w:cs="Times New Roman"/>
          <w:b/>
          <w:bCs w:val="0"/>
          <w:color w:val="auto"/>
          <w:sz w:val="32"/>
          <w:szCs w:val="32"/>
          <w:highlight w:val="none"/>
          <w:u w:val="none"/>
          <w:lang w:val="en-US" w:eastAsia="zh-CN"/>
        </w:rPr>
        <w:t>专用指标</w:t>
      </w:r>
      <w:r>
        <w:rPr>
          <w:rFonts w:hint="default" w:ascii="楷体_GB2312" w:hAnsi="宋体" w:eastAsia="楷体_GB2312" w:cs="Times New Roman"/>
          <w:b/>
          <w:bCs w:val="0"/>
          <w:color w:val="auto"/>
          <w:sz w:val="32"/>
          <w:szCs w:val="32"/>
          <w:highlight w:val="none"/>
          <w:u w:val="none"/>
          <w:lang w:val="zh-CN"/>
        </w:rPr>
        <w:t>绩效分析</w:t>
      </w:r>
      <w:r>
        <w:rPr>
          <w:rFonts w:hint="eastAsia" w:ascii="楷体_GB2312" w:hAnsi="宋体" w:eastAsia="楷体_GB2312" w:cs="Times New Roman"/>
          <w:b/>
          <w:bCs w:val="0"/>
          <w:color w:val="auto"/>
          <w:sz w:val="32"/>
          <w:szCs w:val="32"/>
          <w:highlight w:val="none"/>
          <w:u w:val="none"/>
          <w:lang w:val="zh-CN" w:eastAsia="zh-CN"/>
        </w:rPr>
        <w:t>。</w:t>
      </w:r>
    </w:p>
    <w:p w14:paraId="6B9440DC">
      <w:pPr>
        <w:keepNext w:val="0"/>
        <w:keepLines w:val="0"/>
        <w:pageBreakBefore w:val="0"/>
        <w:widowControl w:val="0"/>
        <w:kinsoku/>
        <w:wordWrap/>
        <w:overflowPunct/>
        <w:topLinePunct w:val="0"/>
        <w:autoSpaceDE/>
        <w:autoSpaceDN/>
        <w:bidi w:val="0"/>
        <w:adjustRightInd/>
        <w:snapToGrid/>
        <w:spacing w:line="576" w:lineRule="exact"/>
        <w:ind w:left="0" w:firstLine="640" w:firstLineChars="200"/>
        <w:jc w:val="both"/>
        <w:textAlignment w:val="auto"/>
        <w:rPr>
          <w:rFonts w:hint="default" w:ascii="仿宋_GB2312" w:hAnsi="仿宋_GB2312" w:eastAsia="仿宋_GB2312" w:cs="仿宋_GB2312"/>
          <w:b w:val="0"/>
          <w:bCs w:val="0"/>
          <w:sz w:val="30"/>
          <w:szCs w:val="30"/>
          <w:lang w:val="en-US" w:eastAsia="zh-CN"/>
        </w:rPr>
      </w:pPr>
      <w:r>
        <w:rPr>
          <w:rFonts w:hint="eastAsia" w:ascii="仿宋_GB2312" w:hAnsi="仿宋_GB2312" w:eastAsia="仿宋_GB2312" w:cs="仿宋_GB2312"/>
          <w:b w:val="0"/>
          <w:bCs/>
          <w:sz w:val="32"/>
          <w:szCs w:val="32"/>
          <w:lang w:val="en-US" w:eastAsia="zh-CN"/>
        </w:rPr>
        <w:t>1.产业发展。该项目是市委市政府支持重点项目。组织完成全市硅基新材料产业专题培训，全力推进全市硅基新材料产业高质量发展。</w:t>
      </w:r>
    </w:p>
    <w:p w14:paraId="3C919101">
      <w:pPr>
        <w:pageBreakBefore w:val="0"/>
        <w:widowControl w:val="0"/>
        <w:kinsoku/>
        <w:wordWrap/>
        <w:overflowPunct/>
        <w:topLinePunct w:val="0"/>
        <w:autoSpaceDE/>
        <w:autoSpaceDN/>
        <w:bidi w:val="0"/>
        <w:adjustRightInd w:val="0"/>
        <w:snapToGrid w:val="0"/>
        <w:spacing w:line="520" w:lineRule="exact"/>
        <w:ind w:firstLine="640" w:firstLineChars="200"/>
        <w:contextualSpacing/>
        <w:jc w:val="both"/>
        <w:textAlignment w:val="auto"/>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2.</w:t>
      </w:r>
      <w:r>
        <w:rPr>
          <w:rFonts w:hint="eastAsia" w:ascii="仿宋_GB2312" w:hAnsi="仿宋_GB2312" w:eastAsia="仿宋_GB2312" w:cs="仿宋_GB2312"/>
          <w:b w:val="0"/>
          <w:bCs/>
          <w:sz w:val="32"/>
          <w:szCs w:val="32"/>
          <w:lang w:val="zh-CN" w:eastAsia="zh-CN"/>
        </w:rPr>
        <w:t>行政运转。</w:t>
      </w:r>
      <w:r>
        <w:rPr>
          <w:rFonts w:hint="eastAsia" w:ascii="仿宋_GB2312" w:hAnsi="仿宋_GB2312" w:eastAsia="仿宋_GB2312" w:cs="仿宋_GB2312"/>
          <w:b w:val="0"/>
          <w:bCs/>
          <w:sz w:val="32"/>
          <w:szCs w:val="32"/>
          <w:lang w:val="en-US" w:eastAsia="zh-CN"/>
        </w:rPr>
        <w:t>本</w:t>
      </w:r>
      <w:r>
        <w:rPr>
          <w:rFonts w:hint="eastAsia" w:ascii="仿宋_GB2312" w:hAnsi="仿宋_GB2312" w:eastAsia="仿宋_GB2312" w:cs="仿宋_GB2312"/>
          <w:b w:val="0"/>
          <w:bCs/>
          <w:sz w:val="32"/>
          <w:szCs w:val="32"/>
          <w:lang w:val="zh-CN"/>
        </w:rPr>
        <w:t>单位财务管理制度健全，严格执行财务管理制度，账务处理及时，会计核算规范。</w:t>
      </w:r>
    </w:p>
    <w:p w14:paraId="3974EE6A">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default" w:ascii="Times New Roman" w:hAnsi="Times New Roman" w:eastAsia="楷体_GB2312" w:cs="Times New Roman"/>
          <w:b/>
          <w:bCs w:val="0"/>
          <w:color w:val="000000"/>
          <w:kern w:val="0"/>
          <w:sz w:val="32"/>
          <w:szCs w:val="32"/>
          <w:highlight w:val="none"/>
          <w:shd w:val="clear" w:color="auto" w:fill="FFFFFF"/>
          <w:lang w:val="zh-CN"/>
        </w:rPr>
      </w:pPr>
      <w:r>
        <w:rPr>
          <w:rFonts w:hint="eastAsia" w:ascii="楷体_GB2312" w:hAnsi="宋体" w:eastAsia="楷体_GB2312" w:cs="Times New Roman"/>
          <w:b/>
          <w:bCs w:val="0"/>
          <w:color w:val="auto"/>
          <w:sz w:val="32"/>
          <w:szCs w:val="32"/>
          <w:highlight w:val="none"/>
          <w:u w:val="none"/>
          <w:lang w:val="zh-CN"/>
        </w:rPr>
        <w:t>（三）</w:t>
      </w:r>
      <w:r>
        <w:rPr>
          <w:rFonts w:hint="eastAsia" w:ascii="楷体_GB2312" w:hAnsi="宋体" w:eastAsia="楷体_GB2312" w:cs="Times New Roman"/>
          <w:b/>
          <w:bCs w:val="0"/>
          <w:color w:val="auto"/>
          <w:sz w:val="32"/>
          <w:szCs w:val="32"/>
          <w:highlight w:val="none"/>
          <w:u w:val="none"/>
          <w:lang w:val="en-US" w:eastAsia="zh-CN"/>
        </w:rPr>
        <w:t>个性指标</w:t>
      </w:r>
      <w:r>
        <w:rPr>
          <w:rFonts w:hint="default" w:ascii="Times New Roman" w:hAnsi="Times New Roman" w:eastAsia="楷体_GB2312" w:cs="Times New Roman"/>
          <w:b/>
          <w:bCs w:val="0"/>
          <w:color w:val="000000"/>
          <w:kern w:val="0"/>
          <w:sz w:val="32"/>
          <w:szCs w:val="32"/>
          <w:highlight w:val="none"/>
          <w:shd w:val="clear" w:color="auto" w:fill="FFFFFF"/>
          <w:lang w:val="zh-CN"/>
        </w:rPr>
        <w:t>绩效分析。</w:t>
      </w:r>
    </w:p>
    <w:p w14:paraId="22E099AE">
      <w:pPr>
        <w:pStyle w:val="7"/>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仿宋_GB2312" w:hAnsi="仿宋_GB2312" w:eastAsia="仿宋_GB2312" w:cs="仿宋_GB2312"/>
          <w:b w:val="0"/>
          <w:bCs/>
          <w:kern w:val="2"/>
          <w:sz w:val="32"/>
          <w:szCs w:val="32"/>
          <w:lang w:val="en-US" w:eastAsia="zh-CN" w:bidi="ar-SA"/>
        </w:rPr>
      </w:pPr>
      <w:r>
        <w:rPr>
          <w:rFonts w:hint="eastAsia" w:ascii="仿宋_GB2312" w:hAnsi="仿宋_GB2312" w:eastAsia="仿宋_GB2312" w:cs="仿宋_GB2312"/>
          <w:b w:val="0"/>
          <w:bCs/>
          <w:kern w:val="2"/>
          <w:sz w:val="32"/>
          <w:szCs w:val="32"/>
          <w:lang w:val="en-US" w:eastAsia="zh-CN" w:bidi="ar-SA"/>
        </w:rPr>
        <w:t>完成全市60人按时参加培训，全力推进全市硅基新材料产业高质量发展。</w:t>
      </w:r>
    </w:p>
    <w:p w14:paraId="7A5A21DD">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rPr>
          <w:rFonts w:hint="eastAsia" w:ascii="黑体" w:hAnsi="宋体" w:eastAsia="黑体" w:cs="Times New Roman"/>
          <w:sz w:val="32"/>
          <w:szCs w:val="32"/>
          <w:highlight w:val="none"/>
        </w:rPr>
      </w:pPr>
      <w:r>
        <w:rPr>
          <w:rFonts w:hint="eastAsia" w:ascii="黑体" w:hAnsi="宋体" w:eastAsia="黑体" w:cs="Times New Roman"/>
          <w:sz w:val="32"/>
          <w:szCs w:val="32"/>
          <w:highlight w:val="none"/>
          <w:lang w:eastAsia="zh-CN"/>
        </w:rPr>
        <w:t>四</w:t>
      </w:r>
      <w:r>
        <w:rPr>
          <w:rFonts w:hint="eastAsia" w:ascii="黑体" w:hAnsi="宋体" w:eastAsia="黑体" w:cs="Times New Roman"/>
          <w:sz w:val="32"/>
          <w:szCs w:val="32"/>
          <w:highlight w:val="none"/>
        </w:rPr>
        <w:t>、评价结论</w:t>
      </w:r>
    </w:p>
    <w:p w14:paraId="2B237A3F">
      <w:pPr>
        <w:pageBreakBefore w:val="0"/>
        <w:widowControl w:val="0"/>
        <w:kinsoku/>
        <w:wordWrap/>
        <w:overflowPunct/>
        <w:topLinePunct w:val="0"/>
        <w:autoSpaceDE/>
        <w:autoSpaceDN/>
        <w:bidi w:val="0"/>
        <w:adjustRightInd w:val="0"/>
        <w:snapToGrid w:val="0"/>
        <w:spacing w:line="520" w:lineRule="exact"/>
        <w:ind w:firstLine="640" w:firstLineChars="200"/>
        <w:contextualSpacing/>
        <w:jc w:val="both"/>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按照《</w:t>
      </w:r>
      <w:r>
        <w:rPr>
          <w:rFonts w:hint="eastAsia" w:ascii="仿宋_GB2312" w:hAnsi="仿宋_GB2312" w:eastAsia="仿宋_GB2312" w:cs="仿宋_GB2312"/>
          <w:b w:val="0"/>
          <w:bCs/>
          <w:sz w:val="32"/>
          <w:szCs w:val="32"/>
          <w:lang w:val="en-US" w:eastAsia="zh-CN"/>
        </w:rPr>
        <w:t>专项预算项目</w:t>
      </w:r>
      <w:r>
        <w:rPr>
          <w:rFonts w:hint="eastAsia" w:ascii="仿宋_GB2312" w:hAnsi="仿宋_GB2312" w:eastAsia="仿宋_GB2312" w:cs="仿宋_GB2312"/>
          <w:b w:val="0"/>
          <w:bCs/>
          <w:sz w:val="32"/>
          <w:szCs w:val="32"/>
        </w:rPr>
        <w:t>绩效评价指标体系》，自评得分</w:t>
      </w:r>
      <w:r>
        <w:rPr>
          <w:rFonts w:hint="eastAsia" w:ascii="仿宋_GB2312" w:hAnsi="仿宋_GB2312" w:eastAsia="仿宋_GB2312" w:cs="仿宋_GB2312"/>
          <w:b w:val="0"/>
          <w:bCs/>
          <w:sz w:val="32"/>
          <w:szCs w:val="32"/>
          <w:lang w:val="en-US" w:eastAsia="zh-CN"/>
        </w:rPr>
        <w:t>100</w:t>
      </w:r>
      <w:r>
        <w:rPr>
          <w:rFonts w:hint="eastAsia" w:ascii="仿宋_GB2312" w:hAnsi="仿宋_GB2312" w:eastAsia="仿宋_GB2312" w:cs="仿宋_GB2312"/>
          <w:b w:val="0"/>
          <w:bCs/>
          <w:sz w:val="32"/>
          <w:szCs w:val="32"/>
        </w:rPr>
        <w:t>分。</w:t>
      </w:r>
      <w:r>
        <w:rPr>
          <w:rFonts w:hint="eastAsia" w:ascii="仿宋_GB2312" w:hAnsi="仿宋_GB2312" w:eastAsia="仿宋_GB2312" w:cs="仿宋_GB2312"/>
          <w:b w:val="0"/>
          <w:bCs/>
          <w:sz w:val="32"/>
          <w:szCs w:val="32"/>
          <w:lang w:val="en-US" w:eastAsia="zh-CN"/>
        </w:rPr>
        <w:t>我</w:t>
      </w:r>
      <w:r>
        <w:rPr>
          <w:rFonts w:hint="eastAsia" w:ascii="仿宋_GB2312" w:hAnsi="仿宋_GB2312" w:eastAsia="仿宋_GB2312" w:cs="仿宋_GB2312"/>
          <w:b w:val="0"/>
          <w:bCs/>
          <w:sz w:val="32"/>
          <w:szCs w:val="32"/>
        </w:rPr>
        <w:t>局严格执行财经纪律、法规和各项规章制度，加强财务管理，规范会计核算，资金高效运行。项目决策科学，依据充分，项目管理规范；绩效执行进度达到预期；项目完成效果好，实施后达到了预期目的。</w:t>
      </w:r>
    </w:p>
    <w:p w14:paraId="292DB233">
      <w:pPr>
        <w:pStyle w:val="7"/>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s="Times New Roman"/>
          <w:color w:val="auto"/>
          <w:sz w:val="32"/>
          <w:szCs w:val="32"/>
          <w:highlight w:val="none"/>
          <w:u w:val="none"/>
          <w:lang w:eastAsia="zh-CN"/>
        </w:rPr>
      </w:pPr>
      <w:r>
        <w:rPr>
          <w:rFonts w:hint="eastAsia" w:ascii="黑体" w:hAnsi="宋体" w:cs="Times New Roman"/>
          <w:color w:val="auto"/>
          <w:sz w:val="32"/>
          <w:szCs w:val="32"/>
          <w:highlight w:val="none"/>
          <w:u w:val="none"/>
          <w:lang w:eastAsia="zh-CN"/>
        </w:rPr>
        <w:t>五、</w:t>
      </w:r>
      <w:r>
        <w:rPr>
          <w:rFonts w:hint="eastAsia" w:ascii="黑体" w:hAnsi="宋体" w:eastAsia="黑体" w:cs="Times New Roman"/>
          <w:color w:val="auto"/>
          <w:sz w:val="32"/>
          <w:szCs w:val="32"/>
          <w:highlight w:val="none"/>
          <w:u w:val="none"/>
          <w:lang w:eastAsia="zh-CN"/>
        </w:rPr>
        <w:t>存在主要问题</w:t>
      </w:r>
    </w:p>
    <w:p w14:paraId="7FA8ECC2">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both"/>
        <w:textAlignment w:val="auto"/>
        <w:rPr>
          <w:rFonts w:hint="eastAsia" w:ascii="仿宋_GB2312" w:hAnsi="仿宋_GB2312" w:cs="仿宋_GB2312"/>
          <w:color w:val="auto"/>
          <w:kern w:val="0"/>
          <w:sz w:val="32"/>
          <w:szCs w:val="32"/>
          <w:highlight w:val="none"/>
          <w:u w:val="none"/>
          <w:shd w:val="clear" w:color="auto" w:fill="FFFFFF"/>
          <w:lang w:val="zh-CN" w:eastAsia="zh-CN"/>
        </w:rPr>
      </w:pPr>
      <w:r>
        <w:rPr>
          <w:rFonts w:hint="eastAsia" w:ascii="仿宋_GB2312" w:hAnsi="仿宋_GB2312" w:eastAsia="仿宋_GB2312" w:cs="仿宋_GB2312"/>
          <w:color w:val="auto"/>
          <w:kern w:val="0"/>
          <w:sz w:val="32"/>
          <w:szCs w:val="32"/>
          <w:highlight w:val="none"/>
          <w:u w:val="none"/>
          <w:shd w:val="clear" w:color="auto" w:fill="FFFFFF"/>
          <w:lang w:val="zh-CN" w:eastAsia="zh-CN"/>
        </w:rPr>
        <w:t xml:space="preserve"> </w:t>
      </w:r>
      <w:r>
        <w:rPr>
          <w:rFonts w:hint="eastAsia" w:ascii="仿宋_GB2312" w:hAnsi="仿宋_GB2312" w:cs="仿宋_GB2312"/>
          <w:color w:val="auto"/>
          <w:kern w:val="0"/>
          <w:sz w:val="32"/>
          <w:szCs w:val="32"/>
          <w:highlight w:val="none"/>
          <w:u w:val="none"/>
          <w:shd w:val="clear" w:color="auto" w:fill="FFFFFF"/>
          <w:lang w:val="en-US" w:eastAsia="zh-CN"/>
        </w:rPr>
        <w:t>无</w:t>
      </w:r>
      <w:r>
        <w:rPr>
          <w:rFonts w:hint="eastAsia" w:ascii="仿宋_GB2312" w:hAnsi="仿宋_GB2312" w:cs="仿宋_GB2312"/>
          <w:color w:val="auto"/>
          <w:kern w:val="0"/>
          <w:sz w:val="32"/>
          <w:szCs w:val="32"/>
          <w:highlight w:val="none"/>
          <w:u w:val="none"/>
          <w:shd w:val="clear" w:color="auto" w:fill="FFFFFF"/>
          <w:lang w:val="zh-CN" w:eastAsia="zh-CN"/>
        </w:rPr>
        <w:t>。</w:t>
      </w:r>
    </w:p>
    <w:p w14:paraId="2C946317">
      <w:pPr>
        <w:pStyle w:val="7"/>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s="Times New Roman"/>
          <w:color w:val="auto"/>
          <w:kern w:val="0"/>
          <w:position w:val="3"/>
          <w:sz w:val="32"/>
          <w:szCs w:val="32"/>
          <w:highlight w:val="none"/>
          <w:u w:val="none"/>
          <w:lang w:val="zh-CN" w:eastAsia="zh-CN" w:bidi="ar-SA"/>
        </w:rPr>
      </w:pPr>
      <w:r>
        <w:rPr>
          <w:rFonts w:hint="eastAsia" w:ascii="黑体" w:hAnsi="宋体" w:eastAsia="黑体" w:cs="Times New Roman"/>
          <w:color w:val="auto"/>
          <w:kern w:val="0"/>
          <w:position w:val="3"/>
          <w:sz w:val="32"/>
          <w:szCs w:val="32"/>
          <w:highlight w:val="none"/>
          <w:u w:val="none"/>
          <w:lang w:val="zh-CN" w:eastAsia="zh-CN" w:bidi="ar-SA"/>
        </w:rPr>
        <w:t>六、改进建议</w:t>
      </w:r>
    </w:p>
    <w:p w14:paraId="62D3B34D">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both"/>
        <w:textAlignment w:val="auto"/>
        <w:rPr>
          <w:rFonts w:hint="eastAsia" w:ascii="仿宋_GB2312" w:hAnsi="仿宋_GB2312" w:cs="仿宋_GB2312"/>
          <w:color w:val="auto"/>
          <w:kern w:val="0"/>
          <w:sz w:val="32"/>
          <w:szCs w:val="32"/>
          <w:highlight w:val="none"/>
          <w:u w:val="none"/>
          <w:shd w:val="clear" w:color="auto" w:fill="FFFFFF"/>
          <w:lang w:val="zh-CN" w:eastAsia="zh-CN"/>
        </w:rPr>
      </w:pPr>
      <w:r>
        <w:rPr>
          <w:rFonts w:hint="eastAsia" w:ascii="仿宋_GB2312" w:hAnsi="仿宋_GB2312" w:eastAsia="仿宋_GB2312" w:cs="仿宋_GB2312"/>
          <w:color w:val="auto"/>
          <w:kern w:val="0"/>
          <w:sz w:val="32"/>
          <w:szCs w:val="32"/>
          <w:highlight w:val="none"/>
          <w:u w:val="none"/>
          <w:shd w:val="clear" w:color="auto" w:fill="FFFFFF"/>
          <w:lang w:val="zh-CN" w:eastAsia="zh-CN"/>
        </w:rPr>
        <w:t xml:space="preserve"> </w:t>
      </w:r>
      <w:r>
        <w:rPr>
          <w:rFonts w:hint="eastAsia" w:ascii="仿宋_GB2312" w:hAnsi="仿宋_GB2312" w:cs="仿宋_GB2312"/>
          <w:color w:val="auto"/>
          <w:kern w:val="0"/>
          <w:sz w:val="32"/>
          <w:szCs w:val="32"/>
          <w:highlight w:val="none"/>
          <w:u w:val="none"/>
          <w:shd w:val="clear" w:color="auto" w:fill="FFFFFF"/>
          <w:lang w:val="en-US" w:eastAsia="zh-CN"/>
        </w:rPr>
        <w:t>无</w:t>
      </w:r>
      <w:r>
        <w:rPr>
          <w:rFonts w:hint="eastAsia" w:ascii="仿宋_GB2312" w:hAnsi="仿宋_GB2312" w:cs="仿宋_GB2312"/>
          <w:color w:val="auto"/>
          <w:kern w:val="0"/>
          <w:sz w:val="32"/>
          <w:szCs w:val="32"/>
          <w:highlight w:val="none"/>
          <w:u w:val="none"/>
          <w:shd w:val="clear" w:color="auto" w:fill="FFFFFF"/>
          <w:lang w:val="zh-CN" w:eastAsia="zh-CN"/>
        </w:rPr>
        <w:t>。</w:t>
      </w:r>
    </w:p>
    <w:p w14:paraId="60E906BD">
      <w:pPr>
        <w:pStyle w:val="2"/>
        <w:rPr>
          <w:rFonts w:hint="eastAsia"/>
          <w:lang w:val="zh-CN" w:eastAsia="zh-CN"/>
        </w:rPr>
      </w:pPr>
    </w:p>
    <w:p w14:paraId="765AC2E1">
      <w:pPr>
        <w:pageBreakBefore w:val="0"/>
        <w:widowControl w:val="0"/>
        <w:kinsoku/>
        <w:wordWrap/>
        <w:overflowPunct/>
        <w:topLinePunct w:val="0"/>
        <w:autoSpaceDE/>
        <w:autoSpaceDN/>
        <w:bidi w:val="0"/>
        <w:adjustRightInd w:val="0"/>
        <w:snapToGrid w:val="0"/>
        <w:spacing w:line="520" w:lineRule="exact"/>
        <w:ind w:firstLine="640" w:firstLineChars="200"/>
        <w:contextualSpacing/>
        <w:jc w:val="both"/>
        <w:textAlignment w:val="auto"/>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附表：1.项目资金分配涉及所有点位自评得分情况表</w:t>
      </w:r>
    </w:p>
    <w:p w14:paraId="3B1D4D2C">
      <w:pPr>
        <w:pageBreakBefore w:val="0"/>
        <w:widowControl w:val="0"/>
        <w:kinsoku/>
        <w:wordWrap/>
        <w:overflowPunct/>
        <w:topLinePunct w:val="0"/>
        <w:autoSpaceDE/>
        <w:autoSpaceDN/>
        <w:bidi w:val="0"/>
        <w:adjustRightInd w:val="0"/>
        <w:snapToGrid w:val="0"/>
        <w:spacing w:line="520" w:lineRule="exact"/>
        <w:ind w:firstLine="1920" w:firstLineChars="600"/>
        <w:contextualSpacing/>
        <w:jc w:val="both"/>
        <w:textAlignment w:val="auto"/>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专项预算项目绩效目标完成情况自评表</w:t>
      </w:r>
    </w:p>
    <w:p w14:paraId="3E9A5AEF">
      <w:pPr>
        <w:pStyle w:val="25"/>
        <w:numPr>
          <w:ilvl w:val="0"/>
          <w:numId w:val="0"/>
        </w:numPr>
        <w:rPr>
          <w:rFonts w:hint="default"/>
          <w:lang w:val="en-US" w:eastAsia="zh-CN"/>
        </w:rPr>
      </w:pPr>
    </w:p>
    <w:p w14:paraId="2E72E4B1">
      <w:pPr>
        <w:rPr>
          <w:rFonts w:hint="default"/>
          <w:lang w:val="en-US" w:eastAsia="zh-CN"/>
        </w:rPr>
      </w:pPr>
    </w:p>
    <w:p w14:paraId="2841FCBE">
      <w:pPr>
        <w:pageBreakBefore w:val="0"/>
        <w:widowControl w:val="0"/>
        <w:kinsoku/>
        <w:wordWrap/>
        <w:overflowPunct/>
        <w:topLinePunct w:val="0"/>
        <w:autoSpaceDE/>
        <w:autoSpaceDN/>
        <w:bidi w:val="0"/>
        <w:adjustRightInd w:val="0"/>
        <w:snapToGrid w:val="0"/>
        <w:spacing w:line="520" w:lineRule="exact"/>
        <w:ind w:firstLine="640" w:firstLineChars="200"/>
        <w:contextualSpacing/>
        <w:jc w:val="both"/>
        <w:textAlignment w:val="auto"/>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 xml:space="preserve">                   广元市自然资源局</w:t>
      </w:r>
    </w:p>
    <w:p w14:paraId="473994CA">
      <w:pPr>
        <w:pageBreakBefore w:val="0"/>
        <w:widowControl w:val="0"/>
        <w:kinsoku/>
        <w:wordWrap/>
        <w:overflowPunct/>
        <w:topLinePunct w:val="0"/>
        <w:autoSpaceDE/>
        <w:autoSpaceDN/>
        <w:bidi w:val="0"/>
        <w:adjustRightInd w:val="0"/>
        <w:snapToGrid w:val="0"/>
        <w:spacing w:line="520" w:lineRule="exact"/>
        <w:ind w:firstLine="640" w:firstLineChars="200"/>
        <w:contextualSpacing/>
        <w:jc w:val="both"/>
        <w:textAlignment w:val="auto"/>
        <w:rPr>
          <w:rFonts w:hint="default"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 xml:space="preserve">                    2024年8月4日</w:t>
      </w:r>
    </w:p>
    <w:p w14:paraId="078C4055">
      <w:pPr>
        <w:keepNext w:val="0"/>
        <w:keepLines w:val="0"/>
        <w:pageBreakBefore w:val="0"/>
        <w:kinsoku/>
        <w:wordWrap/>
        <w:overflowPunct/>
        <w:topLinePunct w:val="0"/>
        <w:autoSpaceDE/>
        <w:autoSpaceDN/>
        <w:bidi w:val="0"/>
        <w:adjustRightInd/>
        <w:snapToGrid w:val="0"/>
        <w:spacing w:line="578" w:lineRule="exact"/>
        <w:ind w:left="0" w:leftChars="0" w:firstLine="420" w:firstLineChars="200"/>
        <w:textAlignment w:val="auto"/>
        <w:outlineLvl w:val="9"/>
        <w:rPr>
          <w:rFonts w:hint="eastAsia" w:ascii="Times New Roman" w:hAnsi="Times New Roman" w:cs="Times New Roman"/>
          <w:color w:val="000000"/>
          <w:kern w:val="0"/>
          <w:szCs w:val="32"/>
          <w:highlight w:val="none"/>
          <w:shd w:val="clear" w:color="auto" w:fill="FFFFFF"/>
          <w:lang w:val="zh-CN" w:eastAsia="zh-CN"/>
        </w:rPr>
      </w:pPr>
      <w:r>
        <w:rPr>
          <w:rFonts w:hint="eastAsia" w:ascii="Times New Roman" w:hAnsi="Times New Roman" w:cs="Times New Roman"/>
          <w:color w:val="000000"/>
          <w:kern w:val="0"/>
          <w:szCs w:val="32"/>
          <w:highlight w:val="none"/>
          <w:shd w:val="clear" w:color="auto" w:fill="FFFFFF"/>
          <w:lang w:val="zh-CN" w:eastAsia="zh-CN"/>
        </w:rPr>
        <w:br w:type="page"/>
      </w:r>
    </w:p>
    <w:p w14:paraId="16262A92">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contextualSpacing/>
        <w:jc w:val="left"/>
        <w:textAlignment w:val="auto"/>
        <w:rPr>
          <w:rFonts w:hint="eastAsia" w:ascii="黑体" w:hAnsi="黑体" w:eastAsia="黑体" w:cs="黑体"/>
          <w:b w:val="0"/>
          <w:bCs w:val="0"/>
          <w:color w:val="auto"/>
          <w:kern w:val="0"/>
          <w:sz w:val="32"/>
          <w:szCs w:val="32"/>
          <w:highlight w:val="none"/>
          <w:u w:val="none"/>
          <w:shd w:val="clear" w:color="auto" w:fill="FFFFFF"/>
          <w:lang w:val="zh-CN" w:eastAsia="zh-CN"/>
        </w:rPr>
      </w:pPr>
      <w:r>
        <w:rPr>
          <w:rFonts w:hint="eastAsia" w:ascii="黑体" w:hAnsi="黑体" w:eastAsia="黑体" w:cs="黑体"/>
          <w:b w:val="0"/>
          <w:bCs w:val="0"/>
          <w:color w:val="auto"/>
          <w:kern w:val="0"/>
          <w:sz w:val="32"/>
          <w:szCs w:val="32"/>
          <w:highlight w:val="none"/>
          <w:u w:val="none"/>
          <w:shd w:val="clear" w:color="auto" w:fill="FFFFFF"/>
          <w:lang w:val="zh-CN" w:eastAsia="zh-CN"/>
        </w:rPr>
        <w:t>附表</w:t>
      </w:r>
      <w:r>
        <w:rPr>
          <w:rFonts w:hint="eastAsia" w:ascii="黑体" w:hAnsi="黑体" w:eastAsia="黑体" w:cs="黑体"/>
          <w:b w:val="0"/>
          <w:bCs w:val="0"/>
          <w:color w:val="auto"/>
          <w:kern w:val="0"/>
          <w:sz w:val="32"/>
          <w:szCs w:val="32"/>
          <w:highlight w:val="none"/>
          <w:u w:val="none"/>
          <w:shd w:val="clear" w:color="auto" w:fill="FFFFFF"/>
          <w:lang w:val="en-US" w:eastAsia="zh-CN"/>
        </w:rPr>
        <w:t>1</w:t>
      </w:r>
    </w:p>
    <w:p w14:paraId="7974DC59">
      <w:pPr>
        <w:keepNext w:val="0"/>
        <w:keepLines w:val="0"/>
        <w:pageBreakBefore w:val="0"/>
        <w:kinsoku/>
        <w:wordWrap/>
        <w:overflowPunct/>
        <w:topLinePunct w:val="0"/>
        <w:autoSpaceDE/>
        <w:autoSpaceDN/>
        <w:bidi w:val="0"/>
        <w:spacing w:line="578" w:lineRule="exact"/>
        <w:ind w:left="0" w:leftChars="0"/>
        <w:jc w:val="center"/>
        <w:textAlignment w:val="auto"/>
        <w:rPr>
          <w:rFonts w:hint="eastAsia" w:ascii="方正小标宋_GBK" w:hAnsi="方正小标宋_GBK" w:eastAsia="方正小标宋_GBK" w:cs="方正小标宋_GBK"/>
          <w:b w:val="0"/>
          <w:bCs w:val="0"/>
          <w:color w:val="auto"/>
          <w:sz w:val="40"/>
          <w:szCs w:val="40"/>
          <w:highlight w:val="none"/>
          <w:u w:val="none"/>
          <w:lang w:val="en-US" w:eastAsia="zh-CN"/>
        </w:rPr>
      </w:pPr>
      <w:r>
        <w:rPr>
          <w:rFonts w:hint="eastAsia" w:ascii="方正小标宋_GBK" w:hAnsi="方正小标宋_GBK" w:eastAsia="方正小标宋_GBK" w:cs="方正小标宋_GBK"/>
          <w:b w:val="0"/>
          <w:bCs w:val="0"/>
          <w:color w:val="auto"/>
          <w:sz w:val="40"/>
          <w:szCs w:val="40"/>
          <w:highlight w:val="none"/>
          <w:u w:val="none"/>
          <w:lang w:val="en-US" w:eastAsia="zh-CN"/>
        </w:rPr>
        <w:t>项目资金分配涉及所有点位自评得分情况表</w:t>
      </w:r>
    </w:p>
    <w:tbl>
      <w:tblPr>
        <w:tblStyle w:val="18"/>
        <w:tblW w:w="88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3"/>
        <w:gridCol w:w="5020"/>
        <w:gridCol w:w="210"/>
        <w:gridCol w:w="1474"/>
        <w:gridCol w:w="993"/>
      </w:tblGrid>
      <w:tr w14:paraId="69760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23" w:type="dxa"/>
            <w:vAlign w:val="center"/>
          </w:tcPr>
          <w:p w14:paraId="18E162C2">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序号</w:t>
            </w:r>
          </w:p>
        </w:tc>
        <w:tc>
          <w:tcPr>
            <w:tcW w:w="5230" w:type="dxa"/>
            <w:gridSpan w:val="2"/>
            <w:vAlign w:val="center"/>
          </w:tcPr>
          <w:p w14:paraId="03B4EAA6">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项目资金末端分配点位</w:t>
            </w:r>
          </w:p>
        </w:tc>
        <w:tc>
          <w:tcPr>
            <w:tcW w:w="1474" w:type="dxa"/>
            <w:vAlign w:val="center"/>
          </w:tcPr>
          <w:p w14:paraId="346BBD8B">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 w:eastAsia="zh-CN"/>
              </w:rPr>
              <w:t>自评得分（百分制）</w:t>
            </w:r>
          </w:p>
        </w:tc>
        <w:tc>
          <w:tcPr>
            <w:tcW w:w="993" w:type="dxa"/>
            <w:vAlign w:val="center"/>
          </w:tcPr>
          <w:p w14:paraId="04DACE81">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备注</w:t>
            </w:r>
          </w:p>
        </w:tc>
      </w:tr>
      <w:tr w14:paraId="1DB05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23" w:type="dxa"/>
            <w:vAlign w:val="center"/>
          </w:tcPr>
          <w:p w14:paraId="768C079B">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lang w:val="en-US" w:eastAsia="zh-CN"/>
              </w:rPr>
            </w:pPr>
            <w:r>
              <w:rPr>
                <w:rFonts w:hint="eastAsia" w:ascii="仿宋_GB2312" w:hAnsi="仿宋_GB2312" w:eastAsia="仿宋_GB2312" w:cs="仿宋_GB2312"/>
                <w:b w:val="0"/>
                <w:bCs w:val="0"/>
                <w:color w:val="auto"/>
                <w:sz w:val="24"/>
                <w:szCs w:val="24"/>
                <w:highlight w:val="none"/>
                <w:u w:val="none"/>
                <w:lang w:val="en-US" w:eastAsia="zh-CN"/>
              </w:rPr>
              <w:t>1</w:t>
            </w:r>
          </w:p>
        </w:tc>
        <w:tc>
          <w:tcPr>
            <w:tcW w:w="5020" w:type="dxa"/>
            <w:vAlign w:val="center"/>
          </w:tcPr>
          <w:p w14:paraId="5368326C">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color w:val="auto"/>
                <w:sz w:val="24"/>
                <w:szCs w:val="24"/>
                <w:highlight w:val="none"/>
                <w:u w:val="none"/>
                <w:vertAlign w:val="baseline"/>
                <w:lang w:val="en-US" w:eastAsia="zh-CN"/>
              </w:rPr>
            </w:pPr>
            <w:r>
              <w:rPr>
                <w:rFonts w:hint="eastAsia" w:ascii="仿宋_GB2312" w:hAnsi="仿宋_GB2312" w:eastAsia="仿宋_GB2312" w:cs="仿宋_GB2312"/>
                <w:color w:val="auto"/>
                <w:sz w:val="24"/>
                <w:szCs w:val="24"/>
                <w:highlight w:val="none"/>
                <w:u w:val="none"/>
                <w:vertAlign w:val="baseline"/>
                <w:lang w:val="en-US" w:eastAsia="zh-CN"/>
              </w:rPr>
              <w:t>安徽财经大学</w:t>
            </w:r>
          </w:p>
        </w:tc>
        <w:tc>
          <w:tcPr>
            <w:tcW w:w="1684" w:type="dxa"/>
            <w:gridSpan w:val="2"/>
            <w:vAlign w:val="center"/>
          </w:tcPr>
          <w:p w14:paraId="378B8AEC">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color w:val="auto"/>
                <w:sz w:val="24"/>
                <w:szCs w:val="24"/>
                <w:highlight w:val="none"/>
                <w:u w:val="none"/>
                <w:vertAlign w:val="baseline"/>
                <w:lang w:val="en-US" w:eastAsia="zh-CN"/>
              </w:rPr>
            </w:pPr>
            <w:r>
              <w:rPr>
                <w:rFonts w:hint="eastAsia" w:ascii="仿宋_GB2312" w:hAnsi="仿宋_GB2312" w:eastAsia="仿宋_GB2312" w:cs="仿宋_GB2312"/>
                <w:color w:val="auto"/>
                <w:sz w:val="24"/>
                <w:szCs w:val="24"/>
                <w:highlight w:val="none"/>
                <w:u w:val="none"/>
                <w:vertAlign w:val="baseline"/>
                <w:lang w:val="en-US" w:eastAsia="zh-CN"/>
              </w:rPr>
              <w:t>100</w:t>
            </w:r>
          </w:p>
        </w:tc>
        <w:tc>
          <w:tcPr>
            <w:tcW w:w="993" w:type="dxa"/>
            <w:vAlign w:val="center"/>
          </w:tcPr>
          <w:p w14:paraId="7939EBE7">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color w:val="auto"/>
                <w:sz w:val="24"/>
                <w:szCs w:val="24"/>
                <w:highlight w:val="none"/>
                <w:u w:val="none"/>
                <w:vertAlign w:val="baseline"/>
                <w:lang w:val="en-US" w:eastAsia="zh-CN"/>
              </w:rPr>
            </w:pPr>
          </w:p>
        </w:tc>
      </w:tr>
      <w:tr w14:paraId="5318C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23" w:type="dxa"/>
            <w:vAlign w:val="center"/>
          </w:tcPr>
          <w:p w14:paraId="5F8B642F">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lang w:val="en-US" w:eastAsia="zh-CN"/>
              </w:rPr>
            </w:pPr>
            <w:r>
              <w:rPr>
                <w:rFonts w:hint="eastAsia" w:ascii="仿宋_GB2312" w:hAnsi="仿宋_GB2312" w:eastAsia="仿宋_GB2312" w:cs="仿宋_GB2312"/>
                <w:b w:val="0"/>
                <w:bCs w:val="0"/>
                <w:color w:val="auto"/>
                <w:sz w:val="24"/>
                <w:szCs w:val="24"/>
                <w:highlight w:val="none"/>
                <w:u w:val="none"/>
                <w:lang w:val="en-US" w:eastAsia="zh-CN"/>
              </w:rPr>
              <w:t>2</w:t>
            </w:r>
          </w:p>
        </w:tc>
        <w:tc>
          <w:tcPr>
            <w:tcW w:w="5020" w:type="dxa"/>
            <w:vAlign w:val="center"/>
          </w:tcPr>
          <w:p w14:paraId="055331FD">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color w:val="auto"/>
                <w:sz w:val="24"/>
                <w:szCs w:val="24"/>
                <w:highlight w:val="none"/>
                <w:u w:val="none"/>
                <w:vertAlign w:val="baseline"/>
                <w:lang w:val="en-US" w:eastAsia="zh-CN"/>
              </w:rPr>
            </w:pPr>
          </w:p>
        </w:tc>
        <w:tc>
          <w:tcPr>
            <w:tcW w:w="1684" w:type="dxa"/>
            <w:gridSpan w:val="2"/>
            <w:vAlign w:val="center"/>
          </w:tcPr>
          <w:p w14:paraId="2A8100CB">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color w:val="auto"/>
                <w:sz w:val="24"/>
                <w:szCs w:val="24"/>
                <w:highlight w:val="none"/>
                <w:u w:val="none"/>
                <w:vertAlign w:val="baseline"/>
                <w:lang w:val="en-US" w:eastAsia="zh-CN"/>
              </w:rPr>
            </w:pPr>
          </w:p>
        </w:tc>
        <w:tc>
          <w:tcPr>
            <w:tcW w:w="993" w:type="dxa"/>
            <w:vAlign w:val="center"/>
          </w:tcPr>
          <w:p w14:paraId="105DAC74">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color w:val="auto"/>
                <w:sz w:val="24"/>
                <w:szCs w:val="24"/>
                <w:highlight w:val="none"/>
                <w:u w:val="none"/>
                <w:vertAlign w:val="baseline"/>
                <w:lang w:val="en-US" w:eastAsia="zh-CN"/>
              </w:rPr>
            </w:pPr>
          </w:p>
        </w:tc>
      </w:tr>
      <w:tr w14:paraId="668FC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23" w:type="dxa"/>
            <w:vAlign w:val="center"/>
          </w:tcPr>
          <w:p w14:paraId="1B0B8BB3">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lang w:val="en-US" w:eastAsia="zh-CN"/>
              </w:rPr>
            </w:pPr>
            <w:r>
              <w:rPr>
                <w:rFonts w:hint="eastAsia" w:ascii="仿宋_GB2312" w:hAnsi="仿宋_GB2312" w:eastAsia="仿宋_GB2312" w:cs="仿宋_GB2312"/>
                <w:b w:val="0"/>
                <w:bCs w:val="0"/>
                <w:color w:val="auto"/>
                <w:sz w:val="24"/>
                <w:szCs w:val="24"/>
                <w:highlight w:val="none"/>
                <w:u w:val="none"/>
                <w:lang w:val="en-US" w:eastAsia="zh-CN"/>
              </w:rPr>
              <w:t>3</w:t>
            </w:r>
          </w:p>
        </w:tc>
        <w:tc>
          <w:tcPr>
            <w:tcW w:w="5020" w:type="dxa"/>
            <w:vAlign w:val="center"/>
          </w:tcPr>
          <w:p w14:paraId="37809B02">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color w:val="auto"/>
                <w:sz w:val="24"/>
                <w:szCs w:val="24"/>
                <w:highlight w:val="none"/>
                <w:u w:val="none"/>
                <w:vertAlign w:val="baseline"/>
                <w:lang w:val="en" w:eastAsia="zh-CN"/>
              </w:rPr>
            </w:pPr>
          </w:p>
        </w:tc>
        <w:tc>
          <w:tcPr>
            <w:tcW w:w="1684" w:type="dxa"/>
            <w:gridSpan w:val="2"/>
            <w:vAlign w:val="center"/>
          </w:tcPr>
          <w:p w14:paraId="27536A33">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color w:val="auto"/>
                <w:sz w:val="24"/>
                <w:szCs w:val="24"/>
                <w:highlight w:val="none"/>
                <w:u w:val="none"/>
                <w:vertAlign w:val="baseline"/>
                <w:lang w:val="en" w:eastAsia="zh-CN"/>
              </w:rPr>
            </w:pPr>
          </w:p>
        </w:tc>
        <w:tc>
          <w:tcPr>
            <w:tcW w:w="993" w:type="dxa"/>
            <w:vAlign w:val="center"/>
          </w:tcPr>
          <w:p w14:paraId="666C21CD">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color w:val="auto"/>
                <w:sz w:val="24"/>
                <w:szCs w:val="24"/>
                <w:highlight w:val="none"/>
                <w:u w:val="none"/>
                <w:vertAlign w:val="baseline"/>
                <w:lang w:val="en-US" w:eastAsia="zh-CN"/>
              </w:rPr>
            </w:pPr>
          </w:p>
        </w:tc>
      </w:tr>
      <w:tr w14:paraId="3E1DB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23" w:type="dxa"/>
            <w:vAlign w:val="center"/>
          </w:tcPr>
          <w:p w14:paraId="294718A2">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lang w:val="en-US" w:eastAsia="zh-CN"/>
              </w:rPr>
            </w:pPr>
            <w:r>
              <w:rPr>
                <w:rFonts w:hint="eastAsia" w:ascii="仿宋_GB2312" w:hAnsi="仿宋_GB2312" w:eastAsia="仿宋_GB2312" w:cs="仿宋_GB2312"/>
                <w:b w:val="0"/>
                <w:bCs w:val="0"/>
                <w:color w:val="auto"/>
                <w:sz w:val="24"/>
                <w:szCs w:val="24"/>
                <w:highlight w:val="none"/>
                <w:u w:val="none"/>
                <w:lang w:val="en-US" w:eastAsia="zh-CN"/>
              </w:rPr>
              <w:t>4</w:t>
            </w:r>
          </w:p>
        </w:tc>
        <w:tc>
          <w:tcPr>
            <w:tcW w:w="5020" w:type="dxa"/>
            <w:vAlign w:val="center"/>
          </w:tcPr>
          <w:p w14:paraId="62BBF5FC">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color w:val="auto"/>
                <w:sz w:val="24"/>
                <w:szCs w:val="24"/>
                <w:highlight w:val="none"/>
                <w:u w:val="none"/>
                <w:vertAlign w:val="baseline"/>
                <w:lang w:val="en" w:eastAsia="zh-CN"/>
              </w:rPr>
            </w:pPr>
          </w:p>
        </w:tc>
        <w:tc>
          <w:tcPr>
            <w:tcW w:w="1684" w:type="dxa"/>
            <w:gridSpan w:val="2"/>
            <w:vAlign w:val="center"/>
          </w:tcPr>
          <w:p w14:paraId="0D63BF7E">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color w:val="auto"/>
                <w:sz w:val="24"/>
                <w:szCs w:val="24"/>
                <w:highlight w:val="none"/>
                <w:u w:val="none"/>
                <w:vertAlign w:val="baseline"/>
                <w:lang w:val="en" w:eastAsia="zh-CN"/>
              </w:rPr>
            </w:pPr>
          </w:p>
        </w:tc>
        <w:tc>
          <w:tcPr>
            <w:tcW w:w="993" w:type="dxa"/>
            <w:vAlign w:val="center"/>
          </w:tcPr>
          <w:p w14:paraId="5F153E21">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color w:val="auto"/>
                <w:sz w:val="24"/>
                <w:szCs w:val="24"/>
                <w:highlight w:val="none"/>
                <w:u w:val="none"/>
                <w:vertAlign w:val="baseline"/>
                <w:lang w:val="en-US" w:eastAsia="zh-CN"/>
              </w:rPr>
            </w:pPr>
          </w:p>
        </w:tc>
      </w:tr>
      <w:tr w14:paraId="645A3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23" w:type="dxa"/>
            <w:vAlign w:val="center"/>
          </w:tcPr>
          <w:p w14:paraId="3B06787E">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lang w:val="en-US" w:eastAsia="zh-CN"/>
              </w:rPr>
            </w:pPr>
            <w:r>
              <w:rPr>
                <w:rFonts w:hint="eastAsia" w:ascii="仿宋_GB2312" w:hAnsi="仿宋_GB2312" w:eastAsia="仿宋_GB2312" w:cs="仿宋_GB2312"/>
                <w:b w:val="0"/>
                <w:bCs w:val="0"/>
                <w:color w:val="auto"/>
                <w:sz w:val="24"/>
                <w:szCs w:val="24"/>
                <w:highlight w:val="none"/>
                <w:u w:val="none"/>
                <w:lang w:val="en-US" w:eastAsia="zh-CN"/>
              </w:rPr>
              <w:t>5</w:t>
            </w:r>
          </w:p>
        </w:tc>
        <w:tc>
          <w:tcPr>
            <w:tcW w:w="5020" w:type="dxa"/>
            <w:vAlign w:val="center"/>
          </w:tcPr>
          <w:p w14:paraId="05602B8A">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color w:val="auto"/>
                <w:sz w:val="24"/>
                <w:szCs w:val="24"/>
                <w:highlight w:val="none"/>
                <w:u w:val="none"/>
                <w:vertAlign w:val="baseline"/>
                <w:lang w:val="en" w:eastAsia="zh-CN"/>
              </w:rPr>
            </w:pPr>
          </w:p>
        </w:tc>
        <w:tc>
          <w:tcPr>
            <w:tcW w:w="1684" w:type="dxa"/>
            <w:gridSpan w:val="2"/>
            <w:vAlign w:val="center"/>
          </w:tcPr>
          <w:p w14:paraId="05391FF3">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color w:val="auto"/>
                <w:sz w:val="24"/>
                <w:szCs w:val="24"/>
                <w:highlight w:val="none"/>
                <w:u w:val="none"/>
                <w:vertAlign w:val="baseline"/>
                <w:lang w:val="en" w:eastAsia="zh-CN"/>
              </w:rPr>
            </w:pPr>
          </w:p>
        </w:tc>
        <w:tc>
          <w:tcPr>
            <w:tcW w:w="993" w:type="dxa"/>
            <w:vAlign w:val="center"/>
          </w:tcPr>
          <w:p w14:paraId="52184025">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color w:val="auto"/>
                <w:sz w:val="24"/>
                <w:szCs w:val="24"/>
                <w:highlight w:val="none"/>
                <w:u w:val="none"/>
                <w:vertAlign w:val="baseline"/>
                <w:lang w:val="en-US" w:eastAsia="zh-CN"/>
              </w:rPr>
            </w:pPr>
          </w:p>
        </w:tc>
      </w:tr>
      <w:tr w14:paraId="01B9B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23" w:type="dxa"/>
            <w:vAlign w:val="center"/>
          </w:tcPr>
          <w:p w14:paraId="7F8BF8F5">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lang w:val="en-US" w:eastAsia="zh-CN"/>
              </w:rPr>
            </w:pPr>
            <w:r>
              <w:rPr>
                <w:rFonts w:hint="eastAsia" w:ascii="仿宋_GB2312" w:hAnsi="仿宋_GB2312" w:eastAsia="仿宋_GB2312" w:cs="仿宋_GB2312"/>
                <w:b w:val="0"/>
                <w:bCs w:val="0"/>
                <w:color w:val="auto"/>
                <w:sz w:val="24"/>
                <w:szCs w:val="24"/>
                <w:highlight w:val="none"/>
                <w:u w:val="none"/>
                <w:lang w:val="en-US" w:eastAsia="zh-CN"/>
              </w:rPr>
              <w:t>6</w:t>
            </w:r>
          </w:p>
        </w:tc>
        <w:tc>
          <w:tcPr>
            <w:tcW w:w="5020" w:type="dxa"/>
            <w:vAlign w:val="center"/>
          </w:tcPr>
          <w:p w14:paraId="7428B521">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color w:val="auto"/>
                <w:sz w:val="24"/>
                <w:szCs w:val="24"/>
                <w:highlight w:val="none"/>
                <w:u w:val="none"/>
                <w:vertAlign w:val="baseline"/>
                <w:lang w:val="en" w:eastAsia="zh-CN"/>
              </w:rPr>
            </w:pPr>
          </w:p>
        </w:tc>
        <w:tc>
          <w:tcPr>
            <w:tcW w:w="1684" w:type="dxa"/>
            <w:gridSpan w:val="2"/>
            <w:vAlign w:val="center"/>
          </w:tcPr>
          <w:p w14:paraId="57E2C29E">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color w:val="auto"/>
                <w:sz w:val="24"/>
                <w:szCs w:val="24"/>
                <w:highlight w:val="none"/>
                <w:u w:val="none"/>
                <w:vertAlign w:val="baseline"/>
                <w:lang w:val="en" w:eastAsia="zh-CN"/>
              </w:rPr>
            </w:pPr>
          </w:p>
        </w:tc>
        <w:tc>
          <w:tcPr>
            <w:tcW w:w="993" w:type="dxa"/>
            <w:vAlign w:val="center"/>
          </w:tcPr>
          <w:p w14:paraId="4713A1EB">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color w:val="auto"/>
                <w:sz w:val="24"/>
                <w:szCs w:val="24"/>
                <w:highlight w:val="none"/>
                <w:u w:val="none"/>
                <w:vertAlign w:val="baseline"/>
                <w:lang w:val="en-US" w:eastAsia="zh-CN"/>
              </w:rPr>
            </w:pPr>
          </w:p>
        </w:tc>
      </w:tr>
      <w:tr w14:paraId="30F76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23" w:type="dxa"/>
            <w:vAlign w:val="center"/>
          </w:tcPr>
          <w:p w14:paraId="4E0A6657">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lang w:val="en-US" w:eastAsia="zh-CN"/>
              </w:rPr>
            </w:pPr>
            <w:r>
              <w:rPr>
                <w:rFonts w:hint="eastAsia" w:ascii="仿宋_GB2312" w:hAnsi="仿宋_GB2312" w:eastAsia="仿宋_GB2312" w:cs="仿宋_GB2312"/>
                <w:b w:val="0"/>
                <w:bCs w:val="0"/>
                <w:color w:val="auto"/>
                <w:sz w:val="24"/>
                <w:szCs w:val="24"/>
                <w:highlight w:val="none"/>
                <w:u w:val="none"/>
                <w:lang w:val="en-US" w:eastAsia="zh-CN"/>
              </w:rPr>
              <w:t>7</w:t>
            </w:r>
          </w:p>
        </w:tc>
        <w:tc>
          <w:tcPr>
            <w:tcW w:w="5020" w:type="dxa"/>
            <w:vAlign w:val="center"/>
          </w:tcPr>
          <w:p w14:paraId="7716A5E6">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color w:val="auto"/>
                <w:sz w:val="24"/>
                <w:szCs w:val="24"/>
                <w:highlight w:val="none"/>
                <w:u w:val="none"/>
                <w:vertAlign w:val="baseline"/>
                <w:lang w:val="en" w:eastAsia="zh-CN"/>
              </w:rPr>
            </w:pPr>
          </w:p>
        </w:tc>
        <w:tc>
          <w:tcPr>
            <w:tcW w:w="1684" w:type="dxa"/>
            <w:gridSpan w:val="2"/>
            <w:vAlign w:val="center"/>
          </w:tcPr>
          <w:p w14:paraId="51DA45DA">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color w:val="auto"/>
                <w:sz w:val="24"/>
                <w:szCs w:val="24"/>
                <w:highlight w:val="none"/>
                <w:u w:val="none"/>
                <w:vertAlign w:val="baseline"/>
                <w:lang w:val="en" w:eastAsia="zh-CN"/>
              </w:rPr>
            </w:pPr>
          </w:p>
        </w:tc>
        <w:tc>
          <w:tcPr>
            <w:tcW w:w="993" w:type="dxa"/>
            <w:vAlign w:val="center"/>
          </w:tcPr>
          <w:p w14:paraId="118ACBA1">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color w:val="auto"/>
                <w:sz w:val="24"/>
                <w:szCs w:val="24"/>
                <w:highlight w:val="none"/>
                <w:u w:val="none"/>
                <w:vertAlign w:val="baseline"/>
                <w:lang w:val="en-US" w:eastAsia="zh-CN"/>
              </w:rPr>
            </w:pPr>
          </w:p>
        </w:tc>
      </w:tr>
      <w:tr w14:paraId="2FBF6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23" w:type="dxa"/>
            <w:vAlign w:val="center"/>
          </w:tcPr>
          <w:p w14:paraId="11EA5992">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lang w:val="en-US" w:eastAsia="zh-CN"/>
              </w:rPr>
            </w:pPr>
            <w:r>
              <w:rPr>
                <w:rFonts w:hint="eastAsia" w:ascii="仿宋_GB2312" w:hAnsi="仿宋_GB2312" w:eastAsia="仿宋_GB2312" w:cs="仿宋_GB2312"/>
                <w:b w:val="0"/>
                <w:bCs w:val="0"/>
                <w:color w:val="auto"/>
                <w:sz w:val="24"/>
                <w:szCs w:val="24"/>
                <w:highlight w:val="none"/>
                <w:u w:val="none"/>
                <w:lang w:val="en-US" w:eastAsia="zh-CN"/>
              </w:rPr>
              <w:t>8</w:t>
            </w:r>
          </w:p>
        </w:tc>
        <w:tc>
          <w:tcPr>
            <w:tcW w:w="5020" w:type="dxa"/>
            <w:vAlign w:val="center"/>
          </w:tcPr>
          <w:p w14:paraId="7B5524A0">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color w:val="auto"/>
                <w:sz w:val="24"/>
                <w:szCs w:val="24"/>
                <w:highlight w:val="none"/>
                <w:u w:val="none"/>
                <w:vertAlign w:val="baseline"/>
                <w:lang w:val="en" w:eastAsia="zh-CN"/>
              </w:rPr>
            </w:pPr>
          </w:p>
        </w:tc>
        <w:tc>
          <w:tcPr>
            <w:tcW w:w="1684" w:type="dxa"/>
            <w:gridSpan w:val="2"/>
            <w:vAlign w:val="center"/>
          </w:tcPr>
          <w:p w14:paraId="2DBF9922">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color w:val="auto"/>
                <w:sz w:val="24"/>
                <w:szCs w:val="24"/>
                <w:highlight w:val="none"/>
                <w:u w:val="none"/>
                <w:vertAlign w:val="baseline"/>
                <w:lang w:val="en" w:eastAsia="zh-CN"/>
              </w:rPr>
            </w:pPr>
          </w:p>
        </w:tc>
        <w:tc>
          <w:tcPr>
            <w:tcW w:w="993" w:type="dxa"/>
            <w:vAlign w:val="center"/>
          </w:tcPr>
          <w:p w14:paraId="33717CF0">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color w:val="auto"/>
                <w:sz w:val="24"/>
                <w:szCs w:val="24"/>
                <w:highlight w:val="none"/>
                <w:u w:val="none"/>
                <w:vertAlign w:val="baseline"/>
                <w:lang w:val="en-US" w:eastAsia="zh-CN"/>
              </w:rPr>
            </w:pPr>
          </w:p>
        </w:tc>
      </w:tr>
      <w:tr w14:paraId="77439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23" w:type="dxa"/>
            <w:vAlign w:val="center"/>
          </w:tcPr>
          <w:p w14:paraId="0F8FAD08">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color w:val="auto"/>
                <w:sz w:val="24"/>
                <w:szCs w:val="24"/>
                <w:highlight w:val="none"/>
                <w:u w:val="none"/>
                <w:lang w:val="en-US" w:eastAsia="zh-CN"/>
              </w:rPr>
            </w:pPr>
            <w:r>
              <w:rPr>
                <w:rFonts w:hint="eastAsia" w:ascii="仿宋_GB2312" w:hAnsi="仿宋_GB2312" w:eastAsia="仿宋_GB2312" w:cs="仿宋_GB2312"/>
                <w:color w:val="auto"/>
                <w:sz w:val="24"/>
                <w:szCs w:val="24"/>
                <w:highlight w:val="none"/>
                <w:u w:val="none"/>
                <w:lang w:val="en-US" w:eastAsia="zh-CN"/>
              </w:rPr>
              <w:t>……</w:t>
            </w:r>
          </w:p>
        </w:tc>
        <w:tc>
          <w:tcPr>
            <w:tcW w:w="5020" w:type="dxa"/>
            <w:vAlign w:val="center"/>
          </w:tcPr>
          <w:p w14:paraId="324359B6">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color w:val="auto"/>
                <w:sz w:val="24"/>
                <w:szCs w:val="24"/>
                <w:highlight w:val="none"/>
                <w:u w:val="none"/>
                <w:vertAlign w:val="baseline"/>
                <w:lang w:val="en" w:eastAsia="zh-CN"/>
              </w:rPr>
            </w:pPr>
          </w:p>
        </w:tc>
        <w:tc>
          <w:tcPr>
            <w:tcW w:w="1684" w:type="dxa"/>
            <w:gridSpan w:val="2"/>
            <w:vAlign w:val="center"/>
          </w:tcPr>
          <w:p w14:paraId="26BBFE6F">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color w:val="auto"/>
                <w:sz w:val="24"/>
                <w:szCs w:val="24"/>
                <w:highlight w:val="none"/>
                <w:u w:val="none"/>
                <w:vertAlign w:val="baseline"/>
                <w:lang w:val="en" w:eastAsia="zh-CN"/>
              </w:rPr>
            </w:pPr>
          </w:p>
        </w:tc>
        <w:tc>
          <w:tcPr>
            <w:tcW w:w="993" w:type="dxa"/>
            <w:vAlign w:val="center"/>
          </w:tcPr>
          <w:p w14:paraId="2D5953B6">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color w:val="auto"/>
                <w:sz w:val="24"/>
                <w:szCs w:val="24"/>
                <w:highlight w:val="none"/>
                <w:u w:val="none"/>
                <w:vertAlign w:val="baseline"/>
                <w:lang w:val="en-US" w:eastAsia="zh-CN"/>
              </w:rPr>
            </w:pPr>
          </w:p>
        </w:tc>
      </w:tr>
    </w:tbl>
    <w:p w14:paraId="1B39D098">
      <w:pPr>
        <w:keepNext w:val="0"/>
        <w:keepLines w:val="0"/>
        <w:pageBreakBefore w:val="0"/>
        <w:widowControl w:val="0"/>
        <w:kinsoku/>
        <w:wordWrap/>
        <w:overflowPunct/>
        <w:topLinePunct w:val="0"/>
        <w:autoSpaceDE/>
        <w:autoSpaceDN/>
        <w:bidi w:val="0"/>
        <w:adjustRightInd/>
        <w:snapToGrid/>
        <w:spacing w:line="400" w:lineRule="exact"/>
        <w:ind w:left="0" w:leftChars="0" w:firstLine="480" w:firstLineChars="200"/>
        <w:jc w:val="left"/>
        <w:textAlignment w:val="auto"/>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备注：1.项目资金末端分配点位包括市本级、县（区）、市级部门下属单位及一次性单位等。</w:t>
      </w:r>
    </w:p>
    <w:p w14:paraId="49354A4D">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1200" w:firstLineChars="500"/>
        <w:jc w:val="left"/>
        <w:textAlignment w:val="auto"/>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2.自评得分（百分制）从高到低划分为优、良、中、差四个档次，各个档次数量占比分别为20%、20%、55%、5%，且不同档次间得分分值应体现差异化，同档次得分分值相同的比例不超过该档次总数量的10%。</w:t>
      </w:r>
    </w:p>
    <w:p w14:paraId="2CE31CC4">
      <w:pPr>
        <w:rPr>
          <w:rFonts w:hint="eastAsia" w:ascii="Times New Roman" w:hAnsi="Times New Roman" w:eastAsia="仿宋_GB2312" w:cs="Times New Roman"/>
          <w:kern w:val="2"/>
          <w:sz w:val="32"/>
          <w:szCs w:val="24"/>
          <w:highlight w:val="none"/>
          <w:lang w:val="en-US" w:eastAsia="zh-CN" w:bidi="ar-SA"/>
        </w:rPr>
      </w:pPr>
      <w:r>
        <w:rPr>
          <w:rFonts w:hint="eastAsia" w:ascii="Times New Roman" w:hAnsi="Times New Roman" w:eastAsia="仿宋_GB2312" w:cs="Times New Roman"/>
          <w:kern w:val="2"/>
          <w:sz w:val="32"/>
          <w:szCs w:val="24"/>
          <w:highlight w:val="none"/>
          <w:lang w:val="en-US" w:eastAsia="zh-CN" w:bidi="ar-SA"/>
        </w:rPr>
        <w:br w:type="page"/>
      </w:r>
    </w:p>
    <w:p w14:paraId="21B4CBBA">
      <w:pPr>
        <w:pStyle w:val="16"/>
        <w:keepNext w:val="0"/>
        <w:keepLines w:val="0"/>
        <w:pageBreakBefore w:val="0"/>
        <w:kinsoku/>
        <w:wordWrap/>
        <w:overflowPunct/>
        <w:topLinePunct w:val="0"/>
        <w:autoSpaceDE/>
        <w:autoSpaceDN/>
        <w:bidi w:val="0"/>
        <w:spacing w:after="0" w:line="578" w:lineRule="exact"/>
        <w:ind w:left="0" w:leftChars="0" w:firstLine="0" w:firstLineChars="0"/>
        <w:rPr>
          <w:rFonts w:hint="default" w:ascii="Times New Roman" w:hAnsi="Times New Roman" w:eastAsia="黑体" w:cs="Times New Roman"/>
          <w:kern w:val="2"/>
          <w:sz w:val="32"/>
          <w:szCs w:val="24"/>
          <w:highlight w:val="none"/>
          <w:lang w:val="en-US" w:eastAsia="zh-CN" w:bidi="ar-SA"/>
        </w:rPr>
      </w:pPr>
      <w:r>
        <w:rPr>
          <w:rFonts w:hint="default" w:ascii="Times New Roman" w:hAnsi="Times New Roman" w:eastAsia="黑体" w:cs="Times New Roman"/>
          <w:kern w:val="2"/>
          <w:sz w:val="32"/>
          <w:szCs w:val="24"/>
          <w:highlight w:val="none"/>
          <w:lang w:val="en-US" w:eastAsia="zh-CN" w:bidi="ar-SA"/>
        </w:rPr>
        <w:t>附表2</w:t>
      </w:r>
    </w:p>
    <w:p w14:paraId="5C9244E2">
      <w:pPr>
        <w:pStyle w:val="16"/>
        <w:keepNext w:val="0"/>
        <w:keepLines w:val="0"/>
        <w:pageBreakBefore w:val="0"/>
        <w:kinsoku/>
        <w:wordWrap/>
        <w:overflowPunct/>
        <w:topLinePunct w:val="0"/>
        <w:autoSpaceDE/>
        <w:autoSpaceDN/>
        <w:bidi w:val="0"/>
        <w:spacing w:after="0" w:line="578" w:lineRule="exact"/>
        <w:ind w:left="0" w:leftChars="0" w:firstLine="0" w:firstLineChars="0"/>
        <w:jc w:val="center"/>
        <w:rPr>
          <w:rFonts w:hint="default" w:ascii="方正小标宋_GBK" w:hAnsi="方正小标宋_GBK" w:eastAsia="方正小标宋_GBK" w:cs="方正小标宋_GBK"/>
          <w:b w:val="0"/>
          <w:bCs w:val="0"/>
          <w:color w:val="auto"/>
          <w:kern w:val="2"/>
          <w:sz w:val="40"/>
          <w:szCs w:val="40"/>
          <w:highlight w:val="none"/>
          <w:u w:val="none"/>
          <w:lang w:val="en-US" w:eastAsia="zh-CN" w:bidi="ar-SA"/>
        </w:rPr>
      </w:pPr>
      <w:r>
        <w:rPr>
          <w:rFonts w:hint="eastAsia" w:ascii="方正小标宋_GBK" w:hAnsi="方正小标宋_GBK" w:eastAsia="方正小标宋_GBK" w:cs="方正小标宋_GBK"/>
          <w:b w:val="0"/>
          <w:bCs w:val="0"/>
          <w:color w:val="auto"/>
          <w:kern w:val="2"/>
          <w:sz w:val="40"/>
          <w:szCs w:val="40"/>
          <w:highlight w:val="none"/>
          <w:u w:val="none"/>
          <w:lang w:val="en-US" w:eastAsia="zh-CN" w:bidi="ar-SA"/>
        </w:rPr>
        <w:t>专项预算项目绩效目标完成情况自评表</w:t>
      </w:r>
    </w:p>
    <w:tbl>
      <w:tblPr>
        <w:tblStyle w:val="17"/>
        <w:tblW w:w="893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569"/>
        <w:gridCol w:w="945"/>
        <w:gridCol w:w="1091"/>
        <w:gridCol w:w="1147"/>
        <w:gridCol w:w="983"/>
        <w:gridCol w:w="848"/>
        <w:gridCol w:w="372"/>
        <w:gridCol w:w="554"/>
        <w:gridCol w:w="818"/>
        <w:gridCol w:w="1612"/>
      </w:tblGrid>
      <w:tr w14:paraId="21C930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3" w:hRule="atLeast"/>
          <w:jc w:val="center"/>
        </w:trPr>
        <w:tc>
          <w:tcPr>
            <w:tcW w:w="3752"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6D5304C">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项目名称</w:t>
            </w:r>
          </w:p>
        </w:tc>
        <w:tc>
          <w:tcPr>
            <w:tcW w:w="518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6A6F2DF">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全市硅基新材料产业发展专题培训费</w:t>
            </w:r>
          </w:p>
        </w:tc>
      </w:tr>
      <w:tr w14:paraId="2F71A3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3" w:hRule="atLeast"/>
          <w:jc w:val="center"/>
        </w:trPr>
        <w:tc>
          <w:tcPr>
            <w:tcW w:w="3752"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BAFA9CF">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预算单位</w:t>
            </w:r>
          </w:p>
        </w:tc>
        <w:tc>
          <w:tcPr>
            <w:tcW w:w="518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F1712BD">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广元市自然资源局</w:t>
            </w:r>
          </w:p>
        </w:tc>
      </w:tr>
      <w:tr w14:paraId="5C92C3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3" w:hRule="atLeast"/>
          <w:jc w:val="center"/>
        </w:trPr>
        <w:tc>
          <w:tcPr>
            <w:tcW w:w="3752"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9577489">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项目类型</w:t>
            </w:r>
          </w:p>
        </w:tc>
        <w:tc>
          <w:tcPr>
            <w:tcW w:w="518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E9F6023">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专项预算项目</w:t>
            </w:r>
          </w:p>
        </w:tc>
      </w:tr>
      <w:tr w14:paraId="0B1546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3" w:hRule="atLeast"/>
          <w:jc w:val="center"/>
        </w:trPr>
        <w:tc>
          <w:tcPr>
            <w:tcW w:w="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E1DE52C">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项目 概况</w:t>
            </w:r>
          </w:p>
        </w:tc>
        <w:tc>
          <w:tcPr>
            <w:tcW w:w="318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A180E44">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中长期规划（名称、文号，仅指</w:t>
            </w:r>
          </w:p>
          <w:p w14:paraId="168DCF5D">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常年项目）</w:t>
            </w:r>
          </w:p>
        </w:tc>
        <w:tc>
          <w:tcPr>
            <w:tcW w:w="518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0495D57">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w:t>
            </w:r>
          </w:p>
        </w:tc>
      </w:tr>
      <w:tr w14:paraId="73D1C4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3" w:hRule="atLeast"/>
          <w:jc w:val="center"/>
        </w:trPr>
        <w:tc>
          <w:tcPr>
            <w:tcW w:w="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BF0D9D">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318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E573893">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资金管理办法（名称、文号）</w:t>
            </w:r>
          </w:p>
        </w:tc>
        <w:tc>
          <w:tcPr>
            <w:tcW w:w="518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041971F">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广元市自然资源局财务管理制度</w:t>
            </w:r>
          </w:p>
        </w:tc>
      </w:tr>
      <w:tr w14:paraId="58BE49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3" w:hRule="atLeast"/>
          <w:jc w:val="center"/>
        </w:trPr>
        <w:tc>
          <w:tcPr>
            <w:tcW w:w="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3D59C8">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318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A9A110A">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绩效分配方式</w:t>
            </w:r>
          </w:p>
        </w:tc>
        <w:tc>
          <w:tcPr>
            <w:tcW w:w="9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9C329">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default" w:ascii="仿宋_GB2312" w:hAnsi="仿宋_GB2312" w:eastAsia="仿宋_GB2312" w:cs="仿宋_GB2312"/>
                <w:b w:val="0"/>
                <w:bCs w:val="0"/>
                <w:color w:val="auto"/>
                <w:sz w:val="24"/>
                <w:szCs w:val="24"/>
                <w:highlight w:val="none"/>
                <w:u w:val="none"/>
                <w:vertAlign w:val="baseline"/>
                <w:lang w:val="en-US" w:eastAsia="zh-CN"/>
              </w:rPr>
              <w:sym w:font="Wingdings 2" w:char="00A3"/>
            </w:r>
            <w:r>
              <w:rPr>
                <w:rFonts w:hint="eastAsia" w:ascii="仿宋_GB2312" w:hAnsi="仿宋_GB2312" w:eastAsia="仿宋_GB2312" w:cs="仿宋_GB2312"/>
                <w:b w:val="0"/>
                <w:bCs w:val="0"/>
                <w:color w:val="auto"/>
                <w:sz w:val="24"/>
                <w:szCs w:val="24"/>
                <w:highlight w:val="none"/>
                <w:u w:val="none"/>
                <w:vertAlign w:val="baseline"/>
                <w:lang w:val="en-US" w:eastAsia="zh-CN"/>
              </w:rPr>
              <w:t>因素法</w:t>
            </w:r>
          </w:p>
        </w:tc>
        <w:tc>
          <w:tcPr>
            <w:tcW w:w="17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A101DED">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default" w:ascii="仿宋_GB2312" w:hAnsi="仿宋_GB2312" w:eastAsia="仿宋_GB2312" w:cs="仿宋_GB2312"/>
                <w:b w:val="0"/>
                <w:bCs w:val="0"/>
                <w:color w:val="auto"/>
                <w:sz w:val="24"/>
                <w:szCs w:val="24"/>
                <w:highlight w:val="none"/>
                <w:u w:val="none"/>
                <w:vertAlign w:val="baseline"/>
                <w:lang w:val="en-US" w:eastAsia="zh-CN"/>
              </w:rPr>
              <w:sym w:font="Wingdings 2" w:char="0052"/>
            </w:r>
            <w:r>
              <w:rPr>
                <w:rFonts w:hint="default" w:ascii="仿宋_GB2312" w:hAnsi="仿宋_GB2312" w:eastAsia="仿宋_GB2312" w:cs="仿宋_GB2312"/>
                <w:b w:val="0"/>
                <w:bCs w:val="0"/>
                <w:color w:val="auto"/>
                <w:sz w:val="24"/>
                <w:szCs w:val="24"/>
                <w:highlight w:val="none"/>
                <w:u w:val="none"/>
                <w:vertAlign w:val="baseline"/>
                <w:lang w:val="en-US" w:eastAsia="zh-CN"/>
              </w:rPr>
              <w:t>项目法</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542BC">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default" w:ascii="仿宋_GB2312" w:hAnsi="仿宋_GB2312" w:eastAsia="仿宋_GB2312" w:cs="仿宋_GB2312"/>
                <w:b w:val="0"/>
                <w:bCs w:val="0"/>
                <w:color w:val="auto"/>
                <w:sz w:val="24"/>
                <w:szCs w:val="24"/>
                <w:highlight w:val="none"/>
                <w:u w:val="none"/>
                <w:vertAlign w:val="baseline"/>
                <w:lang w:val="en-US" w:eastAsia="zh-CN"/>
              </w:rPr>
              <w:sym w:font="Wingdings 2" w:char="00A3"/>
            </w:r>
            <w:r>
              <w:rPr>
                <w:rFonts w:hint="eastAsia" w:ascii="仿宋_GB2312" w:hAnsi="仿宋_GB2312" w:eastAsia="仿宋_GB2312" w:cs="仿宋_GB2312"/>
                <w:b w:val="0"/>
                <w:bCs w:val="0"/>
                <w:color w:val="auto"/>
                <w:sz w:val="24"/>
                <w:szCs w:val="24"/>
                <w:highlight w:val="none"/>
                <w:u w:val="none"/>
                <w:vertAlign w:val="baseline"/>
                <w:lang w:val="en-US" w:eastAsia="zh-CN"/>
              </w:rPr>
              <w:t>据实据效</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AF787">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default" w:ascii="仿宋_GB2312" w:hAnsi="仿宋_GB2312" w:eastAsia="仿宋_GB2312" w:cs="仿宋_GB2312"/>
                <w:b w:val="0"/>
                <w:bCs w:val="0"/>
                <w:color w:val="auto"/>
                <w:sz w:val="24"/>
                <w:szCs w:val="24"/>
                <w:highlight w:val="none"/>
                <w:u w:val="none"/>
                <w:vertAlign w:val="baseline"/>
                <w:lang w:val="en-US" w:eastAsia="zh-CN"/>
              </w:rPr>
              <w:t>£</w:t>
            </w:r>
            <w:r>
              <w:rPr>
                <w:rFonts w:hint="eastAsia" w:ascii="仿宋_GB2312" w:hAnsi="仿宋_GB2312" w:eastAsia="仿宋_GB2312" w:cs="仿宋_GB2312"/>
                <w:b w:val="0"/>
                <w:bCs w:val="0"/>
                <w:color w:val="auto"/>
                <w:sz w:val="24"/>
                <w:szCs w:val="24"/>
                <w:highlight w:val="none"/>
                <w:u w:val="none"/>
                <w:vertAlign w:val="baseline"/>
                <w:lang w:val="en-US" w:eastAsia="zh-CN"/>
              </w:rPr>
              <w:t>因素法与项目法相结合</w:t>
            </w:r>
          </w:p>
        </w:tc>
      </w:tr>
      <w:tr w14:paraId="1A8AC7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3" w:hRule="atLeast"/>
          <w:jc w:val="center"/>
        </w:trPr>
        <w:tc>
          <w:tcPr>
            <w:tcW w:w="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1EE43D">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318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6388F68">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立项依据</w:t>
            </w:r>
          </w:p>
        </w:tc>
        <w:tc>
          <w:tcPr>
            <w:tcW w:w="518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8389325">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根据市委组织部《关于印发2023年市级重点专题培训项目计划的通知》（广组训【2023】10号）</w:t>
            </w:r>
          </w:p>
        </w:tc>
      </w:tr>
      <w:tr w14:paraId="1A4EA6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3" w:hRule="atLeast"/>
          <w:jc w:val="center"/>
        </w:trPr>
        <w:tc>
          <w:tcPr>
            <w:tcW w:w="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5BBCDE">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318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41F91E0">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使用范围</w:t>
            </w:r>
          </w:p>
        </w:tc>
        <w:tc>
          <w:tcPr>
            <w:tcW w:w="518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944FCFF">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培训费</w:t>
            </w:r>
          </w:p>
        </w:tc>
      </w:tr>
      <w:tr w14:paraId="06F271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3" w:hRule="atLeast"/>
          <w:jc w:val="center"/>
        </w:trPr>
        <w:tc>
          <w:tcPr>
            <w:tcW w:w="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EF24F6">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318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24AA9A0">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申报（补助）条件</w:t>
            </w:r>
          </w:p>
        </w:tc>
        <w:tc>
          <w:tcPr>
            <w:tcW w:w="518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AF48CA8">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r>
      <w:tr w14:paraId="18BABF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3" w:hRule="atLeast"/>
          <w:jc w:val="center"/>
        </w:trPr>
        <w:tc>
          <w:tcPr>
            <w:tcW w:w="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4FA8A6">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318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90A40F4">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项目起止年限</w:t>
            </w:r>
          </w:p>
        </w:tc>
        <w:tc>
          <w:tcPr>
            <w:tcW w:w="518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DECE9A5">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2023-2023</w:t>
            </w:r>
          </w:p>
        </w:tc>
      </w:tr>
      <w:tr w14:paraId="68A275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3" w:hRule="atLeast"/>
          <w:jc w:val="center"/>
        </w:trPr>
        <w:tc>
          <w:tcPr>
            <w:tcW w:w="1514"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D67394B">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项目资金</w:t>
            </w:r>
          </w:p>
          <w:p w14:paraId="4989E2F9">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（万元）</w:t>
            </w:r>
          </w:p>
        </w:tc>
        <w:tc>
          <w:tcPr>
            <w:tcW w:w="22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D5F47A">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 xml:space="preserve">  年度资金总额：</w:t>
            </w:r>
          </w:p>
        </w:tc>
        <w:tc>
          <w:tcPr>
            <w:tcW w:w="518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E7AD97B">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14.58</w:t>
            </w:r>
          </w:p>
        </w:tc>
      </w:tr>
      <w:tr w14:paraId="79C90A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3" w:hRule="atLeast"/>
          <w:jc w:val="center"/>
        </w:trPr>
        <w:tc>
          <w:tcPr>
            <w:tcW w:w="151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AD52BF">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22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7CDB03">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 xml:space="preserve">    其中：财政拨款</w:t>
            </w:r>
          </w:p>
        </w:tc>
        <w:tc>
          <w:tcPr>
            <w:tcW w:w="518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8483716">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14.58</w:t>
            </w:r>
          </w:p>
        </w:tc>
      </w:tr>
      <w:tr w14:paraId="08549F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3" w:hRule="atLeast"/>
          <w:jc w:val="center"/>
        </w:trPr>
        <w:tc>
          <w:tcPr>
            <w:tcW w:w="151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20B81B">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22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18C72B">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 xml:space="preserve">          其他资金</w:t>
            </w:r>
          </w:p>
        </w:tc>
        <w:tc>
          <w:tcPr>
            <w:tcW w:w="518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CB4BE0F">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r>
      <w:tr w14:paraId="32CBB7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3" w:hRule="atLeast"/>
          <w:jc w:val="center"/>
        </w:trPr>
        <w:tc>
          <w:tcPr>
            <w:tcW w:w="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C3E62E">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总体 目标</w:t>
            </w:r>
          </w:p>
        </w:tc>
        <w:tc>
          <w:tcPr>
            <w:tcW w:w="837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B9533F9">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年度目标</w:t>
            </w:r>
          </w:p>
        </w:tc>
      </w:tr>
      <w:tr w14:paraId="297CB2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3" w:hRule="atLeast"/>
          <w:jc w:val="center"/>
        </w:trPr>
        <w:tc>
          <w:tcPr>
            <w:tcW w:w="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6F19BF">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837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6B06167">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完成全市60人按时参加培训，全力推进全市硅基新材料产业高质量发展。。</w:t>
            </w:r>
          </w:p>
        </w:tc>
      </w:tr>
      <w:tr w14:paraId="217A50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3" w:hRule="atLeast"/>
          <w:jc w:val="center"/>
        </w:trPr>
        <w:tc>
          <w:tcPr>
            <w:tcW w:w="569" w:type="dxa"/>
            <w:vMerge w:val="restart"/>
            <w:tcBorders>
              <w:top w:val="single" w:color="000000" w:sz="4" w:space="0"/>
              <w:left w:val="single" w:color="000000" w:sz="4" w:space="0"/>
              <w:bottom w:val="single" w:color="000000" w:sz="4" w:space="0"/>
            </w:tcBorders>
            <w:shd w:val="clear" w:color="auto" w:fill="auto"/>
            <w:vAlign w:val="center"/>
          </w:tcPr>
          <w:p w14:paraId="54E810B9">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绩效 指标</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47AB2">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一级指标</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58A38">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二级指标</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EA27E">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三级指标</w:t>
            </w:r>
          </w:p>
        </w:tc>
        <w:tc>
          <w:tcPr>
            <w:tcW w:w="9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6D79C">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指标性质</w:t>
            </w:r>
          </w:p>
        </w:tc>
        <w:tc>
          <w:tcPr>
            <w:tcW w:w="1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E1961E">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指标值</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320C1">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度量单位</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6EDA0">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权重</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5B904">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实际完成指标值</w:t>
            </w:r>
          </w:p>
        </w:tc>
      </w:tr>
      <w:tr w14:paraId="5C071C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3" w:hRule="atLeast"/>
          <w:jc w:val="center"/>
        </w:trPr>
        <w:tc>
          <w:tcPr>
            <w:tcW w:w="569" w:type="dxa"/>
            <w:vMerge w:val="continue"/>
            <w:tcBorders>
              <w:top w:val="single" w:color="000000" w:sz="4" w:space="0"/>
              <w:left w:val="single" w:color="000000" w:sz="4" w:space="0"/>
              <w:bottom w:val="single" w:color="000000" w:sz="4" w:space="0"/>
            </w:tcBorders>
            <w:shd w:val="clear" w:color="auto" w:fill="auto"/>
            <w:vAlign w:val="center"/>
          </w:tcPr>
          <w:p w14:paraId="199487EF">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A441A">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产出指标</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A12F0">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数量指标</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945DE">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培训天数</w:t>
            </w:r>
          </w:p>
        </w:tc>
        <w:tc>
          <w:tcPr>
            <w:tcW w:w="9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5E798">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145F8">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5</w:t>
            </w:r>
          </w:p>
        </w:tc>
        <w:tc>
          <w:tcPr>
            <w:tcW w:w="9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2C6FCB">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天</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8C403">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20</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28DF9">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15</w:t>
            </w:r>
          </w:p>
        </w:tc>
      </w:tr>
      <w:tr w14:paraId="3F06AE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3" w:hRule="atLeast"/>
          <w:jc w:val="center"/>
        </w:trPr>
        <w:tc>
          <w:tcPr>
            <w:tcW w:w="569" w:type="dxa"/>
            <w:vMerge w:val="continue"/>
            <w:tcBorders>
              <w:top w:val="single" w:color="000000" w:sz="4" w:space="0"/>
              <w:left w:val="single" w:color="000000" w:sz="4" w:space="0"/>
              <w:bottom w:val="single" w:color="000000" w:sz="4" w:space="0"/>
            </w:tcBorders>
            <w:shd w:val="clear" w:color="auto" w:fill="auto"/>
            <w:vAlign w:val="center"/>
          </w:tcPr>
          <w:p w14:paraId="7036B9E0">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58C4C">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产出指标</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658F4">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数量指标</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D1E71">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培训人数</w:t>
            </w:r>
          </w:p>
        </w:tc>
        <w:tc>
          <w:tcPr>
            <w:tcW w:w="9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185AE">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6BCE6">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60</w:t>
            </w:r>
          </w:p>
        </w:tc>
        <w:tc>
          <w:tcPr>
            <w:tcW w:w="9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980CF3">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人</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D631E">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10</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28EAC">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1</w:t>
            </w:r>
          </w:p>
        </w:tc>
      </w:tr>
      <w:tr w14:paraId="74F8E9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3" w:hRule="atLeast"/>
          <w:jc w:val="center"/>
        </w:trPr>
        <w:tc>
          <w:tcPr>
            <w:tcW w:w="569" w:type="dxa"/>
            <w:vMerge w:val="continue"/>
            <w:tcBorders>
              <w:top w:val="single" w:color="000000" w:sz="4" w:space="0"/>
              <w:left w:val="single" w:color="000000" w:sz="4" w:space="0"/>
              <w:bottom w:val="single" w:color="000000" w:sz="4" w:space="0"/>
            </w:tcBorders>
            <w:shd w:val="clear" w:color="auto" w:fill="auto"/>
            <w:vAlign w:val="center"/>
          </w:tcPr>
          <w:p w14:paraId="7C083CB3">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B7201">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产出指标</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B6BB8">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质量指标</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38291">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培训任务完成率</w:t>
            </w:r>
          </w:p>
        </w:tc>
        <w:tc>
          <w:tcPr>
            <w:tcW w:w="9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2485A">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771E5">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100</w:t>
            </w:r>
          </w:p>
        </w:tc>
        <w:tc>
          <w:tcPr>
            <w:tcW w:w="9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127DEB">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C388C">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10</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FDFDF">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100</w:t>
            </w:r>
          </w:p>
        </w:tc>
      </w:tr>
      <w:tr w14:paraId="16F3FF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3" w:hRule="atLeast"/>
          <w:jc w:val="center"/>
        </w:trPr>
        <w:tc>
          <w:tcPr>
            <w:tcW w:w="569" w:type="dxa"/>
            <w:vMerge w:val="continue"/>
            <w:tcBorders>
              <w:top w:val="single" w:color="000000" w:sz="4" w:space="0"/>
              <w:left w:val="single" w:color="000000" w:sz="4" w:space="0"/>
              <w:bottom w:val="single" w:color="000000" w:sz="4" w:space="0"/>
            </w:tcBorders>
            <w:shd w:val="clear" w:color="auto" w:fill="auto"/>
            <w:vAlign w:val="center"/>
          </w:tcPr>
          <w:p w14:paraId="1B731A47">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CE87C">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产出指标</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C16EB">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时效指标</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BFBFB">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完成时间</w:t>
            </w:r>
          </w:p>
        </w:tc>
        <w:tc>
          <w:tcPr>
            <w:tcW w:w="9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7EB84">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4E300">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5</w:t>
            </w:r>
          </w:p>
        </w:tc>
        <w:tc>
          <w:tcPr>
            <w:tcW w:w="9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0B8D84">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天</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2EED5">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10</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57D06">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1</w:t>
            </w:r>
          </w:p>
        </w:tc>
      </w:tr>
      <w:tr w14:paraId="35A031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3" w:hRule="atLeast"/>
          <w:jc w:val="center"/>
        </w:trPr>
        <w:tc>
          <w:tcPr>
            <w:tcW w:w="569" w:type="dxa"/>
            <w:vMerge w:val="continue"/>
            <w:tcBorders>
              <w:top w:val="single" w:color="000000" w:sz="4" w:space="0"/>
              <w:left w:val="single" w:color="000000" w:sz="4" w:space="0"/>
              <w:bottom w:val="single" w:color="000000" w:sz="4" w:space="0"/>
            </w:tcBorders>
            <w:shd w:val="clear" w:color="auto" w:fill="auto"/>
            <w:vAlign w:val="center"/>
          </w:tcPr>
          <w:p w14:paraId="5B79E46D">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32637">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效益指标</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6DE02">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社会效益</w:t>
            </w:r>
          </w:p>
          <w:p w14:paraId="6893CD6F">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指标</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3E34E">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推动硅基新材料产业高质量发展，提高政府收益</w:t>
            </w:r>
          </w:p>
        </w:tc>
        <w:tc>
          <w:tcPr>
            <w:tcW w:w="9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47DE2">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定性</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647B5">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良好</w:t>
            </w:r>
          </w:p>
        </w:tc>
        <w:tc>
          <w:tcPr>
            <w:tcW w:w="9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DFD790">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级</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D1211">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20</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6D058">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良好</w:t>
            </w:r>
          </w:p>
        </w:tc>
      </w:tr>
      <w:tr w14:paraId="6E0F6A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3" w:hRule="atLeast"/>
          <w:jc w:val="center"/>
        </w:trPr>
        <w:tc>
          <w:tcPr>
            <w:tcW w:w="569" w:type="dxa"/>
            <w:tcBorders>
              <w:top w:val="single" w:color="000000" w:sz="4" w:space="0"/>
              <w:left w:val="single" w:color="000000" w:sz="4" w:space="0"/>
              <w:bottom w:val="single" w:color="000000" w:sz="4" w:space="0"/>
            </w:tcBorders>
            <w:shd w:val="clear" w:color="auto" w:fill="auto"/>
            <w:vAlign w:val="center"/>
          </w:tcPr>
          <w:p w14:paraId="58763B1F">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3096A">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满意度指标</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D84E4">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满意度指标</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13916">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学员满意度</w:t>
            </w:r>
          </w:p>
        </w:tc>
        <w:tc>
          <w:tcPr>
            <w:tcW w:w="9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C2A5B">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0112C">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95</w:t>
            </w:r>
          </w:p>
        </w:tc>
        <w:tc>
          <w:tcPr>
            <w:tcW w:w="9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CB5ED8">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20925">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10</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CF6D7">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95</w:t>
            </w:r>
          </w:p>
        </w:tc>
      </w:tr>
      <w:tr w14:paraId="4F8984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3" w:hRule="atLeast"/>
          <w:jc w:val="center"/>
        </w:trPr>
        <w:tc>
          <w:tcPr>
            <w:tcW w:w="569" w:type="dxa"/>
            <w:tcBorders>
              <w:top w:val="single" w:color="000000" w:sz="4" w:space="0"/>
              <w:left w:val="single" w:color="000000" w:sz="4" w:space="0"/>
              <w:bottom w:val="single" w:color="000000" w:sz="4" w:space="0"/>
            </w:tcBorders>
            <w:shd w:val="clear" w:color="auto" w:fill="auto"/>
            <w:vAlign w:val="center"/>
          </w:tcPr>
          <w:p w14:paraId="5DA6E62B">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D0C38">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成本指标</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FD940">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经济成本指标</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BAEAE">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预算控制数</w:t>
            </w:r>
          </w:p>
        </w:tc>
        <w:tc>
          <w:tcPr>
            <w:tcW w:w="9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1973E">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F1538">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14.58</w:t>
            </w:r>
          </w:p>
        </w:tc>
        <w:tc>
          <w:tcPr>
            <w:tcW w:w="9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73C691">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万元</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ECB68">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20</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1DCE3">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14.58</w:t>
            </w:r>
          </w:p>
        </w:tc>
      </w:tr>
    </w:tbl>
    <w:p w14:paraId="6B5E3987">
      <w:pPr>
        <w:pStyle w:val="37"/>
        <w:keepNext w:val="0"/>
        <w:keepLines w:val="0"/>
        <w:pageBreakBefore w:val="0"/>
        <w:widowControl w:val="0"/>
        <w:kinsoku/>
        <w:wordWrap/>
        <w:overflowPunct/>
        <w:topLinePunct w:val="0"/>
        <w:autoSpaceDE/>
        <w:autoSpaceDN/>
        <w:bidi w:val="0"/>
        <w:spacing w:line="560" w:lineRule="exact"/>
        <w:ind w:left="0" w:leftChars="0"/>
        <w:jc w:val="center"/>
        <w:textAlignment w:val="auto"/>
        <w:rPr>
          <w:rFonts w:hint="default" w:ascii="方正小标宋简体" w:hAnsi="方正小标宋简体" w:eastAsia="方正小标宋简体" w:cs="方正小标宋简体"/>
          <w:color w:val="auto"/>
          <w:kern w:val="2"/>
          <w:sz w:val="44"/>
          <w:szCs w:val="44"/>
          <w:highlight w:val="none"/>
          <w:lang w:val="en-US" w:eastAsia="zh-CN"/>
        </w:rPr>
      </w:pPr>
      <w:r>
        <w:rPr>
          <w:rFonts w:hint="eastAsia" w:ascii="方正小标宋简体" w:hAnsi="方正小标宋简体" w:eastAsia="方正小标宋简体" w:cs="方正小标宋简体"/>
          <w:color w:val="auto"/>
          <w:kern w:val="2"/>
          <w:sz w:val="44"/>
          <w:szCs w:val="44"/>
          <w:highlight w:val="none"/>
          <w:lang w:val="en-US" w:eastAsia="zh-CN"/>
        </w:rPr>
        <w:t>广元市自然资源局</w:t>
      </w:r>
    </w:p>
    <w:p w14:paraId="010A5740">
      <w:pPr>
        <w:pStyle w:val="37"/>
        <w:keepNext w:val="0"/>
        <w:keepLines w:val="0"/>
        <w:pageBreakBefore w:val="0"/>
        <w:widowControl w:val="0"/>
        <w:kinsoku/>
        <w:wordWrap/>
        <w:overflowPunct/>
        <w:topLinePunct w:val="0"/>
        <w:autoSpaceDE/>
        <w:autoSpaceDN/>
        <w:bidi w:val="0"/>
        <w:spacing w:line="560" w:lineRule="exact"/>
        <w:ind w:left="0" w:leftChars="0"/>
        <w:jc w:val="center"/>
        <w:textAlignment w:val="auto"/>
        <w:rPr>
          <w:rFonts w:hint="eastAsia" w:ascii="方正小标宋简体" w:hAnsi="方正小标宋简体" w:eastAsia="方正小标宋简体" w:cs="方正小标宋简体"/>
          <w:color w:val="auto"/>
          <w:kern w:val="2"/>
          <w:sz w:val="44"/>
          <w:szCs w:val="44"/>
          <w:highlight w:val="none"/>
          <w:lang w:val="en-US" w:eastAsia="zh-CN"/>
        </w:rPr>
      </w:pPr>
      <w:r>
        <w:rPr>
          <w:rFonts w:hint="eastAsia" w:ascii="方正小标宋简体" w:hAnsi="方正小标宋简体" w:eastAsia="方正小标宋简体" w:cs="方正小标宋简体"/>
          <w:color w:val="auto"/>
          <w:kern w:val="2"/>
          <w:sz w:val="44"/>
          <w:szCs w:val="44"/>
          <w:highlight w:val="none"/>
          <w:lang w:val="en-US" w:eastAsia="zh-CN"/>
        </w:rPr>
        <w:t>关于广元市利州区2023年第5批次建设用地使用林地森林植被恢复费编制专项预算项目绩效评价报告</w:t>
      </w:r>
    </w:p>
    <w:p w14:paraId="4ADBF247">
      <w:pPr>
        <w:pStyle w:val="37"/>
        <w:keepNext w:val="0"/>
        <w:keepLines w:val="0"/>
        <w:pageBreakBefore w:val="0"/>
        <w:widowControl w:val="0"/>
        <w:kinsoku/>
        <w:wordWrap/>
        <w:overflowPunct/>
        <w:topLinePunct w:val="0"/>
        <w:autoSpaceDE/>
        <w:autoSpaceDN/>
        <w:bidi w:val="0"/>
        <w:spacing w:line="560" w:lineRule="exact"/>
        <w:ind w:left="0" w:leftChars="0" w:firstLine="640"/>
        <w:jc w:val="center"/>
        <w:textAlignment w:val="auto"/>
        <w:rPr>
          <w:rFonts w:ascii="宋体" w:hAnsi="宋体"/>
          <w:color w:val="auto"/>
          <w:kern w:val="2"/>
          <w:sz w:val="32"/>
          <w:szCs w:val="32"/>
          <w:highlight w:val="none"/>
        </w:rPr>
      </w:pPr>
    </w:p>
    <w:p w14:paraId="3F1CD96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黑体" w:hAnsi="宋体" w:eastAsia="黑体"/>
          <w:sz w:val="32"/>
          <w:szCs w:val="32"/>
          <w:highlight w:val="none"/>
          <w:lang w:val="zh-CN"/>
        </w:rPr>
      </w:pPr>
      <w:r>
        <w:rPr>
          <w:rFonts w:hint="eastAsia" w:ascii="黑体" w:hAnsi="宋体" w:eastAsia="黑体"/>
          <w:sz w:val="32"/>
          <w:szCs w:val="32"/>
          <w:highlight w:val="none"/>
        </w:rPr>
        <w:t>一、</w:t>
      </w:r>
      <w:r>
        <w:rPr>
          <w:rFonts w:hint="eastAsia" w:ascii="黑体" w:hAnsi="宋体" w:eastAsia="黑体"/>
          <w:sz w:val="32"/>
          <w:szCs w:val="32"/>
          <w:highlight w:val="none"/>
          <w:lang w:val="zh-CN"/>
        </w:rPr>
        <w:t>项目概况</w:t>
      </w:r>
    </w:p>
    <w:p w14:paraId="67FBD3A4">
      <w:pPr>
        <w:keepNext w:val="0"/>
        <w:keepLines w:val="0"/>
        <w:pageBreakBefore w:val="0"/>
        <w:widowControl w:val="0"/>
        <w:numPr>
          <w:ilvl w:val="0"/>
          <w:numId w:val="0"/>
        </w:numPr>
        <w:kinsoku/>
        <w:wordWrap/>
        <w:overflowPunct/>
        <w:topLinePunct w:val="0"/>
        <w:autoSpaceDE/>
        <w:autoSpaceDN/>
        <w:bidi w:val="0"/>
        <w:spacing w:line="560" w:lineRule="exact"/>
        <w:ind w:firstLine="643" w:firstLineChars="200"/>
        <w:textAlignment w:val="auto"/>
        <w:rPr>
          <w:rFonts w:hint="eastAsia"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（一）设立背景及基本情况。</w:t>
      </w:r>
    </w:p>
    <w:p w14:paraId="61D65D4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宋体" w:eastAsia="仿宋_GB2312" w:cs="Times New Roman"/>
          <w:sz w:val="32"/>
          <w:szCs w:val="32"/>
        </w:rPr>
      </w:pPr>
      <w:r>
        <w:rPr>
          <w:rFonts w:hint="eastAsia" w:ascii="仿宋_GB2312" w:hAnsi="宋体" w:eastAsia="仿宋_GB2312"/>
          <w:sz w:val="32"/>
          <w:szCs w:val="32"/>
        </w:rPr>
        <w:t>大稻坝限价商品房、城北片区限价商品房、雪峰小学周边用地等</w:t>
      </w:r>
      <w:r>
        <w:rPr>
          <w:rFonts w:hint="eastAsia" w:ascii="仿宋_GB2312" w:hAnsi="宋体" w:eastAsia="仿宋_GB2312" w:cs="Times New Roman"/>
          <w:sz w:val="32"/>
          <w:szCs w:val="32"/>
        </w:rPr>
        <w:t>项目，是市政府要求尽快纳入广元市利州区2023年第5批次建设用地上报省政府审批的市级重点项目，总用地面积27.9658公顷（其中林地6.4170公顷）。为确保项目建设用地的合法性，按照有关规定，在征地报批前必须先行办理林地使用批准手续，该批次需缴纳森林植被恢复费95.5220万元，使用林地可行性编制及采伐作业设计费11.1866万元，合计106.7086万元。</w:t>
      </w:r>
    </w:p>
    <w:p w14:paraId="40AA3D3F">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textAlignment w:val="auto"/>
        <w:rPr>
          <w:rFonts w:hint="eastAsia" w:ascii="仿宋_GB2312" w:hAnsi="宋体" w:eastAsia="仿宋_GB2312" w:cs="Times New Roman"/>
          <w:sz w:val="32"/>
          <w:szCs w:val="32"/>
        </w:rPr>
      </w:pPr>
      <w:r>
        <w:rPr>
          <w:rFonts w:hint="eastAsia" w:ascii="楷体_GB2312" w:hAnsi="宋体" w:eastAsia="楷体_GB2312" w:cs="Times New Roman"/>
          <w:b/>
          <w:color w:val="auto"/>
          <w:sz w:val="32"/>
          <w:szCs w:val="32"/>
          <w:highlight w:val="none"/>
          <w:u w:val="none"/>
          <w:lang w:val="en-US" w:eastAsia="zh-CN"/>
        </w:rPr>
        <w:t>（二）</w:t>
      </w:r>
      <w:r>
        <w:rPr>
          <w:rFonts w:hint="default" w:ascii="楷体_GB2312" w:hAnsi="宋体" w:eastAsia="楷体_GB2312" w:cs="Times New Roman"/>
          <w:b/>
          <w:color w:val="auto"/>
          <w:sz w:val="32"/>
          <w:szCs w:val="32"/>
          <w:highlight w:val="none"/>
          <w:u w:val="none"/>
          <w:lang w:val="en-US" w:eastAsia="zh-CN"/>
        </w:rPr>
        <w:t>实施目的及支持方向</w:t>
      </w:r>
      <w:r>
        <w:rPr>
          <w:rFonts w:hint="eastAsia" w:ascii="楷体_GB2312" w:hAnsi="宋体" w:eastAsia="楷体_GB2312" w:cs="Times New Roman"/>
          <w:b/>
          <w:color w:val="auto"/>
          <w:sz w:val="32"/>
          <w:szCs w:val="32"/>
          <w:highlight w:val="none"/>
          <w:u w:val="none"/>
          <w:lang w:val="en-US" w:eastAsia="zh-CN"/>
        </w:rPr>
        <w:t>。</w:t>
      </w:r>
      <w:r>
        <w:rPr>
          <w:rFonts w:hint="eastAsia" w:ascii="仿宋_GB2312" w:hAnsi="宋体" w:eastAsia="仿宋_GB2312"/>
          <w:sz w:val="32"/>
          <w:szCs w:val="32"/>
        </w:rPr>
        <w:t>大</w:t>
      </w:r>
      <w:r>
        <w:rPr>
          <w:rFonts w:hint="eastAsia" w:ascii="仿宋_GB2312" w:hAnsi="宋体" w:eastAsia="仿宋_GB2312" w:cs="Times New Roman"/>
          <w:sz w:val="32"/>
          <w:szCs w:val="32"/>
        </w:rPr>
        <w:t>稻坝限价商品房、城北片区限价商品房、雪峰小学周边用地等项目，是市政府要求尽快纳入广元市利州区2023年第5批次建设用地上报省政府审批的市级重点项目，总用地面积27.9658公顷（其中林地6.4170公顷）。按照有关规定，在征地报批前必须先行办理林地使用批准手续，以便取得《使用林地审核同意书》后上报土地征收手续，确保项目建设用地的合法性。</w:t>
      </w:r>
    </w:p>
    <w:p w14:paraId="183B2C42">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3" w:firstLineChars="200"/>
        <w:contextualSpacing/>
        <w:jc w:val="both"/>
        <w:textAlignment w:val="auto"/>
        <w:rPr>
          <w:rFonts w:hint="eastAsia" w:ascii="楷体_GB2312" w:hAnsi="宋体" w:eastAsia="楷体_GB2312" w:cs="Times New Roman"/>
          <w:b/>
          <w:color w:val="auto"/>
          <w:sz w:val="32"/>
          <w:szCs w:val="32"/>
          <w:highlight w:val="none"/>
          <w:u w:val="none"/>
          <w:lang w:val="zh-CN" w:eastAsia="zh-CN"/>
        </w:rPr>
      </w:pPr>
      <w:r>
        <w:rPr>
          <w:rFonts w:hint="eastAsia" w:ascii="楷体_GB2312" w:hAnsi="宋体" w:eastAsia="楷体_GB2312" w:cs="Times New Roman"/>
          <w:b/>
          <w:color w:val="auto"/>
          <w:sz w:val="32"/>
          <w:szCs w:val="32"/>
          <w:highlight w:val="none"/>
          <w:u w:val="none"/>
          <w:lang w:val="zh-CN" w:eastAsia="zh-CN"/>
        </w:rPr>
        <w:t>（三）</w:t>
      </w:r>
      <w:r>
        <w:rPr>
          <w:rFonts w:hint="default" w:ascii="楷体_GB2312" w:hAnsi="宋体" w:eastAsia="楷体_GB2312" w:cs="Times New Roman"/>
          <w:b/>
          <w:color w:val="auto"/>
          <w:sz w:val="32"/>
          <w:szCs w:val="32"/>
          <w:highlight w:val="none"/>
          <w:u w:val="none"/>
          <w:lang w:val="en-US" w:eastAsia="zh-CN"/>
        </w:rPr>
        <w:t>预算安排及分配管理</w:t>
      </w:r>
      <w:r>
        <w:rPr>
          <w:rFonts w:hint="eastAsia" w:ascii="楷体_GB2312" w:hAnsi="宋体" w:eastAsia="楷体_GB2312" w:cs="Times New Roman"/>
          <w:b/>
          <w:color w:val="auto"/>
          <w:sz w:val="32"/>
          <w:szCs w:val="32"/>
          <w:highlight w:val="none"/>
          <w:u w:val="none"/>
          <w:lang w:val="zh-CN" w:eastAsia="zh-CN"/>
        </w:rPr>
        <w:t>。</w:t>
      </w:r>
    </w:p>
    <w:p w14:paraId="0B2D06B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宋体" w:eastAsia="仿宋_GB2312" w:cs="Times New Roman"/>
          <w:sz w:val="32"/>
          <w:szCs w:val="32"/>
          <w:lang w:val="en-US" w:eastAsia="zh-CN"/>
        </w:rPr>
      </w:pPr>
      <w:r>
        <w:rPr>
          <w:rFonts w:hint="eastAsia" w:ascii="仿宋_GB2312" w:hAnsi="宋体" w:eastAsia="仿宋_GB2312" w:cs="Times New Roman"/>
          <w:sz w:val="32"/>
          <w:szCs w:val="32"/>
          <w:lang w:val="en-US" w:eastAsia="zh-CN"/>
        </w:rPr>
        <w:t>根据我局的资金申请，市财政于2023年9月18日下达基金指标106.71万元（广财投[2023]100号），我局于2023年9月支付106.71万专项用于报征土地费用。</w:t>
      </w:r>
    </w:p>
    <w:p w14:paraId="02AE5251">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textAlignment w:val="auto"/>
        <w:rPr>
          <w:rFonts w:hint="eastAsia" w:ascii="仿宋_GB2312" w:hAnsi="宋体" w:eastAsia="仿宋_GB2312" w:cs="Times New Roman"/>
          <w:sz w:val="32"/>
          <w:szCs w:val="32"/>
          <w:lang w:eastAsia="zh-CN"/>
        </w:rPr>
      </w:pPr>
      <w:r>
        <w:rPr>
          <w:rFonts w:hint="eastAsia" w:ascii="楷体_GB2312" w:hAnsi="宋体" w:eastAsia="楷体_GB2312" w:cs="Times New Roman"/>
          <w:b/>
          <w:color w:val="auto"/>
          <w:sz w:val="32"/>
          <w:szCs w:val="32"/>
          <w:highlight w:val="none"/>
          <w:u w:val="none"/>
          <w:lang w:val="zh-CN" w:eastAsia="zh-CN"/>
        </w:rPr>
        <w:t>（四）项目绩效目标设置。</w:t>
      </w:r>
      <w:r>
        <w:rPr>
          <w:rFonts w:hint="eastAsia" w:ascii="仿宋_GB2312" w:hAnsi="宋体" w:eastAsia="仿宋_GB2312" w:cs="Times New Roman"/>
          <w:sz w:val="32"/>
          <w:szCs w:val="32"/>
        </w:rPr>
        <w:t>绩效目标和绩效指标可量化考核</w:t>
      </w:r>
      <w:r>
        <w:rPr>
          <w:rFonts w:hint="eastAsia" w:ascii="仿宋_GB2312" w:hAnsi="宋体" w:eastAsia="仿宋_GB2312" w:cs="Times New Roman"/>
          <w:sz w:val="32"/>
          <w:szCs w:val="32"/>
          <w:lang w:eastAsia="zh-CN"/>
        </w:rPr>
        <w:t>，与规划部门的长期规划目标、年度工作目标相一致。绩效指标细化、量化，绩效目标和绩效指标契合政策或项目实质，产出和效果相关联。可对满意度指标进行量化预测，绩效目标具有一定的前瞻性和挑战性，绩效目标和绩效指标相匹配，</w:t>
      </w:r>
      <w:r>
        <w:rPr>
          <w:rFonts w:hint="eastAsia" w:ascii="仿宋_GB2312" w:hAnsi="宋体" w:eastAsia="仿宋_GB2312" w:cs="Times New Roman"/>
          <w:sz w:val="32"/>
          <w:szCs w:val="32"/>
        </w:rPr>
        <w:t>全面完整，契合项目实质</w:t>
      </w:r>
      <w:r>
        <w:rPr>
          <w:rFonts w:hint="eastAsia" w:ascii="仿宋_GB2312" w:hAnsi="宋体" w:eastAsia="仿宋_GB2312" w:cs="Times New Roman"/>
          <w:sz w:val="32"/>
          <w:szCs w:val="32"/>
          <w:lang w:eastAsia="zh-CN"/>
        </w:rPr>
        <w:t>。</w:t>
      </w:r>
    </w:p>
    <w:p w14:paraId="792B137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黑体" w:hAnsi="宋体" w:eastAsia="黑体" w:cs="Times New Roman"/>
          <w:sz w:val="32"/>
          <w:szCs w:val="32"/>
          <w:highlight w:val="none"/>
          <w:lang w:eastAsia="zh-CN"/>
        </w:rPr>
      </w:pPr>
      <w:r>
        <w:rPr>
          <w:rFonts w:hint="eastAsia" w:ascii="黑体" w:hAnsi="宋体" w:eastAsia="黑体" w:cs="Times New Roman"/>
          <w:sz w:val="32"/>
          <w:szCs w:val="32"/>
          <w:highlight w:val="none"/>
        </w:rPr>
        <w:t>二、</w:t>
      </w:r>
      <w:r>
        <w:rPr>
          <w:rFonts w:hint="eastAsia" w:ascii="黑体" w:hAnsi="宋体" w:eastAsia="黑体" w:cs="Times New Roman"/>
          <w:sz w:val="32"/>
          <w:szCs w:val="32"/>
          <w:highlight w:val="none"/>
          <w:lang w:eastAsia="zh-CN"/>
        </w:rPr>
        <w:t>评价实施</w:t>
      </w:r>
    </w:p>
    <w:p w14:paraId="01FC5481">
      <w:pPr>
        <w:keepNext w:val="0"/>
        <w:keepLines w:val="0"/>
        <w:pageBreakBefore w:val="0"/>
        <w:widowControl w:val="0"/>
        <w:kinsoku/>
        <w:wordWrap/>
        <w:overflowPunct/>
        <w:topLinePunct w:val="0"/>
        <w:autoSpaceDE/>
        <w:autoSpaceDN/>
        <w:bidi w:val="0"/>
        <w:spacing w:line="560" w:lineRule="exact"/>
        <w:ind w:firstLine="640"/>
        <w:textAlignment w:val="auto"/>
        <w:outlineLvl w:val="9"/>
        <w:rPr>
          <w:rFonts w:hint="eastAsia" w:ascii="仿宋_GB2312" w:hAnsi="宋体" w:eastAsia="仿宋_GB2312" w:cs="Times New Roman"/>
          <w:sz w:val="32"/>
          <w:szCs w:val="32"/>
        </w:rPr>
      </w:pPr>
      <w:r>
        <w:rPr>
          <w:rFonts w:hint="eastAsia" w:ascii="楷体_GB2312" w:hAnsi="宋体" w:eastAsia="楷体_GB2312"/>
          <w:b/>
          <w:color w:val="auto"/>
          <w:sz w:val="32"/>
          <w:szCs w:val="32"/>
          <w:highlight w:val="none"/>
          <w:u w:val="none"/>
          <w:lang w:val="zh-CN"/>
        </w:rPr>
        <w:t>（一）评价目的。</w:t>
      </w:r>
      <w:r>
        <w:rPr>
          <w:rFonts w:hint="eastAsia" w:ascii="仿宋_GB2312" w:hAnsi="宋体" w:eastAsia="仿宋_GB2312" w:cs="Times New Roman"/>
          <w:sz w:val="32"/>
          <w:szCs w:val="32"/>
          <w:lang w:val="en-US" w:eastAsia="zh-CN"/>
        </w:rPr>
        <w:t>通过绩效评价，一是对项目预算及资金使用方案的合理性和有效性进行优化，去除不合理的预算项目。二是详细掌握资金使用情况，提高预算执行力。三是促进预算管理的公开化透明化</w:t>
      </w:r>
      <w:r>
        <w:rPr>
          <w:rFonts w:hint="eastAsia" w:ascii="仿宋_GB2312" w:hAnsi="宋体" w:eastAsia="仿宋_GB2312" w:cs="Times New Roman"/>
          <w:sz w:val="32"/>
          <w:szCs w:val="32"/>
          <w:lang w:eastAsia="zh-CN"/>
        </w:rPr>
        <w:t>。</w:t>
      </w:r>
    </w:p>
    <w:p w14:paraId="5E179293">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3" w:firstLineChars="200"/>
        <w:textAlignment w:val="auto"/>
        <w:outlineLvl w:val="9"/>
        <w:rPr>
          <w:rFonts w:hint="eastAsia" w:ascii="仿宋_GB2312" w:hAnsi="宋体" w:eastAsia="仿宋_GB2312" w:cs="Times New Roman"/>
          <w:sz w:val="32"/>
          <w:szCs w:val="32"/>
          <w:lang w:val="en-US" w:eastAsia="zh-CN"/>
        </w:rPr>
      </w:pPr>
      <w:r>
        <w:rPr>
          <w:rFonts w:hint="eastAsia" w:ascii="楷体_GB2312" w:hAnsi="宋体" w:eastAsia="楷体_GB2312"/>
          <w:b/>
          <w:color w:val="auto"/>
          <w:sz w:val="32"/>
          <w:szCs w:val="32"/>
          <w:highlight w:val="none"/>
          <w:u w:val="none"/>
          <w:lang w:val="zh-CN"/>
        </w:rPr>
        <w:t>（二）预设问题及评价重点。</w:t>
      </w:r>
      <w:r>
        <w:rPr>
          <w:rFonts w:hint="eastAsia" w:ascii="仿宋_GB2312" w:hAnsi="宋体" w:eastAsia="仿宋_GB2312" w:cs="Times New Roman"/>
          <w:sz w:val="32"/>
          <w:szCs w:val="32"/>
          <w:lang w:val="en-US" w:eastAsia="zh-CN"/>
        </w:rPr>
        <w:t>按照绩效评价指标体系体系</w:t>
      </w:r>
      <w:r>
        <w:rPr>
          <w:rFonts w:hint="eastAsia" w:ascii="仿宋_GB2312" w:hAnsi="宋体" w:eastAsia="仿宋_GB2312" w:cs="Times New Roman"/>
          <w:sz w:val="32"/>
          <w:szCs w:val="32"/>
          <w:lang w:val="zh-CN"/>
        </w:rPr>
        <w:t>，</w:t>
      </w:r>
      <w:r>
        <w:rPr>
          <w:rFonts w:hint="eastAsia" w:ascii="仿宋_GB2312" w:hAnsi="宋体" w:eastAsia="仿宋_GB2312" w:cs="Times New Roman"/>
          <w:sz w:val="32"/>
          <w:szCs w:val="32"/>
          <w:lang w:val="en-US" w:eastAsia="zh-CN"/>
        </w:rPr>
        <w:t>该项目</w:t>
      </w:r>
      <w:r>
        <w:rPr>
          <w:rFonts w:hint="eastAsia" w:ascii="仿宋_GB2312" w:hAnsi="宋体" w:eastAsia="仿宋_GB2312" w:cs="Times New Roman"/>
          <w:sz w:val="32"/>
          <w:szCs w:val="32"/>
          <w:lang w:eastAsia="zh-CN"/>
        </w:rPr>
        <w:t>经费使用应符合相关财务法规和政策，</w:t>
      </w:r>
      <w:r>
        <w:rPr>
          <w:rFonts w:hint="eastAsia" w:ascii="仿宋_GB2312" w:hAnsi="宋体" w:eastAsia="仿宋_GB2312" w:cs="Times New Roman"/>
          <w:sz w:val="32"/>
          <w:szCs w:val="32"/>
          <w:lang w:val="en-US" w:eastAsia="zh-CN"/>
        </w:rPr>
        <w:t>按照合同约定和项目进度进行支付，做到专款专用，</w:t>
      </w:r>
      <w:r>
        <w:rPr>
          <w:rFonts w:hint="eastAsia" w:ascii="仿宋_GB2312" w:hAnsi="宋体" w:eastAsia="仿宋_GB2312" w:cs="Times New Roman"/>
          <w:sz w:val="32"/>
          <w:szCs w:val="32"/>
          <w:lang w:eastAsia="zh-CN"/>
        </w:rPr>
        <w:t>确保资金使用的合法合规，避免违规行为发生。</w:t>
      </w:r>
      <w:r>
        <w:rPr>
          <w:rFonts w:hint="eastAsia" w:ascii="仿宋_GB2312" w:hAnsi="宋体" w:eastAsia="仿宋_GB2312" w:cs="Times New Roman"/>
          <w:sz w:val="32"/>
          <w:szCs w:val="32"/>
          <w:lang w:val="en-US" w:eastAsia="zh-CN"/>
        </w:rPr>
        <w:t>完成了2023年第五批次建设用地报征手续，保障建设项目用地的合法性，促进了广元的经济发展。</w:t>
      </w:r>
    </w:p>
    <w:p w14:paraId="05CF1BF0">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3" w:firstLineChars="200"/>
        <w:textAlignment w:val="auto"/>
        <w:outlineLvl w:val="9"/>
        <w:rPr>
          <w:rFonts w:hint="default" w:ascii="仿宋_GB2312" w:hAnsi="宋体" w:eastAsia="仿宋_GB2312" w:cs="Times New Roman"/>
          <w:sz w:val="32"/>
          <w:szCs w:val="32"/>
          <w:lang w:val="en-US" w:eastAsia="zh-CN"/>
        </w:rPr>
      </w:pPr>
      <w:r>
        <w:rPr>
          <w:rFonts w:hint="eastAsia" w:ascii="楷体_GB2312" w:hAnsi="宋体" w:eastAsia="楷体_GB2312"/>
          <w:b/>
          <w:color w:val="auto"/>
          <w:sz w:val="32"/>
          <w:szCs w:val="32"/>
          <w:highlight w:val="none"/>
          <w:u w:val="none"/>
          <w:lang w:val="zh-CN"/>
        </w:rPr>
        <w:t>（三）评价选点。</w:t>
      </w:r>
      <w:r>
        <w:rPr>
          <w:rFonts w:hint="eastAsia" w:ascii="仿宋_GB2312" w:hAnsi="宋体" w:eastAsia="仿宋_GB2312" w:cs="Times New Roman"/>
          <w:sz w:val="32"/>
          <w:szCs w:val="32"/>
          <w:lang w:val="en-US" w:eastAsia="zh-CN"/>
        </w:rPr>
        <w:t>是否取得征地批文进行自评。</w:t>
      </w:r>
    </w:p>
    <w:p w14:paraId="6B7FA7DB">
      <w:pPr>
        <w:keepNext w:val="0"/>
        <w:keepLines w:val="0"/>
        <w:pageBreakBefore w:val="0"/>
        <w:widowControl w:val="0"/>
        <w:kinsoku/>
        <w:wordWrap/>
        <w:overflowPunct/>
        <w:topLinePunct w:val="0"/>
        <w:autoSpaceDE/>
        <w:autoSpaceDN/>
        <w:bidi w:val="0"/>
        <w:spacing w:line="560" w:lineRule="exact"/>
        <w:ind w:firstLine="640"/>
        <w:textAlignment w:val="auto"/>
        <w:outlineLvl w:val="9"/>
        <w:rPr>
          <w:rFonts w:hint="eastAsia" w:ascii="仿宋_GB2312" w:hAnsi="宋体" w:eastAsia="仿宋_GB2312" w:cs="Times New Roman"/>
          <w:sz w:val="32"/>
          <w:szCs w:val="32"/>
          <w:lang w:val="en-US" w:eastAsia="zh-CN"/>
        </w:rPr>
      </w:pPr>
      <w:r>
        <w:rPr>
          <w:rFonts w:hint="eastAsia" w:ascii="楷体_GB2312" w:hAnsi="宋体" w:eastAsia="楷体_GB2312"/>
          <w:b/>
          <w:color w:val="auto"/>
          <w:sz w:val="32"/>
          <w:szCs w:val="32"/>
          <w:highlight w:val="none"/>
          <w:u w:val="none"/>
          <w:lang w:val="zh-CN"/>
        </w:rPr>
        <w:t>（四）评价方法。</w:t>
      </w:r>
      <w:r>
        <w:rPr>
          <w:rFonts w:hint="eastAsia" w:ascii="仿宋_GB2312" w:hAnsi="宋体" w:eastAsia="仿宋_GB2312" w:cs="Times New Roman"/>
          <w:sz w:val="32"/>
          <w:szCs w:val="32"/>
        </w:rPr>
        <w:t>采用单位自评法</w:t>
      </w:r>
      <w:r>
        <w:rPr>
          <w:rFonts w:hint="eastAsia" w:ascii="仿宋_GB2312" w:hAnsi="宋体" w:eastAsia="仿宋_GB2312" w:cs="Times New Roman"/>
          <w:sz w:val="32"/>
          <w:szCs w:val="32"/>
          <w:lang w:val="en-US" w:eastAsia="zh-CN"/>
        </w:rPr>
        <w:t>.</w:t>
      </w:r>
    </w:p>
    <w:p w14:paraId="27CAFF73">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3" w:firstLineChars="200"/>
        <w:contextualSpacing/>
        <w:jc w:val="both"/>
        <w:textAlignment w:val="auto"/>
        <w:rPr>
          <w:rFonts w:hint="eastAsia" w:ascii="仿宋_GB2312" w:hAnsi="宋体" w:eastAsia="仿宋_GB2312" w:cs="Times New Roman"/>
          <w:sz w:val="32"/>
          <w:szCs w:val="32"/>
          <w:lang w:val="en-US" w:eastAsia="zh-CN"/>
        </w:rPr>
      </w:pPr>
      <w:r>
        <w:rPr>
          <w:rFonts w:hint="eastAsia" w:ascii="楷体_GB2312" w:hAnsi="宋体" w:eastAsia="楷体_GB2312"/>
          <w:b/>
          <w:color w:val="auto"/>
          <w:sz w:val="32"/>
          <w:szCs w:val="32"/>
          <w:highlight w:val="none"/>
          <w:u w:val="none"/>
          <w:lang w:val="zh-CN"/>
        </w:rPr>
        <w:t>（五）评价组织。</w:t>
      </w:r>
      <w:r>
        <w:rPr>
          <w:rFonts w:hint="eastAsia" w:ascii="仿宋_GB2312" w:hAnsi="宋体" w:eastAsia="仿宋_GB2312" w:cs="Times New Roman"/>
          <w:sz w:val="32"/>
          <w:szCs w:val="32"/>
          <w:lang w:val="en-US" w:eastAsia="zh-CN"/>
        </w:rPr>
        <w:t>按照财政资金“谁使用，谁自评”的原则，我单位在收到</w:t>
      </w:r>
      <w:r>
        <w:rPr>
          <w:rFonts w:hint="eastAsia" w:ascii="仿宋_GB2312" w:hAnsi="宋体" w:eastAsia="仿宋_GB2312" w:cs="Times New Roman"/>
          <w:sz w:val="32"/>
          <w:szCs w:val="32"/>
          <w:lang w:val="zh-CN"/>
        </w:rPr>
        <w:t>自评工作通知后，立即</w:t>
      </w:r>
      <w:r>
        <w:rPr>
          <w:rFonts w:hint="eastAsia" w:ascii="仿宋_GB2312" w:hAnsi="宋体" w:eastAsia="仿宋_GB2312" w:cs="Times New Roman"/>
          <w:sz w:val="32"/>
          <w:szCs w:val="32"/>
          <w:lang w:val="en-US" w:eastAsia="zh-CN"/>
        </w:rPr>
        <w:t>落实专人负责</w:t>
      </w:r>
      <w:r>
        <w:rPr>
          <w:rFonts w:hint="eastAsia" w:ascii="仿宋_GB2312" w:hAnsi="宋体" w:eastAsia="仿宋_GB2312" w:cs="Times New Roman"/>
          <w:sz w:val="32"/>
          <w:szCs w:val="32"/>
          <w:lang w:val="zh-CN"/>
        </w:rPr>
        <w:t>，及时</w:t>
      </w:r>
      <w:r>
        <w:rPr>
          <w:rFonts w:hint="eastAsia" w:ascii="仿宋_GB2312" w:hAnsi="宋体" w:eastAsia="仿宋_GB2312" w:cs="Times New Roman"/>
          <w:sz w:val="32"/>
          <w:szCs w:val="32"/>
          <w:lang w:val="en-US" w:eastAsia="zh-CN"/>
        </w:rPr>
        <w:t>与相关业务科实协调对接</w:t>
      </w:r>
      <w:r>
        <w:rPr>
          <w:rFonts w:hint="eastAsia" w:ascii="仿宋_GB2312" w:hAnsi="宋体" w:eastAsia="仿宋_GB2312" w:cs="Times New Roman"/>
          <w:sz w:val="32"/>
          <w:szCs w:val="32"/>
          <w:lang w:val="zh-CN"/>
        </w:rPr>
        <w:t>，对项目概况、评价实施、绩效分析、评价结论、存在主要问题、改进建议等进行综合自评，形成自评结果。</w:t>
      </w:r>
    </w:p>
    <w:p w14:paraId="23C7FE4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黑体" w:hAnsi="宋体" w:eastAsia="黑体" w:cs="Times New Roman"/>
          <w:sz w:val="32"/>
          <w:szCs w:val="32"/>
          <w:highlight w:val="none"/>
          <w:lang w:val="en-US" w:eastAsia="zh-CN"/>
        </w:rPr>
      </w:pPr>
      <w:r>
        <w:rPr>
          <w:rFonts w:hint="eastAsia" w:ascii="黑体" w:hAnsi="宋体" w:eastAsia="黑体" w:cs="Times New Roman"/>
          <w:sz w:val="32"/>
          <w:szCs w:val="32"/>
          <w:highlight w:val="none"/>
        </w:rPr>
        <w:t>三、</w:t>
      </w:r>
      <w:r>
        <w:rPr>
          <w:rFonts w:hint="eastAsia" w:ascii="黑体" w:hAnsi="宋体" w:eastAsia="黑体" w:cs="Times New Roman"/>
          <w:sz w:val="32"/>
          <w:szCs w:val="32"/>
          <w:highlight w:val="none"/>
          <w:lang w:eastAsia="zh-CN"/>
        </w:rPr>
        <w:t>绩效分析</w:t>
      </w:r>
      <w:r>
        <w:rPr>
          <w:rFonts w:hint="eastAsia" w:ascii="黑体" w:hAnsi="宋体" w:eastAsia="黑体" w:cs="Times New Roman"/>
          <w:sz w:val="32"/>
          <w:szCs w:val="32"/>
          <w:highlight w:val="none"/>
          <w:lang w:val="zh-CN"/>
        </w:rPr>
        <w:tab/>
      </w:r>
    </w:p>
    <w:p w14:paraId="0B9D9D06">
      <w:pPr>
        <w:keepNext w:val="0"/>
        <w:keepLines w:val="0"/>
        <w:pageBreakBefore w:val="0"/>
        <w:widowControl w:val="0"/>
        <w:kinsoku/>
        <w:wordWrap/>
        <w:overflowPunct/>
        <w:topLinePunct w:val="0"/>
        <w:autoSpaceDE/>
        <w:autoSpaceDN/>
        <w:bidi w:val="0"/>
        <w:adjustRightInd/>
        <w:snapToGrid/>
        <w:spacing w:line="560" w:lineRule="exact"/>
        <w:ind w:firstLine="640"/>
        <w:textAlignment w:val="auto"/>
        <w:outlineLvl w:val="9"/>
        <w:rPr>
          <w:rFonts w:hint="eastAsia" w:ascii="楷体_GB2312" w:hAnsi="宋体" w:eastAsia="楷体_GB2312" w:cs="Times New Roman"/>
          <w:b/>
          <w:color w:val="auto"/>
          <w:sz w:val="32"/>
          <w:szCs w:val="32"/>
          <w:highlight w:val="none"/>
          <w:u w:val="none"/>
          <w:lang w:val="en-US" w:eastAsia="zh-CN"/>
        </w:rPr>
      </w:pPr>
      <w:r>
        <w:rPr>
          <w:rFonts w:hint="eastAsia" w:ascii="楷体_GB2312" w:hAnsi="宋体" w:eastAsia="楷体_GB2312" w:cs="Times New Roman"/>
          <w:b/>
          <w:color w:val="auto"/>
          <w:sz w:val="32"/>
          <w:szCs w:val="32"/>
          <w:highlight w:val="none"/>
          <w:u w:val="none"/>
          <w:lang w:val="zh-CN"/>
        </w:rPr>
        <w:t>（一）</w:t>
      </w:r>
      <w:r>
        <w:rPr>
          <w:rFonts w:hint="eastAsia" w:ascii="楷体_GB2312" w:hAnsi="宋体" w:eastAsia="楷体_GB2312" w:cs="Times New Roman"/>
          <w:b/>
          <w:color w:val="auto"/>
          <w:sz w:val="32"/>
          <w:szCs w:val="32"/>
          <w:highlight w:val="none"/>
          <w:u w:val="none"/>
          <w:lang w:val="en-US" w:eastAsia="zh-CN"/>
        </w:rPr>
        <w:t>通用指标</w:t>
      </w:r>
      <w:r>
        <w:rPr>
          <w:rFonts w:hint="default" w:ascii="楷体_GB2312" w:hAnsi="宋体" w:eastAsia="楷体_GB2312" w:cs="Times New Roman"/>
          <w:b/>
          <w:color w:val="auto"/>
          <w:sz w:val="32"/>
          <w:szCs w:val="32"/>
          <w:highlight w:val="none"/>
          <w:u w:val="none"/>
          <w:lang w:val="zh-CN"/>
        </w:rPr>
        <w:t>绩效分析。</w:t>
      </w:r>
    </w:p>
    <w:p w14:paraId="4281A75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宋体" w:eastAsia="仿宋_GB2312" w:cs="Times New Roman"/>
          <w:sz w:val="32"/>
          <w:szCs w:val="32"/>
          <w:lang w:val="zh-CN"/>
        </w:rPr>
      </w:pPr>
      <w:r>
        <w:rPr>
          <w:rFonts w:hint="eastAsia" w:ascii="仿宋_GB2312" w:hAnsi="宋体" w:eastAsia="仿宋_GB2312" w:cs="Times New Roman"/>
          <w:sz w:val="32"/>
          <w:szCs w:val="32"/>
          <w:lang w:val="en-US" w:eastAsia="zh-CN"/>
        </w:rPr>
        <w:t>1.</w:t>
      </w:r>
      <w:r>
        <w:rPr>
          <w:rFonts w:hint="eastAsia" w:ascii="仿宋_GB2312" w:hAnsi="宋体" w:eastAsia="仿宋_GB2312" w:cs="Times New Roman"/>
          <w:sz w:val="32"/>
          <w:szCs w:val="32"/>
          <w:lang w:eastAsia="zh-CN"/>
        </w:rPr>
        <w:t>项目决策。</w:t>
      </w:r>
      <w:r>
        <w:rPr>
          <w:rFonts w:hint="eastAsia" w:ascii="仿宋_GB2312" w:hAnsi="宋体" w:eastAsia="仿宋_GB2312" w:cs="Times New Roman"/>
          <w:sz w:val="32"/>
          <w:szCs w:val="32"/>
          <w:lang w:val="zh-CN"/>
        </w:rPr>
        <w:t>一是贯彻落实中央关于自然资源工作的方针政策和省委、市委决策部署，并按照单位的职能职责，资金预算合规、科学、合理的同时，把预算、绩效和自然资源改革发展工作深度融合。二是履行预算绩效设立审核程序，经集体研究决策后纳入预算。三是细化量化项目绩效目标，编制预算时对科室申报的预算项目进行全面梳理，严把审核关，所有项目必须有明细的资金测算，对审核后的所有项目全部进行入库管理。</w:t>
      </w:r>
    </w:p>
    <w:p w14:paraId="7A2BB5C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宋体" w:eastAsia="仿宋_GB2312" w:cs="Times New Roman"/>
          <w:sz w:val="32"/>
          <w:szCs w:val="32"/>
          <w:lang w:val="en-US" w:eastAsia="zh-CN"/>
        </w:rPr>
      </w:pPr>
      <w:r>
        <w:rPr>
          <w:rFonts w:hint="eastAsia" w:ascii="仿宋_GB2312" w:hAnsi="宋体" w:eastAsia="仿宋_GB2312" w:cs="Times New Roman"/>
          <w:sz w:val="32"/>
          <w:szCs w:val="32"/>
          <w:lang w:val="en-US" w:eastAsia="zh-CN"/>
        </w:rPr>
        <w:t>2.</w:t>
      </w:r>
      <w:r>
        <w:rPr>
          <w:rFonts w:hint="eastAsia" w:ascii="仿宋_GB2312" w:hAnsi="宋体" w:eastAsia="仿宋_GB2312" w:cs="Times New Roman"/>
          <w:sz w:val="32"/>
          <w:szCs w:val="32"/>
          <w:lang w:eastAsia="zh-CN"/>
        </w:rPr>
        <w:t>项目管理。</w:t>
      </w:r>
      <w:r>
        <w:rPr>
          <w:rFonts w:hint="eastAsia" w:ascii="仿宋_GB2312" w:hAnsi="宋体" w:eastAsia="仿宋_GB2312" w:cs="Times New Roman"/>
          <w:sz w:val="32"/>
          <w:szCs w:val="32"/>
          <w:lang w:val="en-US" w:eastAsia="zh-CN"/>
        </w:rPr>
        <w:t>一是</w:t>
      </w:r>
      <w:r>
        <w:rPr>
          <w:rFonts w:hint="eastAsia" w:ascii="仿宋_GB2312" w:hAnsi="宋体" w:eastAsia="仿宋_GB2312" w:cs="Times New Roman"/>
          <w:sz w:val="32"/>
          <w:szCs w:val="32"/>
          <w:lang w:val="zh-CN"/>
        </w:rPr>
        <w:t>履行</w:t>
      </w:r>
      <w:r>
        <w:rPr>
          <w:rFonts w:hint="eastAsia" w:ascii="仿宋_GB2312" w:hAnsi="宋体" w:eastAsia="仿宋_GB2312" w:cs="Times New Roman"/>
          <w:sz w:val="32"/>
          <w:szCs w:val="32"/>
          <w:lang w:val="en-US" w:eastAsia="zh-CN"/>
        </w:rPr>
        <w:t>项目</w:t>
      </w:r>
      <w:r>
        <w:rPr>
          <w:rFonts w:hint="eastAsia" w:ascii="仿宋_GB2312" w:hAnsi="宋体" w:eastAsia="仿宋_GB2312" w:cs="Times New Roman"/>
          <w:sz w:val="32"/>
          <w:szCs w:val="32"/>
          <w:lang w:val="zh-CN"/>
        </w:rPr>
        <w:t>预算绩效设立审核程序，经集体研究决策后纳入</w:t>
      </w:r>
      <w:r>
        <w:rPr>
          <w:rFonts w:hint="eastAsia" w:ascii="仿宋_GB2312" w:hAnsi="宋体" w:eastAsia="仿宋_GB2312" w:cs="Times New Roman"/>
          <w:sz w:val="32"/>
          <w:szCs w:val="32"/>
          <w:lang w:val="en-US" w:eastAsia="zh-CN"/>
        </w:rPr>
        <w:t>基建</w:t>
      </w:r>
      <w:r>
        <w:rPr>
          <w:rFonts w:hint="eastAsia" w:ascii="仿宋_GB2312" w:hAnsi="宋体" w:eastAsia="仿宋_GB2312" w:cs="Times New Roman"/>
          <w:sz w:val="32"/>
          <w:szCs w:val="32"/>
          <w:lang w:val="zh-CN"/>
        </w:rPr>
        <w:t>预算。</w:t>
      </w:r>
      <w:r>
        <w:rPr>
          <w:rFonts w:hint="eastAsia" w:ascii="仿宋_GB2312" w:hAnsi="宋体" w:eastAsia="仿宋_GB2312" w:cs="Times New Roman"/>
          <w:sz w:val="32"/>
          <w:szCs w:val="32"/>
          <w:lang w:val="en-US" w:eastAsia="zh-CN"/>
        </w:rPr>
        <w:t>二</w:t>
      </w:r>
      <w:r>
        <w:rPr>
          <w:rFonts w:hint="eastAsia" w:ascii="仿宋_GB2312" w:hAnsi="宋体" w:eastAsia="仿宋_GB2312" w:cs="Times New Roman"/>
          <w:sz w:val="32"/>
          <w:szCs w:val="32"/>
          <w:lang w:val="zh-CN"/>
        </w:rPr>
        <w:t>是细化量化项目绩效目标，编制预算时对科室申报的预算项目进行全面梳理，严把审核关，所有项目必须有明细的资金测算，对审核后进行入库管理。</w:t>
      </w:r>
      <w:r>
        <w:rPr>
          <w:rFonts w:hint="eastAsia" w:ascii="仿宋_GB2312" w:hAnsi="宋体" w:eastAsia="仿宋_GB2312" w:cs="Times New Roman"/>
          <w:sz w:val="32"/>
          <w:szCs w:val="32"/>
          <w:lang w:val="en-US" w:eastAsia="zh-CN"/>
        </w:rPr>
        <w:t>财政下达资金后，我局严格按照《预算法》《项目资金管理办法》及时支付，确保项目按时按质完成。</w:t>
      </w:r>
    </w:p>
    <w:p w14:paraId="54E28A1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宋体" w:eastAsia="仿宋_GB2312" w:cs="Times New Roman"/>
          <w:sz w:val="32"/>
          <w:szCs w:val="32"/>
          <w:lang w:val="en-US" w:eastAsia="zh-CN"/>
        </w:rPr>
      </w:pPr>
      <w:r>
        <w:rPr>
          <w:rFonts w:hint="eastAsia" w:ascii="仿宋_GB2312" w:hAnsi="宋体" w:eastAsia="仿宋_GB2312" w:cs="Times New Roman"/>
          <w:sz w:val="32"/>
          <w:szCs w:val="32"/>
          <w:lang w:val="en-US" w:eastAsia="zh-CN"/>
        </w:rPr>
        <w:t>3.项目实施。市财政于2023年9月18日下达基金指标106.71万元（广财投[2023]100号），我局于2023年9月支付106.71万专项用于报征土地费用。</w:t>
      </w:r>
    </w:p>
    <w:p w14:paraId="2E3853E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宋体" w:eastAsia="仿宋_GB2312" w:cs="Times New Roman"/>
          <w:sz w:val="32"/>
          <w:szCs w:val="32"/>
          <w:lang w:val="en-US" w:eastAsia="zh-CN"/>
        </w:rPr>
      </w:pPr>
      <w:r>
        <w:rPr>
          <w:rFonts w:hint="eastAsia" w:ascii="仿宋_GB2312" w:hAnsi="宋体" w:eastAsia="仿宋_GB2312" w:cs="Times New Roman"/>
          <w:sz w:val="32"/>
          <w:szCs w:val="32"/>
          <w:lang w:val="en-US" w:eastAsia="zh-CN"/>
        </w:rPr>
        <w:t>4.项目结果。完成了2023年第五批次建设用地报征手续，保障建设项目用地的合法性，促进了广元的经济发展。</w:t>
      </w:r>
    </w:p>
    <w:p w14:paraId="30C99E89">
      <w:pPr>
        <w:keepNext w:val="0"/>
        <w:keepLines w:val="0"/>
        <w:pageBreakBefore w:val="0"/>
        <w:widowControl w:val="0"/>
        <w:kinsoku/>
        <w:wordWrap/>
        <w:overflowPunct/>
        <w:topLinePunct w:val="0"/>
        <w:autoSpaceDE/>
        <w:autoSpaceDN/>
        <w:bidi w:val="0"/>
        <w:adjustRightInd/>
        <w:snapToGrid/>
        <w:spacing w:line="560" w:lineRule="exact"/>
        <w:ind w:firstLine="640"/>
        <w:textAlignment w:val="auto"/>
        <w:outlineLvl w:val="9"/>
        <w:rPr>
          <w:rFonts w:hint="eastAsia" w:ascii="楷体_GB2312" w:hAnsi="宋体" w:eastAsia="楷体_GB2312" w:cs="Times New Roman"/>
          <w:b/>
          <w:color w:val="auto"/>
          <w:sz w:val="32"/>
          <w:szCs w:val="32"/>
          <w:highlight w:val="none"/>
          <w:u w:val="none"/>
          <w:lang w:val="zh-CN" w:eastAsia="zh-CN"/>
        </w:rPr>
      </w:pPr>
      <w:r>
        <w:rPr>
          <w:rFonts w:hint="eastAsia" w:ascii="楷体_GB2312" w:hAnsi="宋体" w:eastAsia="楷体_GB2312" w:cs="Times New Roman"/>
          <w:b/>
          <w:color w:val="auto"/>
          <w:sz w:val="32"/>
          <w:szCs w:val="32"/>
          <w:highlight w:val="none"/>
          <w:u w:val="none"/>
          <w:lang w:val="zh-CN"/>
        </w:rPr>
        <w:t>（二）</w:t>
      </w:r>
      <w:r>
        <w:rPr>
          <w:rFonts w:hint="eastAsia" w:ascii="楷体_GB2312" w:hAnsi="宋体" w:eastAsia="楷体_GB2312" w:cs="Times New Roman"/>
          <w:b/>
          <w:color w:val="auto"/>
          <w:sz w:val="32"/>
          <w:szCs w:val="32"/>
          <w:highlight w:val="none"/>
          <w:u w:val="none"/>
          <w:lang w:val="en-US" w:eastAsia="zh-CN"/>
        </w:rPr>
        <w:t>专用指标</w:t>
      </w:r>
      <w:r>
        <w:rPr>
          <w:rFonts w:hint="default" w:ascii="楷体_GB2312" w:hAnsi="宋体" w:eastAsia="楷体_GB2312" w:cs="Times New Roman"/>
          <w:b/>
          <w:color w:val="auto"/>
          <w:sz w:val="32"/>
          <w:szCs w:val="32"/>
          <w:highlight w:val="none"/>
          <w:u w:val="none"/>
          <w:lang w:val="zh-CN"/>
        </w:rPr>
        <w:t>绩效分析</w:t>
      </w:r>
      <w:r>
        <w:rPr>
          <w:rFonts w:hint="eastAsia" w:ascii="楷体_GB2312" w:hAnsi="宋体" w:eastAsia="楷体_GB2312" w:cs="Times New Roman"/>
          <w:b/>
          <w:color w:val="auto"/>
          <w:sz w:val="32"/>
          <w:szCs w:val="32"/>
          <w:highlight w:val="none"/>
          <w:u w:val="none"/>
          <w:lang w:val="zh-CN" w:eastAsia="zh-CN"/>
        </w:rPr>
        <w:t>。</w:t>
      </w:r>
    </w:p>
    <w:p w14:paraId="6431238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仿宋_GB2312" w:hAnsi="宋体" w:eastAsia="仿宋_GB2312" w:cs="Times New Roman"/>
          <w:sz w:val="32"/>
          <w:szCs w:val="32"/>
          <w:lang w:val="en-US" w:eastAsia="zh-CN"/>
        </w:rPr>
      </w:pPr>
      <w:r>
        <w:rPr>
          <w:rFonts w:hint="eastAsia" w:ascii="仿宋_GB2312" w:hAnsi="宋体" w:eastAsia="仿宋_GB2312" w:cs="Times New Roman"/>
          <w:sz w:val="32"/>
          <w:szCs w:val="32"/>
          <w:lang w:val="en-US" w:eastAsia="zh-CN"/>
        </w:rPr>
        <w:t>1.产业发展。该项目是市委市政府支持重点项目。</w:t>
      </w:r>
      <w:r>
        <w:rPr>
          <w:rFonts w:hint="eastAsia" w:ascii="仿宋_GB2312" w:hAnsi="宋体" w:eastAsia="仿宋_GB2312" w:cs="Times New Roman"/>
          <w:sz w:val="32"/>
          <w:szCs w:val="32"/>
        </w:rPr>
        <w:t>大稻坝限价商品房、城北片区限价商品房、雪峰小学周边用地等项目，是市政府要求尽快纳入广元市利州区2023年第5批次建设用地上报省政府审批的市级重点项目</w:t>
      </w:r>
      <w:r>
        <w:rPr>
          <w:rFonts w:hint="eastAsia" w:ascii="仿宋_GB2312" w:hAnsi="宋体" w:eastAsia="仿宋_GB2312" w:cs="Times New Roman"/>
          <w:sz w:val="32"/>
          <w:szCs w:val="32"/>
          <w:lang w:eastAsia="zh-CN"/>
        </w:rPr>
        <w:t>，</w:t>
      </w:r>
      <w:r>
        <w:rPr>
          <w:rFonts w:hint="eastAsia" w:ascii="仿宋_GB2312" w:hAnsi="宋体" w:eastAsia="仿宋_GB2312" w:cs="Times New Roman"/>
          <w:sz w:val="32"/>
          <w:szCs w:val="32"/>
        </w:rPr>
        <w:t>确保项目建设用地的合法性</w:t>
      </w:r>
      <w:r>
        <w:rPr>
          <w:rFonts w:hint="eastAsia" w:ascii="仿宋_GB2312" w:hAnsi="宋体" w:eastAsia="仿宋_GB2312" w:cs="Times New Roman"/>
          <w:sz w:val="32"/>
          <w:szCs w:val="32"/>
          <w:lang w:eastAsia="zh-CN"/>
        </w:rPr>
        <w:t>，</w:t>
      </w:r>
      <w:r>
        <w:rPr>
          <w:rFonts w:hint="eastAsia" w:ascii="仿宋_GB2312" w:hAnsi="宋体" w:eastAsia="仿宋_GB2312" w:cs="Times New Roman"/>
          <w:sz w:val="32"/>
          <w:szCs w:val="32"/>
          <w:lang w:val="en-US" w:eastAsia="zh-CN"/>
        </w:rPr>
        <w:t>增加政府收益，促进我市的经济发展。</w:t>
      </w:r>
    </w:p>
    <w:p w14:paraId="3A556FF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宋体" w:eastAsia="仿宋_GB2312" w:cs="Times New Roman"/>
          <w:sz w:val="32"/>
          <w:szCs w:val="32"/>
          <w:lang w:val="en-US" w:eastAsia="zh-CN"/>
        </w:rPr>
      </w:pPr>
      <w:r>
        <w:rPr>
          <w:rFonts w:hint="eastAsia" w:ascii="仿宋_GB2312" w:hAnsi="宋体" w:eastAsia="仿宋_GB2312" w:cs="Times New Roman"/>
          <w:sz w:val="32"/>
          <w:szCs w:val="32"/>
          <w:lang w:val="en-US" w:eastAsia="zh-CN"/>
        </w:rPr>
        <w:t>2.</w:t>
      </w:r>
      <w:r>
        <w:rPr>
          <w:rFonts w:hint="eastAsia" w:ascii="仿宋_GB2312" w:hAnsi="宋体" w:eastAsia="仿宋_GB2312" w:cs="Times New Roman"/>
          <w:sz w:val="32"/>
          <w:szCs w:val="32"/>
          <w:lang w:val="zh-CN" w:eastAsia="zh-CN"/>
        </w:rPr>
        <w:t>行政运转。</w:t>
      </w:r>
      <w:r>
        <w:rPr>
          <w:rFonts w:hint="eastAsia" w:ascii="仿宋_GB2312" w:hAnsi="宋体" w:eastAsia="仿宋_GB2312" w:cs="Times New Roman"/>
          <w:sz w:val="32"/>
          <w:szCs w:val="32"/>
          <w:lang w:val="en-US" w:eastAsia="zh-CN"/>
        </w:rPr>
        <w:t>本</w:t>
      </w:r>
      <w:r>
        <w:rPr>
          <w:rFonts w:hint="eastAsia" w:ascii="仿宋_GB2312" w:hAnsi="宋体" w:eastAsia="仿宋_GB2312" w:cs="Times New Roman"/>
          <w:sz w:val="32"/>
          <w:szCs w:val="32"/>
          <w:lang w:val="zh-CN"/>
        </w:rPr>
        <w:t>单位财务管理制度健全，严格执行财务管理制度，账务处理及时，会计核算规范。</w:t>
      </w:r>
    </w:p>
    <w:p w14:paraId="546F9960">
      <w:pPr>
        <w:keepNext w:val="0"/>
        <w:keepLines w:val="0"/>
        <w:pageBreakBefore w:val="0"/>
        <w:widowControl w:val="0"/>
        <w:kinsoku/>
        <w:wordWrap/>
        <w:overflowPunct/>
        <w:topLinePunct w:val="0"/>
        <w:autoSpaceDE/>
        <w:autoSpaceDN/>
        <w:bidi w:val="0"/>
        <w:adjustRightInd/>
        <w:snapToGrid/>
        <w:spacing w:line="560" w:lineRule="exact"/>
        <w:ind w:firstLine="640"/>
        <w:textAlignment w:val="auto"/>
        <w:outlineLvl w:val="9"/>
        <w:rPr>
          <w:rFonts w:hint="default" w:ascii="楷体_GB2312" w:hAnsi="宋体" w:eastAsia="楷体_GB2312" w:cs="Times New Roman"/>
          <w:b/>
          <w:color w:val="auto"/>
          <w:sz w:val="32"/>
          <w:szCs w:val="32"/>
          <w:highlight w:val="none"/>
          <w:u w:val="none"/>
          <w:lang w:val="zh-CN"/>
        </w:rPr>
      </w:pPr>
      <w:r>
        <w:rPr>
          <w:rFonts w:hint="eastAsia" w:ascii="楷体_GB2312" w:hAnsi="宋体" w:eastAsia="楷体_GB2312" w:cs="Times New Roman"/>
          <w:b/>
          <w:color w:val="auto"/>
          <w:sz w:val="32"/>
          <w:szCs w:val="32"/>
          <w:highlight w:val="none"/>
          <w:u w:val="none"/>
          <w:lang w:val="zh-CN"/>
        </w:rPr>
        <w:t>（三）</w:t>
      </w:r>
      <w:r>
        <w:rPr>
          <w:rFonts w:hint="eastAsia" w:ascii="楷体_GB2312" w:hAnsi="宋体" w:eastAsia="楷体_GB2312" w:cs="Times New Roman"/>
          <w:b/>
          <w:color w:val="auto"/>
          <w:sz w:val="32"/>
          <w:szCs w:val="32"/>
          <w:highlight w:val="none"/>
          <w:u w:val="none"/>
          <w:lang w:val="en-US" w:eastAsia="zh-CN"/>
        </w:rPr>
        <w:t>个性指标</w:t>
      </w:r>
      <w:r>
        <w:rPr>
          <w:rFonts w:hint="default" w:ascii="楷体_GB2312" w:hAnsi="宋体" w:eastAsia="楷体_GB2312" w:cs="Times New Roman"/>
          <w:b/>
          <w:color w:val="auto"/>
          <w:sz w:val="32"/>
          <w:szCs w:val="32"/>
          <w:highlight w:val="none"/>
          <w:u w:val="none"/>
          <w:lang w:val="zh-CN"/>
        </w:rPr>
        <w:t>绩效分析。</w:t>
      </w:r>
    </w:p>
    <w:p w14:paraId="6502055D">
      <w:pPr>
        <w:pStyle w:val="7"/>
        <w:keepNext w:val="0"/>
        <w:keepLines w:val="0"/>
        <w:pageBreakBefore w:val="0"/>
        <w:widowControl w:val="0"/>
        <w:numPr>
          <w:ilvl w:val="0"/>
          <w:numId w:val="0"/>
        </w:numPr>
        <w:tabs>
          <w:tab w:val="left" w:pos="2160"/>
        </w:tabs>
        <w:kinsoku/>
        <w:wordWrap/>
        <w:overflowPunct/>
        <w:topLinePunct w:val="0"/>
        <w:autoSpaceDE/>
        <w:autoSpaceDN/>
        <w:bidi w:val="0"/>
        <w:adjustRightInd/>
        <w:spacing w:line="560" w:lineRule="exact"/>
        <w:ind w:firstLine="640" w:firstLineChars="200"/>
        <w:textAlignment w:val="auto"/>
        <w:rPr>
          <w:rFonts w:hint="eastAsia" w:ascii="仿宋_GB2312" w:hAnsi="宋体" w:eastAsia="仿宋_GB2312" w:cs="Times New Roman"/>
          <w:kern w:val="2"/>
          <w:sz w:val="32"/>
          <w:szCs w:val="32"/>
          <w:lang w:val="en-US" w:eastAsia="zh-CN" w:bidi="ar-SA"/>
        </w:rPr>
      </w:pPr>
      <w:r>
        <w:rPr>
          <w:rFonts w:hint="eastAsia" w:ascii="仿宋_GB2312" w:hAnsi="宋体" w:eastAsia="仿宋_GB2312" w:cs="Times New Roman"/>
          <w:kern w:val="2"/>
          <w:sz w:val="32"/>
          <w:szCs w:val="32"/>
          <w:lang w:val="en-US" w:eastAsia="zh-CN" w:bidi="ar-SA"/>
        </w:rPr>
        <w:t>完成报批土地面积27.9658公顷，完成了2023年第五批次建设用地报征手续，保障建设项目用地的合法性，促进了广元的经济发展。</w:t>
      </w:r>
    </w:p>
    <w:p w14:paraId="066F2524">
      <w:pPr>
        <w:pStyle w:val="7"/>
        <w:keepNext w:val="0"/>
        <w:keepLines w:val="0"/>
        <w:pageBreakBefore w:val="0"/>
        <w:widowControl w:val="0"/>
        <w:numPr>
          <w:ilvl w:val="0"/>
          <w:numId w:val="0"/>
        </w:numPr>
        <w:tabs>
          <w:tab w:val="left" w:pos="2160"/>
        </w:tabs>
        <w:kinsoku/>
        <w:wordWrap/>
        <w:overflowPunct/>
        <w:topLinePunct w:val="0"/>
        <w:autoSpaceDE/>
        <w:autoSpaceDN/>
        <w:bidi w:val="0"/>
        <w:adjustRightInd/>
        <w:spacing w:line="560" w:lineRule="exact"/>
        <w:ind w:firstLine="640" w:firstLineChars="200"/>
        <w:textAlignment w:val="auto"/>
        <w:rPr>
          <w:rFonts w:hint="eastAsia" w:ascii="黑体" w:hAnsi="宋体" w:eastAsia="黑体"/>
          <w:color w:val="auto"/>
          <w:sz w:val="32"/>
          <w:szCs w:val="32"/>
          <w:highlight w:val="none"/>
          <w:u w:val="none"/>
        </w:rPr>
      </w:pPr>
      <w:r>
        <w:rPr>
          <w:rFonts w:hint="eastAsia" w:ascii="黑体" w:hAnsi="宋体" w:eastAsia="黑体"/>
          <w:color w:val="auto"/>
          <w:sz w:val="32"/>
          <w:szCs w:val="32"/>
          <w:highlight w:val="none"/>
          <w:u w:val="none"/>
          <w:lang w:eastAsia="zh-CN"/>
        </w:rPr>
        <w:t>四</w:t>
      </w:r>
      <w:r>
        <w:rPr>
          <w:rFonts w:hint="eastAsia" w:ascii="黑体" w:hAnsi="宋体" w:eastAsia="黑体"/>
          <w:color w:val="auto"/>
          <w:sz w:val="32"/>
          <w:szCs w:val="32"/>
          <w:highlight w:val="none"/>
          <w:u w:val="none"/>
        </w:rPr>
        <w:t>、评价结论</w:t>
      </w:r>
    </w:p>
    <w:p w14:paraId="4142238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jc w:val="both"/>
        <w:textAlignment w:val="auto"/>
        <w:rPr>
          <w:rFonts w:hint="eastAsia" w:ascii="仿宋_GB2312" w:hAnsi="宋体" w:eastAsia="仿宋_GB2312" w:cs="Times New Roman"/>
          <w:sz w:val="32"/>
          <w:szCs w:val="32"/>
        </w:rPr>
      </w:pPr>
      <w:r>
        <w:rPr>
          <w:rFonts w:hint="eastAsia" w:ascii="仿宋_GB2312" w:hAnsi="宋体" w:eastAsia="仿宋_GB2312" w:cs="Times New Roman"/>
          <w:sz w:val="32"/>
          <w:szCs w:val="32"/>
        </w:rPr>
        <w:t>按照《</w:t>
      </w:r>
      <w:r>
        <w:rPr>
          <w:rFonts w:hint="eastAsia" w:ascii="仿宋_GB2312" w:hAnsi="宋体" w:eastAsia="仿宋_GB2312" w:cs="Times New Roman"/>
          <w:sz w:val="32"/>
          <w:szCs w:val="32"/>
          <w:lang w:val="en-US" w:eastAsia="zh-CN"/>
        </w:rPr>
        <w:t>专项预算项目</w:t>
      </w:r>
      <w:r>
        <w:rPr>
          <w:rFonts w:hint="eastAsia" w:ascii="仿宋_GB2312" w:hAnsi="宋体" w:eastAsia="仿宋_GB2312" w:cs="Times New Roman"/>
          <w:sz w:val="32"/>
          <w:szCs w:val="32"/>
        </w:rPr>
        <w:t>绩效评价指标体系》，自评得分</w:t>
      </w:r>
      <w:r>
        <w:rPr>
          <w:rFonts w:hint="eastAsia" w:ascii="仿宋_GB2312" w:hAnsi="宋体" w:eastAsia="仿宋_GB2312" w:cs="Times New Roman"/>
          <w:sz w:val="32"/>
          <w:szCs w:val="32"/>
          <w:lang w:val="en-US" w:eastAsia="zh-CN"/>
        </w:rPr>
        <w:t>100</w:t>
      </w:r>
      <w:r>
        <w:rPr>
          <w:rFonts w:hint="eastAsia" w:ascii="仿宋_GB2312" w:hAnsi="宋体" w:eastAsia="仿宋_GB2312" w:cs="Times New Roman"/>
          <w:sz w:val="32"/>
          <w:szCs w:val="32"/>
        </w:rPr>
        <w:t>分。</w:t>
      </w:r>
      <w:r>
        <w:rPr>
          <w:rFonts w:hint="eastAsia" w:ascii="仿宋_GB2312" w:hAnsi="宋体" w:eastAsia="仿宋_GB2312" w:cs="Times New Roman"/>
          <w:sz w:val="32"/>
          <w:szCs w:val="32"/>
          <w:lang w:val="en-US" w:eastAsia="zh-CN"/>
        </w:rPr>
        <w:t>我</w:t>
      </w:r>
      <w:r>
        <w:rPr>
          <w:rFonts w:hint="eastAsia" w:ascii="仿宋_GB2312" w:hAnsi="宋体" w:eastAsia="仿宋_GB2312" w:cs="Times New Roman"/>
          <w:sz w:val="32"/>
          <w:szCs w:val="32"/>
        </w:rPr>
        <w:t>局严格执行财经纪律、法规和各项规章制度，加强财务管理，规范会计核算，资金高效运行。项目决策科学，依据充分，项目管理规范；绩效执行进度达到预期；项目完成效果好，实施后达到了预期目的。</w:t>
      </w:r>
    </w:p>
    <w:p w14:paraId="5BDBC57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黑体" w:hAnsi="宋体" w:eastAsia="黑体" w:cs="Times New Roman"/>
          <w:sz w:val="32"/>
          <w:szCs w:val="32"/>
          <w:highlight w:val="none"/>
          <w:lang w:eastAsia="zh-CN"/>
        </w:rPr>
      </w:pPr>
      <w:r>
        <w:rPr>
          <w:rFonts w:hint="eastAsia" w:ascii="黑体" w:hAnsi="宋体" w:eastAsia="黑体" w:cs="Times New Roman"/>
          <w:sz w:val="32"/>
          <w:szCs w:val="32"/>
          <w:highlight w:val="none"/>
          <w:lang w:eastAsia="zh-CN"/>
        </w:rPr>
        <w:t>五、存在主要问题</w:t>
      </w:r>
    </w:p>
    <w:p w14:paraId="390BCCA6">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contextualSpacing/>
        <w:jc w:val="both"/>
        <w:textAlignment w:val="auto"/>
        <w:rPr>
          <w:rFonts w:hint="eastAsia" w:ascii="仿宋_GB2312" w:hAnsi="仿宋_GB2312" w:cs="仿宋_GB2312"/>
          <w:color w:val="auto"/>
          <w:kern w:val="0"/>
          <w:sz w:val="32"/>
          <w:szCs w:val="32"/>
          <w:highlight w:val="none"/>
          <w:u w:val="none"/>
          <w:shd w:val="clear" w:color="auto" w:fill="FFFFFF"/>
          <w:lang w:val="zh-CN" w:eastAsia="zh-CN"/>
        </w:rPr>
      </w:pPr>
      <w:r>
        <w:rPr>
          <w:rFonts w:hint="eastAsia" w:ascii="仿宋_GB2312" w:hAnsi="仿宋_GB2312" w:eastAsia="仿宋_GB2312" w:cs="仿宋_GB2312"/>
          <w:color w:val="auto"/>
          <w:kern w:val="0"/>
          <w:sz w:val="32"/>
          <w:szCs w:val="32"/>
          <w:highlight w:val="none"/>
          <w:u w:val="none"/>
          <w:shd w:val="clear" w:color="auto" w:fill="FFFFFF"/>
          <w:lang w:val="zh-CN" w:eastAsia="zh-CN"/>
        </w:rPr>
        <w:t xml:space="preserve"> </w:t>
      </w:r>
      <w:r>
        <w:rPr>
          <w:rFonts w:hint="eastAsia" w:ascii="仿宋_GB2312" w:hAnsi="仿宋_GB2312" w:cs="仿宋_GB2312"/>
          <w:color w:val="auto"/>
          <w:kern w:val="0"/>
          <w:sz w:val="32"/>
          <w:szCs w:val="32"/>
          <w:highlight w:val="none"/>
          <w:u w:val="none"/>
          <w:shd w:val="clear" w:color="auto" w:fill="FFFFFF"/>
          <w:lang w:val="en-US" w:eastAsia="zh-CN"/>
        </w:rPr>
        <w:t>无</w:t>
      </w:r>
      <w:r>
        <w:rPr>
          <w:rFonts w:hint="eastAsia" w:ascii="仿宋_GB2312" w:hAnsi="仿宋_GB2312" w:cs="仿宋_GB2312"/>
          <w:color w:val="auto"/>
          <w:kern w:val="0"/>
          <w:sz w:val="32"/>
          <w:szCs w:val="32"/>
          <w:highlight w:val="none"/>
          <w:u w:val="none"/>
          <w:shd w:val="clear" w:color="auto" w:fill="FFFFFF"/>
          <w:lang w:val="zh-CN" w:eastAsia="zh-CN"/>
        </w:rPr>
        <w:t>。</w:t>
      </w:r>
    </w:p>
    <w:p w14:paraId="709E3CBC">
      <w:pPr>
        <w:pStyle w:val="7"/>
        <w:keepNext w:val="0"/>
        <w:keepLines w:val="0"/>
        <w:pageBreakBefore w:val="0"/>
        <w:widowControl w:val="0"/>
        <w:numPr>
          <w:ilvl w:val="0"/>
          <w:numId w:val="0"/>
        </w:numPr>
        <w:tabs>
          <w:tab w:val="left" w:pos="2160"/>
        </w:tabs>
        <w:kinsoku/>
        <w:wordWrap/>
        <w:overflowPunct/>
        <w:topLinePunct w:val="0"/>
        <w:autoSpaceDE/>
        <w:autoSpaceDN/>
        <w:bidi w:val="0"/>
        <w:adjustRightInd/>
        <w:spacing w:line="560" w:lineRule="exact"/>
        <w:ind w:firstLine="640" w:firstLineChars="200"/>
        <w:textAlignment w:val="auto"/>
        <w:rPr>
          <w:rFonts w:hint="eastAsia" w:ascii="黑体" w:hAnsi="宋体" w:eastAsia="黑体" w:cs="Times New Roman"/>
          <w:color w:val="auto"/>
          <w:kern w:val="0"/>
          <w:position w:val="3"/>
          <w:sz w:val="32"/>
          <w:szCs w:val="32"/>
          <w:highlight w:val="none"/>
          <w:u w:val="none"/>
          <w:lang w:val="zh-CN" w:eastAsia="zh-CN" w:bidi="ar-SA"/>
        </w:rPr>
      </w:pPr>
      <w:r>
        <w:rPr>
          <w:rFonts w:hint="eastAsia" w:ascii="黑体" w:hAnsi="宋体" w:eastAsia="黑体" w:cs="Times New Roman"/>
          <w:color w:val="auto"/>
          <w:kern w:val="0"/>
          <w:position w:val="3"/>
          <w:sz w:val="32"/>
          <w:szCs w:val="32"/>
          <w:highlight w:val="none"/>
          <w:u w:val="none"/>
          <w:lang w:val="zh-CN" w:eastAsia="zh-CN" w:bidi="ar-SA"/>
        </w:rPr>
        <w:t>六、改进建议</w:t>
      </w:r>
    </w:p>
    <w:p w14:paraId="5A42D47C">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contextualSpacing/>
        <w:jc w:val="both"/>
        <w:textAlignment w:val="auto"/>
        <w:rPr>
          <w:rFonts w:hint="eastAsia" w:ascii="仿宋_GB2312" w:hAnsi="仿宋_GB2312" w:cs="仿宋_GB2312"/>
          <w:color w:val="auto"/>
          <w:kern w:val="0"/>
          <w:sz w:val="32"/>
          <w:szCs w:val="32"/>
          <w:highlight w:val="none"/>
          <w:u w:val="none"/>
          <w:shd w:val="clear" w:color="auto" w:fill="FFFFFF"/>
          <w:lang w:val="zh-CN" w:eastAsia="zh-CN"/>
        </w:rPr>
      </w:pPr>
      <w:r>
        <w:rPr>
          <w:rFonts w:hint="eastAsia" w:ascii="仿宋_GB2312" w:hAnsi="仿宋_GB2312" w:eastAsia="仿宋_GB2312" w:cs="仿宋_GB2312"/>
          <w:color w:val="auto"/>
          <w:kern w:val="0"/>
          <w:sz w:val="32"/>
          <w:szCs w:val="32"/>
          <w:highlight w:val="none"/>
          <w:u w:val="none"/>
          <w:shd w:val="clear" w:color="auto" w:fill="FFFFFF"/>
          <w:lang w:val="zh-CN" w:eastAsia="zh-CN"/>
        </w:rPr>
        <w:t xml:space="preserve"> </w:t>
      </w:r>
      <w:r>
        <w:rPr>
          <w:rFonts w:hint="eastAsia" w:ascii="仿宋_GB2312" w:hAnsi="仿宋_GB2312" w:cs="仿宋_GB2312"/>
          <w:color w:val="auto"/>
          <w:kern w:val="0"/>
          <w:sz w:val="32"/>
          <w:szCs w:val="32"/>
          <w:highlight w:val="none"/>
          <w:u w:val="none"/>
          <w:shd w:val="clear" w:color="auto" w:fill="FFFFFF"/>
          <w:lang w:val="en-US" w:eastAsia="zh-CN"/>
        </w:rPr>
        <w:t>无</w:t>
      </w:r>
      <w:r>
        <w:rPr>
          <w:rFonts w:hint="eastAsia" w:ascii="仿宋_GB2312" w:hAnsi="仿宋_GB2312" w:cs="仿宋_GB2312"/>
          <w:color w:val="auto"/>
          <w:kern w:val="0"/>
          <w:sz w:val="32"/>
          <w:szCs w:val="32"/>
          <w:highlight w:val="none"/>
          <w:u w:val="none"/>
          <w:shd w:val="clear" w:color="auto" w:fill="FFFFFF"/>
          <w:lang w:val="zh-CN" w:eastAsia="zh-CN"/>
        </w:rPr>
        <w:t>。</w:t>
      </w:r>
    </w:p>
    <w:p w14:paraId="20656B8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宋体" w:eastAsia="仿宋_GB2312" w:cs="Times New Roman"/>
          <w:sz w:val="32"/>
          <w:szCs w:val="32"/>
          <w:lang w:val="en-US" w:eastAsia="zh-CN"/>
        </w:rPr>
      </w:pPr>
    </w:p>
    <w:p w14:paraId="030F758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宋体" w:eastAsia="仿宋_GB2312" w:cs="Times New Roman"/>
          <w:sz w:val="32"/>
          <w:szCs w:val="32"/>
          <w:lang w:val="en-US" w:eastAsia="zh-CN"/>
        </w:rPr>
      </w:pPr>
      <w:r>
        <w:rPr>
          <w:rFonts w:hint="eastAsia" w:ascii="仿宋_GB2312" w:hAnsi="宋体" w:eastAsia="仿宋_GB2312" w:cs="Times New Roman"/>
          <w:sz w:val="32"/>
          <w:szCs w:val="32"/>
          <w:lang w:val="en-US" w:eastAsia="zh-CN"/>
        </w:rPr>
        <w:t>附表：1.项目资金分配涉及所有点位自评得分情况表</w:t>
      </w:r>
    </w:p>
    <w:p w14:paraId="2BF95DFF">
      <w:pPr>
        <w:keepNext w:val="0"/>
        <w:keepLines w:val="0"/>
        <w:pageBreakBefore w:val="0"/>
        <w:widowControl w:val="0"/>
        <w:kinsoku/>
        <w:wordWrap/>
        <w:overflowPunct/>
        <w:topLinePunct w:val="0"/>
        <w:autoSpaceDE/>
        <w:autoSpaceDN/>
        <w:bidi w:val="0"/>
        <w:adjustRightInd w:val="0"/>
        <w:snapToGrid w:val="0"/>
        <w:spacing w:line="560" w:lineRule="exact"/>
        <w:ind w:firstLine="1920" w:firstLineChars="600"/>
        <w:textAlignment w:val="auto"/>
        <w:rPr>
          <w:rFonts w:hint="eastAsia" w:ascii="仿宋_GB2312" w:hAnsi="宋体" w:eastAsia="仿宋_GB2312" w:cs="Times New Roman"/>
          <w:sz w:val="32"/>
          <w:szCs w:val="32"/>
          <w:lang w:val="en-US" w:eastAsia="zh-CN"/>
        </w:rPr>
      </w:pPr>
      <w:r>
        <w:rPr>
          <w:rFonts w:hint="eastAsia" w:ascii="仿宋_GB2312" w:hAnsi="宋体" w:eastAsia="仿宋_GB2312" w:cs="Times New Roman"/>
          <w:sz w:val="32"/>
          <w:szCs w:val="32"/>
          <w:lang w:val="en-US" w:eastAsia="zh-CN"/>
        </w:rPr>
        <w:t>专项预算项目绩效目标完成情况自评表</w:t>
      </w:r>
    </w:p>
    <w:p w14:paraId="4505812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仿宋_GB2312" w:hAnsi="宋体" w:eastAsia="仿宋_GB2312" w:cs="Times New Roman"/>
          <w:sz w:val="32"/>
          <w:szCs w:val="32"/>
          <w:lang w:val="en-US" w:eastAsia="zh-CN"/>
        </w:rPr>
      </w:pPr>
    </w:p>
    <w:p w14:paraId="0398FB81">
      <w:pPr>
        <w:pStyle w:val="2"/>
        <w:keepNext w:val="0"/>
        <w:keepLines w:val="0"/>
        <w:pageBreakBefore w:val="0"/>
        <w:widowControl w:val="0"/>
        <w:kinsoku/>
        <w:wordWrap/>
        <w:overflowPunct/>
        <w:topLinePunct w:val="0"/>
        <w:autoSpaceDE/>
        <w:autoSpaceDN/>
        <w:bidi w:val="0"/>
        <w:spacing w:line="560" w:lineRule="exact"/>
        <w:textAlignment w:val="auto"/>
        <w:rPr>
          <w:rFonts w:hint="default"/>
          <w:lang w:val="en-US" w:eastAsia="zh-CN"/>
        </w:rPr>
      </w:pPr>
    </w:p>
    <w:p w14:paraId="13A43BD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宋体" w:eastAsia="仿宋_GB2312" w:cs="Times New Roman"/>
          <w:sz w:val="32"/>
          <w:szCs w:val="32"/>
          <w:lang w:val="en-US" w:eastAsia="zh-CN"/>
        </w:rPr>
      </w:pPr>
      <w:r>
        <w:rPr>
          <w:rFonts w:hint="eastAsia" w:ascii="仿宋_GB2312" w:hAnsi="宋体" w:eastAsia="仿宋_GB2312" w:cs="Times New Roman"/>
          <w:sz w:val="32"/>
          <w:szCs w:val="32"/>
          <w:lang w:val="en-US" w:eastAsia="zh-CN"/>
        </w:rPr>
        <w:t xml:space="preserve">                   广元市自然资源局</w:t>
      </w:r>
    </w:p>
    <w:p w14:paraId="0C0837A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仿宋_GB2312" w:hAnsi="宋体" w:eastAsia="仿宋_GB2312" w:cs="Times New Roman"/>
          <w:sz w:val="32"/>
          <w:szCs w:val="32"/>
          <w:lang w:val="en-US" w:eastAsia="zh-CN"/>
        </w:rPr>
      </w:pPr>
      <w:r>
        <w:rPr>
          <w:rFonts w:hint="eastAsia" w:ascii="仿宋_GB2312" w:hAnsi="宋体" w:eastAsia="仿宋_GB2312" w:cs="Times New Roman"/>
          <w:sz w:val="32"/>
          <w:szCs w:val="32"/>
          <w:lang w:val="en-US" w:eastAsia="zh-CN"/>
        </w:rPr>
        <w:t xml:space="preserve">                    2024年8月4日</w:t>
      </w:r>
    </w:p>
    <w:p w14:paraId="5A8C17E9">
      <w:pPr>
        <w:adjustRightInd w:val="0"/>
        <w:snapToGrid w:val="0"/>
        <w:spacing w:line="520" w:lineRule="exact"/>
        <w:ind w:firstLine="640" w:firstLineChars="200"/>
        <w:rPr>
          <w:rFonts w:hint="eastAsia" w:ascii="仿宋_GB2312" w:hAnsi="宋体" w:eastAsia="仿宋_GB2312" w:cs="Times New Roman"/>
          <w:sz w:val="32"/>
          <w:szCs w:val="32"/>
          <w:lang w:val="zh-CN" w:eastAsia="zh-CN"/>
        </w:rPr>
      </w:pPr>
      <w:r>
        <w:rPr>
          <w:rFonts w:hint="eastAsia" w:ascii="仿宋_GB2312" w:hAnsi="宋体" w:eastAsia="仿宋_GB2312" w:cs="Times New Roman"/>
          <w:sz w:val="32"/>
          <w:szCs w:val="32"/>
          <w:lang w:val="zh-CN" w:eastAsia="zh-CN"/>
        </w:rPr>
        <w:br w:type="page"/>
      </w:r>
    </w:p>
    <w:p w14:paraId="252B8B97">
      <w:pPr>
        <w:pStyle w:val="25"/>
        <w:rPr>
          <w:rFonts w:hint="eastAsia"/>
          <w:lang w:val="zh-CN" w:eastAsia="zh-CN"/>
        </w:rPr>
      </w:pPr>
    </w:p>
    <w:p w14:paraId="7C46517C">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rPr>
          <w:rFonts w:hint="eastAsia" w:ascii="黑体" w:hAnsi="宋体" w:eastAsia="黑体" w:cs="Times New Roman"/>
          <w:sz w:val="32"/>
          <w:szCs w:val="32"/>
          <w:highlight w:val="none"/>
          <w:lang w:val="zh-CN" w:eastAsia="zh-CN"/>
        </w:rPr>
      </w:pPr>
      <w:r>
        <w:rPr>
          <w:rFonts w:hint="eastAsia" w:ascii="黑体" w:hAnsi="宋体" w:eastAsia="黑体" w:cs="Times New Roman"/>
          <w:sz w:val="32"/>
          <w:szCs w:val="32"/>
          <w:highlight w:val="none"/>
          <w:lang w:val="zh-CN" w:eastAsia="zh-CN"/>
        </w:rPr>
        <w:t>附表</w:t>
      </w:r>
      <w:r>
        <w:rPr>
          <w:rFonts w:hint="eastAsia" w:ascii="黑体" w:hAnsi="宋体" w:eastAsia="黑体" w:cs="Times New Roman"/>
          <w:sz w:val="32"/>
          <w:szCs w:val="32"/>
          <w:highlight w:val="none"/>
          <w:lang w:val="en-US" w:eastAsia="zh-CN"/>
        </w:rPr>
        <w:t>1</w:t>
      </w:r>
    </w:p>
    <w:p w14:paraId="3FD61DE7">
      <w:pPr>
        <w:keepNext w:val="0"/>
        <w:keepLines w:val="0"/>
        <w:pageBreakBefore w:val="0"/>
        <w:kinsoku/>
        <w:wordWrap/>
        <w:overflowPunct/>
        <w:topLinePunct w:val="0"/>
        <w:autoSpaceDE/>
        <w:autoSpaceDN/>
        <w:bidi w:val="0"/>
        <w:spacing w:line="578" w:lineRule="exact"/>
        <w:ind w:left="0" w:leftChars="0"/>
        <w:jc w:val="center"/>
        <w:textAlignment w:val="auto"/>
        <w:rPr>
          <w:rFonts w:hint="eastAsia" w:ascii="方正小标宋_GBK" w:hAnsi="方正小标宋_GBK" w:eastAsia="方正小标宋_GBK" w:cs="方正小标宋_GBK"/>
          <w:b w:val="0"/>
          <w:bCs w:val="0"/>
          <w:color w:val="auto"/>
          <w:sz w:val="40"/>
          <w:szCs w:val="40"/>
          <w:highlight w:val="none"/>
          <w:u w:val="none"/>
          <w:lang w:val="en-US" w:eastAsia="zh-CN"/>
        </w:rPr>
      </w:pPr>
      <w:r>
        <w:rPr>
          <w:rFonts w:hint="eastAsia" w:ascii="方正小标宋_GBK" w:hAnsi="方正小标宋_GBK" w:eastAsia="方正小标宋_GBK" w:cs="方正小标宋_GBK"/>
          <w:b w:val="0"/>
          <w:bCs w:val="0"/>
          <w:color w:val="auto"/>
          <w:sz w:val="40"/>
          <w:szCs w:val="40"/>
          <w:highlight w:val="none"/>
          <w:u w:val="none"/>
          <w:lang w:val="en-US" w:eastAsia="zh-CN"/>
        </w:rPr>
        <w:t>项目资金分配涉及所有点位自评得分情况表</w:t>
      </w:r>
    </w:p>
    <w:tbl>
      <w:tblPr>
        <w:tblStyle w:val="18"/>
        <w:tblW w:w="88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3"/>
        <w:gridCol w:w="5020"/>
        <w:gridCol w:w="210"/>
        <w:gridCol w:w="1474"/>
        <w:gridCol w:w="993"/>
      </w:tblGrid>
      <w:tr w14:paraId="096E1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5F945D50">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序号</w:t>
            </w:r>
          </w:p>
        </w:tc>
        <w:tc>
          <w:tcPr>
            <w:tcW w:w="5230" w:type="dxa"/>
            <w:gridSpan w:val="2"/>
            <w:vAlign w:val="top"/>
          </w:tcPr>
          <w:p w14:paraId="3B1A1912">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 w:eastAsia="zh-CN" w:bidi="ar"/>
              </w:rPr>
            </w:pPr>
            <w:r>
              <w:rPr>
                <w:rFonts w:hint="eastAsia" w:ascii="仿宋_GB2312" w:hAnsi="仿宋_GB2312" w:eastAsia="仿宋_GB2312" w:cs="仿宋_GB2312"/>
                <w:i w:val="0"/>
                <w:color w:val="000000"/>
                <w:kern w:val="0"/>
                <w:sz w:val="24"/>
                <w:szCs w:val="24"/>
                <w:u w:val="none"/>
                <w:lang w:val="en-US" w:eastAsia="zh-CN" w:bidi="ar"/>
              </w:rPr>
              <w:t>项目资金末端分配点位</w:t>
            </w:r>
          </w:p>
        </w:tc>
        <w:tc>
          <w:tcPr>
            <w:tcW w:w="1474" w:type="dxa"/>
            <w:vAlign w:val="top"/>
          </w:tcPr>
          <w:p w14:paraId="4271EAD9">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 w:eastAsia="zh-CN" w:bidi="ar"/>
              </w:rPr>
              <w:t>自评得分（百分制）</w:t>
            </w:r>
          </w:p>
        </w:tc>
        <w:tc>
          <w:tcPr>
            <w:tcW w:w="993" w:type="dxa"/>
            <w:vAlign w:val="top"/>
          </w:tcPr>
          <w:p w14:paraId="023B2A86">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备注</w:t>
            </w:r>
          </w:p>
        </w:tc>
      </w:tr>
      <w:tr w14:paraId="72FE7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4AB2C169">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1</w:t>
            </w:r>
          </w:p>
        </w:tc>
        <w:tc>
          <w:tcPr>
            <w:tcW w:w="5020" w:type="dxa"/>
            <w:vAlign w:val="top"/>
          </w:tcPr>
          <w:p w14:paraId="78671DEB">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default"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国家金库广元市利州区支库</w:t>
            </w:r>
          </w:p>
        </w:tc>
        <w:tc>
          <w:tcPr>
            <w:tcW w:w="1684" w:type="dxa"/>
            <w:gridSpan w:val="2"/>
            <w:vAlign w:val="top"/>
          </w:tcPr>
          <w:p w14:paraId="234C46D8">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100</w:t>
            </w:r>
          </w:p>
        </w:tc>
        <w:tc>
          <w:tcPr>
            <w:tcW w:w="993" w:type="dxa"/>
            <w:vAlign w:val="top"/>
          </w:tcPr>
          <w:p w14:paraId="1701769E">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p>
        </w:tc>
      </w:tr>
      <w:tr w14:paraId="7EAE0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034DD3E0">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2</w:t>
            </w:r>
          </w:p>
        </w:tc>
        <w:tc>
          <w:tcPr>
            <w:tcW w:w="5020" w:type="dxa"/>
            <w:vAlign w:val="top"/>
          </w:tcPr>
          <w:p w14:paraId="09DC2926">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default" w:ascii="仿宋_GB2312" w:hAnsi="仿宋_GB2312" w:eastAsia="仿宋_GB2312" w:cs="仿宋_GB2312"/>
                <w:i w:val="0"/>
                <w:color w:val="000000"/>
                <w:kern w:val="0"/>
                <w:sz w:val="24"/>
                <w:szCs w:val="24"/>
                <w:u w:val="none"/>
                <w:lang w:val="en-US" w:eastAsia="zh-CN" w:bidi="ar"/>
              </w:rPr>
            </w:pPr>
          </w:p>
        </w:tc>
        <w:tc>
          <w:tcPr>
            <w:tcW w:w="1684" w:type="dxa"/>
            <w:gridSpan w:val="2"/>
            <w:vAlign w:val="top"/>
          </w:tcPr>
          <w:p w14:paraId="374053C5">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default" w:ascii="仿宋_GB2312" w:hAnsi="仿宋_GB2312" w:eastAsia="仿宋_GB2312" w:cs="仿宋_GB2312"/>
                <w:i w:val="0"/>
                <w:color w:val="000000"/>
                <w:kern w:val="0"/>
                <w:sz w:val="24"/>
                <w:szCs w:val="24"/>
                <w:u w:val="none"/>
                <w:lang w:val="en-US" w:eastAsia="zh-CN" w:bidi="ar"/>
              </w:rPr>
            </w:pPr>
          </w:p>
        </w:tc>
        <w:tc>
          <w:tcPr>
            <w:tcW w:w="993" w:type="dxa"/>
            <w:vAlign w:val="top"/>
          </w:tcPr>
          <w:p w14:paraId="272EF88E">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p>
        </w:tc>
      </w:tr>
      <w:tr w14:paraId="3A596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7236803C">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3</w:t>
            </w:r>
          </w:p>
        </w:tc>
        <w:tc>
          <w:tcPr>
            <w:tcW w:w="5020" w:type="dxa"/>
            <w:vAlign w:val="top"/>
          </w:tcPr>
          <w:p w14:paraId="1603611C">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 w:eastAsia="zh-CN" w:bidi="ar"/>
              </w:rPr>
            </w:pPr>
          </w:p>
        </w:tc>
        <w:tc>
          <w:tcPr>
            <w:tcW w:w="1684" w:type="dxa"/>
            <w:gridSpan w:val="2"/>
            <w:vAlign w:val="top"/>
          </w:tcPr>
          <w:p w14:paraId="0B640005">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 w:eastAsia="zh-CN" w:bidi="ar"/>
              </w:rPr>
            </w:pPr>
          </w:p>
        </w:tc>
        <w:tc>
          <w:tcPr>
            <w:tcW w:w="993" w:type="dxa"/>
            <w:vAlign w:val="top"/>
          </w:tcPr>
          <w:p w14:paraId="06145912">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p>
        </w:tc>
      </w:tr>
      <w:tr w14:paraId="2EBED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666001F2">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4</w:t>
            </w:r>
          </w:p>
        </w:tc>
        <w:tc>
          <w:tcPr>
            <w:tcW w:w="5020" w:type="dxa"/>
            <w:vAlign w:val="top"/>
          </w:tcPr>
          <w:p w14:paraId="6972062E">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 w:eastAsia="zh-CN" w:bidi="ar"/>
              </w:rPr>
            </w:pPr>
          </w:p>
        </w:tc>
        <w:tc>
          <w:tcPr>
            <w:tcW w:w="1684" w:type="dxa"/>
            <w:gridSpan w:val="2"/>
            <w:vAlign w:val="top"/>
          </w:tcPr>
          <w:p w14:paraId="2C3C26EB">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 w:eastAsia="zh-CN" w:bidi="ar"/>
              </w:rPr>
            </w:pPr>
          </w:p>
        </w:tc>
        <w:tc>
          <w:tcPr>
            <w:tcW w:w="993" w:type="dxa"/>
            <w:vAlign w:val="top"/>
          </w:tcPr>
          <w:p w14:paraId="6672E4B9">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p>
        </w:tc>
      </w:tr>
      <w:tr w14:paraId="4CB36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08714AF4">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5</w:t>
            </w:r>
          </w:p>
        </w:tc>
        <w:tc>
          <w:tcPr>
            <w:tcW w:w="5020" w:type="dxa"/>
            <w:vAlign w:val="top"/>
          </w:tcPr>
          <w:p w14:paraId="7C452CFE">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 w:eastAsia="zh-CN" w:bidi="ar"/>
              </w:rPr>
            </w:pPr>
          </w:p>
        </w:tc>
        <w:tc>
          <w:tcPr>
            <w:tcW w:w="1684" w:type="dxa"/>
            <w:gridSpan w:val="2"/>
            <w:vAlign w:val="top"/>
          </w:tcPr>
          <w:p w14:paraId="5403E264">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 w:eastAsia="zh-CN" w:bidi="ar"/>
              </w:rPr>
            </w:pPr>
          </w:p>
        </w:tc>
        <w:tc>
          <w:tcPr>
            <w:tcW w:w="993" w:type="dxa"/>
            <w:vAlign w:val="top"/>
          </w:tcPr>
          <w:p w14:paraId="3F758957">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p>
        </w:tc>
      </w:tr>
      <w:tr w14:paraId="74328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03991D4C">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6</w:t>
            </w:r>
          </w:p>
        </w:tc>
        <w:tc>
          <w:tcPr>
            <w:tcW w:w="5020" w:type="dxa"/>
            <w:vAlign w:val="top"/>
          </w:tcPr>
          <w:p w14:paraId="2DC8073E">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 w:eastAsia="zh-CN" w:bidi="ar"/>
              </w:rPr>
            </w:pPr>
          </w:p>
        </w:tc>
        <w:tc>
          <w:tcPr>
            <w:tcW w:w="1684" w:type="dxa"/>
            <w:gridSpan w:val="2"/>
            <w:vAlign w:val="top"/>
          </w:tcPr>
          <w:p w14:paraId="401F7964">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 w:eastAsia="zh-CN" w:bidi="ar"/>
              </w:rPr>
            </w:pPr>
          </w:p>
        </w:tc>
        <w:tc>
          <w:tcPr>
            <w:tcW w:w="993" w:type="dxa"/>
            <w:vAlign w:val="top"/>
          </w:tcPr>
          <w:p w14:paraId="173574C0">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p>
        </w:tc>
      </w:tr>
      <w:tr w14:paraId="63187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0BB74086">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7</w:t>
            </w:r>
          </w:p>
        </w:tc>
        <w:tc>
          <w:tcPr>
            <w:tcW w:w="5020" w:type="dxa"/>
            <w:vAlign w:val="top"/>
          </w:tcPr>
          <w:p w14:paraId="5F081BAA">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 w:eastAsia="zh-CN" w:bidi="ar"/>
              </w:rPr>
            </w:pPr>
          </w:p>
        </w:tc>
        <w:tc>
          <w:tcPr>
            <w:tcW w:w="1684" w:type="dxa"/>
            <w:gridSpan w:val="2"/>
            <w:vAlign w:val="top"/>
          </w:tcPr>
          <w:p w14:paraId="6F24D072">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 w:eastAsia="zh-CN" w:bidi="ar"/>
              </w:rPr>
            </w:pPr>
          </w:p>
        </w:tc>
        <w:tc>
          <w:tcPr>
            <w:tcW w:w="993" w:type="dxa"/>
            <w:vAlign w:val="top"/>
          </w:tcPr>
          <w:p w14:paraId="23760516">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p>
        </w:tc>
      </w:tr>
      <w:tr w14:paraId="24848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445720BB">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8</w:t>
            </w:r>
          </w:p>
        </w:tc>
        <w:tc>
          <w:tcPr>
            <w:tcW w:w="5020" w:type="dxa"/>
            <w:vAlign w:val="top"/>
          </w:tcPr>
          <w:p w14:paraId="22357DD0">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 w:eastAsia="zh-CN" w:bidi="ar"/>
              </w:rPr>
            </w:pPr>
          </w:p>
        </w:tc>
        <w:tc>
          <w:tcPr>
            <w:tcW w:w="1684" w:type="dxa"/>
            <w:gridSpan w:val="2"/>
            <w:vAlign w:val="top"/>
          </w:tcPr>
          <w:p w14:paraId="6269CDF2">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 w:eastAsia="zh-CN" w:bidi="ar"/>
              </w:rPr>
            </w:pPr>
          </w:p>
        </w:tc>
        <w:tc>
          <w:tcPr>
            <w:tcW w:w="993" w:type="dxa"/>
            <w:vAlign w:val="top"/>
          </w:tcPr>
          <w:p w14:paraId="3517FA2E">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p>
        </w:tc>
      </w:tr>
      <w:tr w14:paraId="1BFBC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75C12674">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w:t>
            </w:r>
          </w:p>
        </w:tc>
        <w:tc>
          <w:tcPr>
            <w:tcW w:w="5020" w:type="dxa"/>
            <w:vAlign w:val="top"/>
          </w:tcPr>
          <w:p w14:paraId="4DE1C242">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 w:eastAsia="zh-CN" w:bidi="ar"/>
              </w:rPr>
            </w:pPr>
          </w:p>
        </w:tc>
        <w:tc>
          <w:tcPr>
            <w:tcW w:w="1684" w:type="dxa"/>
            <w:gridSpan w:val="2"/>
            <w:vAlign w:val="top"/>
          </w:tcPr>
          <w:p w14:paraId="2C416D9F">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 w:eastAsia="zh-CN" w:bidi="ar"/>
              </w:rPr>
            </w:pPr>
          </w:p>
        </w:tc>
        <w:tc>
          <w:tcPr>
            <w:tcW w:w="993" w:type="dxa"/>
            <w:vAlign w:val="top"/>
          </w:tcPr>
          <w:p w14:paraId="5FCD2E3A">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p>
        </w:tc>
      </w:tr>
    </w:tbl>
    <w:p w14:paraId="647CD431">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备注：1.项目资金末端分配点位包括市本级、县（区）、市级部门下属单位及一次性单位等。</w:t>
      </w:r>
    </w:p>
    <w:p w14:paraId="7718B6C8">
      <w:pPr>
        <w:keepNext w:val="0"/>
        <w:keepLines w:val="0"/>
        <w:pageBreakBefore w:val="0"/>
        <w:widowControl w:val="0"/>
        <w:kinsoku/>
        <w:wordWrap/>
        <w:overflowPunct/>
        <w:topLinePunct w:val="0"/>
        <w:autoSpaceDE/>
        <w:autoSpaceDN/>
        <w:bidi w:val="0"/>
        <w:adjustRightInd/>
        <w:snapToGrid/>
        <w:spacing w:line="400" w:lineRule="exact"/>
        <w:ind w:left="0" w:leftChars="0" w:firstLine="480" w:firstLineChars="200"/>
        <w:jc w:val="left"/>
        <w:textAlignment w:val="auto"/>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2.自评得分（百分制）从高到低划分为优、良、中、差四个档次，各个档次数量占比分别为20%、20%、55%、5%，且不同档次间得分分值应体现差异化，同档次得分分值相同的比例不超过该档次总数量的10%。</w:t>
      </w:r>
    </w:p>
    <w:p w14:paraId="0DD18952">
      <w:pPr>
        <w:rPr>
          <w:rFonts w:hint="eastAsia" w:ascii="Times New Roman" w:hAnsi="Times New Roman" w:eastAsia="仿宋_GB2312" w:cs="Times New Roman"/>
          <w:kern w:val="2"/>
          <w:sz w:val="32"/>
          <w:szCs w:val="24"/>
          <w:highlight w:val="none"/>
          <w:lang w:val="en-US" w:eastAsia="zh-CN" w:bidi="ar-SA"/>
        </w:rPr>
      </w:pPr>
      <w:r>
        <w:rPr>
          <w:rFonts w:hint="eastAsia" w:ascii="Times New Roman" w:hAnsi="Times New Roman" w:eastAsia="仿宋_GB2312" w:cs="Times New Roman"/>
          <w:kern w:val="2"/>
          <w:sz w:val="32"/>
          <w:szCs w:val="24"/>
          <w:highlight w:val="none"/>
          <w:lang w:val="en-US" w:eastAsia="zh-CN" w:bidi="ar-SA"/>
        </w:rPr>
        <w:br w:type="page"/>
      </w:r>
    </w:p>
    <w:p w14:paraId="0E47959D">
      <w:pPr>
        <w:pStyle w:val="16"/>
        <w:keepNext w:val="0"/>
        <w:keepLines w:val="0"/>
        <w:pageBreakBefore w:val="0"/>
        <w:kinsoku/>
        <w:wordWrap/>
        <w:overflowPunct/>
        <w:topLinePunct w:val="0"/>
        <w:autoSpaceDE/>
        <w:autoSpaceDN/>
        <w:bidi w:val="0"/>
        <w:spacing w:after="0" w:line="578" w:lineRule="exact"/>
        <w:ind w:left="0" w:leftChars="0" w:firstLine="0" w:firstLineChars="0"/>
        <w:rPr>
          <w:rFonts w:hint="default" w:ascii="Times New Roman" w:hAnsi="Times New Roman" w:eastAsia="黑体" w:cs="Times New Roman"/>
          <w:kern w:val="2"/>
          <w:sz w:val="32"/>
          <w:szCs w:val="24"/>
          <w:highlight w:val="none"/>
          <w:lang w:val="en-US" w:eastAsia="zh-CN" w:bidi="ar-SA"/>
        </w:rPr>
      </w:pPr>
      <w:r>
        <w:rPr>
          <w:rFonts w:hint="default" w:ascii="Times New Roman" w:hAnsi="Times New Roman" w:eastAsia="黑体" w:cs="Times New Roman"/>
          <w:kern w:val="2"/>
          <w:sz w:val="32"/>
          <w:szCs w:val="24"/>
          <w:highlight w:val="none"/>
          <w:lang w:val="en-US" w:eastAsia="zh-CN" w:bidi="ar-SA"/>
        </w:rPr>
        <w:t>附表2</w:t>
      </w:r>
    </w:p>
    <w:p w14:paraId="1C976269">
      <w:pPr>
        <w:keepNext w:val="0"/>
        <w:keepLines w:val="0"/>
        <w:pageBreakBefore w:val="0"/>
        <w:kinsoku/>
        <w:wordWrap/>
        <w:overflowPunct/>
        <w:topLinePunct w:val="0"/>
        <w:autoSpaceDE/>
        <w:autoSpaceDN/>
        <w:bidi w:val="0"/>
        <w:spacing w:line="578" w:lineRule="exact"/>
        <w:ind w:left="0" w:leftChars="0"/>
        <w:jc w:val="center"/>
        <w:textAlignment w:val="auto"/>
        <w:rPr>
          <w:rFonts w:hint="default" w:ascii="方正小标宋_GBK" w:hAnsi="方正小标宋_GBK" w:eastAsia="方正小标宋_GBK" w:cs="方正小标宋_GBK"/>
          <w:b w:val="0"/>
          <w:bCs w:val="0"/>
          <w:color w:val="auto"/>
          <w:sz w:val="40"/>
          <w:szCs w:val="40"/>
          <w:highlight w:val="none"/>
          <w:u w:val="none"/>
          <w:lang w:val="en-US" w:eastAsia="zh-CN"/>
        </w:rPr>
      </w:pPr>
      <w:r>
        <w:rPr>
          <w:rFonts w:hint="eastAsia" w:ascii="方正小标宋_GBK" w:hAnsi="方正小标宋_GBK" w:eastAsia="方正小标宋_GBK" w:cs="方正小标宋_GBK"/>
          <w:b w:val="0"/>
          <w:bCs w:val="0"/>
          <w:color w:val="auto"/>
          <w:sz w:val="40"/>
          <w:szCs w:val="40"/>
          <w:highlight w:val="none"/>
          <w:u w:val="none"/>
          <w:lang w:val="en-US" w:eastAsia="zh-CN"/>
        </w:rPr>
        <w:t>专项预算项目绩效目标完成情况自评表</w:t>
      </w:r>
    </w:p>
    <w:tbl>
      <w:tblPr>
        <w:tblStyle w:val="17"/>
        <w:tblW w:w="879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560"/>
        <w:gridCol w:w="930"/>
        <w:gridCol w:w="1074"/>
        <w:gridCol w:w="1129"/>
        <w:gridCol w:w="968"/>
        <w:gridCol w:w="834"/>
        <w:gridCol w:w="367"/>
        <w:gridCol w:w="546"/>
        <w:gridCol w:w="806"/>
        <w:gridCol w:w="1585"/>
      </w:tblGrid>
      <w:tr w14:paraId="01EA3E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40" w:hRule="atLeast"/>
          <w:jc w:val="center"/>
        </w:trPr>
        <w:tc>
          <w:tcPr>
            <w:tcW w:w="369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4AC51F7">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项目名称</w:t>
            </w:r>
          </w:p>
        </w:tc>
        <w:tc>
          <w:tcPr>
            <w:tcW w:w="510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F1DD3AA">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default"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广元市利州区2023年第5批次建设用地使用林地森林植被恢复费</w:t>
            </w:r>
          </w:p>
        </w:tc>
      </w:tr>
      <w:tr w14:paraId="610824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40" w:hRule="atLeast"/>
          <w:jc w:val="center"/>
        </w:trPr>
        <w:tc>
          <w:tcPr>
            <w:tcW w:w="369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2EE808E">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预算单位</w:t>
            </w:r>
          </w:p>
        </w:tc>
        <w:tc>
          <w:tcPr>
            <w:tcW w:w="510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5BAF54D">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广元市自然资源局</w:t>
            </w:r>
          </w:p>
        </w:tc>
      </w:tr>
      <w:tr w14:paraId="6AFDE6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40" w:hRule="atLeast"/>
          <w:jc w:val="center"/>
        </w:trPr>
        <w:tc>
          <w:tcPr>
            <w:tcW w:w="369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4DC0597">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项目类型</w:t>
            </w:r>
          </w:p>
        </w:tc>
        <w:tc>
          <w:tcPr>
            <w:tcW w:w="510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3EC24C9">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专项预算项目</w:t>
            </w:r>
          </w:p>
        </w:tc>
      </w:tr>
      <w:tr w14:paraId="36EA7E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40" w:hRule="atLeast"/>
          <w:jc w:val="center"/>
        </w:trPr>
        <w:tc>
          <w:tcPr>
            <w:tcW w:w="5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479D9F">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项目 概况</w:t>
            </w:r>
          </w:p>
        </w:tc>
        <w:tc>
          <w:tcPr>
            <w:tcW w:w="313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8DD7719">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中长期规划（名称、文号，仅指</w:t>
            </w:r>
          </w:p>
          <w:p w14:paraId="41B939CC">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常年项目）</w:t>
            </w:r>
          </w:p>
        </w:tc>
        <w:tc>
          <w:tcPr>
            <w:tcW w:w="510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14FF47B">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w:t>
            </w:r>
          </w:p>
        </w:tc>
      </w:tr>
      <w:tr w14:paraId="3CA69D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40" w:hRule="atLeast"/>
          <w:jc w:val="center"/>
        </w:trPr>
        <w:tc>
          <w:tcPr>
            <w:tcW w:w="5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3B555E">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p>
        </w:tc>
        <w:tc>
          <w:tcPr>
            <w:tcW w:w="313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A101D23">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资金管理办法（名称、文号）</w:t>
            </w:r>
          </w:p>
        </w:tc>
        <w:tc>
          <w:tcPr>
            <w:tcW w:w="510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408AC86">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广元市自然资源局财务管理制度</w:t>
            </w:r>
          </w:p>
        </w:tc>
      </w:tr>
      <w:tr w14:paraId="331EFF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40" w:hRule="atLeast"/>
          <w:jc w:val="center"/>
        </w:trPr>
        <w:tc>
          <w:tcPr>
            <w:tcW w:w="5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C4E539">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p>
        </w:tc>
        <w:tc>
          <w:tcPr>
            <w:tcW w:w="313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34A4FD2">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绩效分配方式</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E2355">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default" w:ascii="仿宋_GB2312" w:hAnsi="仿宋_GB2312" w:eastAsia="仿宋_GB2312" w:cs="仿宋_GB2312"/>
                <w:i w:val="0"/>
                <w:color w:val="000000"/>
                <w:kern w:val="0"/>
                <w:sz w:val="24"/>
                <w:szCs w:val="24"/>
                <w:u w:val="none"/>
                <w:lang w:val="en-US" w:eastAsia="zh-CN" w:bidi="ar"/>
              </w:rPr>
              <w:sym w:font="Wingdings 2" w:char="00A3"/>
            </w:r>
            <w:r>
              <w:rPr>
                <w:rFonts w:hint="eastAsia" w:ascii="仿宋_GB2312" w:hAnsi="仿宋_GB2312" w:eastAsia="仿宋_GB2312" w:cs="仿宋_GB2312"/>
                <w:i w:val="0"/>
                <w:color w:val="000000"/>
                <w:kern w:val="0"/>
                <w:sz w:val="24"/>
                <w:szCs w:val="24"/>
                <w:u w:val="none"/>
                <w:lang w:val="en-US" w:eastAsia="zh-CN" w:bidi="ar"/>
              </w:rPr>
              <w:t>因素法</w:t>
            </w:r>
          </w:p>
        </w:tc>
        <w:tc>
          <w:tcPr>
            <w:tcW w:w="174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8D11BFB">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default" w:ascii="仿宋_GB2312" w:hAnsi="仿宋_GB2312" w:eastAsia="仿宋_GB2312" w:cs="仿宋_GB2312"/>
                <w:i w:val="0"/>
                <w:color w:val="000000"/>
                <w:kern w:val="0"/>
                <w:sz w:val="24"/>
                <w:szCs w:val="24"/>
                <w:u w:val="none"/>
                <w:lang w:val="en-US" w:eastAsia="zh-CN" w:bidi="ar"/>
              </w:rPr>
            </w:pPr>
            <w:r>
              <w:rPr>
                <w:rFonts w:hint="default" w:ascii="仿宋_GB2312" w:hAnsi="仿宋_GB2312" w:eastAsia="仿宋_GB2312" w:cs="仿宋_GB2312"/>
                <w:i w:val="0"/>
                <w:color w:val="000000"/>
                <w:kern w:val="0"/>
                <w:sz w:val="24"/>
                <w:szCs w:val="24"/>
                <w:u w:val="none"/>
                <w:lang w:val="en-US" w:eastAsia="zh-CN" w:bidi="ar"/>
              </w:rPr>
              <w:sym w:font="Wingdings 2" w:char="0052"/>
            </w:r>
            <w:r>
              <w:rPr>
                <w:rFonts w:hint="default" w:ascii="仿宋_GB2312" w:hAnsi="仿宋_GB2312" w:eastAsia="仿宋_GB2312" w:cs="仿宋_GB2312"/>
                <w:i w:val="0"/>
                <w:color w:val="000000"/>
                <w:kern w:val="0"/>
                <w:sz w:val="24"/>
                <w:szCs w:val="24"/>
                <w:u w:val="none"/>
                <w:lang w:val="en-US" w:eastAsia="zh-CN" w:bidi="ar"/>
              </w:rPr>
              <w:t>项目法</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A020F">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default" w:ascii="仿宋_GB2312" w:hAnsi="仿宋_GB2312" w:eastAsia="仿宋_GB2312" w:cs="仿宋_GB2312"/>
                <w:i w:val="0"/>
                <w:color w:val="000000"/>
                <w:kern w:val="0"/>
                <w:sz w:val="24"/>
                <w:szCs w:val="24"/>
                <w:u w:val="none"/>
                <w:lang w:val="en-US" w:eastAsia="zh-CN" w:bidi="ar"/>
              </w:rPr>
            </w:pPr>
            <w:r>
              <w:rPr>
                <w:rFonts w:hint="default" w:ascii="仿宋_GB2312" w:hAnsi="仿宋_GB2312" w:eastAsia="仿宋_GB2312" w:cs="仿宋_GB2312"/>
                <w:i w:val="0"/>
                <w:color w:val="000000"/>
                <w:kern w:val="0"/>
                <w:sz w:val="24"/>
                <w:szCs w:val="24"/>
                <w:u w:val="none"/>
                <w:lang w:val="en-US" w:eastAsia="zh-CN" w:bidi="ar"/>
              </w:rPr>
              <w:sym w:font="Wingdings 2" w:char="00A3"/>
            </w:r>
            <w:r>
              <w:rPr>
                <w:rFonts w:hint="eastAsia" w:ascii="仿宋_GB2312" w:hAnsi="仿宋_GB2312" w:eastAsia="仿宋_GB2312" w:cs="仿宋_GB2312"/>
                <w:i w:val="0"/>
                <w:color w:val="000000"/>
                <w:kern w:val="0"/>
                <w:sz w:val="24"/>
                <w:szCs w:val="24"/>
                <w:u w:val="none"/>
                <w:lang w:val="en-US" w:eastAsia="zh-CN" w:bidi="ar"/>
              </w:rPr>
              <w:t>据实据效</w:t>
            </w: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77CAC">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default" w:ascii="仿宋_GB2312" w:hAnsi="仿宋_GB2312" w:eastAsia="仿宋_GB2312" w:cs="仿宋_GB2312"/>
                <w:i w:val="0"/>
                <w:color w:val="000000"/>
                <w:kern w:val="0"/>
                <w:sz w:val="24"/>
                <w:szCs w:val="24"/>
                <w:u w:val="none"/>
                <w:lang w:val="en-US" w:eastAsia="zh-CN" w:bidi="ar"/>
              </w:rPr>
            </w:pPr>
            <w:r>
              <w:rPr>
                <w:rFonts w:hint="default" w:ascii="仿宋_GB2312" w:hAnsi="仿宋_GB2312" w:eastAsia="仿宋_GB2312" w:cs="仿宋_GB2312"/>
                <w:i w:val="0"/>
                <w:color w:val="000000"/>
                <w:kern w:val="0"/>
                <w:sz w:val="24"/>
                <w:szCs w:val="24"/>
                <w:u w:val="none"/>
                <w:lang w:val="en-US" w:eastAsia="zh-CN" w:bidi="ar"/>
              </w:rPr>
              <w:t>£</w:t>
            </w:r>
            <w:r>
              <w:rPr>
                <w:rFonts w:hint="eastAsia" w:ascii="仿宋_GB2312" w:hAnsi="仿宋_GB2312" w:eastAsia="仿宋_GB2312" w:cs="仿宋_GB2312"/>
                <w:i w:val="0"/>
                <w:color w:val="000000"/>
                <w:kern w:val="0"/>
                <w:sz w:val="24"/>
                <w:szCs w:val="24"/>
                <w:u w:val="none"/>
                <w:lang w:val="en-US" w:eastAsia="zh-CN" w:bidi="ar"/>
              </w:rPr>
              <w:t>因素法与项目法相结合</w:t>
            </w:r>
          </w:p>
        </w:tc>
      </w:tr>
      <w:tr w14:paraId="6E8784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40" w:hRule="atLeast"/>
          <w:jc w:val="center"/>
        </w:trPr>
        <w:tc>
          <w:tcPr>
            <w:tcW w:w="5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7E7068">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p>
        </w:tc>
        <w:tc>
          <w:tcPr>
            <w:tcW w:w="313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F6F8679">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立项依据</w:t>
            </w:r>
          </w:p>
        </w:tc>
        <w:tc>
          <w:tcPr>
            <w:tcW w:w="510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28ABDBC">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大稻坝限价商品房、城北片区限价商品房、雪峰小学周边用地等项目，是市政府要求尽快纳入广元市利州区2023年第5批次建设用地上报省政府审批的市级重点项目。总用地面积27.9658公顷（其中林地6.4170公顷）。为确保项目建设用地的合法性，按照有关规定，在征地报批前必须先行办理林地使用批准手续</w:t>
            </w:r>
          </w:p>
        </w:tc>
      </w:tr>
      <w:tr w14:paraId="1FA192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40" w:hRule="atLeast"/>
          <w:jc w:val="center"/>
        </w:trPr>
        <w:tc>
          <w:tcPr>
            <w:tcW w:w="5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4179DF">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p>
        </w:tc>
        <w:tc>
          <w:tcPr>
            <w:tcW w:w="313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08559D1">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使用范围</w:t>
            </w:r>
          </w:p>
        </w:tc>
        <w:tc>
          <w:tcPr>
            <w:tcW w:w="510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079F727">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default"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建设用地森林植被恢复费、使用林地可行性编制就采伐作业设计费</w:t>
            </w:r>
          </w:p>
        </w:tc>
      </w:tr>
      <w:tr w14:paraId="074F91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40" w:hRule="atLeast"/>
          <w:jc w:val="center"/>
        </w:trPr>
        <w:tc>
          <w:tcPr>
            <w:tcW w:w="5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36196D">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p>
        </w:tc>
        <w:tc>
          <w:tcPr>
            <w:tcW w:w="313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604F719">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申报（补助）条件</w:t>
            </w:r>
          </w:p>
        </w:tc>
        <w:tc>
          <w:tcPr>
            <w:tcW w:w="510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CCC2697">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p>
        </w:tc>
      </w:tr>
      <w:tr w14:paraId="253E8F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40" w:hRule="atLeast"/>
          <w:jc w:val="center"/>
        </w:trPr>
        <w:tc>
          <w:tcPr>
            <w:tcW w:w="5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26BFC2">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p>
        </w:tc>
        <w:tc>
          <w:tcPr>
            <w:tcW w:w="313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AB2D334">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项目起止年限</w:t>
            </w:r>
          </w:p>
        </w:tc>
        <w:tc>
          <w:tcPr>
            <w:tcW w:w="510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94A0337">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2023-2023</w:t>
            </w:r>
          </w:p>
        </w:tc>
      </w:tr>
      <w:tr w14:paraId="052C86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40" w:hRule="atLeast"/>
          <w:jc w:val="center"/>
        </w:trPr>
        <w:tc>
          <w:tcPr>
            <w:tcW w:w="149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9380F9">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项目资金</w:t>
            </w:r>
          </w:p>
          <w:p w14:paraId="467EE21E">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（万元）</w:t>
            </w:r>
          </w:p>
        </w:tc>
        <w:tc>
          <w:tcPr>
            <w:tcW w:w="22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FAA380">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 xml:space="preserve">  年度资金总额：</w:t>
            </w:r>
          </w:p>
        </w:tc>
        <w:tc>
          <w:tcPr>
            <w:tcW w:w="510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8C5B774">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default"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106.7086</w:t>
            </w:r>
          </w:p>
        </w:tc>
      </w:tr>
      <w:tr w14:paraId="139143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40" w:hRule="atLeast"/>
          <w:jc w:val="center"/>
        </w:trPr>
        <w:tc>
          <w:tcPr>
            <w:tcW w:w="149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DB308E">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p>
        </w:tc>
        <w:tc>
          <w:tcPr>
            <w:tcW w:w="22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D1CB6F">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 xml:space="preserve">    其中：财政拨款</w:t>
            </w:r>
          </w:p>
        </w:tc>
        <w:tc>
          <w:tcPr>
            <w:tcW w:w="510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6041873">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default"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106.7086</w:t>
            </w:r>
          </w:p>
        </w:tc>
      </w:tr>
      <w:tr w14:paraId="16DA8A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40" w:hRule="atLeast"/>
          <w:jc w:val="center"/>
        </w:trPr>
        <w:tc>
          <w:tcPr>
            <w:tcW w:w="149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E191A0">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p>
        </w:tc>
        <w:tc>
          <w:tcPr>
            <w:tcW w:w="22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99FD9C">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 xml:space="preserve">          其他资金</w:t>
            </w:r>
          </w:p>
        </w:tc>
        <w:tc>
          <w:tcPr>
            <w:tcW w:w="510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6F87C40">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p>
        </w:tc>
      </w:tr>
      <w:tr w14:paraId="6233AE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40" w:hRule="atLeast"/>
          <w:jc w:val="center"/>
        </w:trPr>
        <w:tc>
          <w:tcPr>
            <w:tcW w:w="5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D74C4F">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总体 目标</w:t>
            </w:r>
          </w:p>
        </w:tc>
        <w:tc>
          <w:tcPr>
            <w:tcW w:w="823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FB56480">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年度目标</w:t>
            </w:r>
          </w:p>
        </w:tc>
      </w:tr>
      <w:tr w14:paraId="05DD25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40" w:hRule="atLeast"/>
          <w:jc w:val="center"/>
        </w:trPr>
        <w:tc>
          <w:tcPr>
            <w:tcW w:w="5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A43D1E">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p>
        </w:tc>
        <w:tc>
          <w:tcPr>
            <w:tcW w:w="823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66805F2">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完成了2023年第五批次建设用地报征手续，保障建设项目用地的合法性，促进了广元的经济发展。</w:t>
            </w:r>
          </w:p>
          <w:p w14:paraId="7D2442FE">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p>
        </w:tc>
      </w:tr>
      <w:tr w14:paraId="4BFD6B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40" w:hRule="atLeast"/>
          <w:jc w:val="center"/>
        </w:trPr>
        <w:tc>
          <w:tcPr>
            <w:tcW w:w="560" w:type="dxa"/>
            <w:vMerge w:val="restart"/>
            <w:tcBorders>
              <w:top w:val="single" w:color="000000" w:sz="4" w:space="0"/>
              <w:left w:val="single" w:color="000000" w:sz="4" w:space="0"/>
              <w:bottom w:val="single" w:color="000000" w:sz="4" w:space="0"/>
            </w:tcBorders>
            <w:shd w:val="clear" w:color="auto" w:fill="auto"/>
            <w:vAlign w:val="center"/>
          </w:tcPr>
          <w:p w14:paraId="5944F5D1">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绩效 指标</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760F6">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一级指标</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EAED0">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二级指标</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4244A">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三级指标</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0E2E9">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指标性质</w:t>
            </w:r>
          </w:p>
        </w:tc>
        <w:tc>
          <w:tcPr>
            <w:tcW w:w="120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C20BAD">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指标值</w:t>
            </w:r>
          </w:p>
        </w:tc>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00ACC">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度量单位</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3FF0C">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权重</w:t>
            </w: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299AD">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实际完成指标值</w:t>
            </w:r>
          </w:p>
        </w:tc>
      </w:tr>
      <w:tr w14:paraId="780220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40" w:hRule="atLeast"/>
          <w:jc w:val="center"/>
        </w:trPr>
        <w:tc>
          <w:tcPr>
            <w:tcW w:w="560" w:type="dxa"/>
            <w:vMerge w:val="continue"/>
            <w:tcBorders>
              <w:top w:val="single" w:color="000000" w:sz="4" w:space="0"/>
              <w:left w:val="single" w:color="000000" w:sz="4" w:space="0"/>
              <w:bottom w:val="single" w:color="000000" w:sz="4" w:space="0"/>
            </w:tcBorders>
            <w:shd w:val="clear" w:color="auto" w:fill="auto"/>
            <w:vAlign w:val="center"/>
          </w:tcPr>
          <w:p w14:paraId="7B88929F">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149C1">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产出指标</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3B69E">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数量指标</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86AB4">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报批土地面积</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31B9F">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70B28">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default"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27.9658</w:t>
            </w:r>
          </w:p>
        </w:tc>
        <w:tc>
          <w:tcPr>
            <w:tcW w:w="91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290E95">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default"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公顷</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0EC94">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default"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20</w:t>
            </w: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874BE">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default"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27.9658</w:t>
            </w:r>
          </w:p>
        </w:tc>
      </w:tr>
      <w:tr w14:paraId="525F97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40" w:hRule="atLeast"/>
          <w:jc w:val="center"/>
        </w:trPr>
        <w:tc>
          <w:tcPr>
            <w:tcW w:w="560" w:type="dxa"/>
            <w:vMerge w:val="continue"/>
            <w:tcBorders>
              <w:top w:val="single" w:color="000000" w:sz="4" w:space="0"/>
              <w:left w:val="single" w:color="000000" w:sz="4" w:space="0"/>
              <w:bottom w:val="single" w:color="000000" w:sz="4" w:space="0"/>
            </w:tcBorders>
            <w:shd w:val="clear" w:color="auto" w:fill="auto"/>
            <w:vAlign w:val="center"/>
          </w:tcPr>
          <w:p w14:paraId="69D2E922">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640C3">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default"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产出指标</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D0A0C">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default"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质量指标</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11521">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审核合格率</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C7AAC">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81915">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default"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100</w:t>
            </w:r>
          </w:p>
        </w:tc>
        <w:tc>
          <w:tcPr>
            <w:tcW w:w="91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1E99BC">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default"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E4038">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default"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20</w:t>
            </w: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98C39">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default"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100</w:t>
            </w:r>
          </w:p>
        </w:tc>
      </w:tr>
      <w:tr w14:paraId="5892D3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40" w:hRule="atLeast"/>
          <w:jc w:val="center"/>
        </w:trPr>
        <w:tc>
          <w:tcPr>
            <w:tcW w:w="560" w:type="dxa"/>
            <w:vMerge w:val="continue"/>
            <w:tcBorders>
              <w:top w:val="single" w:color="000000" w:sz="4" w:space="0"/>
              <w:left w:val="single" w:color="000000" w:sz="4" w:space="0"/>
              <w:bottom w:val="single" w:color="000000" w:sz="4" w:space="0"/>
            </w:tcBorders>
            <w:shd w:val="clear" w:color="auto" w:fill="auto"/>
            <w:vAlign w:val="center"/>
          </w:tcPr>
          <w:p w14:paraId="719DE329">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062A4">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default"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产出指标</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9AE43">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时效指标</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96343">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default"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完成时间</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FB97C">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6C4BF">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default"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3</w:t>
            </w:r>
          </w:p>
        </w:tc>
        <w:tc>
          <w:tcPr>
            <w:tcW w:w="91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9CB921">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default"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月</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3DC99">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default"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10</w:t>
            </w: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88124">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default"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1</w:t>
            </w:r>
          </w:p>
        </w:tc>
      </w:tr>
      <w:tr w14:paraId="300562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40" w:hRule="atLeast"/>
          <w:jc w:val="center"/>
        </w:trPr>
        <w:tc>
          <w:tcPr>
            <w:tcW w:w="560" w:type="dxa"/>
            <w:vMerge w:val="continue"/>
            <w:tcBorders>
              <w:top w:val="single" w:color="000000" w:sz="4" w:space="0"/>
              <w:left w:val="single" w:color="000000" w:sz="4" w:space="0"/>
              <w:bottom w:val="single" w:color="000000" w:sz="4" w:space="0"/>
            </w:tcBorders>
            <w:shd w:val="clear" w:color="auto" w:fill="auto"/>
            <w:vAlign w:val="center"/>
          </w:tcPr>
          <w:p w14:paraId="513CF4A9">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F703E">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效益指标</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59F6D">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社会效益</w:t>
            </w:r>
          </w:p>
          <w:p w14:paraId="7C5F4CD7">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指标</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6293C">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default"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促进我市经济发展</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D81A5">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default"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定性</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4FEC5">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default"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良好</w:t>
            </w:r>
          </w:p>
        </w:tc>
        <w:tc>
          <w:tcPr>
            <w:tcW w:w="91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7A9B88">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级</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158CD">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default"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20</w:t>
            </w: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C57EF">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良好</w:t>
            </w:r>
          </w:p>
        </w:tc>
      </w:tr>
      <w:tr w14:paraId="01BD3C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40" w:hRule="atLeast"/>
          <w:jc w:val="center"/>
        </w:trPr>
        <w:tc>
          <w:tcPr>
            <w:tcW w:w="560" w:type="dxa"/>
            <w:tcBorders>
              <w:top w:val="single" w:color="000000" w:sz="4" w:space="0"/>
              <w:left w:val="single" w:color="000000" w:sz="4" w:space="0"/>
              <w:bottom w:val="single" w:color="000000" w:sz="4" w:space="0"/>
            </w:tcBorders>
            <w:shd w:val="clear" w:color="auto" w:fill="auto"/>
            <w:vAlign w:val="center"/>
          </w:tcPr>
          <w:p w14:paraId="4A4355DC">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E38E1">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满意度指标</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A4EAA">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满意度指标</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A1FDA">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default"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被征地群众满意度</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09175">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FE573">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95</w:t>
            </w:r>
          </w:p>
        </w:tc>
        <w:tc>
          <w:tcPr>
            <w:tcW w:w="91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FA7786">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25C13">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default"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10</w:t>
            </w: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B1D05">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default"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95</w:t>
            </w:r>
          </w:p>
        </w:tc>
      </w:tr>
      <w:tr w14:paraId="0FD27B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40" w:hRule="atLeast"/>
          <w:jc w:val="center"/>
        </w:trPr>
        <w:tc>
          <w:tcPr>
            <w:tcW w:w="560" w:type="dxa"/>
            <w:tcBorders>
              <w:top w:val="single" w:color="000000" w:sz="4" w:space="0"/>
              <w:left w:val="single" w:color="000000" w:sz="4" w:space="0"/>
              <w:bottom w:val="single" w:color="000000" w:sz="4" w:space="0"/>
            </w:tcBorders>
            <w:shd w:val="clear" w:color="auto" w:fill="auto"/>
            <w:vAlign w:val="center"/>
          </w:tcPr>
          <w:p w14:paraId="4CB2E893">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3CDD9">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default"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成本指标</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9840F">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default"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经济成本指标</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C0042">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default"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预算控制数</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3E1B4">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B6044">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default"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106.7086</w:t>
            </w:r>
          </w:p>
        </w:tc>
        <w:tc>
          <w:tcPr>
            <w:tcW w:w="91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06A707">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default"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万元</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5C481">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default"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20</w:t>
            </w: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26A56">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default"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106.7086</w:t>
            </w:r>
          </w:p>
        </w:tc>
      </w:tr>
    </w:tbl>
    <w:p w14:paraId="02ADB0CF">
      <w:pPr>
        <w:pStyle w:val="16"/>
        <w:keepNext w:val="0"/>
        <w:keepLines w:val="0"/>
        <w:pageBreakBefore w:val="0"/>
        <w:kinsoku/>
        <w:wordWrap/>
        <w:overflowPunct/>
        <w:topLinePunct w:val="0"/>
        <w:autoSpaceDE/>
        <w:autoSpaceDN/>
        <w:bidi w:val="0"/>
        <w:spacing w:after="0" w:line="578" w:lineRule="exact"/>
        <w:ind w:left="0" w:leftChars="0"/>
        <w:rPr>
          <w:rFonts w:hint="default" w:ascii="黑体" w:hAnsi="黑体" w:eastAsia="黑体" w:cs="黑体"/>
          <w:sz w:val="24"/>
          <w:szCs w:val="24"/>
          <w:highlight w:val="none"/>
          <w:lang w:val="en-US" w:eastAsia="zh-CN"/>
        </w:rPr>
      </w:pPr>
    </w:p>
    <w:p w14:paraId="4E0432AC">
      <w:pPr>
        <w:rPr>
          <w:rFonts w:hint="default" w:ascii="黑体" w:hAnsi="黑体" w:eastAsia="黑体" w:cs="黑体"/>
          <w:sz w:val="24"/>
          <w:szCs w:val="24"/>
          <w:highlight w:val="none"/>
          <w:lang w:val="en-US" w:eastAsia="zh-CN"/>
        </w:rPr>
      </w:pPr>
      <w:r>
        <w:rPr>
          <w:rFonts w:hint="default" w:ascii="黑体" w:hAnsi="黑体" w:eastAsia="黑体" w:cs="黑体"/>
          <w:sz w:val="24"/>
          <w:szCs w:val="24"/>
          <w:highlight w:val="none"/>
          <w:lang w:val="en-US" w:eastAsia="zh-CN"/>
        </w:rPr>
        <w:br w:type="page"/>
      </w:r>
    </w:p>
    <w:p w14:paraId="2076FFD1">
      <w:pPr>
        <w:pStyle w:val="37"/>
        <w:keepNext w:val="0"/>
        <w:keepLines w:val="0"/>
        <w:pageBreakBefore w:val="0"/>
        <w:widowControl w:val="0"/>
        <w:kinsoku/>
        <w:wordWrap/>
        <w:overflowPunct/>
        <w:topLinePunct w:val="0"/>
        <w:autoSpaceDE/>
        <w:autoSpaceDN/>
        <w:bidi w:val="0"/>
        <w:spacing w:line="578" w:lineRule="exact"/>
        <w:ind w:left="0" w:leftChars="0"/>
        <w:jc w:val="center"/>
        <w:textAlignment w:val="auto"/>
        <w:rPr>
          <w:rFonts w:hint="default" w:ascii="方正小标宋简体" w:hAnsi="方正小标宋简体" w:eastAsia="方正小标宋简体" w:cs="方正小标宋简体"/>
          <w:color w:val="auto"/>
          <w:kern w:val="2"/>
          <w:sz w:val="44"/>
          <w:szCs w:val="44"/>
          <w:highlight w:val="none"/>
          <w:lang w:val="en-US" w:eastAsia="zh-CN"/>
        </w:rPr>
      </w:pPr>
      <w:r>
        <w:rPr>
          <w:rFonts w:hint="eastAsia" w:ascii="方正小标宋简体" w:hAnsi="方正小标宋简体" w:eastAsia="方正小标宋简体" w:cs="方正小标宋简体"/>
          <w:color w:val="auto"/>
          <w:kern w:val="2"/>
          <w:sz w:val="44"/>
          <w:szCs w:val="44"/>
          <w:highlight w:val="none"/>
          <w:lang w:val="en-US" w:eastAsia="zh-CN"/>
        </w:rPr>
        <w:t>广元市自然资源局</w:t>
      </w:r>
    </w:p>
    <w:p w14:paraId="7C5500AC">
      <w:pPr>
        <w:pStyle w:val="37"/>
        <w:keepNext w:val="0"/>
        <w:keepLines w:val="0"/>
        <w:pageBreakBefore w:val="0"/>
        <w:widowControl w:val="0"/>
        <w:kinsoku/>
        <w:wordWrap/>
        <w:overflowPunct/>
        <w:topLinePunct w:val="0"/>
        <w:autoSpaceDE/>
        <w:autoSpaceDN/>
        <w:bidi w:val="0"/>
        <w:spacing w:line="578" w:lineRule="exact"/>
        <w:ind w:left="0" w:leftChars="0"/>
        <w:jc w:val="center"/>
        <w:textAlignment w:val="auto"/>
        <w:rPr>
          <w:rFonts w:hint="eastAsia" w:ascii="方正小标宋简体" w:hAnsi="方正小标宋简体" w:eastAsia="方正小标宋简体" w:cs="方正小标宋简体"/>
          <w:color w:val="auto"/>
          <w:kern w:val="2"/>
          <w:sz w:val="44"/>
          <w:szCs w:val="44"/>
          <w:highlight w:val="none"/>
          <w:lang w:val="en-US" w:eastAsia="zh-CN"/>
        </w:rPr>
      </w:pPr>
      <w:r>
        <w:rPr>
          <w:rFonts w:hint="eastAsia" w:ascii="方正小标宋简体" w:hAnsi="方正小标宋简体" w:eastAsia="方正小标宋简体" w:cs="方正小标宋简体"/>
          <w:color w:val="auto"/>
          <w:kern w:val="2"/>
          <w:sz w:val="44"/>
          <w:szCs w:val="44"/>
          <w:highlight w:val="none"/>
          <w:lang w:val="en-US" w:eastAsia="zh-CN"/>
        </w:rPr>
        <w:t>关于广元市利州区2023年第5批次建设用地使用林地森林植被恢复费编制专项预算项目绩效评价报告</w:t>
      </w:r>
    </w:p>
    <w:p w14:paraId="47191061">
      <w:pPr>
        <w:pStyle w:val="37"/>
        <w:keepNext w:val="0"/>
        <w:keepLines w:val="0"/>
        <w:pageBreakBefore w:val="0"/>
        <w:widowControl w:val="0"/>
        <w:kinsoku/>
        <w:wordWrap/>
        <w:overflowPunct/>
        <w:topLinePunct w:val="0"/>
        <w:autoSpaceDE/>
        <w:autoSpaceDN/>
        <w:bidi w:val="0"/>
        <w:spacing w:line="578" w:lineRule="exact"/>
        <w:ind w:left="0" w:leftChars="0" w:firstLine="640"/>
        <w:jc w:val="center"/>
        <w:textAlignment w:val="auto"/>
        <w:rPr>
          <w:rFonts w:ascii="宋体" w:hAnsi="宋体"/>
          <w:color w:val="auto"/>
          <w:kern w:val="2"/>
          <w:sz w:val="32"/>
          <w:szCs w:val="32"/>
          <w:highlight w:val="none"/>
        </w:rPr>
      </w:pPr>
    </w:p>
    <w:p w14:paraId="6F3CD3E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黑体" w:hAnsi="宋体" w:eastAsia="黑体" w:cs="Times New Roman"/>
          <w:sz w:val="32"/>
          <w:szCs w:val="32"/>
          <w:highlight w:val="none"/>
          <w:lang w:val="zh-CN"/>
        </w:rPr>
      </w:pPr>
      <w:r>
        <w:rPr>
          <w:rFonts w:hint="eastAsia" w:ascii="黑体" w:hAnsi="宋体" w:eastAsia="黑体" w:cs="Times New Roman"/>
          <w:sz w:val="32"/>
          <w:szCs w:val="32"/>
          <w:highlight w:val="none"/>
        </w:rPr>
        <w:t>一、</w:t>
      </w:r>
      <w:r>
        <w:rPr>
          <w:rFonts w:hint="eastAsia" w:ascii="黑体" w:hAnsi="宋体" w:eastAsia="黑体" w:cs="Times New Roman"/>
          <w:sz w:val="32"/>
          <w:szCs w:val="32"/>
          <w:highlight w:val="none"/>
          <w:lang w:val="zh-CN"/>
        </w:rPr>
        <w:t>项目概况</w:t>
      </w:r>
    </w:p>
    <w:p w14:paraId="5199819F">
      <w:pPr>
        <w:numPr>
          <w:ilvl w:val="0"/>
          <w:numId w:val="0"/>
        </w:numPr>
        <w:spacing w:line="580" w:lineRule="exact"/>
        <w:ind w:firstLine="643" w:firstLineChars="200"/>
        <w:rPr>
          <w:rFonts w:hint="eastAsia"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（一）设立背景及基本情况。</w:t>
      </w:r>
    </w:p>
    <w:p w14:paraId="3059301A">
      <w:pPr>
        <w:adjustRightInd w:val="0"/>
        <w:snapToGrid w:val="0"/>
        <w:spacing w:line="520" w:lineRule="exact"/>
        <w:ind w:firstLine="640" w:firstLineChars="200"/>
        <w:rPr>
          <w:rFonts w:ascii="仿宋_GB2312" w:hAnsi="宋体" w:eastAsia="仿宋_GB2312"/>
          <w:sz w:val="32"/>
          <w:szCs w:val="32"/>
        </w:rPr>
      </w:pPr>
      <w:r>
        <w:rPr>
          <w:rFonts w:hint="eastAsia" w:ascii="仿宋_GB2312" w:hAnsi="宋体" w:eastAsia="仿宋_GB2312"/>
          <w:sz w:val="32"/>
          <w:szCs w:val="32"/>
        </w:rPr>
        <w:t>大稻坝限价商品房、城北片区限价商品房、雪峰小学周边用地等项目，是市政府要求尽快纳入广元市利州区2023年第5批次建设用地上报省政府审批的市级重点项目，总用地面积27.9658公顷（其中林地6.4170公顷）。为确保项目建设用地的合法性，按照有关规定，在征地报批前必须先行办理林地使用批准手续，该批次需缴纳森林植被恢复费95.5220万元，使用林地可行性编制及采伐作业设计费11.1866万元，合计106.7086万元。</w:t>
      </w:r>
    </w:p>
    <w:p w14:paraId="1E9E0A4B">
      <w:pPr>
        <w:adjustRightInd w:val="0"/>
        <w:snapToGrid w:val="0"/>
        <w:spacing w:line="520" w:lineRule="exact"/>
        <w:ind w:firstLine="643" w:firstLineChars="200"/>
        <w:rPr>
          <w:rFonts w:hint="eastAsia" w:ascii="仿宋_GB2312" w:hAnsi="宋体" w:eastAsia="仿宋_GB2312"/>
          <w:sz w:val="32"/>
          <w:szCs w:val="32"/>
        </w:rPr>
      </w:pPr>
      <w:r>
        <w:rPr>
          <w:rFonts w:hint="eastAsia" w:ascii="楷体_GB2312" w:hAnsi="宋体" w:eastAsia="楷体_GB2312" w:cs="Times New Roman"/>
          <w:b/>
          <w:color w:val="auto"/>
          <w:sz w:val="32"/>
          <w:szCs w:val="32"/>
          <w:highlight w:val="none"/>
          <w:u w:val="none"/>
          <w:lang w:val="en-US" w:eastAsia="zh-CN"/>
        </w:rPr>
        <w:t>（二）</w:t>
      </w:r>
      <w:r>
        <w:rPr>
          <w:rFonts w:hint="default" w:ascii="楷体_GB2312" w:hAnsi="宋体" w:eastAsia="楷体_GB2312" w:cs="Times New Roman"/>
          <w:b/>
          <w:color w:val="auto"/>
          <w:sz w:val="32"/>
          <w:szCs w:val="32"/>
          <w:highlight w:val="none"/>
          <w:u w:val="none"/>
          <w:lang w:val="en-US" w:eastAsia="zh-CN"/>
        </w:rPr>
        <w:t>实施目的及支持方向</w:t>
      </w:r>
      <w:r>
        <w:rPr>
          <w:rFonts w:hint="eastAsia" w:ascii="楷体_GB2312" w:hAnsi="宋体" w:eastAsia="楷体_GB2312" w:cs="Times New Roman"/>
          <w:b/>
          <w:color w:val="auto"/>
          <w:sz w:val="32"/>
          <w:szCs w:val="32"/>
          <w:highlight w:val="none"/>
          <w:u w:val="none"/>
          <w:lang w:val="en-US" w:eastAsia="zh-CN"/>
        </w:rPr>
        <w:t>。</w:t>
      </w:r>
      <w:r>
        <w:rPr>
          <w:rFonts w:hint="eastAsia" w:ascii="仿宋_GB2312" w:hAnsi="宋体" w:eastAsia="仿宋_GB2312"/>
          <w:sz w:val="32"/>
          <w:szCs w:val="32"/>
        </w:rPr>
        <w:t>大稻坝限价商品房、城北片区限价商品房、雪峰小学周边用地等项目，是市政府要求尽快纳入广元市利州区2023年第5批次建设用地上报省政府审批的市级重点项目，总用地面积27.9658公顷（</w:t>
      </w:r>
      <w:r>
        <w:rPr>
          <w:rFonts w:hint="eastAsia" w:ascii="仿宋_GB2312" w:hAnsi="宋体" w:eastAsia="仿宋_GB2312" w:cs="Times New Roman"/>
          <w:sz w:val="32"/>
          <w:szCs w:val="32"/>
        </w:rPr>
        <w:t>其中林地6.4170公顷）。按照有关规定，在征地报批前必须先行办理林地使用批准手续，以便取得《使用林地审核同意书》后上报土地征收手续</w:t>
      </w:r>
      <w:r>
        <w:rPr>
          <w:rFonts w:hint="eastAsia" w:ascii="仿宋_GB2312" w:hAnsi="宋体" w:eastAsia="仿宋_GB2312"/>
          <w:sz w:val="32"/>
          <w:szCs w:val="32"/>
        </w:rPr>
        <w:t>，确保项目建设用地的合法性。</w:t>
      </w:r>
    </w:p>
    <w:p w14:paraId="06CE2672">
      <w:pPr>
        <w:keepNext w:val="0"/>
        <w:keepLines w:val="0"/>
        <w:pageBreakBefore w:val="0"/>
        <w:numPr>
          <w:ilvl w:val="0"/>
          <w:numId w:val="0"/>
        </w:numPr>
        <w:kinsoku/>
        <w:wordWrap/>
        <w:overflowPunct/>
        <w:topLinePunct w:val="0"/>
        <w:autoSpaceDE/>
        <w:autoSpaceDN/>
        <w:bidi w:val="0"/>
        <w:adjustRightInd w:val="0"/>
        <w:snapToGrid w:val="0"/>
        <w:spacing w:line="578" w:lineRule="exact"/>
        <w:textAlignment w:val="auto"/>
        <w:rPr>
          <w:rFonts w:hint="eastAsia" w:ascii="宋体" w:hAnsi="宋体" w:eastAsia="仿宋_GB2312" w:cs="Times New Roman"/>
          <w:b w:val="0"/>
          <w:bCs/>
          <w:color w:val="333333"/>
          <w:sz w:val="32"/>
          <w:szCs w:val="32"/>
          <w:highlight w:val="none"/>
          <w:u w:val="none"/>
          <w:shd w:val="clear" w:color="auto" w:fill="FFFFFF"/>
          <w:lang w:val="en-US" w:eastAsia="zh-CN"/>
        </w:rPr>
      </w:pPr>
    </w:p>
    <w:p w14:paraId="41EDB5B6">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3" w:firstLineChars="200"/>
        <w:contextualSpacing/>
        <w:jc w:val="both"/>
        <w:textAlignment w:val="auto"/>
        <w:rPr>
          <w:rFonts w:hint="eastAsia" w:ascii="楷体_GB2312" w:hAnsi="宋体" w:eastAsia="楷体_GB2312" w:cs="Times New Roman"/>
          <w:b/>
          <w:color w:val="auto"/>
          <w:sz w:val="32"/>
          <w:szCs w:val="32"/>
          <w:highlight w:val="none"/>
          <w:u w:val="none"/>
          <w:lang w:val="zh-CN" w:eastAsia="zh-CN"/>
        </w:rPr>
      </w:pPr>
      <w:r>
        <w:rPr>
          <w:rFonts w:hint="eastAsia" w:ascii="楷体_GB2312" w:hAnsi="宋体" w:eastAsia="楷体_GB2312" w:cs="Times New Roman"/>
          <w:b/>
          <w:color w:val="auto"/>
          <w:sz w:val="32"/>
          <w:szCs w:val="32"/>
          <w:highlight w:val="none"/>
          <w:u w:val="none"/>
          <w:lang w:val="zh-CN" w:eastAsia="zh-CN"/>
        </w:rPr>
        <w:t>（三）</w:t>
      </w:r>
      <w:r>
        <w:rPr>
          <w:rFonts w:hint="default" w:ascii="楷体_GB2312" w:hAnsi="宋体" w:eastAsia="楷体_GB2312" w:cs="Times New Roman"/>
          <w:b/>
          <w:color w:val="auto"/>
          <w:sz w:val="32"/>
          <w:szCs w:val="32"/>
          <w:highlight w:val="none"/>
          <w:u w:val="none"/>
          <w:lang w:val="en-US" w:eastAsia="zh-CN"/>
        </w:rPr>
        <w:t>预算安排及分配管理</w:t>
      </w:r>
      <w:r>
        <w:rPr>
          <w:rFonts w:hint="eastAsia" w:ascii="楷体_GB2312" w:hAnsi="宋体" w:eastAsia="楷体_GB2312" w:cs="Times New Roman"/>
          <w:b/>
          <w:color w:val="auto"/>
          <w:sz w:val="32"/>
          <w:szCs w:val="32"/>
          <w:highlight w:val="none"/>
          <w:u w:val="none"/>
          <w:lang w:val="zh-CN" w:eastAsia="zh-CN"/>
        </w:rPr>
        <w:t>。</w:t>
      </w:r>
    </w:p>
    <w:p w14:paraId="587C43FB">
      <w:pPr>
        <w:adjustRightInd w:val="0"/>
        <w:snapToGrid w:val="0"/>
        <w:spacing w:line="520" w:lineRule="exact"/>
        <w:ind w:firstLine="640" w:firstLineChars="200"/>
        <w:rPr>
          <w:rFonts w:hint="eastAsia" w:ascii="仿宋_GB2312" w:hAnsi="宋体" w:eastAsia="仿宋_GB2312" w:cs="Times New Roman"/>
          <w:sz w:val="32"/>
          <w:szCs w:val="32"/>
          <w:lang w:val="en-US" w:eastAsia="zh-CN"/>
        </w:rPr>
      </w:pPr>
      <w:r>
        <w:rPr>
          <w:rFonts w:hint="eastAsia" w:ascii="仿宋_GB2312" w:hAnsi="宋体" w:eastAsia="仿宋_GB2312" w:cs="Times New Roman"/>
          <w:sz w:val="32"/>
          <w:szCs w:val="32"/>
          <w:lang w:val="en-US" w:eastAsia="zh-CN"/>
        </w:rPr>
        <w:t>根据我局的资金申请，市财政于2023年9月18日下达基金指标106.71万元（广财投[2023]100号），我局于2023年9月支付106.71万专项用于报征土地费用。</w:t>
      </w:r>
    </w:p>
    <w:p w14:paraId="71D52770">
      <w:pPr>
        <w:keepNext w:val="0"/>
        <w:keepLines w:val="0"/>
        <w:pageBreakBefore w:val="0"/>
        <w:widowControl w:val="0"/>
        <w:kinsoku/>
        <w:wordWrap/>
        <w:overflowPunct/>
        <w:topLinePunct w:val="0"/>
        <w:autoSpaceDE/>
        <w:autoSpaceDN/>
        <w:bidi w:val="0"/>
        <w:adjustRightInd w:val="0"/>
        <w:snapToGrid w:val="0"/>
        <w:spacing w:line="576" w:lineRule="exact"/>
        <w:ind w:firstLine="643" w:firstLineChars="200"/>
        <w:textAlignment w:val="auto"/>
        <w:rPr>
          <w:rFonts w:hint="eastAsia" w:ascii="仿宋_GB2312" w:hAnsi="宋体" w:eastAsia="仿宋_GB2312"/>
          <w:sz w:val="32"/>
          <w:szCs w:val="32"/>
          <w:lang w:eastAsia="zh-CN"/>
        </w:rPr>
      </w:pPr>
      <w:r>
        <w:rPr>
          <w:rFonts w:hint="eastAsia" w:ascii="楷体_GB2312" w:hAnsi="宋体" w:eastAsia="楷体_GB2312" w:cs="Times New Roman"/>
          <w:b/>
          <w:color w:val="auto"/>
          <w:sz w:val="32"/>
          <w:szCs w:val="32"/>
          <w:highlight w:val="none"/>
          <w:u w:val="none"/>
          <w:lang w:val="zh-CN" w:eastAsia="zh-CN"/>
        </w:rPr>
        <w:t>（四）项目绩效目标设置。</w:t>
      </w:r>
      <w:r>
        <w:rPr>
          <w:rFonts w:hint="eastAsia" w:ascii="仿宋_GB2312" w:hAnsi="宋体" w:eastAsia="仿宋_GB2312" w:cs="Times New Roman"/>
          <w:sz w:val="32"/>
          <w:szCs w:val="32"/>
        </w:rPr>
        <w:t>绩效目标和绩效指标可量化考核</w:t>
      </w:r>
      <w:r>
        <w:rPr>
          <w:rFonts w:hint="eastAsia" w:ascii="仿宋_GB2312" w:hAnsi="宋体" w:eastAsia="仿宋_GB2312" w:cs="Times New Roman"/>
          <w:sz w:val="32"/>
          <w:szCs w:val="32"/>
          <w:lang w:eastAsia="zh-CN"/>
        </w:rPr>
        <w:t>，与规划部门的长期规划目标、年度工作目标相一致。绩效指标细化、量化，绩效目标和绩效指标契合政策或项目实质，产出和效果相关联。可对满意度指标进行量化预测，绩效目标具有一定的前瞻性和挑战性，绩效目标和绩效指标相匹配，</w:t>
      </w:r>
      <w:r>
        <w:rPr>
          <w:rFonts w:hint="eastAsia" w:ascii="仿宋_GB2312" w:hAnsi="宋体" w:eastAsia="仿宋_GB2312" w:cs="Times New Roman"/>
          <w:sz w:val="32"/>
          <w:szCs w:val="32"/>
        </w:rPr>
        <w:t>全面</w:t>
      </w:r>
      <w:r>
        <w:rPr>
          <w:rFonts w:hint="eastAsia" w:ascii="仿宋_GB2312" w:hAnsi="宋体" w:eastAsia="仿宋_GB2312"/>
          <w:sz w:val="32"/>
          <w:szCs w:val="32"/>
        </w:rPr>
        <w:t>完整，契合项目实质</w:t>
      </w:r>
      <w:r>
        <w:rPr>
          <w:rFonts w:hint="eastAsia" w:ascii="仿宋_GB2312" w:hAnsi="宋体" w:eastAsia="仿宋_GB2312"/>
          <w:sz w:val="32"/>
          <w:szCs w:val="32"/>
          <w:lang w:eastAsia="zh-CN"/>
        </w:rPr>
        <w:t>。</w:t>
      </w:r>
    </w:p>
    <w:p w14:paraId="0F2D90C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黑体" w:hAnsi="宋体" w:eastAsia="黑体" w:cs="Times New Roman"/>
          <w:sz w:val="32"/>
          <w:szCs w:val="32"/>
          <w:highlight w:val="none"/>
          <w:lang w:eastAsia="zh-CN"/>
        </w:rPr>
      </w:pPr>
      <w:r>
        <w:rPr>
          <w:rFonts w:hint="eastAsia" w:ascii="黑体" w:hAnsi="宋体" w:eastAsia="黑体" w:cs="Times New Roman"/>
          <w:sz w:val="32"/>
          <w:szCs w:val="32"/>
          <w:highlight w:val="none"/>
        </w:rPr>
        <w:t>二、</w:t>
      </w:r>
      <w:r>
        <w:rPr>
          <w:rFonts w:hint="eastAsia" w:ascii="黑体" w:hAnsi="宋体" w:eastAsia="黑体" w:cs="Times New Roman"/>
          <w:sz w:val="32"/>
          <w:szCs w:val="32"/>
          <w:highlight w:val="none"/>
          <w:lang w:eastAsia="zh-CN"/>
        </w:rPr>
        <w:t>评价实施</w:t>
      </w:r>
    </w:p>
    <w:p w14:paraId="23A35813">
      <w:pPr>
        <w:keepNext w:val="0"/>
        <w:keepLines w:val="0"/>
        <w:pageBreakBefore w:val="0"/>
        <w:widowControl w:val="0"/>
        <w:kinsoku/>
        <w:wordWrap/>
        <w:overflowPunct/>
        <w:topLinePunct w:val="0"/>
        <w:autoSpaceDE/>
        <w:autoSpaceDN/>
        <w:bidi w:val="0"/>
        <w:spacing w:line="578" w:lineRule="exact"/>
        <w:ind w:firstLine="640"/>
        <w:textAlignment w:val="auto"/>
        <w:outlineLvl w:val="9"/>
        <w:rPr>
          <w:rFonts w:hint="eastAsia" w:ascii="仿宋_GB2312" w:hAnsi="宋体" w:eastAsia="仿宋_GB2312" w:cs="Times New Roman"/>
          <w:sz w:val="32"/>
          <w:szCs w:val="32"/>
        </w:rPr>
      </w:pPr>
      <w:r>
        <w:rPr>
          <w:rFonts w:hint="eastAsia" w:ascii="楷体_GB2312" w:hAnsi="宋体" w:eastAsia="楷体_GB2312"/>
          <w:b/>
          <w:color w:val="auto"/>
          <w:sz w:val="32"/>
          <w:szCs w:val="32"/>
          <w:highlight w:val="none"/>
          <w:u w:val="none"/>
          <w:lang w:val="zh-CN"/>
        </w:rPr>
        <w:t>（一）评价目的。</w:t>
      </w:r>
      <w:r>
        <w:rPr>
          <w:rFonts w:hint="eastAsia" w:ascii="仿宋_GB2312" w:hAnsi="宋体" w:eastAsia="仿宋_GB2312" w:cs="Times New Roman"/>
          <w:sz w:val="32"/>
          <w:szCs w:val="32"/>
          <w:lang w:val="en-US" w:eastAsia="zh-CN"/>
        </w:rPr>
        <w:t>通过绩效评价，一是对项目预算及资金使用方案的合理性和有效性进行优化，去除不合理的预算项目。二是详细掌握资金使用情况，提高预算执行力。三是促进预算管理的公开化透明化</w:t>
      </w:r>
      <w:r>
        <w:rPr>
          <w:rFonts w:hint="eastAsia" w:ascii="仿宋_GB2312" w:hAnsi="宋体" w:eastAsia="仿宋_GB2312" w:cs="Times New Roman"/>
          <w:sz w:val="32"/>
          <w:szCs w:val="32"/>
          <w:lang w:eastAsia="zh-CN"/>
        </w:rPr>
        <w:t>。</w:t>
      </w:r>
    </w:p>
    <w:p w14:paraId="66D73670">
      <w:pPr>
        <w:keepNext w:val="0"/>
        <w:keepLines w:val="0"/>
        <w:pageBreakBefore w:val="0"/>
        <w:widowControl w:val="0"/>
        <w:kinsoku/>
        <w:wordWrap/>
        <w:overflowPunct/>
        <w:topLinePunct w:val="0"/>
        <w:autoSpaceDE/>
        <w:autoSpaceDN/>
        <w:bidi w:val="0"/>
        <w:adjustRightInd w:val="0"/>
        <w:snapToGrid w:val="0"/>
        <w:spacing w:line="578" w:lineRule="exact"/>
        <w:ind w:left="0" w:leftChars="0" w:firstLine="643" w:firstLineChars="200"/>
        <w:textAlignment w:val="auto"/>
        <w:outlineLvl w:val="9"/>
        <w:rPr>
          <w:rFonts w:hint="eastAsia" w:ascii="仿宋_GB2312" w:hAnsi="宋体" w:eastAsia="仿宋_GB2312" w:cs="Times New Roman"/>
          <w:sz w:val="32"/>
          <w:szCs w:val="32"/>
          <w:lang w:val="en-US" w:eastAsia="zh-CN"/>
        </w:rPr>
      </w:pPr>
      <w:r>
        <w:rPr>
          <w:rFonts w:hint="eastAsia" w:ascii="楷体_GB2312" w:hAnsi="宋体" w:eastAsia="楷体_GB2312"/>
          <w:b/>
          <w:color w:val="auto"/>
          <w:sz w:val="32"/>
          <w:szCs w:val="32"/>
          <w:highlight w:val="none"/>
          <w:u w:val="none"/>
          <w:lang w:val="zh-CN"/>
        </w:rPr>
        <w:t>（二）预设问题及评价重点。</w:t>
      </w:r>
      <w:r>
        <w:rPr>
          <w:rFonts w:hint="eastAsia" w:ascii="楷体_GB2312" w:hAnsi="宋体" w:eastAsia="楷体_GB2312"/>
          <w:b w:val="0"/>
          <w:bCs/>
          <w:color w:val="auto"/>
          <w:sz w:val="32"/>
          <w:szCs w:val="32"/>
          <w:highlight w:val="none"/>
          <w:u w:val="none"/>
          <w:lang w:val="en-US" w:eastAsia="zh-CN"/>
        </w:rPr>
        <w:t>按照绩效评价指标体系体系</w:t>
      </w:r>
      <w:r>
        <w:rPr>
          <w:rFonts w:hint="eastAsia" w:ascii="楷体_GB2312" w:hAnsi="宋体" w:eastAsia="楷体_GB2312"/>
          <w:b w:val="0"/>
          <w:bCs/>
          <w:color w:val="auto"/>
          <w:sz w:val="32"/>
          <w:szCs w:val="32"/>
          <w:highlight w:val="none"/>
          <w:u w:val="none"/>
          <w:lang w:val="zh-CN"/>
        </w:rPr>
        <w:t>，</w:t>
      </w:r>
      <w:r>
        <w:rPr>
          <w:rFonts w:hint="eastAsia" w:ascii="仿宋_GB2312" w:hAnsi="宋体" w:eastAsia="仿宋_GB2312" w:cs="Times New Roman"/>
          <w:sz w:val="32"/>
          <w:szCs w:val="32"/>
          <w:lang w:val="en-US" w:eastAsia="zh-CN"/>
        </w:rPr>
        <w:t>该项目</w:t>
      </w:r>
      <w:r>
        <w:rPr>
          <w:rFonts w:hint="eastAsia" w:ascii="仿宋_GB2312" w:hAnsi="宋体" w:eastAsia="仿宋_GB2312" w:cs="Times New Roman"/>
          <w:sz w:val="32"/>
          <w:szCs w:val="32"/>
          <w:lang w:eastAsia="zh-CN"/>
        </w:rPr>
        <w:t>经费使用应符合相关财务法规和政策，</w:t>
      </w:r>
      <w:r>
        <w:rPr>
          <w:rFonts w:hint="eastAsia" w:ascii="仿宋_GB2312" w:hAnsi="宋体" w:eastAsia="仿宋_GB2312" w:cs="Times New Roman"/>
          <w:sz w:val="32"/>
          <w:szCs w:val="32"/>
          <w:lang w:val="en-US" w:eastAsia="zh-CN"/>
        </w:rPr>
        <w:t>按照合同约定和项目进度进行支付，做到专款专用，</w:t>
      </w:r>
      <w:r>
        <w:rPr>
          <w:rFonts w:hint="eastAsia" w:ascii="仿宋_GB2312" w:hAnsi="宋体" w:eastAsia="仿宋_GB2312" w:cs="Times New Roman"/>
          <w:sz w:val="32"/>
          <w:szCs w:val="32"/>
          <w:lang w:eastAsia="zh-CN"/>
        </w:rPr>
        <w:t>确保资金使用的合法合规，避免违规行为发生。</w:t>
      </w:r>
      <w:r>
        <w:rPr>
          <w:rFonts w:hint="eastAsia" w:ascii="仿宋_GB2312" w:hAnsi="宋体" w:eastAsia="仿宋_GB2312" w:cs="Times New Roman"/>
          <w:sz w:val="32"/>
          <w:szCs w:val="32"/>
          <w:lang w:val="en-US" w:eastAsia="zh-CN"/>
        </w:rPr>
        <w:t>完成了2023年第五批次建设用地报征手续，保障建设项目用地的合法性，促进了广元的经济发展。</w:t>
      </w:r>
    </w:p>
    <w:p w14:paraId="179D405E">
      <w:pPr>
        <w:keepNext w:val="0"/>
        <w:keepLines w:val="0"/>
        <w:pageBreakBefore w:val="0"/>
        <w:widowControl w:val="0"/>
        <w:kinsoku/>
        <w:wordWrap/>
        <w:overflowPunct/>
        <w:topLinePunct w:val="0"/>
        <w:autoSpaceDE/>
        <w:autoSpaceDN/>
        <w:bidi w:val="0"/>
        <w:adjustRightInd w:val="0"/>
        <w:snapToGrid w:val="0"/>
        <w:spacing w:line="578" w:lineRule="exact"/>
        <w:ind w:left="0" w:leftChars="0" w:firstLine="420" w:firstLineChars="200"/>
        <w:textAlignment w:val="auto"/>
        <w:outlineLvl w:val="9"/>
        <w:rPr>
          <w:rFonts w:hint="eastAsia" w:cs="Times New Roman"/>
          <w:szCs w:val="32"/>
          <w:lang w:eastAsia="zh-CN"/>
        </w:rPr>
      </w:pPr>
    </w:p>
    <w:p w14:paraId="3E9FA44F">
      <w:pPr>
        <w:keepNext w:val="0"/>
        <w:keepLines w:val="0"/>
        <w:pageBreakBefore w:val="0"/>
        <w:widowControl w:val="0"/>
        <w:kinsoku/>
        <w:wordWrap/>
        <w:overflowPunct/>
        <w:topLinePunct w:val="0"/>
        <w:autoSpaceDE/>
        <w:autoSpaceDN/>
        <w:bidi w:val="0"/>
        <w:adjustRightInd w:val="0"/>
        <w:snapToGrid w:val="0"/>
        <w:spacing w:line="578" w:lineRule="exact"/>
        <w:ind w:left="0" w:leftChars="0" w:firstLine="643" w:firstLineChars="200"/>
        <w:textAlignment w:val="auto"/>
        <w:outlineLvl w:val="9"/>
        <w:rPr>
          <w:rFonts w:hint="default" w:ascii="仿宋_GB2312" w:hAnsi="宋体" w:eastAsia="仿宋_GB2312" w:cs="Times New Roman"/>
          <w:sz w:val="32"/>
          <w:szCs w:val="32"/>
          <w:lang w:val="en-US" w:eastAsia="zh-CN"/>
        </w:rPr>
      </w:pPr>
      <w:r>
        <w:rPr>
          <w:rFonts w:hint="eastAsia" w:ascii="楷体_GB2312" w:hAnsi="宋体" w:eastAsia="楷体_GB2312"/>
          <w:b/>
          <w:color w:val="auto"/>
          <w:sz w:val="32"/>
          <w:szCs w:val="32"/>
          <w:highlight w:val="none"/>
          <w:u w:val="none"/>
          <w:lang w:val="zh-CN"/>
        </w:rPr>
        <w:t>（三）评价选点。</w:t>
      </w:r>
      <w:r>
        <w:rPr>
          <w:rFonts w:hint="eastAsia" w:ascii="仿宋_GB2312" w:hAnsi="宋体" w:eastAsia="仿宋_GB2312" w:cs="Times New Roman"/>
          <w:sz w:val="32"/>
          <w:szCs w:val="32"/>
          <w:lang w:val="en-US" w:eastAsia="zh-CN"/>
        </w:rPr>
        <w:t>是否取得征地批文进行自评。</w:t>
      </w:r>
    </w:p>
    <w:p w14:paraId="2D5A4B6F">
      <w:pPr>
        <w:keepNext w:val="0"/>
        <w:keepLines w:val="0"/>
        <w:pageBreakBefore w:val="0"/>
        <w:widowControl w:val="0"/>
        <w:kinsoku/>
        <w:wordWrap/>
        <w:overflowPunct/>
        <w:topLinePunct w:val="0"/>
        <w:autoSpaceDE/>
        <w:autoSpaceDN/>
        <w:bidi w:val="0"/>
        <w:spacing w:line="578" w:lineRule="exact"/>
        <w:ind w:firstLine="640"/>
        <w:textAlignment w:val="auto"/>
        <w:outlineLvl w:val="9"/>
        <w:rPr>
          <w:rFonts w:hint="eastAsia" w:cs="Times New Roman"/>
          <w:szCs w:val="32"/>
          <w:lang w:val="en-US" w:eastAsia="zh-CN"/>
        </w:rPr>
      </w:pPr>
      <w:r>
        <w:rPr>
          <w:rFonts w:hint="eastAsia" w:ascii="楷体_GB2312" w:hAnsi="宋体" w:eastAsia="楷体_GB2312"/>
          <w:b/>
          <w:color w:val="auto"/>
          <w:sz w:val="32"/>
          <w:szCs w:val="32"/>
          <w:highlight w:val="none"/>
          <w:u w:val="none"/>
          <w:lang w:val="zh-CN"/>
        </w:rPr>
        <w:t>（四）评价方法。</w:t>
      </w:r>
      <w:r>
        <w:rPr>
          <w:rFonts w:hint="eastAsia" w:ascii="仿宋_GB2312" w:hAnsi="仿宋_GB2312" w:eastAsia="仿宋_GB2312" w:cs="仿宋_GB2312"/>
          <w:b w:val="0"/>
          <w:bCs w:val="0"/>
          <w:color w:val="auto"/>
          <w:kern w:val="0"/>
          <w:sz w:val="32"/>
          <w:szCs w:val="32"/>
          <w:highlight w:val="none"/>
          <w:u w:val="none"/>
          <w:shd w:val="clear" w:color="auto" w:fill="FFFFFF"/>
          <w:lang w:val="zh-CN"/>
        </w:rPr>
        <w:t>采用单位自评法</w:t>
      </w:r>
      <w:r>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t>.</w:t>
      </w:r>
    </w:p>
    <w:p w14:paraId="6645CBBC">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3" w:firstLineChars="200"/>
        <w:contextualSpacing/>
        <w:jc w:val="both"/>
        <w:textAlignment w:val="auto"/>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pPr>
      <w:r>
        <w:rPr>
          <w:rFonts w:hint="eastAsia" w:ascii="楷体_GB2312" w:hAnsi="宋体" w:eastAsia="楷体_GB2312"/>
          <w:b/>
          <w:color w:val="auto"/>
          <w:sz w:val="32"/>
          <w:szCs w:val="32"/>
          <w:highlight w:val="none"/>
          <w:u w:val="none"/>
          <w:lang w:val="zh-CN"/>
        </w:rPr>
        <w:t>（五）评价组织。</w:t>
      </w:r>
      <w:r>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t>按照财政资金“谁使用，谁自评”的原则，我单位在收到</w:t>
      </w:r>
      <w:r>
        <w:rPr>
          <w:rFonts w:hint="eastAsia" w:ascii="仿宋_GB2312" w:hAnsi="仿宋_GB2312" w:eastAsia="仿宋_GB2312" w:cs="仿宋_GB2312"/>
          <w:b w:val="0"/>
          <w:bCs w:val="0"/>
          <w:color w:val="auto"/>
          <w:kern w:val="0"/>
          <w:sz w:val="32"/>
          <w:szCs w:val="32"/>
          <w:highlight w:val="none"/>
          <w:u w:val="none"/>
          <w:shd w:val="clear" w:color="auto" w:fill="FFFFFF"/>
          <w:lang w:val="zh-CN"/>
        </w:rPr>
        <w:t>自评工作通知后，立即</w:t>
      </w:r>
      <w:r>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t>落实专人负责</w:t>
      </w:r>
      <w:r>
        <w:rPr>
          <w:rFonts w:hint="eastAsia" w:ascii="仿宋_GB2312" w:hAnsi="仿宋_GB2312" w:eastAsia="仿宋_GB2312" w:cs="仿宋_GB2312"/>
          <w:b w:val="0"/>
          <w:bCs w:val="0"/>
          <w:color w:val="auto"/>
          <w:kern w:val="0"/>
          <w:sz w:val="32"/>
          <w:szCs w:val="32"/>
          <w:highlight w:val="none"/>
          <w:u w:val="none"/>
          <w:shd w:val="clear" w:color="auto" w:fill="FFFFFF"/>
          <w:lang w:val="zh-CN"/>
        </w:rPr>
        <w:t>，及时</w:t>
      </w:r>
      <w:r>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t>与相关业务科实协调对接</w:t>
      </w:r>
      <w:r>
        <w:rPr>
          <w:rFonts w:hint="eastAsia" w:ascii="仿宋_GB2312" w:hAnsi="仿宋_GB2312" w:eastAsia="仿宋_GB2312" w:cs="仿宋_GB2312"/>
          <w:b w:val="0"/>
          <w:bCs w:val="0"/>
          <w:color w:val="auto"/>
          <w:kern w:val="0"/>
          <w:sz w:val="32"/>
          <w:szCs w:val="32"/>
          <w:highlight w:val="none"/>
          <w:u w:val="none"/>
          <w:shd w:val="clear" w:color="auto" w:fill="FFFFFF"/>
          <w:lang w:val="zh-CN"/>
        </w:rPr>
        <w:t>，对项目概况、评价实施、绩效分析、评价结论、存在主要问题、改进建议等进行综合自评，形成自评结果。</w:t>
      </w:r>
    </w:p>
    <w:p w14:paraId="250A789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黑体" w:hAnsi="宋体" w:eastAsia="黑体" w:cs="Times New Roman"/>
          <w:sz w:val="32"/>
          <w:szCs w:val="32"/>
          <w:highlight w:val="none"/>
          <w:lang w:val="en-US" w:eastAsia="zh-CN"/>
        </w:rPr>
      </w:pPr>
      <w:r>
        <w:rPr>
          <w:rFonts w:hint="eastAsia" w:ascii="黑体" w:hAnsi="宋体" w:eastAsia="黑体" w:cs="Times New Roman"/>
          <w:sz w:val="32"/>
          <w:szCs w:val="32"/>
          <w:highlight w:val="none"/>
        </w:rPr>
        <w:t>三、</w:t>
      </w:r>
      <w:r>
        <w:rPr>
          <w:rFonts w:hint="eastAsia" w:ascii="黑体" w:hAnsi="宋体" w:eastAsia="黑体" w:cs="Times New Roman"/>
          <w:sz w:val="32"/>
          <w:szCs w:val="32"/>
          <w:highlight w:val="none"/>
          <w:lang w:eastAsia="zh-CN"/>
        </w:rPr>
        <w:t>绩效分析</w:t>
      </w:r>
      <w:r>
        <w:rPr>
          <w:rFonts w:hint="eastAsia" w:ascii="黑体" w:hAnsi="宋体" w:eastAsia="黑体" w:cs="Times New Roman"/>
          <w:sz w:val="32"/>
          <w:szCs w:val="32"/>
          <w:highlight w:val="none"/>
          <w:lang w:val="zh-CN"/>
        </w:rPr>
        <w:tab/>
      </w:r>
    </w:p>
    <w:p w14:paraId="5CD94845">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楷体_GB2312" w:hAnsi="宋体" w:eastAsia="楷体_GB2312" w:cs="Times New Roman"/>
          <w:b/>
          <w:color w:val="auto"/>
          <w:sz w:val="32"/>
          <w:szCs w:val="32"/>
          <w:highlight w:val="none"/>
          <w:u w:val="none"/>
          <w:lang w:val="en-US" w:eastAsia="zh-CN"/>
        </w:rPr>
      </w:pPr>
      <w:r>
        <w:rPr>
          <w:rFonts w:hint="eastAsia" w:ascii="楷体_GB2312" w:hAnsi="宋体" w:eastAsia="楷体_GB2312" w:cs="Times New Roman"/>
          <w:b/>
          <w:color w:val="auto"/>
          <w:sz w:val="32"/>
          <w:szCs w:val="32"/>
          <w:highlight w:val="none"/>
          <w:u w:val="none"/>
          <w:lang w:val="zh-CN"/>
        </w:rPr>
        <w:t>（一）</w:t>
      </w:r>
      <w:r>
        <w:rPr>
          <w:rFonts w:hint="eastAsia" w:ascii="楷体_GB2312" w:hAnsi="宋体" w:eastAsia="楷体_GB2312" w:cs="Times New Roman"/>
          <w:b/>
          <w:color w:val="auto"/>
          <w:sz w:val="32"/>
          <w:szCs w:val="32"/>
          <w:highlight w:val="none"/>
          <w:u w:val="none"/>
          <w:lang w:val="en-US" w:eastAsia="zh-CN"/>
        </w:rPr>
        <w:t>通用指标</w:t>
      </w:r>
      <w:r>
        <w:rPr>
          <w:rFonts w:hint="default" w:ascii="楷体_GB2312" w:hAnsi="宋体" w:eastAsia="楷体_GB2312" w:cs="Times New Roman"/>
          <w:b/>
          <w:color w:val="auto"/>
          <w:sz w:val="32"/>
          <w:szCs w:val="32"/>
          <w:highlight w:val="none"/>
          <w:u w:val="none"/>
          <w:lang w:val="zh-CN"/>
        </w:rPr>
        <w:t>绩效分析。</w:t>
      </w:r>
    </w:p>
    <w:p w14:paraId="71850EE7">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both"/>
        <w:textAlignment w:val="auto"/>
        <w:rPr>
          <w:rFonts w:hint="eastAsia" w:ascii="仿宋_GB2312" w:hAnsi="仿宋_GB2312" w:eastAsia="仿宋_GB2312" w:cs="仿宋_GB2312"/>
          <w:b w:val="0"/>
          <w:bCs w:val="0"/>
          <w:color w:val="auto"/>
          <w:kern w:val="0"/>
          <w:sz w:val="32"/>
          <w:szCs w:val="32"/>
          <w:highlight w:val="none"/>
          <w:u w:val="none"/>
          <w:shd w:val="clear" w:color="auto" w:fill="FFFFFF"/>
          <w:lang w:val="zh-CN"/>
        </w:rPr>
      </w:pPr>
      <w:r>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t>1.</w:t>
      </w:r>
      <w:r>
        <w:rPr>
          <w:rFonts w:hint="eastAsia" w:ascii="仿宋_GB2312" w:hAnsi="仿宋_GB2312" w:eastAsia="仿宋_GB2312" w:cs="仿宋_GB2312"/>
          <w:b w:val="0"/>
          <w:bCs w:val="0"/>
          <w:color w:val="auto"/>
          <w:kern w:val="0"/>
          <w:sz w:val="32"/>
          <w:szCs w:val="32"/>
          <w:highlight w:val="none"/>
          <w:u w:val="none"/>
          <w:shd w:val="clear" w:color="auto" w:fill="FFFFFF"/>
          <w:lang w:val="zh-CN" w:eastAsia="zh-CN"/>
        </w:rPr>
        <w:t>项目决策。</w:t>
      </w:r>
      <w:r>
        <w:rPr>
          <w:rFonts w:hint="eastAsia" w:ascii="仿宋_GB2312" w:hAnsi="仿宋_GB2312" w:eastAsia="仿宋_GB2312" w:cs="仿宋_GB2312"/>
          <w:b w:val="0"/>
          <w:bCs w:val="0"/>
          <w:color w:val="auto"/>
          <w:kern w:val="0"/>
          <w:sz w:val="32"/>
          <w:szCs w:val="32"/>
          <w:highlight w:val="none"/>
          <w:u w:val="none"/>
          <w:shd w:val="clear" w:color="auto" w:fill="FFFFFF"/>
          <w:lang w:val="zh-CN"/>
        </w:rPr>
        <w:t>一是贯彻落实中央关于自然资源工作的方针政策和省委、市委决策部署，并按照单位的职能职责，资金预算合规、科学、合理的同时，把预算、绩效和自然资源改革发展工作深度融合。二是履行预算绩效设立审核程序，经集体研究决策后纳入预算。三是细化量化项目绩效目标，编制预算时对科室申报的预算项目进行全面梳理，严把审核关，所有项目必须有明细的资金测算，对审核后的所有项目全部进行入库管理。</w:t>
      </w:r>
    </w:p>
    <w:p w14:paraId="0A5EAB33">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both"/>
        <w:textAlignment w:val="auto"/>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pPr>
      <w:r>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t>2.</w:t>
      </w:r>
      <w:r>
        <w:rPr>
          <w:rFonts w:hint="eastAsia" w:ascii="仿宋_GB2312" w:hAnsi="仿宋_GB2312" w:eastAsia="仿宋_GB2312" w:cs="仿宋_GB2312"/>
          <w:b w:val="0"/>
          <w:bCs w:val="0"/>
          <w:color w:val="auto"/>
          <w:kern w:val="0"/>
          <w:sz w:val="32"/>
          <w:szCs w:val="32"/>
          <w:highlight w:val="none"/>
          <w:u w:val="none"/>
          <w:shd w:val="clear" w:color="auto" w:fill="FFFFFF"/>
          <w:lang w:val="zh-CN" w:eastAsia="zh-CN"/>
        </w:rPr>
        <w:t>项目管理。</w:t>
      </w:r>
      <w:r>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t>一是</w:t>
      </w:r>
      <w:r>
        <w:rPr>
          <w:rFonts w:hint="eastAsia" w:ascii="仿宋_GB2312" w:hAnsi="仿宋_GB2312" w:eastAsia="仿宋_GB2312" w:cs="仿宋_GB2312"/>
          <w:b w:val="0"/>
          <w:bCs w:val="0"/>
          <w:color w:val="auto"/>
          <w:kern w:val="0"/>
          <w:sz w:val="32"/>
          <w:szCs w:val="32"/>
          <w:highlight w:val="none"/>
          <w:u w:val="none"/>
          <w:shd w:val="clear" w:color="auto" w:fill="FFFFFF"/>
          <w:lang w:val="zh-CN"/>
        </w:rPr>
        <w:t>履行</w:t>
      </w:r>
      <w:r>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t>项目</w:t>
      </w:r>
      <w:r>
        <w:rPr>
          <w:rFonts w:hint="eastAsia" w:ascii="仿宋_GB2312" w:hAnsi="仿宋_GB2312" w:eastAsia="仿宋_GB2312" w:cs="仿宋_GB2312"/>
          <w:b w:val="0"/>
          <w:bCs w:val="0"/>
          <w:color w:val="auto"/>
          <w:kern w:val="0"/>
          <w:sz w:val="32"/>
          <w:szCs w:val="32"/>
          <w:highlight w:val="none"/>
          <w:u w:val="none"/>
          <w:shd w:val="clear" w:color="auto" w:fill="FFFFFF"/>
          <w:lang w:val="zh-CN"/>
        </w:rPr>
        <w:t>预算绩效设立审核程序，经集体研究决策后纳入</w:t>
      </w:r>
      <w:r>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t>基建</w:t>
      </w:r>
      <w:r>
        <w:rPr>
          <w:rFonts w:hint="eastAsia" w:ascii="仿宋_GB2312" w:hAnsi="仿宋_GB2312" w:eastAsia="仿宋_GB2312" w:cs="仿宋_GB2312"/>
          <w:b w:val="0"/>
          <w:bCs w:val="0"/>
          <w:color w:val="auto"/>
          <w:kern w:val="0"/>
          <w:sz w:val="32"/>
          <w:szCs w:val="32"/>
          <w:highlight w:val="none"/>
          <w:u w:val="none"/>
          <w:shd w:val="clear" w:color="auto" w:fill="FFFFFF"/>
          <w:lang w:val="zh-CN"/>
        </w:rPr>
        <w:t>预算。</w:t>
      </w:r>
      <w:r>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t>二</w:t>
      </w:r>
      <w:r>
        <w:rPr>
          <w:rFonts w:hint="eastAsia" w:ascii="仿宋_GB2312" w:hAnsi="仿宋_GB2312" w:eastAsia="仿宋_GB2312" w:cs="仿宋_GB2312"/>
          <w:b w:val="0"/>
          <w:bCs w:val="0"/>
          <w:color w:val="auto"/>
          <w:kern w:val="0"/>
          <w:sz w:val="32"/>
          <w:szCs w:val="32"/>
          <w:highlight w:val="none"/>
          <w:u w:val="none"/>
          <w:shd w:val="clear" w:color="auto" w:fill="FFFFFF"/>
          <w:lang w:val="zh-CN"/>
        </w:rPr>
        <w:t>是细化量化项目绩效目标，编制预算时对科室申报的预算项目进行全面梳理，严把审核关，所有项目必须有明细的资金测算，对审核后进行入库管理。</w:t>
      </w:r>
      <w:r>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t>财政下达资金后，我局严格按照《预算法》《项目资金管理办法》及时支付，确保项目按时按质完成。</w:t>
      </w:r>
    </w:p>
    <w:p w14:paraId="054C503D">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both"/>
        <w:textAlignment w:val="auto"/>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pPr>
      <w:r>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t>3.项目实施。市财政于2023年9月18日下达基金指标106.71万元（广财投[2023]100号），我局于2023年9月支付106.71万专项用于报征土地费用。</w:t>
      </w:r>
    </w:p>
    <w:p w14:paraId="23917B93">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both"/>
        <w:textAlignment w:val="auto"/>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pPr>
      <w:r>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t>4.项目结果。完成了2023年第五批次建设用地报征手续，保障建设项目用地的合法性，促进了广元的经济发展。</w:t>
      </w:r>
    </w:p>
    <w:p w14:paraId="474A2E80">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楷体_GB2312" w:hAnsi="宋体" w:eastAsia="楷体_GB2312" w:cs="Times New Roman"/>
          <w:b/>
          <w:color w:val="auto"/>
          <w:sz w:val="32"/>
          <w:szCs w:val="32"/>
          <w:highlight w:val="none"/>
          <w:u w:val="none"/>
          <w:lang w:val="zh-CN" w:eastAsia="zh-CN"/>
        </w:rPr>
      </w:pPr>
      <w:r>
        <w:rPr>
          <w:rFonts w:hint="eastAsia" w:ascii="楷体_GB2312" w:hAnsi="宋体" w:eastAsia="楷体_GB2312" w:cs="Times New Roman"/>
          <w:b/>
          <w:color w:val="auto"/>
          <w:sz w:val="32"/>
          <w:szCs w:val="32"/>
          <w:highlight w:val="none"/>
          <w:u w:val="none"/>
          <w:lang w:val="zh-CN"/>
        </w:rPr>
        <w:t>（二）</w:t>
      </w:r>
      <w:r>
        <w:rPr>
          <w:rFonts w:hint="eastAsia" w:ascii="楷体_GB2312" w:hAnsi="宋体" w:eastAsia="楷体_GB2312" w:cs="Times New Roman"/>
          <w:b/>
          <w:color w:val="auto"/>
          <w:sz w:val="32"/>
          <w:szCs w:val="32"/>
          <w:highlight w:val="none"/>
          <w:u w:val="none"/>
          <w:lang w:val="en-US" w:eastAsia="zh-CN"/>
        </w:rPr>
        <w:t>专用指标</w:t>
      </w:r>
      <w:r>
        <w:rPr>
          <w:rFonts w:hint="default" w:ascii="楷体_GB2312" w:hAnsi="宋体" w:eastAsia="楷体_GB2312" w:cs="Times New Roman"/>
          <w:b/>
          <w:color w:val="auto"/>
          <w:sz w:val="32"/>
          <w:szCs w:val="32"/>
          <w:highlight w:val="none"/>
          <w:u w:val="none"/>
          <w:lang w:val="zh-CN"/>
        </w:rPr>
        <w:t>绩效分析</w:t>
      </w:r>
      <w:r>
        <w:rPr>
          <w:rFonts w:hint="eastAsia" w:ascii="楷体_GB2312" w:hAnsi="宋体" w:eastAsia="楷体_GB2312" w:cs="Times New Roman"/>
          <w:b/>
          <w:color w:val="auto"/>
          <w:sz w:val="32"/>
          <w:szCs w:val="32"/>
          <w:highlight w:val="none"/>
          <w:u w:val="none"/>
          <w:lang w:val="zh-CN" w:eastAsia="zh-CN"/>
        </w:rPr>
        <w:t>。</w:t>
      </w:r>
    </w:p>
    <w:p w14:paraId="6AD6FBAC">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both"/>
        <w:textAlignment w:val="auto"/>
        <w:rPr>
          <w:rFonts w:hint="default" w:ascii="仿宋_GB2312" w:hAnsi="仿宋_GB2312" w:eastAsia="仿宋_GB2312" w:cs="仿宋_GB2312"/>
          <w:b w:val="0"/>
          <w:bCs w:val="0"/>
          <w:color w:val="auto"/>
          <w:kern w:val="0"/>
          <w:sz w:val="32"/>
          <w:szCs w:val="32"/>
          <w:highlight w:val="none"/>
          <w:u w:val="none"/>
          <w:shd w:val="clear" w:color="auto" w:fill="FFFFFF"/>
          <w:lang w:val="en-US" w:eastAsia="zh-CN"/>
        </w:rPr>
      </w:pPr>
      <w:r>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t>1.产业发展。该项目是市委市政府支持重点项目。</w:t>
      </w:r>
      <w:r>
        <w:rPr>
          <w:rFonts w:hint="eastAsia" w:ascii="仿宋_GB2312" w:hAnsi="仿宋_GB2312" w:eastAsia="仿宋_GB2312" w:cs="仿宋_GB2312"/>
          <w:b w:val="0"/>
          <w:bCs w:val="0"/>
          <w:color w:val="auto"/>
          <w:kern w:val="0"/>
          <w:sz w:val="32"/>
          <w:szCs w:val="32"/>
          <w:highlight w:val="none"/>
          <w:u w:val="none"/>
          <w:shd w:val="clear" w:color="auto" w:fill="FFFFFF"/>
          <w:lang w:val="zh-CN"/>
        </w:rPr>
        <w:t>大稻坝限价商品房、城北片区限价商品房、雪峰小学周边用地等项目，是市政府要求尽快纳入广元市利州区2023年第5批次建设用地上报省政府审批的市级重点项目</w:t>
      </w:r>
      <w:r>
        <w:rPr>
          <w:rFonts w:hint="eastAsia" w:ascii="仿宋_GB2312" w:hAnsi="仿宋_GB2312" w:eastAsia="仿宋_GB2312" w:cs="仿宋_GB2312"/>
          <w:b w:val="0"/>
          <w:bCs w:val="0"/>
          <w:color w:val="auto"/>
          <w:kern w:val="0"/>
          <w:sz w:val="32"/>
          <w:szCs w:val="32"/>
          <w:highlight w:val="none"/>
          <w:u w:val="none"/>
          <w:shd w:val="clear" w:color="auto" w:fill="FFFFFF"/>
          <w:lang w:val="zh-CN" w:eastAsia="zh-CN"/>
        </w:rPr>
        <w:t>，</w:t>
      </w:r>
      <w:r>
        <w:rPr>
          <w:rFonts w:hint="eastAsia" w:ascii="仿宋_GB2312" w:hAnsi="仿宋_GB2312" w:eastAsia="仿宋_GB2312" w:cs="仿宋_GB2312"/>
          <w:b w:val="0"/>
          <w:bCs w:val="0"/>
          <w:color w:val="auto"/>
          <w:kern w:val="0"/>
          <w:sz w:val="32"/>
          <w:szCs w:val="32"/>
          <w:highlight w:val="none"/>
          <w:u w:val="none"/>
          <w:shd w:val="clear" w:color="auto" w:fill="FFFFFF"/>
          <w:lang w:val="zh-CN"/>
        </w:rPr>
        <w:t>确保项目建设用地的合法性</w:t>
      </w:r>
      <w:r>
        <w:rPr>
          <w:rFonts w:hint="eastAsia" w:ascii="仿宋_GB2312" w:hAnsi="仿宋_GB2312" w:eastAsia="仿宋_GB2312" w:cs="仿宋_GB2312"/>
          <w:b w:val="0"/>
          <w:bCs w:val="0"/>
          <w:color w:val="auto"/>
          <w:kern w:val="0"/>
          <w:sz w:val="32"/>
          <w:szCs w:val="32"/>
          <w:highlight w:val="none"/>
          <w:u w:val="none"/>
          <w:shd w:val="clear" w:color="auto" w:fill="FFFFFF"/>
          <w:lang w:val="zh-CN" w:eastAsia="zh-CN"/>
        </w:rPr>
        <w:t>，</w:t>
      </w:r>
      <w:r>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t>增加政府收益，促进我市的经济发展。</w:t>
      </w:r>
    </w:p>
    <w:p w14:paraId="0E28549A">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both"/>
        <w:textAlignment w:val="auto"/>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pPr>
      <w:r>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t>2.</w:t>
      </w:r>
      <w:r>
        <w:rPr>
          <w:rFonts w:hint="eastAsia" w:ascii="仿宋_GB2312" w:hAnsi="仿宋_GB2312" w:eastAsia="仿宋_GB2312" w:cs="仿宋_GB2312"/>
          <w:b w:val="0"/>
          <w:bCs w:val="0"/>
          <w:color w:val="auto"/>
          <w:kern w:val="0"/>
          <w:sz w:val="32"/>
          <w:szCs w:val="32"/>
          <w:highlight w:val="none"/>
          <w:u w:val="none"/>
          <w:shd w:val="clear" w:color="auto" w:fill="FFFFFF"/>
          <w:lang w:val="zh-CN" w:eastAsia="zh-CN"/>
        </w:rPr>
        <w:t>行政运转。</w:t>
      </w:r>
      <w:r>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t>本</w:t>
      </w:r>
      <w:r>
        <w:rPr>
          <w:rFonts w:hint="eastAsia" w:ascii="仿宋_GB2312" w:hAnsi="仿宋_GB2312" w:eastAsia="仿宋_GB2312" w:cs="仿宋_GB2312"/>
          <w:b w:val="0"/>
          <w:bCs w:val="0"/>
          <w:color w:val="auto"/>
          <w:kern w:val="0"/>
          <w:sz w:val="32"/>
          <w:szCs w:val="32"/>
          <w:highlight w:val="none"/>
          <w:u w:val="none"/>
          <w:shd w:val="clear" w:color="auto" w:fill="FFFFFF"/>
          <w:lang w:val="zh-CN"/>
        </w:rPr>
        <w:t>单位财务管理制度健全，严格执行财务管理制度，账务处理及时，会计核算规范。</w:t>
      </w:r>
    </w:p>
    <w:p w14:paraId="23C022E7">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default" w:ascii="楷体_GB2312" w:hAnsi="宋体" w:eastAsia="楷体_GB2312" w:cs="Times New Roman"/>
          <w:b/>
          <w:color w:val="auto"/>
          <w:sz w:val="32"/>
          <w:szCs w:val="32"/>
          <w:highlight w:val="none"/>
          <w:u w:val="none"/>
          <w:lang w:val="zh-CN"/>
        </w:rPr>
      </w:pPr>
      <w:r>
        <w:rPr>
          <w:rFonts w:hint="eastAsia" w:ascii="楷体_GB2312" w:hAnsi="宋体" w:eastAsia="楷体_GB2312" w:cs="Times New Roman"/>
          <w:b/>
          <w:color w:val="auto"/>
          <w:sz w:val="32"/>
          <w:szCs w:val="32"/>
          <w:highlight w:val="none"/>
          <w:u w:val="none"/>
          <w:lang w:val="zh-CN"/>
        </w:rPr>
        <w:t>（三）</w:t>
      </w:r>
      <w:r>
        <w:rPr>
          <w:rFonts w:hint="eastAsia" w:ascii="楷体_GB2312" w:hAnsi="宋体" w:eastAsia="楷体_GB2312" w:cs="Times New Roman"/>
          <w:b/>
          <w:color w:val="auto"/>
          <w:sz w:val="32"/>
          <w:szCs w:val="32"/>
          <w:highlight w:val="none"/>
          <w:u w:val="none"/>
          <w:lang w:val="en-US" w:eastAsia="zh-CN"/>
        </w:rPr>
        <w:t>个性指标</w:t>
      </w:r>
      <w:r>
        <w:rPr>
          <w:rFonts w:hint="default" w:ascii="楷体_GB2312" w:hAnsi="宋体" w:eastAsia="楷体_GB2312" w:cs="Times New Roman"/>
          <w:b/>
          <w:color w:val="auto"/>
          <w:sz w:val="32"/>
          <w:szCs w:val="32"/>
          <w:highlight w:val="none"/>
          <w:u w:val="none"/>
          <w:lang w:val="zh-CN"/>
        </w:rPr>
        <w:t>绩效分析。</w:t>
      </w:r>
    </w:p>
    <w:p w14:paraId="66088755">
      <w:pPr>
        <w:pStyle w:val="7"/>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bidi="ar-SA"/>
        </w:rPr>
      </w:pPr>
      <w:r>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bidi="ar-SA"/>
        </w:rPr>
        <w:t>完成报批土地面积27.9658公顷，完成了2023年第五批次建设用地报征手续，保障建设项目用地的合法性，促进了广元的经济发展。</w:t>
      </w:r>
    </w:p>
    <w:p w14:paraId="28FB811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黑体" w:hAnsi="宋体" w:eastAsia="黑体" w:cs="Times New Roman"/>
          <w:sz w:val="32"/>
          <w:szCs w:val="32"/>
          <w:highlight w:val="none"/>
        </w:rPr>
      </w:pPr>
      <w:r>
        <w:rPr>
          <w:rFonts w:hint="eastAsia" w:ascii="黑体" w:hAnsi="宋体" w:eastAsia="黑体" w:cs="Times New Roman"/>
          <w:sz w:val="32"/>
          <w:szCs w:val="32"/>
          <w:highlight w:val="none"/>
          <w:lang w:eastAsia="zh-CN"/>
        </w:rPr>
        <w:t>四</w:t>
      </w:r>
      <w:r>
        <w:rPr>
          <w:rFonts w:hint="eastAsia" w:ascii="黑体" w:hAnsi="宋体" w:eastAsia="黑体" w:cs="Times New Roman"/>
          <w:sz w:val="32"/>
          <w:szCs w:val="32"/>
          <w:highlight w:val="none"/>
        </w:rPr>
        <w:t>、评价结论</w:t>
      </w:r>
    </w:p>
    <w:p w14:paraId="49929FCD">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both"/>
        <w:textAlignment w:val="auto"/>
        <w:rPr>
          <w:rFonts w:hint="eastAsia" w:ascii="仿宋_GB2312" w:hAnsi="仿宋_GB2312" w:eastAsia="仿宋_GB2312" w:cs="仿宋_GB2312"/>
          <w:b w:val="0"/>
          <w:bCs w:val="0"/>
          <w:color w:val="auto"/>
          <w:kern w:val="0"/>
          <w:sz w:val="32"/>
          <w:szCs w:val="32"/>
          <w:highlight w:val="none"/>
          <w:u w:val="none"/>
          <w:shd w:val="clear" w:color="auto" w:fill="FFFFFF"/>
          <w:lang w:val="zh-CN"/>
        </w:rPr>
      </w:pPr>
      <w:r>
        <w:rPr>
          <w:rFonts w:hint="eastAsia" w:ascii="仿宋_GB2312" w:hAnsi="仿宋_GB2312" w:eastAsia="仿宋_GB2312" w:cs="仿宋_GB2312"/>
          <w:b w:val="0"/>
          <w:bCs w:val="0"/>
          <w:color w:val="auto"/>
          <w:kern w:val="0"/>
          <w:sz w:val="32"/>
          <w:szCs w:val="32"/>
          <w:highlight w:val="none"/>
          <w:u w:val="none"/>
          <w:shd w:val="clear" w:color="auto" w:fill="FFFFFF"/>
          <w:lang w:val="zh-CN"/>
        </w:rPr>
        <w:t>按照《</w:t>
      </w:r>
      <w:r>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t>专项预算项目</w:t>
      </w:r>
      <w:r>
        <w:rPr>
          <w:rFonts w:hint="eastAsia" w:ascii="仿宋_GB2312" w:hAnsi="仿宋_GB2312" w:eastAsia="仿宋_GB2312" w:cs="仿宋_GB2312"/>
          <w:b w:val="0"/>
          <w:bCs w:val="0"/>
          <w:color w:val="auto"/>
          <w:kern w:val="0"/>
          <w:sz w:val="32"/>
          <w:szCs w:val="32"/>
          <w:highlight w:val="none"/>
          <w:u w:val="none"/>
          <w:shd w:val="clear" w:color="auto" w:fill="FFFFFF"/>
          <w:lang w:val="zh-CN"/>
        </w:rPr>
        <w:t>绩效评价指标体系》，自评得分</w:t>
      </w:r>
      <w:r>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t>100</w:t>
      </w:r>
      <w:r>
        <w:rPr>
          <w:rFonts w:hint="eastAsia" w:ascii="仿宋_GB2312" w:hAnsi="仿宋_GB2312" w:eastAsia="仿宋_GB2312" w:cs="仿宋_GB2312"/>
          <w:b w:val="0"/>
          <w:bCs w:val="0"/>
          <w:color w:val="auto"/>
          <w:kern w:val="0"/>
          <w:sz w:val="32"/>
          <w:szCs w:val="32"/>
          <w:highlight w:val="none"/>
          <w:u w:val="none"/>
          <w:shd w:val="clear" w:color="auto" w:fill="FFFFFF"/>
          <w:lang w:val="zh-CN"/>
        </w:rPr>
        <w:t>分。</w:t>
      </w:r>
      <w:r>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t>我</w:t>
      </w:r>
      <w:r>
        <w:rPr>
          <w:rFonts w:hint="eastAsia" w:ascii="仿宋_GB2312" w:hAnsi="仿宋_GB2312" w:eastAsia="仿宋_GB2312" w:cs="仿宋_GB2312"/>
          <w:b w:val="0"/>
          <w:bCs w:val="0"/>
          <w:color w:val="auto"/>
          <w:kern w:val="0"/>
          <w:sz w:val="32"/>
          <w:szCs w:val="32"/>
          <w:highlight w:val="none"/>
          <w:u w:val="none"/>
          <w:shd w:val="clear" w:color="auto" w:fill="FFFFFF"/>
          <w:lang w:val="zh-CN"/>
        </w:rPr>
        <w:t>局严格执行财经纪律、法规和各项规章制度，加强财务管理，规范会计核算，资金高效运行。项目决策科学，依据充分，项目管理规范；绩效执行进度达到预期；项目完成效果好，实施后达到了预期目的。</w:t>
      </w:r>
    </w:p>
    <w:p w14:paraId="72CF84F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黑体" w:hAnsi="宋体" w:eastAsia="黑体" w:cs="Times New Roman"/>
          <w:sz w:val="32"/>
          <w:szCs w:val="32"/>
          <w:highlight w:val="none"/>
          <w:lang w:eastAsia="zh-CN"/>
        </w:rPr>
      </w:pPr>
      <w:r>
        <w:rPr>
          <w:rFonts w:hint="eastAsia" w:ascii="黑体" w:hAnsi="宋体" w:eastAsia="黑体" w:cs="Times New Roman"/>
          <w:sz w:val="32"/>
          <w:szCs w:val="32"/>
          <w:highlight w:val="none"/>
          <w:lang w:eastAsia="zh-CN"/>
        </w:rPr>
        <w:t>五、存在主要问题</w:t>
      </w:r>
    </w:p>
    <w:p w14:paraId="42A02F3D">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both"/>
        <w:textAlignment w:val="auto"/>
        <w:rPr>
          <w:rFonts w:hint="eastAsia" w:ascii="仿宋_GB2312" w:hAnsi="仿宋_GB2312" w:cs="仿宋_GB2312"/>
          <w:color w:val="auto"/>
          <w:kern w:val="0"/>
          <w:sz w:val="32"/>
          <w:szCs w:val="32"/>
          <w:highlight w:val="none"/>
          <w:u w:val="none"/>
          <w:shd w:val="clear" w:color="auto" w:fill="FFFFFF"/>
          <w:lang w:val="zh-CN" w:eastAsia="zh-CN"/>
        </w:rPr>
      </w:pPr>
      <w:r>
        <w:rPr>
          <w:rFonts w:hint="eastAsia" w:ascii="仿宋_GB2312" w:hAnsi="仿宋_GB2312" w:eastAsia="仿宋_GB2312" w:cs="仿宋_GB2312"/>
          <w:color w:val="auto"/>
          <w:kern w:val="0"/>
          <w:sz w:val="32"/>
          <w:szCs w:val="32"/>
          <w:highlight w:val="none"/>
          <w:u w:val="none"/>
          <w:shd w:val="clear" w:color="auto" w:fill="FFFFFF"/>
          <w:lang w:val="zh-CN" w:eastAsia="zh-CN"/>
        </w:rPr>
        <w:t xml:space="preserve"> </w:t>
      </w:r>
      <w:r>
        <w:rPr>
          <w:rFonts w:hint="eastAsia" w:ascii="仿宋_GB2312" w:hAnsi="仿宋_GB2312" w:cs="仿宋_GB2312"/>
          <w:color w:val="auto"/>
          <w:kern w:val="0"/>
          <w:sz w:val="32"/>
          <w:szCs w:val="32"/>
          <w:highlight w:val="none"/>
          <w:u w:val="none"/>
          <w:shd w:val="clear" w:color="auto" w:fill="FFFFFF"/>
          <w:lang w:val="en-US" w:eastAsia="zh-CN"/>
        </w:rPr>
        <w:t>无</w:t>
      </w:r>
      <w:r>
        <w:rPr>
          <w:rFonts w:hint="eastAsia" w:ascii="仿宋_GB2312" w:hAnsi="仿宋_GB2312" w:cs="仿宋_GB2312"/>
          <w:color w:val="auto"/>
          <w:kern w:val="0"/>
          <w:sz w:val="32"/>
          <w:szCs w:val="32"/>
          <w:highlight w:val="none"/>
          <w:u w:val="none"/>
          <w:shd w:val="clear" w:color="auto" w:fill="FFFFFF"/>
          <w:lang w:val="zh-CN" w:eastAsia="zh-CN"/>
        </w:rPr>
        <w:t>。</w:t>
      </w:r>
    </w:p>
    <w:p w14:paraId="2132B2A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黑体" w:hAnsi="宋体" w:eastAsia="黑体" w:cs="Times New Roman"/>
          <w:sz w:val="32"/>
          <w:szCs w:val="32"/>
          <w:highlight w:val="none"/>
          <w:lang w:val="zh-CN" w:eastAsia="zh-CN"/>
        </w:rPr>
      </w:pPr>
      <w:r>
        <w:rPr>
          <w:rFonts w:hint="eastAsia" w:ascii="黑体" w:hAnsi="宋体" w:eastAsia="黑体" w:cs="Times New Roman"/>
          <w:sz w:val="32"/>
          <w:szCs w:val="32"/>
          <w:highlight w:val="none"/>
          <w:lang w:val="zh-CN" w:eastAsia="zh-CN"/>
        </w:rPr>
        <w:t>六、改进建议</w:t>
      </w:r>
    </w:p>
    <w:p w14:paraId="7ADE978B">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both"/>
        <w:textAlignment w:val="auto"/>
        <w:rPr>
          <w:rFonts w:hint="eastAsia" w:ascii="仿宋_GB2312" w:hAnsi="仿宋_GB2312" w:cs="仿宋_GB2312"/>
          <w:color w:val="auto"/>
          <w:kern w:val="0"/>
          <w:sz w:val="32"/>
          <w:szCs w:val="32"/>
          <w:highlight w:val="none"/>
          <w:u w:val="none"/>
          <w:shd w:val="clear" w:color="auto" w:fill="FFFFFF"/>
          <w:lang w:val="zh-CN" w:eastAsia="zh-CN"/>
        </w:rPr>
      </w:pPr>
      <w:r>
        <w:rPr>
          <w:rFonts w:hint="eastAsia" w:ascii="仿宋_GB2312" w:hAnsi="仿宋_GB2312" w:eastAsia="仿宋_GB2312" w:cs="仿宋_GB2312"/>
          <w:color w:val="auto"/>
          <w:kern w:val="0"/>
          <w:sz w:val="32"/>
          <w:szCs w:val="32"/>
          <w:highlight w:val="none"/>
          <w:u w:val="none"/>
          <w:shd w:val="clear" w:color="auto" w:fill="FFFFFF"/>
          <w:lang w:val="zh-CN" w:eastAsia="zh-CN"/>
        </w:rPr>
        <w:t xml:space="preserve"> </w:t>
      </w:r>
      <w:r>
        <w:rPr>
          <w:rFonts w:hint="eastAsia" w:ascii="仿宋_GB2312" w:hAnsi="仿宋_GB2312" w:cs="仿宋_GB2312"/>
          <w:color w:val="auto"/>
          <w:kern w:val="0"/>
          <w:sz w:val="32"/>
          <w:szCs w:val="32"/>
          <w:highlight w:val="none"/>
          <w:u w:val="none"/>
          <w:shd w:val="clear" w:color="auto" w:fill="FFFFFF"/>
          <w:lang w:val="en-US" w:eastAsia="zh-CN"/>
        </w:rPr>
        <w:t>无</w:t>
      </w:r>
      <w:r>
        <w:rPr>
          <w:rFonts w:hint="eastAsia" w:ascii="仿宋_GB2312" w:hAnsi="仿宋_GB2312" w:cs="仿宋_GB2312"/>
          <w:color w:val="auto"/>
          <w:kern w:val="0"/>
          <w:sz w:val="32"/>
          <w:szCs w:val="32"/>
          <w:highlight w:val="none"/>
          <w:u w:val="none"/>
          <w:shd w:val="clear" w:color="auto" w:fill="FFFFFF"/>
          <w:lang w:val="zh-CN" w:eastAsia="zh-CN"/>
        </w:rPr>
        <w:t>。</w:t>
      </w:r>
    </w:p>
    <w:p w14:paraId="6DD8A4EA">
      <w:pPr>
        <w:tabs>
          <w:tab w:val="left" w:pos="1911"/>
        </w:tabs>
        <w:jc w:val="left"/>
        <w:rPr>
          <w:rFonts w:hint="eastAsia" w:ascii="仿宋_GB2312" w:hAnsi="仿宋_GB2312" w:eastAsia="仿宋_GB2312" w:cs="仿宋_GB2312"/>
          <w:b w:val="0"/>
          <w:bCs w:val="0"/>
          <w:kern w:val="0"/>
          <w:position w:val="0"/>
          <w:sz w:val="32"/>
          <w:szCs w:val="32"/>
          <w:highlight w:val="none"/>
          <w:lang w:val="en" w:eastAsia="zh-CN" w:bidi="ar-SA"/>
        </w:rPr>
      </w:pPr>
    </w:p>
    <w:p w14:paraId="3EFBA0E9">
      <w:pPr>
        <w:keepNext w:val="0"/>
        <w:keepLines w:val="0"/>
        <w:pageBreakBefore w:val="0"/>
        <w:kinsoku/>
        <w:wordWrap/>
        <w:overflowPunct/>
        <w:topLinePunct w:val="0"/>
        <w:autoSpaceDE/>
        <w:autoSpaceDN/>
        <w:bidi w:val="0"/>
        <w:adjustRightInd/>
        <w:snapToGrid w:val="0"/>
        <w:spacing w:line="578" w:lineRule="exact"/>
        <w:ind w:left="0" w:leftChars="0" w:firstLine="420" w:firstLineChars="200"/>
        <w:textAlignment w:val="auto"/>
        <w:outlineLvl w:val="9"/>
        <w:rPr>
          <w:rFonts w:hint="eastAsia" w:ascii="Times New Roman" w:hAnsi="Times New Roman" w:cs="Times New Roman"/>
          <w:color w:val="000000"/>
          <w:kern w:val="0"/>
          <w:szCs w:val="32"/>
          <w:highlight w:val="none"/>
          <w:shd w:val="clear" w:color="auto" w:fill="FFFFFF"/>
          <w:lang w:val="zh-CN" w:eastAsia="zh-CN"/>
        </w:rPr>
      </w:pPr>
    </w:p>
    <w:p w14:paraId="73422FB4">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both"/>
        <w:textAlignment w:val="auto"/>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pPr>
      <w:r>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t>附表：1.项目资金分配涉及所有点位自评得分情况表</w:t>
      </w:r>
    </w:p>
    <w:p w14:paraId="153074B2">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1920" w:firstLineChars="600"/>
        <w:contextualSpacing/>
        <w:jc w:val="both"/>
        <w:textAlignment w:val="auto"/>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pPr>
      <w:r>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t>专项预算项目绩效目标完成情况自评表</w:t>
      </w:r>
    </w:p>
    <w:p w14:paraId="4F016A49">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both"/>
        <w:textAlignment w:val="auto"/>
        <w:rPr>
          <w:rFonts w:hint="default" w:ascii="仿宋_GB2312" w:hAnsi="仿宋_GB2312" w:eastAsia="仿宋_GB2312" w:cs="仿宋_GB2312"/>
          <w:b w:val="0"/>
          <w:bCs w:val="0"/>
          <w:color w:val="auto"/>
          <w:kern w:val="0"/>
          <w:sz w:val="32"/>
          <w:szCs w:val="32"/>
          <w:highlight w:val="none"/>
          <w:u w:val="none"/>
          <w:shd w:val="clear" w:color="auto" w:fill="FFFFFF"/>
          <w:lang w:val="en-US" w:eastAsia="zh-CN"/>
        </w:rPr>
      </w:pPr>
    </w:p>
    <w:p w14:paraId="7C352D2F">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both"/>
        <w:textAlignment w:val="auto"/>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pPr>
      <w:r>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t xml:space="preserve">                   广元市自然资源局</w:t>
      </w:r>
    </w:p>
    <w:p w14:paraId="3582941B">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both"/>
        <w:textAlignment w:val="auto"/>
        <w:rPr>
          <w:rFonts w:hint="default" w:ascii="仿宋_GB2312" w:hAnsi="仿宋_GB2312" w:eastAsia="仿宋_GB2312" w:cs="仿宋_GB2312"/>
          <w:b w:val="0"/>
          <w:bCs w:val="0"/>
          <w:color w:val="auto"/>
          <w:kern w:val="0"/>
          <w:sz w:val="32"/>
          <w:szCs w:val="32"/>
          <w:highlight w:val="none"/>
          <w:u w:val="none"/>
          <w:shd w:val="clear" w:color="auto" w:fill="FFFFFF"/>
          <w:lang w:val="en-US" w:eastAsia="zh-CN"/>
        </w:rPr>
      </w:pPr>
      <w:r>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t xml:space="preserve">                    2024年8月4日</w:t>
      </w:r>
    </w:p>
    <w:p w14:paraId="099BD0A3">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both"/>
        <w:textAlignment w:val="auto"/>
        <w:rPr>
          <w:rFonts w:hint="eastAsia" w:ascii="仿宋_GB2312" w:hAnsi="仿宋_GB2312" w:eastAsia="仿宋_GB2312" w:cs="仿宋_GB2312"/>
          <w:b w:val="0"/>
          <w:bCs w:val="0"/>
          <w:color w:val="auto"/>
          <w:kern w:val="0"/>
          <w:sz w:val="32"/>
          <w:szCs w:val="32"/>
          <w:highlight w:val="none"/>
          <w:u w:val="none"/>
          <w:shd w:val="clear" w:color="auto" w:fill="FFFFFF"/>
          <w:lang w:val="zh-CN" w:eastAsia="zh-CN"/>
        </w:rPr>
      </w:pPr>
      <w:r>
        <w:rPr>
          <w:rFonts w:hint="eastAsia" w:ascii="仿宋_GB2312" w:hAnsi="仿宋_GB2312" w:eastAsia="仿宋_GB2312" w:cs="仿宋_GB2312"/>
          <w:b w:val="0"/>
          <w:bCs w:val="0"/>
          <w:color w:val="auto"/>
          <w:kern w:val="0"/>
          <w:sz w:val="32"/>
          <w:szCs w:val="32"/>
          <w:highlight w:val="none"/>
          <w:u w:val="none"/>
          <w:shd w:val="clear" w:color="auto" w:fill="FFFFFF"/>
          <w:lang w:val="zh-CN" w:eastAsia="zh-CN"/>
        </w:rPr>
        <w:br w:type="page"/>
      </w:r>
    </w:p>
    <w:p w14:paraId="48416661">
      <w:pPr>
        <w:pStyle w:val="25"/>
        <w:rPr>
          <w:rFonts w:hint="eastAsia"/>
          <w:lang w:val="zh-CN" w:eastAsia="zh-CN"/>
        </w:rPr>
      </w:pPr>
    </w:p>
    <w:p w14:paraId="3ED00326">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contextualSpacing/>
        <w:jc w:val="left"/>
        <w:textAlignment w:val="auto"/>
        <w:rPr>
          <w:rFonts w:hint="eastAsia" w:ascii="黑体" w:hAnsi="黑体" w:eastAsia="黑体" w:cs="黑体"/>
          <w:b w:val="0"/>
          <w:bCs w:val="0"/>
          <w:color w:val="auto"/>
          <w:kern w:val="0"/>
          <w:sz w:val="32"/>
          <w:szCs w:val="32"/>
          <w:highlight w:val="none"/>
          <w:u w:val="none"/>
          <w:shd w:val="clear" w:color="auto" w:fill="FFFFFF"/>
          <w:lang w:val="zh-CN" w:eastAsia="zh-CN"/>
        </w:rPr>
      </w:pPr>
      <w:r>
        <w:rPr>
          <w:rFonts w:hint="eastAsia" w:ascii="黑体" w:hAnsi="黑体" w:eastAsia="黑体" w:cs="黑体"/>
          <w:b w:val="0"/>
          <w:bCs w:val="0"/>
          <w:color w:val="auto"/>
          <w:kern w:val="0"/>
          <w:sz w:val="32"/>
          <w:szCs w:val="32"/>
          <w:highlight w:val="none"/>
          <w:u w:val="none"/>
          <w:shd w:val="clear" w:color="auto" w:fill="FFFFFF"/>
          <w:lang w:val="zh-CN" w:eastAsia="zh-CN"/>
        </w:rPr>
        <w:t>附表</w:t>
      </w:r>
      <w:r>
        <w:rPr>
          <w:rFonts w:hint="eastAsia" w:ascii="黑体" w:hAnsi="黑体" w:eastAsia="黑体" w:cs="黑体"/>
          <w:b w:val="0"/>
          <w:bCs w:val="0"/>
          <w:color w:val="auto"/>
          <w:kern w:val="0"/>
          <w:sz w:val="32"/>
          <w:szCs w:val="32"/>
          <w:highlight w:val="none"/>
          <w:u w:val="none"/>
          <w:shd w:val="clear" w:color="auto" w:fill="FFFFFF"/>
          <w:lang w:val="en-US" w:eastAsia="zh-CN"/>
        </w:rPr>
        <w:t>1</w:t>
      </w:r>
    </w:p>
    <w:p w14:paraId="65B1F32D">
      <w:pPr>
        <w:keepNext w:val="0"/>
        <w:keepLines w:val="0"/>
        <w:pageBreakBefore w:val="0"/>
        <w:kinsoku/>
        <w:wordWrap/>
        <w:overflowPunct/>
        <w:topLinePunct w:val="0"/>
        <w:autoSpaceDE/>
        <w:autoSpaceDN/>
        <w:bidi w:val="0"/>
        <w:spacing w:line="578" w:lineRule="exact"/>
        <w:ind w:left="0" w:leftChars="0"/>
        <w:jc w:val="center"/>
        <w:textAlignment w:val="auto"/>
        <w:rPr>
          <w:rFonts w:hint="eastAsia" w:ascii="方正小标宋_GBK" w:hAnsi="方正小标宋_GBK" w:eastAsia="方正小标宋_GBK" w:cs="方正小标宋_GBK"/>
          <w:b w:val="0"/>
          <w:bCs w:val="0"/>
          <w:color w:val="auto"/>
          <w:sz w:val="40"/>
          <w:szCs w:val="40"/>
          <w:highlight w:val="none"/>
          <w:u w:val="none"/>
          <w:lang w:val="en-US" w:eastAsia="zh-CN"/>
        </w:rPr>
      </w:pPr>
      <w:r>
        <w:rPr>
          <w:rFonts w:hint="eastAsia" w:ascii="方正小标宋_GBK" w:hAnsi="方正小标宋_GBK" w:eastAsia="方正小标宋_GBK" w:cs="方正小标宋_GBK"/>
          <w:b w:val="0"/>
          <w:bCs w:val="0"/>
          <w:color w:val="auto"/>
          <w:sz w:val="40"/>
          <w:szCs w:val="40"/>
          <w:highlight w:val="none"/>
          <w:u w:val="none"/>
          <w:lang w:val="en-US" w:eastAsia="zh-CN"/>
        </w:rPr>
        <w:t>项目资金分配涉及所有点位自评得分情况表</w:t>
      </w:r>
    </w:p>
    <w:tbl>
      <w:tblPr>
        <w:tblStyle w:val="18"/>
        <w:tblW w:w="88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3"/>
        <w:gridCol w:w="5020"/>
        <w:gridCol w:w="210"/>
        <w:gridCol w:w="1474"/>
        <w:gridCol w:w="993"/>
      </w:tblGrid>
      <w:tr w14:paraId="7B205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2EF145C6">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序号</w:t>
            </w:r>
          </w:p>
        </w:tc>
        <w:tc>
          <w:tcPr>
            <w:tcW w:w="5230" w:type="dxa"/>
            <w:gridSpan w:val="2"/>
            <w:vAlign w:val="top"/>
          </w:tcPr>
          <w:p w14:paraId="2B209CAE">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 w:eastAsia="zh-CN" w:bidi="ar"/>
              </w:rPr>
            </w:pPr>
            <w:r>
              <w:rPr>
                <w:rFonts w:hint="eastAsia" w:ascii="仿宋_GB2312" w:hAnsi="仿宋_GB2312" w:eastAsia="仿宋_GB2312" w:cs="仿宋_GB2312"/>
                <w:i w:val="0"/>
                <w:color w:val="000000"/>
                <w:kern w:val="0"/>
                <w:sz w:val="24"/>
                <w:szCs w:val="24"/>
                <w:u w:val="none"/>
                <w:lang w:val="en-US" w:eastAsia="zh-CN" w:bidi="ar"/>
              </w:rPr>
              <w:t>项目资金末端分配点位</w:t>
            </w:r>
          </w:p>
        </w:tc>
        <w:tc>
          <w:tcPr>
            <w:tcW w:w="1474" w:type="dxa"/>
            <w:vAlign w:val="top"/>
          </w:tcPr>
          <w:p w14:paraId="26932CA0">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 w:eastAsia="zh-CN" w:bidi="ar"/>
              </w:rPr>
              <w:t>自评得分（百分制）</w:t>
            </w:r>
          </w:p>
        </w:tc>
        <w:tc>
          <w:tcPr>
            <w:tcW w:w="993" w:type="dxa"/>
            <w:vAlign w:val="top"/>
          </w:tcPr>
          <w:p w14:paraId="4A2D30F2">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备注</w:t>
            </w:r>
          </w:p>
        </w:tc>
      </w:tr>
      <w:tr w14:paraId="5DF6F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5150EDF5">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1</w:t>
            </w:r>
          </w:p>
        </w:tc>
        <w:tc>
          <w:tcPr>
            <w:tcW w:w="5020" w:type="dxa"/>
            <w:vAlign w:val="top"/>
          </w:tcPr>
          <w:p w14:paraId="2A890440">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default"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国家金库广元市利州区支库</w:t>
            </w:r>
          </w:p>
        </w:tc>
        <w:tc>
          <w:tcPr>
            <w:tcW w:w="1684" w:type="dxa"/>
            <w:gridSpan w:val="2"/>
            <w:vAlign w:val="top"/>
          </w:tcPr>
          <w:p w14:paraId="1BDA7569">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100</w:t>
            </w:r>
          </w:p>
        </w:tc>
        <w:tc>
          <w:tcPr>
            <w:tcW w:w="993" w:type="dxa"/>
            <w:vAlign w:val="top"/>
          </w:tcPr>
          <w:p w14:paraId="1C9CD97D">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p>
        </w:tc>
      </w:tr>
      <w:tr w14:paraId="00540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45815A82">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2</w:t>
            </w:r>
          </w:p>
        </w:tc>
        <w:tc>
          <w:tcPr>
            <w:tcW w:w="5020" w:type="dxa"/>
            <w:vAlign w:val="top"/>
          </w:tcPr>
          <w:p w14:paraId="16735617">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default" w:ascii="仿宋_GB2312" w:hAnsi="仿宋_GB2312" w:eastAsia="仿宋_GB2312" w:cs="仿宋_GB2312"/>
                <w:i w:val="0"/>
                <w:color w:val="000000"/>
                <w:kern w:val="0"/>
                <w:sz w:val="24"/>
                <w:szCs w:val="24"/>
                <w:u w:val="none"/>
                <w:lang w:val="en-US" w:eastAsia="zh-CN" w:bidi="ar"/>
              </w:rPr>
            </w:pPr>
          </w:p>
        </w:tc>
        <w:tc>
          <w:tcPr>
            <w:tcW w:w="1684" w:type="dxa"/>
            <w:gridSpan w:val="2"/>
            <w:vAlign w:val="top"/>
          </w:tcPr>
          <w:p w14:paraId="38B5F634">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default" w:ascii="仿宋_GB2312" w:hAnsi="仿宋_GB2312" w:eastAsia="仿宋_GB2312" w:cs="仿宋_GB2312"/>
                <w:i w:val="0"/>
                <w:color w:val="000000"/>
                <w:kern w:val="0"/>
                <w:sz w:val="24"/>
                <w:szCs w:val="24"/>
                <w:u w:val="none"/>
                <w:lang w:val="en-US" w:eastAsia="zh-CN" w:bidi="ar"/>
              </w:rPr>
            </w:pPr>
          </w:p>
        </w:tc>
        <w:tc>
          <w:tcPr>
            <w:tcW w:w="993" w:type="dxa"/>
            <w:vAlign w:val="top"/>
          </w:tcPr>
          <w:p w14:paraId="433114AD">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p>
        </w:tc>
      </w:tr>
      <w:tr w14:paraId="0DF36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02890A1A">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3</w:t>
            </w:r>
          </w:p>
        </w:tc>
        <w:tc>
          <w:tcPr>
            <w:tcW w:w="5020" w:type="dxa"/>
            <w:vAlign w:val="top"/>
          </w:tcPr>
          <w:p w14:paraId="35C55392">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 w:eastAsia="zh-CN" w:bidi="ar"/>
              </w:rPr>
            </w:pPr>
          </w:p>
        </w:tc>
        <w:tc>
          <w:tcPr>
            <w:tcW w:w="1684" w:type="dxa"/>
            <w:gridSpan w:val="2"/>
            <w:vAlign w:val="top"/>
          </w:tcPr>
          <w:p w14:paraId="26526777">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 w:eastAsia="zh-CN" w:bidi="ar"/>
              </w:rPr>
            </w:pPr>
          </w:p>
        </w:tc>
        <w:tc>
          <w:tcPr>
            <w:tcW w:w="993" w:type="dxa"/>
            <w:vAlign w:val="top"/>
          </w:tcPr>
          <w:p w14:paraId="3C0F25C6">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p>
        </w:tc>
      </w:tr>
      <w:tr w14:paraId="6D161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18D93A6A">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4</w:t>
            </w:r>
          </w:p>
        </w:tc>
        <w:tc>
          <w:tcPr>
            <w:tcW w:w="5020" w:type="dxa"/>
            <w:vAlign w:val="top"/>
          </w:tcPr>
          <w:p w14:paraId="7A91CE4C">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 w:eastAsia="zh-CN" w:bidi="ar"/>
              </w:rPr>
            </w:pPr>
          </w:p>
        </w:tc>
        <w:tc>
          <w:tcPr>
            <w:tcW w:w="1684" w:type="dxa"/>
            <w:gridSpan w:val="2"/>
            <w:vAlign w:val="top"/>
          </w:tcPr>
          <w:p w14:paraId="385EEB30">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 w:eastAsia="zh-CN" w:bidi="ar"/>
              </w:rPr>
            </w:pPr>
          </w:p>
        </w:tc>
        <w:tc>
          <w:tcPr>
            <w:tcW w:w="993" w:type="dxa"/>
            <w:vAlign w:val="top"/>
          </w:tcPr>
          <w:p w14:paraId="14E57A07">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p>
        </w:tc>
      </w:tr>
      <w:tr w14:paraId="51F90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65899D22">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5</w:t>
            </w:r>
          </w:p>
        </w:tc>
        <w:tc>
          <w:tcPr>
            <w:tcW w:w="5020" w:type="dxa"/>
            <w:vAlign w:val="top"/>
          </w:tcPr>
          <w:p w14:paraId="331E23C4">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 w:eastAsia="zh-CN" w:bidi="ar"/>
              </w:rPr>
            </w:pPr>
          </w:p>
        </w:tc>
        <w:tc>
          <w:tcPr>
            <w:tcW w:w="1684" w:type="dxa"/>
            <w:gridSpan w:val="2"/>
            <w:vAlign w:val="top"/>
          </w:tcPr>
          <w:p w14:paraId="2DD4593A">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 w:eastAsia="zh-CN" w:bidi="ar"/>
              </w:rPr>
            </w:pPr>
          </w:p>
        </w:tc>
        <w:tc>
          <w:tcPr>
            <w:tcW w:w="993" w:type="dxa"/>
            <w:vAlign w:val="top"/>
          </w:tcPr>
          <w:p w14:paraId="7AB09B70">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p>
        </w:tc>
      </w:tr>
      <w:tr w14:paraId="25E95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0619172C">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6</w:t>
            </w:r>
          </w:p>
        </w:tc>
        <w:tc>
          <w:tcPr>
            <w:tcW w:w="5020" w:type="dxa"/>
            <w:vAlign w:val="top"/>
          </w:tcPr>
          <w:p w14:paraId="3066E384">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 w:eastAsia="zh-CN" w:bidi="ar"/>
              </w:rPr>
            </w:pPr>
          </w:p>
        </w:tc>
        <w:tc>
          <w:tcPr>
            <w:tcW w:w="1684" w:type="dxa"/>
            <w:gridSpan w:val="2"/>
            <w:vAlign w:val="top"/>
          </w:tcPr>
          <w:p w14:paraId="1A1A4AAC">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 w:eastAsia="zh-CN" w:bidi="ar"/>
              </w:rPr>
            </w:pPr>
          </w:p>
        </w:tc>
        <w:tc>
          <w:tcPr>
            <w:tcW w:w="993" w:type="dxa"/>
            <w:vAlign w:val="top"/>
          </w:tcPr>
          <w:p w14:paraId="5437157B">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p>
        </w:tc>
      </w:tr>
      <w:tr w14:paraId="0F5AA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25023168">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7</w:t>
            </w:r>
          </w:p>
        </w:tc>
        <w:tc>
          <w:tcPr>
            <w:tcW w:w="5020" w:type="dxa"/>
            <w:vAlign w:val="top"/>
          </w:tcPr>
          <w:p w14:paraId="3E84A221">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 w:eastAsia="zh-CN" w:bidi="ar"/>
              </w:rPr>
            </w:pPr>
          </w:p>
        </w:tc>
        <w:tc>
          <w:tcPr>
            <w:tcW w:w="1684" w:type="dxa"/>
            <w:gridSpan w:val="2"/>
            <w:vAlign w:val="top"/>
          </w:tcPr>
          <w:p w14:paraId="57F4BD47">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 w:eastAsia="zh-CN" w:bidi="ar"/>
              </w:rPr>
            </w:pPr>
          </w:p>
        </w:tc>
        <w:tc>
          <w:tcPr>
            <w:tcW w:w="993" w:type="dxa"/>
            <w:vAlign w:val="top"/>
          </w:tcPr>
          <w:p w14:paraId="4C7F9631">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p>
        </w:tc>
      </w:tr>
      <w:tr w14:paraId="0D954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1AD6508A">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8</w:t>
            </w:r>
          </w:p>
        </w:tc>
        <w:tc>
          <w:tcPr>
            <w:tcW w:w="5020" w:type="dxa"/>
            <w:vAlign w:val="top"/>
          </w:tcPr>
          <w:p w14:paraId="09624758">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 w:eastAsia="zh-CN" w:bidi="ar"/>
              </w:rPr>
            </w:pPr>
          </w:p>
        </w:tc>
        <w:tc>
          <w:tcPr>
            <w:tcW w:w="1684" w:type="dxa"/>
            <w:gridSpan w:val="2"/>
            <w:vAlign w:val="top"/>
          </w:tcPr>
          <w:p w14:paraId="7148E615">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 w:eastAsia="zh-CN" w:bidi="ar"/>
              </w:rPr>
            </w:pPr>
          </w:p>
        </w:tc>
        <w:tc>
          <w:tcPr>
            <w:tcW w:w="993" w:type="dxa"/>
            <w:vAlign w:val="top"/>
          </w:tcPr>
          <w:p w14:paraId="601C9231">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p>
        </w:tc>
      </w:tr>
      <w:tr w14:paraId="55483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2C925458">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w:t>
            </w:r>
          </w:p>
        </w:tc>
        <w:tc>
          <w:tcPr>
            <w:tcW w:w="5020" w:type="dxa"/>
            <w:vAlign w:val="top"/>
          </w:tcPr>
          <w:p w14:paraId="63954A65">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 w:eastAsia="zh-CN" w:bidi="ar"/>
              </w:rPr>
            </w:pPr>
          </w:p>
        </w:tc>
        <w:tc>
          <w:tcPr>
            <w:tcW w:w="1684" w:type="dxa"/>
            <w:gridSpan w:val="2"/>
            <w:vAlign w:val="top"/>
          </w:tcPr>
          <w:p w14:paraId="0B424142">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 w:eastAsia="zh-CN" w:bidi="ar"/>
              </w:rPr>
            </w:pPr>
          </w:p>
        </w:tc>
        <w:tc>
          <w:tcPr>
            <w:tcW w:w="993" w:type="dxa"/>
            <w:vAlign w:val="top"/>
          </w:tcPr>
          <w:p w14:paraId="6180E489">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p>
        </w:tc>
      </w:tr>
    </w:tbl>
    <w:p w14:paraId="4042A0B4">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备注：1.项目资金末端分配点位包括市本级、县（区）、市级部门下属单位及一次性单位等。</w:t>
      </w:r>
    </w:p>
    <w:p w14:paraId="1681F0BF">
      <w:pPr>
        <w:keepNext w:val="0"/>
        <w:keepLines w:val="0"/>
        <w:pageBreakBefore w:val="0"/>
        <w:widowControl w:val="0"/>
        <w:kinsoku/>
        <w:wordWrap/>
        <w:overflowPunct/>
        <w:topLinePunct w:val="0"/>
        <w:autoSpaceDE/>
        <w:autoSpaceDN/>
        <w:bidi w:val="0"/>
        <w:adjustRightInd/>
        <w:snapToGrid/>
        <w:spacing w:line="400" w:lineRule="exact"/>
        <w:ind w:left="0" w:leftChars="0" w:firstLine="720" w:firstLineChars="300"/>
        <w:jc w:val="left"/>
        <w:textAlignment w:val="auto"/>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2.自评得分（百分制）从高到低划分为优、良、中、差四个档次，各个档次数量占比分别为20%、20%、55%、5%，且不同档次间得分分值应体现差异化，同档次得分分值相同的比例不超过该档次总数量的10%。</w:t>
      </w:r>
    </w:p>
    <w:p w14:paraId="13F2DB53">
      <w:pPr>
        <w:rPr>
          <w:rFonts w:hint="eastAsia" w:ascii="Times New Roman" w:hAnsi="Times New Roman" w:eastAsia="仿宋_GB2312" w:cs="Times New Roman"/>
          <w:kern w:val="2"/>
          <w:sz w:val="32"/>
          <w:szCs w:val="24"/>
          <w:highlight w:val="none"/>
          <w:lang w:val="en-US" w:eastAsia="zh-CN" w:bidi="ar-SA"/>
        </w:rPr>
      </w:pPr>
      <w:r>
        <w:rPr>
          <w:rFonts w:hint="eastAsia" w:ascii="Times New Roman" w:hAnsi="Times New Roman" w:eastAsia="仿宋_GB2312" w:cs="Times New Roman"/>
          <w:kern w:val="2"/>
          <w:sz w:val="32"/>
          <w:szCs w:val="24"/>
          <w:highlight w:val="none"/>
          <w:lang w:val="en-US" w:eastAsia="zh-CN" w:bidi="ar-SA"/>
        </w:rPr>
        <w:br w:type="page"/>
      </w:r>
    </w:p>
    <w:p w14:paraId="38D0E7FF">
      <w:pPr>
        <w:pStyle w:val="16"/>
        <w:keepNext w:val="0"/>
        <w:keepLines w:val="0"/>
        <w:pageBreakBefore w:val="0"/>
        <w:kinsoku/>
        <w:wordWrap/>
        <w:overflowPunct/>
        <w:topLinePunct w:val="0"/>
        <w:autoSpaceDE/>
        <w:autoSpaceDN/>
        <w:bidi w:val="0"/>
        <w:spacing w:after="0" w:line="578" w:lineRule="exact"/>
        <w:ind w:left="0" w:leftChars="0" w:firstLine="0" w:firstLineChars="0"/>
        <w:rPr>
          <w:rFonts w:hint="default" w:ascii="Times New Roman" w:hAnsi="Times New Roman" w:eastAsia="黑体" w:cs="Times New Roman"/>
          <w:kern w:val="2"/>
          <w:sz w:val="32"/>
          <w:szCs w:val="24"/>
          <w:highlight w:val="none"/>
          <w:lang w:val="en-US" w:eastAsia="zh-CN" w:bidi="ar-SA"/>
        </w:rPr>
      </w:pPr>
      <w:r>
        <w:rPr>
          <w:rFonts w:hint="default" w:ascii="Times New Roman" w:hAnsi="Times New Roman" w:eastAsia="黑体" w:cs="Times New Roman"/>
          <w:kern w:val="2"/>
          <w:sz w:val="32"/>
          <w:szCs w:val="24"/>
          <w:highlight w:val="none"/>
          <w:lang w:val="en-US" w:eastAsia="zh-CN" w:bidi="ar-SA"/>
        </w:rPr>
        <w:t>附表2</w:t>
      </w:r>
    </w:p>
    <w:p w14:paraId="0DF6FBF8">
      <w:pPr>
        <w:pStyle w:val="16"/>
        <w:keepNext w:val="0"/>
        <w:keepLines w:val="0"/>
        <w:pageBreakBefore w:val="0"/>
        <w:kinsoku/>
        <w:wordWrap/>
        <w:overflowPunct/>
        <w:topLinePunct w:val="0"/>
        <w:autoSpaceDE/>
        <w:autoSpaceDN/>
        <w:bidi w:val="0"/>
        <w:spacing w:after="0" w:line="578" w:lineRule="exact"/>
        <w:ind w:left="0" w:leftChars="0" w:firstLine="0" w:firstLineChars="0"/>
        <w:jc w:val="center"/>
        <w:rPr>
          <w:rFonts w:hint="eastAsia" w:ascii="方正小标宋_GBK" w:hAnsi="方正小标宋_GBK" w:eastAsia="方正小标宋_GBK" w:cs="方正小标宋_GBK"/>
          <w:kern w:val="2"/>
          <w:sz w:val="44"/>
          <w:szCs w:val="44"/>
          <w:highlight w:val="none"/>
          <w:lang w:val="en-US" w:eastAsia="zh-CN" w:bidi="ar-SA"/>
        </w:rPr>
      </w:pPr>
      <w:r>
        <w:rPr>
          <w:rFonts w:hint="eastAsia" w:ascii="方正小标宋_GBK" w:hAnsi="方正小标宋_GBK" w:eastAsia="方正小标宋_GBK" w:cs="方正小标宋_GBK"/>
          <w:i w:val="0"/>
          <w:color w:val="000000"/>
          <w:kern w:val="0"/>
          <w:sz w:val="44"/>
          <w:szCs w:val="44"/>
          <w:u w:val="none"/>
          <w:lang w:val="en-US" w:eastAsia="zh-CN" w:bidi="ar"/>
        </w:rPr>
        <w:t>专项预算项目绩效目标完成情况自评表</w:t>
      </w:r>
    </w:p>
    <w:tbl>
      <w:tblPr>
        <w:tblStyle w:val="17"/>
        <w:tblW w:w="917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584"/>
        <w:gridCol w:w="970"/>
        <w:gridCol w:w="1121"/>
        <w:gridCol w:w="1177"/>
        <w:gridCol w:w="1010"/>
        <w:gridCol w:w="871"/>
        <w:gridCol w:w="382"/>
        <w:gridCol w:w="569"/>
        <w:gridCol w:w="840"/>
        <w:gridCol w:w="1655"/>
      </w:tblGrid>
      <w:tr w14:paraId="6F8A67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788" w:hRule="atLeast"/>
          <w:jc w:val="center"/>
        </w:trPr>
        <w:tc>
          <w:tcPr>
            <w:tcW w:w="3852"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11CF8E5">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项目名称</w:t>
            </w:r>
          </w:p>
        </w:tc>
        <w:tc>
          <w:tcPr>
            <w:tcW w:w="532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914F1BB">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仿宋_GB2312" w:hAnsi="仿宋_GB2312" w:eastAsia="仿宋_GB2312" w:cs="仿宋_GB2312"/>
                <w:i w:val="0"/>
                <w:color w:val="000000"/>
                <w:sz w:val="24"/>
                <w:szCs w:val="24"/>
                <w:u w:val="none"/>
                <w:lang w:val="en-US" w:eastAsia="zh-CN"/>
              </w:rPr>
            </w:pPr>
            <w:r>
              <w:rPr>
                <w:rFonts w:hint="eastAsia" w:ascii="仿宋_GB2312" w:hAnsi="仿宋_GB2312" w:eastAsia="仿宋_GB2312" w:cs="仿宋_GB2312"/>
                <w:i w:val="0"/>
                <w:color w:val="000000"/>
                <w:sz w:val="24"/>
                <w:szCs w:val="24"/>
                <w:u w:val="none"/>
                <w:lang w:val="en-US" w:eastAsia="zh-CN"/>
              </w:rPr>
              <w:t>广元市利州区2023年第5批次建设用地使用林地森林植被恢复费</w:t>
            </w:r>
          </w:p>
        </w:tc>
      </w:tr>
      <w:tr w14:paraId="14B4E7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83" w:hRule="atLeast"/>
          <w:jc w:val="center"/>
        </w:trPr>
        <w:tc>
          <w:tcPr>
            <w:tcW w:w="3852"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FDD3DF8">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预算单位</w:t>
            </w:r>
          </w:p>
        </w:tc>
        <w:tc>
          <w:tcPr>
            <w:tcW w:w="532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AE27435">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仿宋_GB2312" w:hAnsi="仿宋_GB2312" w:eastAsia="仿宋_GB2312" w:cs="仿宋_GB2312"/>
                <w:i w:val="0"/>
                <w:color w:val="000000"/>
                <w:sz w:val="24"/>
                <w:szCs w:val="24"/>
                <w:u w:val="none"/>
                <w:lang w:val="en-US" w:eastAsia="zh-CN"/>
              </w:rPr>
            </w:pPr>
            <w:r>
              <w:rPr>
                <w:rFonts w:hint="eastAsia" w:ascii="仿宋_GB2312" w:hAnsi="仿宋_GB2312" w:eastAsia="仿宋_GB2312" w:cs="仿宋_GB2312"/>
                <w:i w:val="0"/>
                <w:color w:val="000000"/>
                <w:sz w:val="24"/>
                <w:szCs w:val="24"/>
                <w:u w:val="none"/>
              </w:rPr>
              <w:t>广元市自然资源</w:t>
            </w:r>
            <w:r>
              <w:rPr>
                <w:rFonts w:hint="eastAsia" w:ascii="仿宋_GB2312" w:hAnsi="仿宋_GB2312" w:eastAsia="仿宋_GB2312" w:cs="仿宋_GB2312"/>
                <w:i w:val="0"/>
                <w:color w:val="000000"/>
                <w:sz w:val="24"/>
                <w:szCs w:val="24"/>
                <w:u w:val="none"/>
                <w:lang w:val="en-US" w:eastAsia="zh-CN"/>
              </w:rPr>
              <w:t>局</w:t>
            </w:r>
          </w:p>
        </w:tc>
      </w:tr>
      <w:tr w14:paraId="584C1C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83" w:hRule="atLeast"/>
          <w:jc w:val="center"/>
        </w:trPr>
        <w:tc>
          <w:tcPr>
            <w:tcW w:w="3852"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B727A98">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项目类型</w:t>
            </w:r>
          </w:p>
        </w:tc>
        <w:tc>
          <w:tcPr>
            <w:tcW w:w="532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7792CD3">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sz w:val="24"/>
                <w:szCs w:val="24"/>
                <w:u w:val="none"/>
                <w:lang w:eastAsia="zh-CN"/>
              </w:rPr>
              <w:t>专项预算项目</w:t>
            </w:r>
          </w:p>
        </w:tc>
      </w:tr>
      <w:tr w14:paraId="16EBD1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788" w:hRule="atLeast"/>
          <w:jc w:val="center"/>
        </w:trPr>
        <w:tc>
          <w:tcPr>
            <w:tcW w:w="5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61103F">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项目 概况</w:t>
            </w:r>
          </w:p>
        </w:tc>
        <w:tc>
          <w:tcPr>
            <w:tcW w:w="326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2CE1342">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中长期规划（名称、文号，仅指</w:t>
            </w:r>
          </w:p>
          <w:p w14:paraId="6BBCEA79">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常年项目）</w:t>
            </w:r>
          </w:p>
        </w:tc>
        <w:tc>
          <w:tcPr>
            <w:tcW w:w="532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B423E61">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sz w:val="24"/>
                <w:szCs w:val="24"/>
                <w:u w:val="none"/>
                <w:lang w:val="en-US" w:eastAsia="zh-CN"/>
              </w:rPr>
              <w:t>/</w:t>
            </w:r>
          </w:p>
        </w:tc>
      </w:tr>
      <w:tr w14:paraId="0097AE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83" w:hRule="atLeast"/>
          <w:jc w:val="center"/>
        </w:trPr>
        <w:tc>
          <w:tcPr>
            <w:tcW w:w="5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B6BBC6">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仿宋_GB2312" w:hAnsi="仿宋_GB2312" w:eastAsia="仿宋_GB2312" w:cs="仿宋_GB2312"/>
                <w:i w:val="0"/>
                <w:color w:val="000000"/>
                <w:sz w:val="24"/>
                <w:szCs w:val="24"/>
                <w:u w:val="none"/>
              </w:rPr>
            </w:pPr>
          </w:p>
        </w:tc>
        <w:tc>
          <w:tcPr>
            <w:tcW w:w="326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7656065">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资金管理办法（名称、文号）</w:t>
            </w:r>
          </w:p>
        </w:tc>
        <w:tc>
          <w:tcPr>
            <w:tcW w:w="532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D382E38">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sz w:val="24"/>
                <w:szCs w:val="24"/>
                <w:u w:val="none"/>
                <w:lang w:val="en-US" w:eastAsia="zh-CN"/>
              </w:rPr>
              <w:t>广元市自然资源局财务管理制度</w:t>
            </w:r>
          </w:p>
        </w:tc>
      </w:tr>
      <w:tr w14:paraId="3F4D29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788" w:hRule="atLeast"/>
          <w:jc w:val="center"/>
        </w:trPr>
        <w:tc>
          <w:tcPr>
            <w:tcW w:w="5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56579E">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仿宋_GB2312" w:hAnsi="仿宋_GB2312" w:eastAsia="仿宋_GB2312" w:cs="仿宋_GB2312"/>
                <w:i w:val="0"/>
                <w:color w:val="000000"/>
                <w:sz w:val="24"/>
                <w:szCs w:val="24"/>
                <w:u w:val="none"/>
              </w:rPr>
            </w:pPr>
          </w:p>
        </w:tc>
        <w:tc>
          <w:tcPr>
            <w:tcW w:w="326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8975DA3">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绩效分配方式</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30A0E">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sym w:font="Wingdings 2" w:char="00A3"/>
            </w:r>
            <w:r>
              <w:rPr>
                <w:rFonts w:hint="eastAsia" w:ascii="仿宋_GB2312" w:hAnsi="仿宋_GB2312" w:eastAsia="仿宋_GB2312" w:cs="仿宋_GB2312"/>
                <w:i w:val="0"/>
                <w:color w:val="000000"/>
                <w:kern w:val="0"/>
                <w:sz w:val="24"/>
                <w:szCs w:val="24"/>
                <w:u w:val="none"/>
                <w:lang w:val="en-US" w:eastAsia="zh-CN" w:bidi="ar"/>
              </w:rPr>
              <w:t>因素法</w:t>
            </w:r>
          </w:p>
        </w:tc>
        <w:tc>
          <w:tcPr>
            <w:tcW w:w="182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CDD70A2">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sym w:font="Wingdings 2" w:char="0052"/>
            </w:r>
            <w:r>
              <w:rPr>
                <w:rFonts w:hint="eastAsia" w:ascii="仿宋_GB2312" w:hAnsi="仿宋_GB2312" w:eastAsia="仿宋_GB2312" w:cs="仿宋_GB2312"/>
                <w:i w:val="0"/>
                <w:color w:val="000000"/>
                <w:kern w:val="0"/>
                <w:sz w:val="24"/>
                <w:szCs w:val="24"/>
                <w:u w:val="none"/>
                <w:lang w:val="en-US" w:eastAsia="zh-CN" w:bidi="ar"/>
              </w:rPr>
              <w:t>项目法</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2561B">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sym w:font="Wingdings 2" w:char="00A3"/>
            </w:r>
            <w:r>
              <w:rPr>
                <w:rFonts w:hint="eastAsia" w:ascii="仿宋_GB2312" w:hAnsi="仿宋_GB2312" w:eastAsia="仿宋_GB2312" w:cs="仿宋_GB2312"/>
                <w:i w:val="0"/>
                <w:color w:val="000000"/>
                <w:kern w:val="0"/>
                <w:sz w:val="24"/>
                <w:szCs w:val="24"/>
                <w:u w:val="none"/>
                <w:lang w:val="en-US" w:eastAsia="zh-CN" w:bidi="ar"/>
              </w:rPr>
              <w:t>据实据效</w:t>
            </w:r>
          </w:p>
        </w:tc>
        <w:tc>
          <w:tcPr>
            <w:tcW w:w="1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ABE4D">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£因素法与项目法相结合</w:t>
            </w:r>
          </w:p>
        </w:tc>
      </w:tr>
      <w:tr w14:paraId="0C7801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189" w:hRule="atLeast"/>
          <w:jc w:val="center"/>
        </w:trPr>
        <w:tc>
          <w:tcPr>
            <w:tcW w:w="5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ABE011">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仿宋_GB2312" w:hAnsi="仿宋_GB2312" w:eastAsia="仿宋_GB2312" w:cs="仿宋_GB2312"/>
                <w:i w:val="0"/>
                <w:color w:val="000000"/>
                <w:sz w:val="24"/>
                <w:szCs w:val="24"/>
                <w:u w:val="none"/>
              </w:rPr>
            </w:pPr>
          </w:p>
        </w:tc>
        <w:tc>
          <w:tcPr>
            <w:tcW w:w="326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7DBB0D3">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立项依据</w:t>
            </w:r>
          </w:p>
        </w:tc>
        <w:tc>
          <w:tcPr>
            <w:tcW w:w="532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21C0FBA">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sz w:val="24"/>
                <w:szCs w:val="24"/>
                <w:u w:val="none"/>
                <w:lang w:val="en-US" w:eastAsia="zh-CN"/>
              </w:rPr>
              <w:t>大稻坝限价商品房、城北片区限价商品房、雪峰小学周边用地等项目，是市政府要求尽快纳入广元市利州区2023年第5批次建设用地上报省政府审批的市级重点项目。总用地面积27.9658公顷（其中林地6.4170公顷）。为确保项目建设用地的合法性，按照有关规定，在征地报批前必须先行办理林地使用批准手续</w:t>
            </w:r>
          </w:p>
        </w:tc>
      </w:tr>
      <w:tr w14:paraId="3E37BA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788" w:hRule="atLeast"/>
          <w:jc w:val="center"/>
        </w:trPr>
        <w:tc>
          <w:tcPr>
            <w:tcW w:w="5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4D1155">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仿宋_GB2312" w:hAnsi="仿宋_GB2312" w:eastAsia="仿宋_GB2312" w:cs="仿宋_GB2312"/>
                <w:i w:val="0"/>
                <w:color w:val="000000"/>
                <w:sz w:val="24"/>
                <w:szCs w:val="24"/>
                <w:u w:val="none"/>
              </w:rPr>
            </w:pPr>
          </w:p>
        </w:tc>
        <w:tc>
          <w:tcPr>
            <w:tcW w:w="326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7C90C19">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使用范围</w:t>
            </w:r>
          </w:p>
        </w:tc>
        <w:tc>
          <w:tcPr>
            <w:tcW w:w="532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907AE5B">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仿宋_GB2312" w:hAnsi="仿宋_GB2312" w:eastAsia="仿宋_GB2312" w:cs="仿宋_GB2312"/>
                <w:i w:val="0"/>
                <w:color w:val="000000"/>
                <w:sz w:val="24"/>
                <w:szCs w:val="24"/>
                <w:u w:val="none"/>
                <w:lang w:val="en-US" w:eastAsia="zh-CN"/>
              </w:rPr>
            </w:pPr>
            <w:r>
              <w:rPr>
                <w:rFonts w:hint="eastAsia" w:ascii="仿宋_GB2312" w:hAnsi="仿宋_GB2312" w:eastAsia="仿宋_GB2312" w:cs="仿宋_GB2312"/>
                <w:i w:val="0"/>
                <w:color w:val="000000"/>
                <w:sz w:val="24"/>
                <w:szCs w:val="24"/>
                <w:u w:val="none"/>
                <w:lang w:val="en-US" w:eastAsia="zh-CN"/>
              </w:rPr>
              <w:t>建设用地森林植被恢复费、使用林地可行性编制就采伐作业设计费</w:t>
            </w:r>
          </w:p>
        </w:tc>
      </w:tr>
      <w:tr w14:paraId="2B1068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83" w:hRule="atLeast"/>
          <w:jc w:val="center"/>
        </w:trPr>
        <w:tc>
          <w:tcPr>
            <w:tcW w:w="5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971FE4">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仿宋_GB2312" w:hAnsi="仿宋_GB2312" w:eastAsia="仿宋_GB2312" w:cs="仿宋_GB2312"/>
                <w:i w:val="0"/>
                <w:color w:val="000000"/>
                <w:sz w:val="24"/>
                <w:szCs w:val="24"/>
                <w:u w:val="none"/>
              </w:rPr>
            </w:pPr>
          </w:p>
        </w:tc>
        <w:tc>
          <w:tcPr>
            <w:tcW w:w="326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6C3EFE7">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申报（补助）条件</w:t>
            </w:r>
          </w:p>
        </w:tc>
        <w:tc>
          <w:tcPr>
            <w:tcW w:w="532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3C85F8C">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仿宋_GB2312" w:hAnsi="仿宋_GB2312" w:eastAsia="仿宋_GB2312" w:cs="仿宋_GB2312"/>
                <w:i w:val="0"/>
                <w:color w:val="000000"/>
                <w:sz w:val="24"/>
                <w:szCs w:val="24"/>
                <w:u w:val="none"/>
                <w:lang w:val="en-US" w:eastAsia="zh-CN"/>
              </w:rPr>
            </w:pPr>
          </w:p>
        </w:tc>
      </w:tr>
      <w:tr w14:paraId="4436AB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83" w:hRule="atLeast"/>
          <w:jc w:val="center"/>
        </w:trPr>
        <w:tc>
          <w:tcPr>
            <w:tcW w:w="5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BB437D">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仿宋_GB2312" w:hAnsi="仿宋_GB2312" w:eastAsia="仿宋_GB2312" w:cs="仿宋_GB2312"/>
                <w:i w:val="0"/>
                <w:color w:val="000000"/>
                <w:sz w:val="24"/>
                <w:szCs w:val="24"/>
                <w:u w:val="none"/>
              </w:rPr>
            </w:pPr>
          </w:p>
        </w:tc>
        <w:tc>
          <w:tcPr>
            <w:tcW w:w="326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00A78E7">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项目起止年限</w:t>
            </w:r>
          </w:p>
        </w:tc>
        <w:tc>
          <w:tcPr>
            <w:tcW w:w="532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1A23AB2">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sz w:val="24"/>
                <w:szCs w:val="24"/>
                <w:u w:val="none"/>
                <w:lang w:val="en-US" w:eastAsia="zh-CN"/>
              </w:rPr>
              <w:t>2023-2023</w:t>
            </w:r>
          </w:p>
        </w:tc>
      </w:tr>
      <w:tr w14:paraId="18D590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83" w:hRule="atLeast"/>
          <w:jc w:val="center"/>
        </w:trPr>
        <w:tc>
          <w:tcPr>
            <w:tcW w:w="1554"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BC5D4B">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项目资金</w:t>
            </w:r>
          </w:p>
          <w:p w14:paraId="1E9A79A0">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（万元）</w:t>
            </w:r>
          </w:p>
        </w:tc>
        <w:tc>
          <w:tcPr>
            <w:tcW w:w="229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9F9E00">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年度资金总额：</w:t>
            </w:r>
          </w:p>
        </w:tc>
        <w:tc>
          <w:tcPr>
            <w:tcW w:w="532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FA46A1D">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仿宋_GB2312" w:hAnsi="仿宋_GB2312" w:eastAsia="仿宋_GB2312" w:cs="仿宋_GB2312"/>
                <w:i w:val="0"/>
                <w:color w:val="000000"/>
                <w:sz w:val="24"/>
                <w:szCs w:val="24"/>
                <w:u w:val="none"/>
                <w:lang w:val="en-US" w:eastAsia="zh-CN"/>
              </w:rPr>
            </w:pPr>
            <w:r>
              <w:rPr>
                <w:rFonts w:hint="eastAsia" w:ascii="仿宋_GB2312" w:hAnsi="仿宋_GB2312" w:eastAsia="仿宋_GB2312" w:cs="仿宋_GB2312"/>
                <w:i w:val="0"/>
                <w:color w:val="000000"/>
                <w:sz w:val="24"/>
                <w:szCs w:val="24"/>
                <w:u w:val="none"/>
                <w:lang w:val="en-US" w:eastAsia="zh-CN"/>
              </w:rPr>
              <w:t>106.7086</w:t>
            </w:r>
          </w:p>
        </w:tc>
      </w:tr>
      <w:tr w14:paraId="21524E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83" w:hRule="atLeast"/>
          <w:jc w:val="center"/>
        </w:trPr>
        <w:tc>
          <w:tcPr>
            <w:tcW w:w="155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1F9625">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仿宋_GB2312" w:hAnsi="仿宋_GB2312" w:eastAsia="仿宋_GB2312" w:cs="仿宋_GB2312"/>
                <w:i w:val="0"/>
                <w:color w:val="000000"/>
                <w:sz w:val="24"/>
                <w:szCs w:val="24"/>
                <w:u w:val="none"/>
              </w:rPr>
            </w:pPr>
          </w:p>
        </w:tc>
        <w:tc>
          <w:tcPr>
            <w:tcW w:w="229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576C0D">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其中：财政拨款</w:t>
            </w:r>
          </w:p>
        </w:tc>
        <w:tc>
          <w:tcPr>
            <w:tcW w:w="532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0290914">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仿宋_GB2312" w:hAnsi="仿宋_GB2312" w:eastAsia="仿宋_GB2312" w:cs="仿宋_GB2312"/>
                <w:i w:val="0"/>
                <w:color w:val="000000"/>
                <w:sz w:val="24"/>
                <w:szCs w:val="24"/>
                <w:u w:val="none"/>
                <w:lang w:val="en-US" w:eastAsia="zh-CN"/>
              </w:rPr>
            </w:pPr>
            <w:r>
              <w:rPr>
                <w:rFonts w:hint="eastAsia" w:ascii="仿宋_GB2312" w:hAnsi="仿宋_GB2312" w:eastAsia="仿宋_GB2312" w:cs="仿宋_GB2312"/>
                <w:i w:val="0"/>
                <w:color w:val="000000"/>
                <w:sz w:val="24"/>
                <w:szCs w:val="24"/>
                <w:u w:val="none"/>
                <w:lang w:val="en-US" w:eastAsia="zh-CN"/>
              </w:rPr>
              <w:t>106.7086</w:t>
            </w:r>
          </w:p>
        </w:tc>
      </w:tr>
      <w:tr w14:paraId="1D78A1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83" w:hRule="atLeast"/>
          <w:jc w:val="center"/>
        </w:trPr>
        <w:tc>
          <w:tcPr>
            <w:tcW w:w="155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68384E">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仿宋_GB2312" w:hAnsi="仿宋_GB2312" w:eastAsia="仿宋_GB2312" w:cs="仿宋_GB2312"/>
                <w:i w:val="0"/>
                <w:color w:val="000000"/>
                <w:sz w:val="24"/>
                <w:szCs w:val="24"/>
                <w:u w:val="none"/>
              </w:rPr>
            </w:pPr>
          </w:p>
        </w:tc>
        <w:tc>
          <w:tcPr>
            <w:tcW w:w="229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0237A1">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其他资金</w:t>
            </w:r>
          </w:p>
        </w:tc>
        <w:tc>
          <w:tcPr>
            <w:tcW w:w="532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F45A3E0">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仿宋_GB2312" w:hAnsi="仿宋_GB2312" w:eastAsia="仿宋_GB2312" w:cs="仿宋_GB2312"/>
                <w:i w:val="0"/>
                <w:color w:val="000000"/>
                <w:sz w:val="24"/>
                <w:szCs w:val="24"/>
                <w:u w:val="none"/>
              </w:rPr>
            </w:pPr>
          </w:p>
        </w:tc>
      </w:tr>
      <w:tr w14:paraId="5B2691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83" w:hRule="atLeast"/>
          <w:jc w:val="center"/>
        </w:trPr>
        <w:tc>
          <w:tcPr>
            <w:tcW w:w="5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61E9DB">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总体 目标</w:t>
            </w:r>
          </w:p>
        </w:tc>
        <w:tc>
          <w:tcPr>
            <w:tcW w:w="8595"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566ADE9">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年度目标</w:t>
            </w:r>
          </w:p>
        </w:tc>
      </w:tr>
      <w:tr w14:paraId="629B31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1138" w:hRule="atLeast"/>
          <w:jc w:val="center"/>
        </w:trPr>
        <w:tc>
          <w:tcPr>
            <w:tcW w:w="5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0F9BED">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仿宋_GB2312" w:hAnsi="仿宋_GB2312" w:eastAsia="仿宋_GB2312" w:cs="仿宋_GB2312"/>
                <w:i w:val="0"/>
                <w:color w:val="000000"/>
                <w:sz w:val="24"/>
                <w:szCs w:val="24"/>
                <w:u w:val="none"/>
              </w:rPr>
            </w:pPr>
          </w:p>
        </w:tc>
        <w:tc>
          <w:tcPr>
            <w:tcW w:w="8595"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CD5D110">
            <w:pPr>
              <w:pStyle w:val="7"/>
              <w:keepNext w:val="0"/>
              <w:keepLines w:val="0"/>
              <w:pageBreakBefore w:val="0"/>
              <w:numPr>
                <w:ilvl w:val="0"/>
                <w:numId w:val="0"/>
              </w:numPr>
              <w:tabs>
                <w:tab w:val="left" w:pos="2160"/>
              </w:tabs>
              <w:kinsoku/>
              <w:wordWrap/>
              <w:overflowPunct/>
              <w:topLinePunct w:val="0"/>
              <w:autoSpaceDE/>
              <w:autoSpaceDN/>
              <w:bidi w:val="0"/>
              <w:adjustRightInd/>
              <w:snapToGrid/>
              <w:spacing w:beforeLines="0" w:line="300" w:lineRule="exact"/>
              <w:ind w:firstLine="480" w:firstLineChars="200"/>
              <w:jc w:val="center"/>
              <w:textAlignment w:val="auto"/>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2"/>
                <w:position w:val="0"/>
                <w:sz w:val="24"/>
                <w:szCs w:val="24"/>
                <w:u w:val="none"/>
                <w:lang w:val="en-US" w:eastAsia="zh-CN" w:bidi="ar-SA"/>
              </w:rPr>
              <w:t>完成了2023年第五批次建设用地报征手续，保障建设项目用地的合法性，促进了广元的经济发展。</w:t>
            </w:r>
          </w:p>
        </w:tc>
      </w:tr>
      <w:tr w14:paraId="2D06A6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788" w:hRule="atLeast"/>
          <w:jc w:val="center"/>
        </w:trPr>
        <w:tc>
          <w:tcPr>
            <w:tcW w:w="584" w:type="dxa"/>
            <w:vMerge w:val="restart"/>
            <w:tcBorders>
              <w:top w:val="single" w:color="000000" w:sz="4" w:space="0"/>
              <w:left w:val="single" w:color="000000" w:sz="4" w:space="0"/>
              <w:bottom w:val="single" w:color="000000" w:sz="4" w:space="0"/>
            </w:tcBorders>
            <w:shd w:val="clear" w:color="auto" w:fill="auto"/>
            <w:vAlign w:val="center"/>
          </w:tcPr>
          <w:p w14:paraId="1A88F8C9">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绩效 指标</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4C41F">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一级指标</w:t>
            </w:r>
          </w:p>
        </w:tc>
        <w:tc>
          <w:tcPr>
            <w:tcW w:w="1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10A12">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二级指标</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9FF9C">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三级指标</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3E2E8">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指标性质</w:t>
            </w:r>
          </w:p>
        </w:tc>
        <w:tc>
          <w:tcPr>
            <w:tcW w:w="125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600592">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指标值</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CF18E">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度量单位</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0CD26">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权重</w:t>
            </w:r>
          </w:p>
        </w:tc>
        <w:tc>
          <w:tcPr>
            <w:tcW w:w="1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0FA00">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实际完成指标值</w:t>
            </w:r>
          </w:p>
        </w:tc>
      </w:tr>
      <w:tr w14:paraId="4791D7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788" w:hRule="atLeast"/>
          <w:jc w:val="center"/>
        </w:trPr>
        <w:tc>
          <w:tcPr>
            <w:tcW w:w="584" w:type="dxa"/>
            <w:vMerge w:val="continue"/>
            <w:tcBorders>
              <w:top w:val="single" w:color="000000" w:sz="4" w:space="0"/>
              <w:left w:val="single" w:color="000000" w:sz="4" w:space="0"/>
              <w:bottom w:val="single" w:color="000000" w:sz="4" w:space="0"/>
            </w:tcBorders>
            <w:shd w:val="clear" w:color="auto" w:fill="auto"/>
            <w:vAlign w:val="center"/>
          </w:tcPr>
          <w:p w14:paraId="76988A0C">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仿宋_GB2312" w:hAnsi="仿宋_GB2312" w:eastAsia="仿宋_GB2312" w:cs="仿宋_GB2312"/>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12F14">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产出指标</w:t>
            </w:r>
          </w:p>
        </w:tc>
        <w:tc>
          <w:tcPr>
            <w:tcW w:w="1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003D0">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数量指标</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B1BA2">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报批土地面积</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0D59D">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仿宋_GB2312" w:hAnsi="仿宋_GB2312" w:eastAsia="仿宋_GB2312" w:cs="仿宋_GB2312"/>
                <w:i w:val="0"/>
                <w:color w:val="000000"/>
                <w:sz w:val="24"/>
                <w:szCs w:val="24"/>
                <w:u w:val="none"/>
                <w:lang w:eastAsia="zh-CN"/>
              </w:rPr>
            </w:pPr>
            <w:r>
              <w:rPr>
                <w:rFonts w:hint="eastAsia" w:ascii="仿宋_GB2312" w:hAnsi="仿宋_GB2312" w:eastAsia="仿宋_GB2312" w:cs="仿宋_GB2312"/>
                <w:i w:val="0"/>
                <w:color w:val="000000"/>
                <w:sz w:val="24"/>
                <w:szCs w:val="24"/>
                <w:u w:val="none"/>
                <w:lang w:val="en-US" w:eastAsia="zh-CN"/>
              </w:rPr>
              <w:t>≥</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32FE4">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27.9658</w:t>
            </w:r>
          </w:p>
        </w:tc>
        <w:tc>
          <w:tcPr>
            <w:tcW w:w="9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8E215A">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仿宋_GB2312" w:hAnsi="仿宋_GB2312" w:eastAsia="仿宋_GB2312" w:cs="仿宋_GB2312"/>
                <w:i w:val="0"/>
                <w:color w:val="000000"/>
                <w:sz w:val="24"/>
                <w:szCs w:val="24"/>
                <w:u w:val="none"/>
                <w:lang w:val="en-US" w:eastAsia="zh-CN"/>
              </w:rPr>
            </w:pPr>
            <w:r>
              <w:rPr>
                <w:rFonts w:hint="eastAsia" w:ascii="仿宋_GB2312" w:hAnsi="仿宋_GB2312" w:eastAsia="仿宋_GB2312" w:cs="仿宋_GB2312"/>
                <w:i w:val="0"/>
                <w:color w:val="000000"/>
                <w:sz w:val="24"/>
                <w:szCs w:val="24"/>
                <w:u w:val="none"/>
                <w:lang w:val="en-US" w:eastAsia="zh-CN"/>
              </w:rPr>
              <w:t>公顷</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01CBB">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仿宋_GB2312" w:hAnsi="仿宋_GB2312" w:eastAsia="仿宋_GB2312" w:cs="仿宋_GB2312"/>
                <w:i w:val="0"/>
                <w:color w:val="000000"/>
                <w:sz w:val="24"/>
                <w:szCs w:val="24"/>
                <w:u w:val="none"/>
                <w:lang w:val="en-US" w:eastAsia="zh-CN"/>
              </w:rPr>
            </w:pPr>
            <w:r>
              <w:rPr>
                <w:rFonts w:hint="eastAsia" w:ascii="仿宋_GB2312" w:hAnsi="仿宋_GB2312" w:eastAsia="仿宋_GB2312" w:cs="仿宋_GB2312"/>
                <w:i w:val="0"/>
                <w:color w:val="000000"/>
                <w:sz w:val="24"/>
                <w:szCs w:val="24"/>
                <w:u w:val="none"/>
                <w:lang w:val="en-US" w:eastAsia="zh-CN"/>
              </w:rPr>
              <w:t>20</w:t>
            </w:r>
          </w:p>
        </w:tc>
        <w:tc>
          <w:tcPr>
            <w:tcW w:w="1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01DA1">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仿宋_GB2312" w:hAnsi="仿宋_GB2312" w:eastAsia="仿宋_GB2312" w:cs="仿宋_GB2312"/>
                <w:i w:val="0"/>
                <w:color w:val="000000"/>
                <w:sz w:val="24"/>
                <w:szCs w:val="24"/>
                <w:u w:val="none"/>
                <w:lang w:val="en-US" w:eastAsia="zh-CN"/>
              </w:rPr>
            </w:pPr>
            <w:r>
              <w:rPr>
                <w:rFonts w:hint="eastAsia" w:ascii="仿宋_GB2312" w:hAnsi="仿宋_GB2312" w:eastAsia="仿宋_GB2312" w:cs="仿宋_GB2312"/>
                <w:i w:val="0"/>
                <w:iCs w:val="0"/>
                <w:color w:val="000000"/>
                <w:kern w:val="0"/>
                <w:sz w:val="24"/>
                <w:szCs w:val="24"/>
                <w:u w:val="none"/>
                <w:lang w:val="en-US" w:eastAsia="zh-CN" w:bidi="ar"/>
              </w:rPr>
              <w:t>27.9658</w:t>
            </w:r>
          </w:p>
        </w:tc>
      </w:tr>
      <w:tr w14:paraId="39BB9F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44" w:hRule="atLeast"/>
          <w:jc w:val="center"/>
        </w:trPr>
        <w:tc>
          <w:tcPr>
            <w:tcW w:w="584" w:type="dxa"/>
            <w:vMerge w:val="continue"/>
            <w:tcBorders>
              <w:top w:val="single" w:color="000000" w:sz="4" w:space="0"/>
              <w:left w:val="single" w:color="000000" w:sz="4" w:space="0"/>
              <w:bottom w:val="single" w:color="000000" w:sz="4" w:space="0"/>
            </w:tcBorders>
            <w:shd w:val="clear" w:color="auto" w:fill="auto"/>
            <w:vAlign w:val="center"/>
          </w:tcPr>
          <w:p w14:paraId="421FD9AB">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仿宋_GB2312" w:hAnsi="仿宋_GB2312" w:eastAsia="仿宋_GB2312" w:cs="仿宋_GB2312"/>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90550">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产出指标</w:t>
            </w:r>
          </w:p>
        </w:tc>
        <w:tc>
          <w:tcPr>
            <w:tcW w:w="1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F9798">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质量指标</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C76F5">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审核合格率</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418EB">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仿宋_GB2312" w:hAnsi="仿宋_GB2312" w:eastAsia="仿宋_GB2312" w:cs="仿宋_GB2312"/>
                <w:i w:val="0"/>
                <w:color w:val="000000"/>
                <w:sz w:val="24"/>
                <w:szCs w:val="24"/>
                <w:u w:val="none"/>
                <w:lang w:val="en-US" w:eastAsia="zh-CN"/>
              </w:rPr>
            </w:pPr>
            <w:r>
              <w:rPr>
                <w:rFonts w:hint="eastAsia" w:ascii="仿宋_GB2312" w:hAnsi="仿宋_GB2312" w:eastAsia="仿宋_GB2312" w:cs="仿宋_GB2312"/>
                <w:i w:val="0"/>
                <w:color w:val="000000"/>
                <w:sz w:val="24"/>
                <w:szCs w:val="24"/>
                <w:u w:val="none"/>
                <w:lang w:val="en-US" w:eastAsia="zh-CN"/>
              </w:rPr>
              <w:t>≥</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CFACC">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100</w:t>
            </w:r>
          </w:p>
        </w:tc>
        <w:tc>
          <w:tcPr>
            <w:tcW w:w="9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24A0FD">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仿宋_GB2312" w:hAnsi="仿宋_GB2312" w:eastAsia="仿宋_GB2312" w:cs="仿宋_GB2312"/>
                <w:i w:val="0"/>
                <w:color w:val="000000"/>
                <w:sz w:val="24"/>
                <w:szCs w:val="24"/>
                <w:u w:val="none"/>
                <w:lang w:val="en-US" w:eastAsia="zh-CN"/>
              </w:rPr>
            </w:pPr>
            <w:r>
              <w:rPr>
                <w:rFonts w:hint="eastAsia" w:ascii="仿宋_GB2312" w:hAnsi="仿宋_GB2312" w:eastAsia="仿宋_GB2312" w:cs="仿宋_GB2312"/>
                <w:i w:val="0"/>
                <w:color w:val="000000"/>
                <w:sz w:val="24"/>
                <w:szCs w:val="24"/>
                <w:u w:val="none"/>
                <w:lang w:val="en-US" w:eastAsia="zh-CN"/>
              </w:rPr>
              <w:t>%</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C4F06">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仿宋_GB2312" w:hAnsi="仿宋_GB2312" w:eastAsia="仿宋_GB2312" w:cs="仿宋_GB2312"/>
                <w:i w:val="0"/>
                <w:color w:val="000000"/>
                <w:sz w:val="24"/>
                <w:szCs w:val="24"/>
                <w:u w:val="none"/>
                <w:lang w:val="en-US" w:eastAsia="zh-CN"/>
              </w:rPr>
            </w:pPr>
            <w:r>
              <w:rPr>
                <w:rFonts w:hint="eastAsia" w:ascii="仿宋_GB2312" w:hAnsi="仿宋_GB2312" w:eastAsia="仿宋_GB2312" w:cs="仿宋_GB2312"/>
                <w:i w:val="0"/>
                <w:color w:val="000000"/>
                <w:sz w:val="24"/>
                <w:szCs w:val="24"/>
                <w:u w:val="none"/>
                <w:lang w:val="en-US" w:eastAsia="zh-CN"/>
              </w:rPr>
              <w:t>20</w:t>
            </w:r>
          </w:p>
        </w:tc>
        <w:tc>
          <w:tcPr>
            <w:tcW w:w="1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8FEE7">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仿宋_GB2312" w:hAnsi="仿宋_GB2312" w:eastAsia="仿宋_GB2312" w:cs="仿宋_GB2312"/>
                <w:i w:val="0"/>
                <w:color w:val="000000"/>
                <w:sz w:val="24"/>
                <w:szCs w:val="24"/>
                <w:u w:val="none"/>
                <w:lang w:val="en-US" w:eastAsia="zh-CN"/>
              </w:rPr>
            </w:pPr>
            <w:r>
              <w:rPr>
                <w:rFonts w:hint="eastAsia" w:ascii="仿宋_GB2312" w:hAnsi="仿宋_GB2312" w:eastAsia="仿宋_GB2312" w:cs="仿宋_GB2312"/>
                <w:i w:val="0"/>
                <w:color w:val="000000"/>
                <w:sz w:val="24"/>
                <w:szCs w:val="24"/>
                <w:u w:val="none"/>
                <w:lang w:val="en-US" w:eastAsia="zh-CN"/>
              </w:rPr>
              <w:t>100</w:t>
            </w:r>
          </w:p>
        </w:tc>
      </w:tr>
      <w:tr w14:paraId="7F050C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44" w:hRule="atLeast"/>
          <w:jc w:val="center"/>
        </w:trPr>
        <w:tc>
          <w:tcPr>
            <w:tcW w:w="584" w:type="dxa"/>
            <w:vMerge w:val="continue"/>
            <w:tcBorders>
              <w:top w:val="single" w:color="000000" w:sz="4" w:space="0"/>
              <w:left w:val="single" w:color="000000" w:sz="4" w:space="0"/>
              <w:bottom w:val="single" w:color="000000" w:sz="4" w:space="0"/>
            </w:tcBorders>
            <w:shd w:val="clear" w:color="auto" w:fill="auto"/>
            <w:vAlign w:val="center"/>
          </w:tcPr>
          <w:p w14:paraId="7130EA3A">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仿宋_GB2312" w:hAnsi="仿宋_GB2312" w:eastAsia="仿宋_GB2312" w:cs="仿宋_GB2312"/>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14C53">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产出指标</w:t>
            </w:r>
          </w:p>
        </w:tc>
        <w:tc>
          <w:tcPr>
            <w:tcW w:w="1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C27EC">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时效指标</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03AC4">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完成时间</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4F592">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仿宋_GB2312" w:hAnsi="仿宋_GB2312" w:eastAsia="仿宋_GB2312" w:cs="仿宋_GB2312"/>
                <w:i w:val="0"/>
                <w:color w:val="000000"/>
                <w:sz w:val="24"/>
                <w:szCs w:val="24"/>
                <w:u w:val="none"/>
                <w:lang w:val="en-US" w:eastAsia="zh-CN"/>
              </w:rPr>
            </w:pPr>
            <w:r>
              <w:rPr>
                <w:rFonts w:hint="eastAsia" w:ascii="仿宋_GB2312" w:hAnsi="仿宋_GB2312" w:eastAsia="仿宋_GB2312" w:cs="仿宋_GB2312"/>
                <w:i w:val="0"/>
                <w:color w:val="000000"/>
                <w:sz w:val="24"/>
                <w:szCs w:val="24"/>
                <w:u w:val="none"/>
                <w:lang w:val="en-US" w:eastAsia="zh-CN"/>
              </w:rPr>
              <w:t>≤</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37F71">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3</w:t>
            </w:r>
          </w:p>
        </w:tc>
        <w:tc>
          <w:tcPr>
            <w:tcW w:w="9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7AA41F">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仿宋_GB2312" w:hAnsi="仿宋_GB2312" w:eastAsia="仿宋_GB2312" w:cs="仿宋_GB2312"/>
                <w:i w:val="0"/>
                <w:color w:val="000000"/>
                <w:sz w:val="24"/>
                <w:szCs w:val="24"/>
                <w:u w:val="none"/>
                <w:lang w:val="en-US" w:eastAsia="zh-CN"/>
              </w:rPr>
            </w:pPr>
            <w:r>
              <w:rPr>
                <w:rFonts w:hint="eastAsia" w:ascii="仿宋_GB2312" w:hAnsi="仿宋_GB2312" w:eastAsia="仿宋_GB2312" w:cs="仿宋_GB2312"/>
                <w:i w:val="0"/>
                <w:color w:val="000000"/>
                <w:sz w:val="24"/>
                <w:szCs w:val="24"/>
                <w:u w:val="none"/>
                <w:lang w:val="en-US" w:eastAsia="zh-CN"/>
              </w:rPr>
              <w:t>月</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62BDF">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仿宋_GB2312" w:hAnsi="仿宋_GB2312" w:eastAsia="仿宋_GB2312" w:cs="仿宋_GB2312"/>
                <w:i w:val="0"/>
                <w:color w:val="000000"/>
                <w:sz w:val="24"/>
                <w:szCs w:val="24"/>
                <w:u w:val="none"/>
                <w:lang w:val="en-US" w:eastAsia="zh-CN"/>
              </w:rPr>
            </w:pPr>
            <w:r>
              <w:rPr>
                <w:rFonts w:hint="eastAsia" w:ascii="仿宋_GB2312" w:hAnsi="仿宋_GB2312" w:eastAsia="仿宋_GB2312" w:cs="仿宋_GB2312"/>
                <w:i w:val="0"/>
                <w:color w:val="000000"/>
                <w:sz w:val="24"/>
                <w:szCs w:val="24"/>
                <w:u w:val="none"/>
                <w:lang w:val="en-US" w:eastAsia="zh-CN"/>
              </w:rPr>
              <w:t>10</w:t>
            </w:r>
          </w:p>
        </w:tc>
        <w:tc>
          <w:tcPr>
            <w:tcW w:w="1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1B911">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仿宋_GB2312" w:hAnsi="仿宋_GB2312" w:eastAsia="仿宋_GB2312" w:cs="仿宋_GB2312"/>
                <w:i w:val="0"/>
                <w:color w:val="000000"/>
                <w:sz w:val="24"/>
                <w:szCs w:val="24"/>
                <w:u w:val="none"/>
                <w:lang w:val="en-US" w:eastAsia="zh-CN"/>
              </w:rPr>
            </w:pPr>
            <w:r>
              <w:rPr>
                <w:rFonts w:hint="eastAsia" w:ascii="仿宋_GB2312" w:hAnsi="仿宋_GB2312" w:eastAsia="仿宋_GB2312" w:cs="仿宋_GB2312"/>
                <w:i w:val="0"/>
                <w:color w:val="000000"/>
                <w:sz w:val="24"/>
                <w:szCs w:val="24"/>
                <w:u w:val="none"/>
                <w:lang w:val="en-US" w:eastAsia="zh-CN"/>
              </w:rPr>
              <w:t>1</w:t>
            </w:r>
          </w:p>
        </w:tc>
      </w:tr>
      <w:tr w14:paraId="157B25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88" w:hRule="atLeast"/>
          <w:jc w:val="center"/>
        </w:trPr>
        <w:tc>
          <w:tcPr>
            <w:tcW w:w="584" w:type="dxa"/>
            <w:vMerge w:val="continue"/>
            <w:tcBorders>
              <w:top w:val="single" w:color="000000" w:sz="4" w:space="0"/>
              <w:left w:val="single" w:color="000000" w:sz="4" w:space="0"/>
              <w:bottom w:val="single" w:color="000000" w:sz="4" w:space="0"/>
            </w:tcBorders>
            <w:shd w:val="clear" w:color="auto" w:fill="auto"/>
            <w:vAlign w:val="center"/>
          </w:tcPr>
          <w:p w14:paraId="5483530B">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仿宋_GB2312" w:hAnsi="仿宋_GB2312" w:eastAsia="仿宋_GB2312" w:cs="仿宋_GB2312"/>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7410A">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效益指标</w:t>
            </w:r>
          </w:p>
        </w:tc>
        <w:tc>
          <w:tcPr>
            <w:tcW w:w="1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17276">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社会效益</w:t>
            </w:r>
          </w:p>
          <w:p w14:paraId="43323C4B">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指标</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C75B0">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color w:val="000000"/>
                <w:sz w:val="24"/>
                <w:szCs w:val="24"/>
                <w:u w:val="none"/>
                <w:lang w:val="en-US"/>
              </w:rPr>
            </w:pPr>
            <w:r>
              <w:rPr>
                <w:rFonts w:hint="eastAsia" w:ascii="仿宋_GB2312" w:hAnsi="仿宋_GB2312" w:eastAsia="仿宋_GB2312" w:cs="仿宋_GB2312"/>
                <w:i w:val="0"/>
                <w:iCs w:val="0"/>
                <w:color w:val="000000"/>
                <w:kern w:val="0"/>
                <w:sz w:val="24"/>
                <w:szCs w:val="24"/>
                <w:u w:val="none"/>
                <w:lang w:val="en-US" w:eastAsia="zh-CN" w:bidi="ar"/>
              </w:rPr>
              <w:t>促进我市经济发展</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BAC16">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仿宋_GB2312" w:hAnsi="仿宋_GB2312" w:eastAsia="仿宋_GB2312" w:cs="仿宋_GB2312"/>
                <w:i w:val="0"/>
                <w:color w:val="000000"/>
                <w:sz w:val="24"/>
                <w:szCs w:val="24"/>
                <w:u w:val="none"/>
                <w:lang w:val="en-US" w:eastAsia="zh-CN"/>
              </w:rPr>
            </w:pPr>
            <w:r>
              <w:rPr>
                <w:rFonts w:hint="eastAsia" w:ascii="仿宋_GB2312" w:hAnsi="仿宋_GB2312" w:eastAsia="仿宋_GB2312" w:cs="仿宋_GB2312"/>
                <w:i w:val="0"/>
                <w:color w:val="000000"/>
                <w:sz w:val="24"/>
                <w:szCs w:val="24"/>
                <w:u w:val="none"/>
                <w:lang w:val="en-US" w:eastAsia="zh-CN"/>
              </w:rPr>
              <w:t>定性</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F062D">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color w:val="000000"/>
                <w:sz w:val="24"/>
                <w:szCs w:val="24"/>
                <w:u w:val="none"/>
                <w:lang w:val="en-US" w:eastAsia="zh-CN"/>
              </w:rPr>
            </w:pPr>
            <w:r>
              <w:rPr>
                <w:rFonts w:hint="eastAsia" w:ascii="仿宋_GB2312" w:hAnsi="仿宋_GB2312" w:eastAsia="仿宋_GB2312" w:cs="仿宋_GB2312"/>
                <w:i w:val="0"/>
                <w:iCs w:val="0"/>
                <w:color w:val="000000"/>
                <w:kern w:val="0"/>
                <w:sz w:val="24"/>
                <w:szCs w:val="24"/>
                <w:u w:val="none"/>
                <w:lang w:val="en-US" w:eastAsia="zh-CN" w:bidi="ar"/>
              </w:rPr>
              <w:t>良好</w:t>
            </w:r>
          </w:p>
        </w:tc>
        <w:tc>
          <w:tcPr>
            <w:tcW w:w="9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76A0A8">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仿宋_GB2312" w:hAnsi="仿宋_GB2312" w:eastAsia="仿宋_GB2312" w:cs="仿宋_GB2312"/>
                <w:i w:val="0"/>
                <w:color w:val="000000"/>
                <w:sz w:val="24"/>
                <w:szCs w:val="24"/>
                <w:u w:val="none"/>
                <w:lang w:val="en-US" w:eastAsia="zh-CN"/>
              </w:rPr>
            </w:pPr>
            <w:r>
              <w:rPr>
                <w:rFonts w:hint="eastAsia" w:ascii="仿宋_GB2312" w:hAnsi="仿宋_GB2312" w:eastAsia="仿宋_GB2312" w:cs="仿宋_GB2312"/>
                <w:i w:val="0"/>
                <w:color w:val="000000"/>
                <w:sz w:val="24"/>
                <w:szCs w:val="24"/>
                <w:u w:val="none"/>
                <w:lang w:val="en-US" w:eastAsia="zh-CN"/>
              </w:rPr>
              <w:t>级</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C6C6B">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仿宋_GB2312" w:hAnsi="仿宋_GB2312" w:eastAsia="仿宋_GB2312" w:cs="仿宋_GB2312"/>
                <w:i w:val="0"/>
                <w:color w:val="000000"/>
                <w:sz w:val="24"/>
                <w:szCs w:val="24"/>
                <w:u w:val="none"/>
                <w:lang w:val="en-US" w:eastAsia="zh-CN"/>
              </w:rPr>
            </w:pPr>
            <w:r>
              <w:rPr>
                <w:rFonts w:hint="eastAsia" w:ascii="仿宋_GB2312" w:hAnsi="仿宋_GB2312" w:eastAsia="仿宋_GB2312" w:cs="仿宋_GB2312"/>
                <w:i w:val="0"/>
                <w:color w:val="000000"/>
                <w:sz w:val="24"/>
                <w:szCs w:val="24"/>
                <w:u w:val="none"/>
                <w:lang w:val="en-US" w:eastAsia="zh-CN"/>
              </w:rPr>
              <w:t>20</w:t>
            </w:r>
          </w:p>
        </w:tc>
        <w:tc>
          <w:tcPr>
            <w:tcW w:w="1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E0E87">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仿宋_GB2312" w:hAnsi="仿宋_GB2312" w:eastAsia="仿宋_GB2312" w:cs="仿宋_GB2312"/>
                <w:i w:val="0"/>
                <w:color w:val="000000"/>
                <w:sz w:val="24"/>
                <w:szCs w:val="24"/>
                <w:u w:val="none"/>
                <w:lang w:val="en-US" w:eastAsia="zh-CN"/>
              </w:rPr>
            </w:pPr>
            <w:r>
              <w:rPr>
                <w:rFonts w:hint="eastAsia" w:ascii="仿宋_GB2312" w:hAnsi="仿宋_GB2312" w:eastAsia="仿宋_GB2312" w:cs="仿宋_GB2312"/>
                <w:i w:val="0"/>
                <w:color w:val="000000"/>
                <w:sz w:val="24"/>
                <w:szCs w:val="24"/>
                <w:u w:val="none"/>
                <w:lang w:val="en-US" w:eastAsia="zh-CN"/>
              </w:rPr>
              <w:t>良好</w:t>
            </w:r>
          </w:p>
        </w:tc>
      </w:tr>
      <w:tr w14:paraId="668B3F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788" w:hRule="atLeast"/>
          <w:jc w:val="center"/>
        </w:trPr>
        <w:tc>
          <w:tcPr>
            <w:tcW w:w="584" w:type="dxa"/>
            <w:tcBorders>
              <w:top w:val="single" w:color="000000" w:sz="4" w:space="0"/>
              <w:left w:val="single" w:color="000000" w:sz="4" w:space="0"/>
              <w:bottom w:val="single" w:color="000000" w:sz="4" w:space="0"/>
            </w:tcBorders>
            <w:shd w:val="clear" w:color="auto" w:fill="auto"/>
            <w:vAlign w:val="center"/>
          </w:tcPr>
          <w:p w14:paraId="7FD64BC9">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仿宋_GB2312" w:hAnsi="仿宋_GB2312" w:eastAsia="仿宋_GB2312" w:cs="仿宋_GB2312"/>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21BBE">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满意度指标</w:t>
            </w:r>
          </w:p>
        </w:tc>
        <w:tc>
          <w:tcPr>
            <w:tcW w:w="1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EEEE1">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满意度指标</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A28FA">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仿宋_GB2312" w:hAnsi="仿宋_GB2312" w:eastAsia="仿宋_GB2312" w:cs="仿宋_GB2312"/>
                <w:i w:val="0"/>
                <w:color w:val="000000"/>
                <w:sz w:val="24"/>
                <w:szCs w:val="24"/>
                <w:u w:val="none"/>
                <w:lang w:val="en-US" w:eastAsia="zh-CN"/>
              </w:rPr>
            </w:pPr>
            <w:r>
              <w:rPr>
                <w:rFonts w:hint="eastAsia" w:ascii="仿宋_GB2312" w:hAnsi="仿宋_GB2312" w:eastAsia="仿宋_GB2312" w:cs="仿宋_GB2312"/>
                <w:i w:val="0"/>
                <w:color w:val="000000"/>
                <w:sz w:val="24"/>
                <w:szCs w:val="24"/>
                <w:u w:val="none"/>
                <w:lang w:val="en-US" w:eastAsia="zh-CN"/>
              </w:rPr>
              <w:t>被征地群众满意度</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774EA">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仿宋_GB2312" w:hAnsi="仿宋_GB2312" w:eastAsia="仿宋_GB2312" w:cs="仿宋_GB2312"/>
                <w:i w:val="0"/>
                <w:color w:val="000000"/>
                <w:sz w:val="24"/>
                <w:szCs w:val="24"/>
                <w:u w:val="none"/>
                <w:lang w:val="en-US" w:eastAsia="zh-CN"/>
              </w:rPr>
            </w:pPr>
            <w:r>
              <w:rPr>
                <w:rFonts w:hint="eastAsia" w:ascii="仿宋_GB2312" w:hAnsi="仿宋_GB2312" w:eastAsia="仿宋_GB2312" w:cs="仿宋_GB2312"/>
                <w:i w:val="0"/>
                <w:color w:val="000000"/>
                <w:sz w:val="24"/>
                <w:szCs w:val="24"/>
                <w:u w:val="none"/>
                <w:lang w:val="en-US" w:eastAsia="zh-CN"/>
              </w:rPr>
              <w:t>≥</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B1035">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color w:val="000000"/>
                <w:sz w:val="24"/>
                <w:szCs w:val="24"/>
                <w:u w:val="none"/>
                <w:lang w:val="en-US" w:eastAsia="zh-CN"/>
              </w:rPr>
            </w:pPr>
            <w:r>
              <w:rPr>
                <w:rFonts w:hint="eastAsia" w:ascii="仿宋_GB2312" w:hAnsi="仿宋_GB2312" w:eastAsia="仿宋_GB2312" w:cs="仿宋_GB2312"/>
                <w:i w:val="0"/>
                <w:iCs w:val="0"/>
                <w:color w:val="000000"/>
                <w:kern w:val="0"/>
                <w:sz w:val="24"/>
                <w:szCs w:val="24"/>
                <w:u w:val="none"/>
                <w:lang w:val="en-US" w:eastAsia="zh-CN" w:bidi="ar"/>
              </w:rPr>
              <w:t>95</w:t>
            </w:r>
          </w:p>
        </w:tc>
        <w:tc>
          <w:tcPr>
            <w:tcW w:w="9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9514F8">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仿宋_GB2312" w:hAnsi="仿宋_GB2312" w:eastAsia="仿宋_GB2312" w:cs="仿宋_GB2312"/>
                <w:i w:val="0"/>
                <w:color w:val="000000"/>
                <w:sz w:val="24"/>
                <w:szCs w:val="24"/>
                <w:u w:val="none"/>
                <w:lang w:val="en-US" w:eastAsia="zh-CN"/>
              </w:rPr>
            </w:pPr>
            <w:r>
              <w:rPr>
                <w:rFonts w:hint="eastAsia" w:ascii="仿宋_GB2312" w:hAnsi="仿宋_GB2312" w:eastAsia="仿宋_GB2312" w:cs="仿宋_GB2312"/>
                <w:i w:val="0"/>
                <w:color w:val="000000"/>
                <w:sz w:val="24"/>
                <w:szCs w:val="24"/>
                <w:u w:val="none"/>
                <w:lang w:val="en-US" w:eastAsia="zh-CN"/>
              </w:rPr>
              <w:t>%</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772F4">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仿宋_GB2312" w:hAnsi="仿宋_GB2312" w:eastAsia="仿宋_GB2312" w:cs="仿宋_GB2312"/>
                <w:i w:val="0"/>
                <w:color w:val="000000"/>
                <w:sz w:val="24"/>
                <w:szCs w:val="24"/>
                <w:u w:val="none"/>
                <w:lang w:val="en-US" w:eastAsia="zh-CN"/>
              </w:rPr>
            </w:pPr>
            <w:r>
              <w:rPr>
                <w:rFonts w:hint="eastAsia" w:ascii="仿宋_GB2312" w:hAnsi="仿宋_GB2312" w:eastAsia="仿宋_GB2312" w:cs="仿宋_GB2312"/>
                <w:i w:val="0"/>
                <w:color w:val="000000"/>
                <w:sz w:val="24"/>
                <w:szCs w:val="24"/>
                <w:u w:val="none"/>
                <w:lang w:val="en-US" w:eastAsia="zh-CN"/>
              </w:rPr>
              <w:t>10</w:t>
            </w:r>
          </w:p>
        </w:tc>
        <w:tc>
          <w:tcPr>
            <w:tcW w:w="1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26B13">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仿宋_GB2312" w:hAnsi="仿宋_GB2312" w:eastAsia="仿宋_GB2312" w:cs="仿宋_GB2312"/>
                <w:i w:val="0"/>
                <w:color w:val="000000"/>
                <w:sz w:val="24"/>
                <w:szCs w:val="24"/>
                <w:u w:val="none"/>
                <w:lang w:val="en-US" w:eastAsia="zh-CN"/>
              </w:rPr>
            </w:pPr>
            <w:r>
              <w:rPr>
                <w:rFonts w:hint="eastAsia" w:ascii="仿宋_GB2312" w:hAnsi="仿宋_GB2312" w:eastAsia="仿宋_GB2312" w:cs="仿宋_GB2312"/>
                <w:i w:val="0"/>
                <w:color w:val="000000"/>
                <w:sz w:val="24"/>
                <w:szCs w:val="24"/>
                <w:u w:val="none"/>
                <w:lang w:val="en-US" w:eastAsia="zh-CN"/>
              </w:rPr>
              <w:t>95</w:t>
            </w:r>
          </w:p>
        </w:tc>
      </w:tr>
      <w:tr w14:paraId="2A0583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09" w:hRule="atLeast"/>
          <w:jc w:val="center"/>
        </w:trPr>
        <w:tc>
          <w:tcPr>
            <w:tcW w:w="584" w:type="dxa"/>
            <w:tcBorders>
              <w:top w:val="single" w:color="000000" w:sz="4" w:space="0"/>
              <w:left w:val="single" w:color="000000" w:sz="4" w:space="0"/>
              <w:bottom w:val="single" w:color="000000" w:sz="4" w:space="0"/>
            </w:tcBorders>
            <w:shd w:val="clear" w:color="auto" w:fill="auto"/>
            <w:vAlign w:val="center"/>
          </w:tcPr>
          <w:p w14:paraId="0F73233C">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仿宋_GB2312" w:hAnsi="仿宋_GB2312" w:eastAsia="仿宋_GB2312" w:cs="仿宋_GB2312"/>
                <w:i w:val="0"/>
                <w:color w:val="000000"/>
                <w:sz w:val="24"/>
                <w:szCs w:val="24"/>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48ADB">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成本指标</w:t>
            </w:r>
          </w:p>
        </w:tc>
        <w:tc>
          <w:tcPr>
            <w:tcW w:w="1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109B0">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经济成本指标</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CA63F">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仿宋_GB2312" w:hAnsi="仿宋_GB2312" w:eastAsia="仿宋_GB2312" w:cs="仿宋_GB2312"/>
                <w:i w:val="0"/>
                <w:color w:val="000000"/>
                <w:sz w:val="24"/>
                <w:szCs w:val="24"/>
                <w:u w:val="none"/>
                <w:lang w:val="en-US" w:eastAsia="zh-CN"/>
              </w:rPr>
            </w:pPr>
            <w:r>
              <w:rPr>
                <w:rFonts w:hint="eastAsia" w:ascii="仿宋_GB2312" w:hAnsi="仿宋_GB2312" w:eastAsia="仿宋_GB2312" w:cs="仿宋_GB2312"/>
                <w:i w:val="0"/>
                <w:color w:val="000000"/>
                <w:sz w:val="24"/>
                <w:szCs w:val="24"/>
                <w:u w:val="none"/>
                <w:lang w:val="en-US" w:eastAsia="zh-CN"/>
              </w:rPr>
              <w:t>预算控制数</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1C165">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仿宋_GB2312" w:hAnsi="仿宋_GB2312" w:eastAsia="仿宋_GB2312" w:cs="仿宋_GB2312"/>
                <w:i w:val="0"/>
                <w:color w:val="000000"/>
                <w:sz w:val="24"/>
                <w:szCs w:val="24"/>
                <w:u w:val="none"/>
                <w:lang w:val="en-US" w:eastAsia="zh-CN"/>
              </w:rPr>
            </w:pPr>
            <w:r>
              <w:rPr>
                <w:rFonts w:hint="eastAsia" w:ascii="仿宋_GB2312" w:hAnsi="仿宋_GB2312" w:eastAsia="仿宋_GB2312" w:cs="仿宋_GB2312"/>
                <w:i w:val="0"/>
                <w:color w:val="000000"/>
                <w:sz w:val="24"/>
                <w:szCs w:val="24"/>
                <w:u w:val="none"/>
                <w:lang w:val="en-US" w:eastAsia="zh-CN"/>
              </w:rPr>
              <w:t>≤</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AE423">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color w:val="000000"/>
                <w:sz w:val="24"/>
                <w:szCs w:val="24"/>
                <w:u w:val="none"/>
                <w:lang w:val="en-US" w:eastAsia="zh-CN"/>
              </w:rPr>
              <w:t>106.7086</w:t>
            </w:r>
          </w:p>
        </w:tc>
        <w:tc>
          <w:tcPr>
            <w:tcW w:w="9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1D10E4">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仿宋_GB2312" w:hAnsi="仿宋_GB2312" w:eastAsia="仿宋_GB2312" w:cs="仿宋_GB2312"/>
                <w:i w:val="0"/>
                <w:color w:val="000000"/>
                <w:sz w:val="24"/>
                <w:szCs w:val="24"/>
                <w:u w:val="none"/>
                <w:lang w:val="en-US" w:eastAsia="zh-CN"/>
              </w:rPr>
            </w:pPr>
            <w:r>
              <w:rPr>
                <w:rFonts w:hint="eastAsia" w:ascii="仿宋_GB2312" w:hAnsi="仿宋_GB2312" w:eastAsia="仿宋_GB2312" w:cs="仿宋_GB2312"/>
                <w:i w:val="0"/>
                <w:color w:val="000000"/>
                <w:sz w:val="24"/>
                <w:szCs w:val="24"/>
                <w:u w:val="none"/>
                <w:lang w:val="en-US" w:eastAsia="zh-CN"/>
              </w:rPr>
              <w:t>万元</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204CC">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仿宋_GB2312" w:hAnsi="仿宋_GB2312" w:eastAsia="仿宋_GB2312" w:cs="仿宋_GB2312"/>
                <w:i w:val="0"/>
                <w:color w:val="000000"/>
                <w:sz w:val="24"/>
                <w:szCs w:val="24"/>
                <w:u w:val="none"/>
                <w:lang w:val="en-US" w:eastAsia="zh-CN"/>
              </w:rPr>
            </w:pPr>
            <w:r>
              <w:rPr>
                <w:rFonts w:hint="eastAsia" w:ascii="仿宋_GB2312" w:hAnsi="仿宋_GB2312" w:eastAsia="仿宋_GB2312" w:cs="仿宋_GB2312"/>
                <w:i w:val="0"/>
                <w:color w:val="000000"/>
                <w:sz w:val="24"/>
                <w:szCs w:val="24"/>
                <w:u w:val="none"/>
                <w:lang w:val="en-US" w:eastAsia="zh-CN"/>
              </w:rPr>
              <w:t>20</w:t>
            </w:r>
          </w:p>
        </w:tc>
        <w:tc>
          <w:tcPr>
            <w:tcW w:w="1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09705">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仿宋_GB2312" w:hAnsi="仿宋_GB2312" w:eastAsia="仿宋_GB2312" w:cs="仿宋_GB2312"/>
                <w:i w:val="0"/>
                <w:color w:val="000000"/>
                <w:sz w:val="24"/>
                <w:szCs w:val="24"/>
                <w:u w:val="none"/>
                <w:lang w:val="en-US" w:eastAsia="zh-CN"/>
              </w:rPr>
            </w:pPr>
            <w:r>
              <w:rPr>
                <w:rFonts w:hint="eastAsia" w:ascii="仿宋_GB2312" w:hAnsi="仿宋_GB2312" w:eastAsia="仿宋_GB2312" w:cs="仿宋_GB2312"/>
                <w:i w:val="0"/>
                <w:color w:val="000000"/>
                <w:sz w:val="24"/>
                <w:szCs w:val="24"/>
                <w:u w:val="none"/>
                <w:lang w:val="en-US" w:eastAsia="zh-CN"/>
              </w:rPr>
              <w:t>106.7086</w:t>
            </w:r>
          </w:p>
        </w:tc>
      </w:tr>
    </w:tbl>
    <w:p w14:paraId="654CA798">
      <w:pPr>
        <w:pStyle w:val="16"/>
        <w:keepNext w:val="0"/>
        <w:keepLines w:val="0"/>
        <w:pageBreakBefore w:val="0"/>
        <w:kinsoku/>
        <w:wordWrap/>
        <w:overflowPunct/>
        <w:topLinePunct w:val="0"/>
        <w:autoSpaceDE/>
        <w:autoSpaceDN/>
        <w:bidi w:val="0"/>
        <w:spacing w:after="0" w:line="578" w:lineRule="exact"/>
        <w:ind w:left="0" w:leftChars="0"/>
        <w:rPr>
          <w:rFonts w:hint="default" w:ascii="黑体" w:hAnsi="黑体" w:eastAsia="黑体" w:cs="黑体"/>
          <w:sz w:val="24"/>
          <w:szCs w:val="24"/>
          <w:highlight w:val="none"/>
          <w:lang w:val="en-US" w:eastAsia="zh-CN"/>
        </w:rPr>
      </w:pPr>
    </w:p>
    <w:p w14:paraId="26C34554">
      <w:pPr>
        <w:rPr>
          <w:rFonts w:hint="default" w:ascii="黑体" w:hAnsi="黑体" w:eastAsia="黑体" w:cs="黑体"/>
          <w:sz w:val="24"/>
          <w:szCs w:val="24"/>
          <w:highlight w:val="none"/>
          <w:lang w:val="en-US" w:eastAsia="zh-CN"/>
        </w:rPr>
      </w:pPr>
      <w:r>
        <w:rPr>
          <w:rFonts w:hint="default" w:ascii="黑体" w:hAnsi="黑体" w:eastAsia="黑体" w:cs="黑体"/>
          <w:sz w:val="24"/>
          <w:szCs w:val="24"/>
          <w:highlight w:val="none"/>
          <w:lang w:val="en-US" w:eastAsia="zh-CN"/>
        </w:rPr>
        <w:br w:type="page"/>
      </w:r>
    </w:p>
    <w:p w14:paraId="4D556526">
      <w:pPr>
        <w:pStyle w:val="37"/>
        <w:keepNext w:val="0"/>
        <w:keepLines w:val="0"/>
        <w:pageBreakBefore w:val="0"/>
        <w:widowControl w:val="0"/>
        <w:kinsoku/>
        <w:wordWrap/>
        <w:overflowPunct/>
        <w:topLinePunct w:val="0"/>
        <w:autoSpaceDE/>
        <w:autoSpaceDN/>
        <w:bidi w:val="0"/>
        <w:spacing w:line="578" w:lineRule="exact"/>
        <w:ind w:left="0" w:leftChars="0"/>
        <w:jc w:val="center"/>
        <w:textAlignment w:val="auto"/>
        <w:rPr>
          <w:rFonts w:hint="default" w:ascii="方正小标宋简体" w:hAnsi="方正小标宋简体" w:eastAsia="方正小标宋简体" w:cs="方正小标宋简体"/>
          <w:color w:val="auto"/>
          <w:kern w:val="2"/>
          <w:sz w:val="44"/>
          <w:szCs w:val="44"/>
          <w:highlight w:val="none"/>
          <w:lang w:val="en-US" w:eastAsia="zh-CN"/>
        </w:rPr>
      </w:pPr>
      <w:r>
        <w:rPr>
          <w:rFonts w:hint="eastAsia" w:ascii="方正小标宋简体" w:hAnsi="方正小标宋简体" w:eastAsia="方正小标宋简体" w:cs="方正小标宋简体"/>
          <w:color w:val="auto"/>
          <w:kern w:val="2"/>
          <w:sz w:val="44"/>
          <w:szCs w:val="44"/>
          <w:highlight w:val="none"/>
          <w:lang w:val="en-US" w:eastAsia="zh-CN"/>
        </w:rPr>
        <w:t>广元市自然资源局</w:t>
      </w:r>
    </w:p>
    <w:p w14:paraId="2456D57B">
      <w:pPr>
        <w:pStyle w:val="37"/>
        <w:keepNext w:val="0"/>
        <w:keepLines w:val="0"/>
        <w:pageBreakBefore w:val="0"/>
        <w:widowControl w:val="0"/>
        <w:kinsoku/>
        <w:wordWrap/>
        <w:overflowPunct/>
        <w:topLinePunct w:val="0"/>
        <w:autoSpaceDE/>
        <w:autoSpaceDN/>
        <w:bidi w:val="0"/>
        <w:spacing w:line="578" w:lineRule="exact"/>
        <w:ind w:left="0" w:leftChars="0"/>
        <w:jc w:val="center"/>
        <w:textAlignment w:val="auto"/>
        <w:rPr>
          <w:rFonts w:hint="eastAsia" w:ascii="方正小标宋简体" w:hAnsi="方正小标宋简体" w:eastAsia="方正小标宋简体" w:cs="方正小标宋简体"/>
          <w:color w:val="auto"/>
          <w:kern w:val="2"/>
          <w:sz w:val="44"/>
          <w:szCs w:val="44"/>
          <w:highlight w:val="none"/>
          <w:lang w:val="en-US" w:eastAsia="zh-CN"/>
        </w:rPr>
      </w:pPr>
      <w:r>
        <w:rPr>
          <w:rFonts w:hint="eastAsia" w:ascii="方正小标宋简体" w:hAnsi="方正小标宋简体" w:eastAsia="方正小标宋简体" w:cs="方正小标宋简体"/>
          <w:color w:val="auto"/>
          <w:kern w:val="2"/>
          <w:sz w:val="44"/>
          <w:szCs w:val="44"/>
          <w:highlight w:val="none"/>
          <w:lang w:val="en-US" w:eastAsia="zh-CN"/>
        </w:rPr>
        <w:t>关于广元市矿产资源调查项目专项预算项目绩效评价报告</w:t>
      </w:r>
    </w:p>
    <w:p w14:paraId="5044F1AA">
      <w:pPr>
        <w:pStyle w:val="37"/>
        <w:keepNext w:val="0"/>
        <w:keepLines w:val="0"/>
        <w:pageBreakBefore w:val="0"/>
        <w:widowControl w:val="0"/>
        <w:kinsoku/>
        <w:wordWrap/>
        <w:overflowPunct/>
        <w:topLinePunct w:val="0"/>
        <w:autoSpaceDE/>
        <w:autoSpaceDN/>
        <w:bidi w:val="0"/>
        <w:spacing w:line="578" w:lineRule="exact"/>
        <w:ind w:left="0" w:leftChars="0" w:firstLine="640"/>
        <w:jc w:val="center"/>
        <w:textAlignment w:val="auto"/>
        <w:rPr>
          <w:rFonts w:ascii="宋体" w:hAnsi="宋体"/>
          <w:color w:val="auto"/>
          <w:kern w:val="2"/>
          <w:sz w:val="32"/>
          <w:szCs w:val="32"/>
          <w:highlight w:val="none"/>
        </w:rPr>
      </w:pPr>
    </w:p>
    <w:p w14:paraId="49EFB34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黑体" w:hAnsi="宋体" w:eastAsia="黑体" w:cs="Times New Roman"/>
          <w:sz w:val="32"/>
          <w:szCs w:val="32"/>
          <w:highlight w:val="none"/>
          <w:lang w:val="zh-CN" w:eastAsia="zh-CN"/>
        </w:rPr>
      </w:pPr>
      <w:r>
        <w:rPr>
          <w:rFonts w:hint="eastAsia" w:ascii="黑体" w:hAnsi="宋体" w:eastAsia="黑体" w:cs="Times New Roman"/>
          <w:sz w:val="32"/>
          <w:szCs w:val="32"/>
          <w:highlight w:val="none"/>
          <w:lang w:val="zh-CN" w:eastAsia="zh-CN"/>
        </w:rPr>
        <w:t>一、项目概况</w:t>
      </w:r>
    </w:p>
    <w:p w14:paraId="45885967">
      <w:pPr>
        <w:numPr>
          <w:ilvl w:val="0"/>
          <w:numId w:val="0"/>
        </w:numPr>
        <w:spacing w:line="580" w:lineRule="exact"/>
        <w:ind w:firstLine="643" w:firstLineChars="200"/>
        <w:rPr>
          <w:rFonts w:hint="eastAsia"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（一）设立背景及基本情况。</w:t>
      </w:r>
    </w:p>
    <w:p w14:paraId="69635B1F">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both"/>
        <w:textAlignment w:val="auto"/>
        <w:rPr>
          <w:rFonts w:hint="default" w:ascii="仿宋_GB2312" w:hAnsi="仿宋_GB2312" w:eastAsia="仿宋_GB2312" w:cs="仿宋_GB2312"/>
          <w:b w:val="0"/>
          <w:bCs w:val="0"/>
          <w:color w:val="auto"/>
          <w:kern w:val="0"/>
          <w:sz w:val="32"/>
          <w:szCs w:val="32"/>
          <w:highlight w:val="none"/>
          <w:u w:val="none"/>
          <w:shd w:val="clear" w:color="auto" w:fill="FFFFFF"/>
          <w:lang w:val="en-US" w:eastAsia="zh-CN"/>
        </w:rPr>
      </w:pPr>
      <w:r>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t>为深入贯彻实施国家新一轮找矿突破战略行动和市委“1345”发展战略，加速推进资源优势向产业优势转变，提高矿产资源保障能力，全力推动我市硅基新材料产业高质量发展。为落实市委、市政府关于摸清全市矿产资源家底的工作安排。我局启动全市矿产资源调查有关工作。该项目的主要内容一是对全市范围内矿产资源进行初步摸排调查，掌握全市各类矿产资源分不情况、开发利用现状。二是立足我市矿产资源禀赋实际，筛选目前市场紧缺急需和资源储量丰富、价值潜力大的矿种，初步圈定勘察区块。三是通过调查取样工作，逐个对区块进行查证，将筛选资源禀赋好且成熟的区块纳入全市第四轮矿产资源总体规划（2021-20250）。通过系统详细的资料收集、分析研究与现场调查踏勘、取样分析，预估资源量，完成广元市矿产资源调查报告文图编制。结合工作实际，经过财政评审，我局申报经费165万元。</w:t>
      </w:r>
    </w:p>
    <w:p w14:paraId="3CADD7CF">
      <w:pPr>
        <w:keepNext w:val="0"/>
        <w:keepLines w:val="0"/>
        <w:pageBreakBefore w:val="0"/>
        <w:widowControl w:val="0"/>
        <w:kinsoku/>
        <w:wordWrap/>
        <w:overflowPunct/>
        <w:topLinePunct w:val="0"/>
        <w:autoSpaceDE/>
        <w:autoSpaceDN/>
        <w:bidi w:val="0"/>
        <w:adjustRightInd/>
        <w:snapToGrid/>
        <w:spacing w:line="576" w:lineRule="exact"/>
        <w:ind w:left="0" w:firstLine="643" w:firstLineChars="200"/>
        <w:jc w:val="both"/>
        <w:textAlignment w:val="auto"/>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pPr>
      <w:r>
        <w:rPr>
          <w:rFonts w:hint="eastAsia" w:ascii="楷体_GB2312" w:hAnsi="宋体" w:eastAsia="楷体_GB2312" w:cs="Times New Roman"/>
          <w:b/>
          <w:color w:val="auto"/>
          <w:sz w:val="32"/>
          <w:szCs w:val="32"/>
          <w:highlight w:val="none"/>
          <w:u w:val="none"/>
          <w:lang w:val="en-US" w:eastAsia="zh-CN"/>
        </w:rPr>
        <w:t>（二）</w:t>
      </w:r>
      <w:r>
        <w:rPr>
          <w:rFonts w:hint="default" w:ascii="楷体_GB2312" w:hAnsi="宋体" w:eastAsia="楷体_GB2312" w:cs="Times New Roman"/>
          <w:b/>
          <w:color w:val="auto"/>
          <w:sz w:val="32"/>
          <w:szCs w:val="32"/>
          <w:highlight w:val="none"/>
          <w:u w:val="none"/>
          <w:lang w:val="en-US" w:eastAsia="zh-CN"/>
        </w:rPr>
        <w:t>实施目的及支持方向</w:t>
      </w:r>
      <w:r>
        <w:rPr>
          <w:rFonts w:hint="eastAsia" w:ascii="楷体_GB2312" w:hAnsi="宋体" w:eastAsia="楷体_GB2312" w:cs="Times New Roman"/>
          <w:b/>
          <w:color w:val="auto"/>
          <w:sz w:val="32"/>
          <w:szCs w:val="32"/>
          <w:highlight w:val="none"/>
          <w:u w:val="none"/>
          <w:lang w:val="en-US" w:eastAsia="zh-CN"/>
        </w:rPr>
        <w:t>。</w:t>
      </w:r>
      <w:r>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t>我局制度了《财务管理制度》、《专项资金管理制度》、《三重一大制度》《政府采购内控管理制度》等相关制度。我局</w:t>
      </w:r>
      <w:r>
        <w:rPr>
          <w:rFonts w:hint="default" w:ascii="仿宋_GB2312" w:hAnsi="仿宋_GB2312" w:eastAsia="仿宋_GB2312" w:cs="仿宋_GB2312"/>
          <w:b w:val="0"/>
          <w:bCs w:val="0"/>
          <w:color w:val="auto"/>
          <w:kern w:val="0"/>
          <w:sz w:val="32"/>
          <w:szCs w:val="32"/>
          <w:highlight w:val="none"/>
          <w:u w:val="none"/>
          <w:shd w:val="clear" w:color="auto" w:fill="FFFFFF"/>
          <w:lang w:val="en-US" w:eastAsia="zh-CN"/>
        </w:rPr>
        <w:t>严格按照项目管理有关规定管理专项经费，为保障项目资金安全，确保资金专款专用， 从资金申请、资金使用、会计核算三个环节加强资金管理，在项目资金申请环节，严格按照国库集中支付流程申请财政资金；在资金使用环节，严格遵守相关法律法规规定，严格按照单位财务管理审批流程办理款项支付；在会计核算环节，对本项目资金实行单独核算，确保专款专用</w:t>
      </w:r>
      <w:r>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t>。编制完成《广元市矿产资源调查报告》共4分，密资料29件；广元市矿产资源分布图、开发利用现状图、矿产资源量预测图、重点优势矿种分布图本报告分析总结2套。专家组已审核通过。本报告分析总结了主要（优势）矿产分布规律和成矿特征，通过典型矿床研究对比，推荐了具有找矿远景的区块28个，并进行了资源远景预测。</w:t>
      </w:r>
    </w:p>
    <w:p w14:paraId="111B6B9D">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3" w:firstLineChars="200"/>
        <w:contextualSpacing/>
        <w:jc w:val="both"/>
        <w:textAlignment w:val="auto"/>
        <w:rPr>
          <w:rFonts w:hint="eastAsia" w:ascii="楷体_GB2312" w:hAnsi="宋体" w:eastAsia="楷体_GB2312" w:cs="Times New Roman"/>
          <w:b/>
          <w:color w:val="auto"/>
          <w:sz w:val="32"/>
          <w:szCs w:val="32"/>
          <w:highlight w:val="none"/>
          <w:u w:val="none"/>
          <w:lang w:val="zh-CN" w:eastAsia="zh-CN"/>
        </w:rPr>
      </w:pPr>
      <w:r>
        <w:rPr>
          <w:rFonts w:hint="eastAsia" w:ascii="楷体_GB2312" w:hAnsi="宋体" w:eastAsia="楷体_GB2312" w:cs="Times New Roman"/>
          <w:b/>
          <w:color w:val="auto"/>
          <w:sz w:val="32"/>
          <w:szCs w:val="32"/>
          <w:highlight w:val="none"/>
          <w:u w:val="none"/>
          <w:lang w:val="zh-CN" w:eastAsia="zh-CN"/>
        </w:rPr>
        <w:t>（三）</w:t>
      </w:r>
      <w:r>
        <w:rPr>
          <w:rFonts w:hint="default" w:ascii="楷体_GB2312" w:hAnsi="宋体" w:eastAsia="楷体_GB2312" w:cs="Times New Roman"/>
          <w:b/>
          <w:color w:val="auto"/>
          <w:sz w:val="32"/>
          <w:szCs w:val="32"/>
          <w:highlight w:val="none"/>
          <w:u w:val="none"/>
          <w:lang w:val="en-US" w:eastAsia="zh-CN"/>
        </w:rPr>
        <w:t>预算安排及分配管理</w:t>
      </w:r>
      <w:r>
        <w:rPr>
          <w:rFonts w:hint="eastAsia" w:ascii="楷体_GB2312" w:hAnsi="宋体" w:eastAsia="楷体_GB2312" w:cs="Times New Roman"/>
          <w:b/>
          <w:color w:val="auto"/>
          <w:sz w:val="32"/>
          <w:szCs w:val="32"/>
          <w:highlight w:val="none"/>
          <w:u w:val="none"/>
          <w:lang w:val="zh-CN" w:eastAsia="zh-CN"/>
        </w:rPr>
        <w:t>。</w:t>
      </w:r>
    </w:p>
    <w:p w14:paraId="592E6A5A">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both"/>
        <w:textAlignment w:val="auto"/>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pPr>
      <w:r>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t>根据我局的资金申请，财政于203年8月17日下达基金预算指标165万元，其中采购金额165万元。我局于2023年11月按照合同约定支付技术服务费69万元，余款2024年继续使用。我局制度了《财务管理制度》和《专项资金管理制度》和《三重一大制度》，确保项目高效率使用和支付过程中严格执行相关制度，专款专用，无截留，无挪用。</w:t>
      </w:r>
    </w:p>
    <w:p w14:paraId="41971383">
      <w:pPr>
        <w:keepNext w:val="0"/>
        <w:keepLines w:val="0"/>
        <w:pageBreakBefore w:val="0"/>
        <w:widowControl w:val="0"/>
        <w:kinsoku/>
        <w:wordWrap/>
        <w:overflowPunct/>
        <w:topLinePunct w:val="0"/>
        <w:autoSpaceDE/>
        <w:autoSpaceDN/>
        <w:bidi w:val="0"/>
        <w:adjustRightInd w:val="0"/>
        <w:snapToGrid w:val="0"/>
        <w:spacing w:line="576" w:lineRule="exact"/>
        <w:ind w:firstLine="643" w:firstLineChars="200"/>
        <w:textAlignment w:val="auto"/>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pPr>
      <w:r>
        <w:rPr>
          <w:rFonts w:hint="eastAsia" w:ascii="楷体_GB2312" w:hAnsi="宋体" w:eastAsia="楷体_GB2312" w:cs="Times New Roman"/>
          <w:b/>
          <w:color w:val="auto"/>
          <w:sz w:val="32"/>
          <w:szCs w:val="32"/>
          <w:highlight w:val="none"/>
          <w:u w:val="none"/>
          <w:lang w:val="zh-CN" w:eastAsia="zh-CN"/>
        </w:rPr>
        <w:t>（四）项目绩效目标设置。</w:t>
      </w:r>
      <w:r>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t>绩效目标和绩效指标可量化考核，与规划部门的长期规划目标、年度工作目标相一致。绩效指标细化、量化，绩效目标和绩效指标契合政策或项目实质，产出和效果相关联。可对满意度指标进行量化预测，绩效目标具有一定的前瞻性和挑战性，绩效目标和绩效指标相匹配，全面完整，契合项目实质。</w:t>
      </w:r>
    </w:p>
    <w:p w14:paraId="4878B1D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黑体" w:hAnsi="宋体" w:eastAsia="黑体" w:cs="Times New Roman"/>
          <w:sz w:val="32"/>
          <w:szCs w:val="32"/>
          <w:highlight w:val="none"/>
          <w:lang w:val="zh-CN" w:eastAsia="zh-CN"/>
        </w:rPr>
      </w:pPr>
      <w:r>
        <w:rPr>
          <w:rFonts w:hint="eastAsia" w:ascii="黑体" w:hAnsi="宋体" w:eastAsia="黑体" w:cs="Times New Roman"/>
          <w:sz w:val="32"/>
          <w:szCs w:val="32"/>
          <w:highlight w:val="none"/>
          <w:lang w:val="zh-CN" w:eastAsia="zh-CN"/>
        </w:rPr>
        <w:t>二、评价实施</w:t>
      </w:r>
    </w:p>
    <w:p w14:paraId="189F20DD">
      <w:pPr>
        <w:keepNext w:val="0"/>
        <w:keepLines w:val="0"/>
        <w:pageBreakBefore w:val="0"/>
        <w:widowControl w:val="0"/>
        <w:kinsoku/>
        <w:wordWrap/>
        <w:overflowPunct/>
        <w:topLinePunct w:val="0"/>
        <w:autoSpaceDE/>
        <w:autoSpaceDN/>
        <w:bidi w:val="0"/>
        <w:spacing w:line="578" w:lineRule="exact"/>
        <w:ind w:firstLine="640"/>
        <w:textAlignment w:val="auto"/>
        <w:outlineLvl w:val="9"/>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pPr>
      <w:r>
        <w:rPr>
          <w:rFonts w:hint="eastAsia" w:ascii="楷体_GB2312" w:hAnsi="宋体" w:eastAsia="楷体_GB2312"/>
          <w:b/>
          <w:color w:val="auto"/>
          <w:sz w:val="32"/>
          <w:szCs w:val="32"/>
          <w:highlight w:val="none"/>
          <w:u w:val="none"/>
          <w:lang w:val="zh-CN"/>
        </w:rPr>
        <w:t>（一）评价目的。</w:t>
      </w:r>
      <w:r>
        <w:rPr>
          <w:rFonts w:hint="eastAsia" w:ascii="仿宋_GB2312" w:hAnsi="Times New Roman" w:eastAsia="仿宋_GB2312" w:cs="Times New Roman"/>
          <w:kern w:val="2"/>
          <w:sz w:val="32"/>
          <w:szCs w:val="32"/>
          <w:highlight w:val="none"/>
          <w:lang w:val="en-US" w:eastAsia="zh-CN" w:bidi="ar-SA"/>
        </w:rPr>
        <w:t>通</w:t>
      </w:r>
      <w:r>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t>过绩效评价，一是对项目预算及资金使用方案的合理性和有效性进行优化，去除不合理的预算项目。二是详细掌握资金使用情况，提高预算执行力。三是促进预算管理的公开化透明化。</w:t>
      </w:r>
    </w:p>
    <w:p w14:paraId="1736FDA9">
      <w:pPr>
        <w:keepNext w:val="0"/>
        <w:keepLines w:val="0"/>
        <w:pageBreakBefore w:val="0"/>
        <w:widowControl w:val="0"/>
        <w:kinsoku/>
        <w:wordWrap/>
        <w:overflowPunct/>
        <w:topLinePunct w:val="0"/>
        <w:autoSpaceDE/>
        <w:autoSpaceDN/>
        <w:bidi w:val="0"/>
        <w:adjustRightInd/>
        <w:snapToGrid/>
        <w:spacing w:line="576" w:lineRule="exact"/>
        <w:ind w:left="0" w:firstLine="643" w:firstLineChars="200"/>
        <w:jc w:val="both"/>
        <w:textAlignment w:val="auto"/>
        <w:rPr>
          <w:rFonts w:hint="default" w:ascii="仿宋_GB2312" w:hAnsi="仿宋_GB2312" w:eastAsia="仿宋_GB2312" w:cs="仿宋_GB2312"/>
          <w:b w:val="0"/>
          <w:bCs w:val="0"/>
          <w:color w:val="auto"/>
          <w:kern w:val="0"/>
          <w:sz w:val="32"/>
          <w:szCs w:val="32"/>
          <w:highlight w:val="none"/>
          <w:u w:val="none"/>
          <w:shd w:val="clear" w:color="auto" w:fill="FFFFFF"/>
          <w:lang w:val="en-US" w:eastAsia="zh-CN"/>
        </w:rPr>
      </w:pPr>
      <w:r>
        <w:rPr>
          <w:rFonts w:hint="eastAsia" w:ascii="楷体_GB2312" w:hAnsi="宋体" w:eastAsia="楷体_GB2312"/>
          <w:b/>
          <w:color w:val="auto"/>
          <w:sz w:val="32"/>
          <w:szCs w:val="32"/>
          <w:highlight w:val="none"/>
          <w:u w:val="none"/>
          <w:lang w:val="zh-CN"/>
        </w:rPr>
        <w:t>（二）预设问题及评价重点。</w:t>
      </w:r>
      <w:r>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t>按照绩效评价指标体系体系</w:t>
      </w:r>
      <w:r>
        <w:rPr>
          <w:rFonts w:hint="eastAsia" w:ascii="仿宋_GB2312" w:hAnsi="仿宋_GB2312" w:eastAsia="仿宋_GB2312" w:cs="仿宋_GB2312"/>
          <w:b w:val="0"/>
          <w:bCs w:val="0"/>
          <w:color w:val="auto"/>
          <w:kern w:val="0"/>
          <w:sz w:val="32"/>
          <w:szCs w:val="32"/>
          <w:highlight w:val="none"/>
          <w:u w:val="none"/>
          <w:shd w:val="clear" w:color="auto" w:fill="FFFFFF"/>
          <w:lang w:val="zh-CN" w:eastAsia="zh-CN"/>
        </w:rPr>
        <w:t>，</w:t>
      </w:r>
      <w:r>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t>该项目经费使用应符合相关财务法规和政策，按照合同约定和项目进度进行支付，做到专款专用，确保资金使用的合法合规，避免违规行为发生。按时组织完成全市硅基新材料产业专题培训，全力推进全市硅基新材料产业高质量发展。</w:t>
      </w:r>
    </w:p>
    <w:p w14:paraId="2DCDE9E6">
      <w:pPr>
        <w:adjustRightInd w:val="0"/>
        <w:snapToGrid w:val="0"/>
        <w:spacing w:line="580" w:lineRule="exact"/>
        <w:ind w:firstLine="643" w:firstLineChars="200"/>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pPr>
      <w:r>
        <w:rPr>
          <w:rFonts w:hint="eastAsia" w:ascii="楷体_GB2312" w:hAnsi="宋体" w:eastAsia="楷体_GB2312"/>
          <w:b/>
          <w:color w:val="auto"/>
          <w:sz w:val="32"/>
          <w:szCs w:val="32"/>
          <w:highlight w:val="none"/>
          <w:u w:val="none"/>
          <w:lang w:val="zh-CN"/>
        </w:rPr>
        <w:t>（三）评价选点。</w:t>
      </w:r>
      <w:r>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t>年末通过数量指标、质量指标及产生的社会效益和政府满意度来自评项目绩效完成情况。</w:t>
      </w:r>
    </w:p>
    <w:p w14:paraId="3B598213">
      <w:pPr>
        <w:keepNext w:val="0"/>
        <w:keepLines w:val="0"/>
        <w:pageBreakBefore w:val="0"/>
        <w:widowControl w:val="0"/>
        <w:kinsoku/>
        <w:wordWrap/>
        <w:overflowPunct/>
        <w:topLinePunct w:val="0"/>
        <w:autoSpaceDE/>
        <w:autoSpaceDN/>
        <w:bidi w:val="0"/>
        <w:spacing w:line="578" w:lineRule="exact"/>
        <w:ind w:firstLine="640"/>
        <w:textAlignment w:val="auto"/>
        <w:outlineLvl w:val="9"/>
        <w:rPr>
          <w:rFonts w:hint="eastAsia" w:cs="Times New Roman"/>
          <w:szCs w:val="32"/>
          <w:lang w:val="en-US" w:eastAsia="zh-CN"/>
        </w:rPr>
      </w:pPr>
      <w:r>
        <w:rPr>
          <w:rFonts w:hint="eastAsia" w:ascii="楷体_GB2312" w:hAnsi="宋体" w:eastAsia="楷体_GB2312"/>
          <w:b/>
          <w:color w:val="auto"/>
          <w:sz w:val="32"/>
          <w:szCs w:val="32"/>
          <w:highlight w:val="none"/>
          <w:u w:val="none"/>
          <w:lang w:val="zh-CN"/>
        </w:rPr>
        <w:t>（四）评价方法。</w:t>
      </w:r>
      <w:r>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t>采用单位自评法.</w:t>
      </w:r>
    </w:p>
    <w:p w14:paraId="74698AEB">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3" w:firstLineChars="200"/>
        <w:contextualSpacing/>
        <w:jc w:val="both"/>
        <w:textAlignment w:val="auto"/>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pPr>
      <w:r>
        <w:rPr>
          <w:rFonts w:hint="eastAsia" w:ascii="楷体_GB2312" w:hAnsi="宋体" w:eastAsia="楷体_GB2312"/>
          <w:b/>
          <w:color w:val="auto"/>
          <w:sz w:val="32"/>
          <w:szCs w:val="32"/>
          <w:highlight w:val="none"/>
          <w:u w:val="none"/>
          <w:lang w:val="zh-CN"/>
        </w:rPr>
        <w:t>（五）评价组织。</w:t>
      </w:r>
      <w:r>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t>按照财政资金“谁使用，谁自评”的原则，我单位在收到</w:t>
      </w:r>
      <w:r>
        <w:rPr>
          <w:rFonts w:hint="eastAsia" w:ascii="仿宋_GB2312" w:hAnsi="仿宋_GB2312" w:eastAsia="仿宋_GB2312" w:cs="仿宋_GB2312"/>
          <w:b w:val="0"/>
          <w:bCs w:val="0"/>
          <w:color w:val="auto"/>
          <w:kern w:val="0"/>
          <w:sz w:val="32"/>
          <w:szCs w:val="32"/>
          <w:highlight w:val="none"/>
          <w:u w:val="none"/>
          <w:shd w:val="clear" w:color="auto" w:fill="FFFFFF"/>
          <w:lang w:val="zh-CN" w:eastAsia="zh-CN"/>
        </w:rPr>
        <w:t>自评工作通知后，立即</w:t>
      </w:r>
      <w:r>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t>落实专人负责</w:t>
      </w:r>
      <w:r>
        <w:rPr>
          <w:rFonts w:hint="eastAsia" w:ascii="仿宋_GB2312" w:hAnsi="仿宋_GB2312" w:eastAsia="仿宋_GB2312" w:cs="仿宋_GB2312"/>
          <w:b w:val="0"/>
          <w:bCs w:val="0"/>
          <w:color w:val="auto"/>
          <w:kern w:val="0"/>
          <w:sz w:val="32"/>
          <w:szCs w:val="32"/>
          <w:highlight w:val="none"/>
          <w:u w:val="none"/>
          <w:shd w:val="clear" w:color="auto" w:fill="FFFFFF"/>
          <w:lang w:val="zh-CN" w:eastAsia="zh-CN"/>
        </w:rPr>
        <w:t>，及时</w:t>
      </w:r>
      <w:r>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t>与相关业务科实协调对接</w:t>
      </w:r>
      <w:r>
        <w:rPr>
          <w:rFonts w:hint="eastAsia" w:ascii="仿宋_GB2312" w:hAnsi="仿宋_GB2312" w:eastAsia="仿宋_GB2312" w:cs="仿宋_GB2312"/>
          <w:b w:val="0"/>
          <w:bCs w:val="0"/>
          <w:color w:val="auto"/>
          <w:kern w:val="0"/>
          <w:sz w:val="32"/>
          <w:szCs w:val="32"/>
          <w:highlight w:val="none"/>
          <w:u w:val="none"/>
          <w:shd w:val="clear" w:color="auto" w:fill="FFFFFF"/>
          <w:lang w:val="zh-CN" w:eastAsia="zh-CN"/>
        </w:rPr>
        <w:t>，对项目概况、评价实施、绩效分析、评价结论、存在主要问题、改进建议等进行综合自评，形成自评结果。</w:t>
      </w:r>
    </w:p>
    <w:p w14:paraId="0626EA41">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eastAsia" w:eastAsia="仿宋_GB2312" w:cs="Times New Roman"/>
          <w:szCs w:val="32"/>
          <w:lang w:val="en-US" w:eastAsia="zh-CN"/>
        </w:rPr>
      </w:pPr>
      <w:r>
        <w:rPr>
          <w:rFonts w:hint="eastAsia" w:ascii="黑体" w:hAnsi="宋体" w:eastAsia="黑体"/>
          <w:color w:val="auto"/>
          <w:sz w:val="32"/>
          <w:szCs w:val="32"/>
          <w:highlight w:val="none"/>
          <w:u w:val="none"/>
        </w:rPr>
        <w:t>三、</w:t>
      </w:r>
      <w:r>
        <w:rPr>
          <w:rFonts w:hint="eastAsia" w:ascii="黑体" w:hAnsi="宋体" w:eastAsia="黑体"/>
          <w:color w:val="auto"/>
          <w:sz w:val="32"/>
          <w:szCs w:val="32"/>
          <w:highlight w:val="none"/>
          <w:u w:val="none"/>
          <w:lang w:eastAsia="zh-CN"/>
        </w:rPr>
        <w:t>绩效分析</w:t>
      </w:r>
      <w:r>
        <w:rPr>
          <w:rFonts w:hint="eastAsia" w:ascii="仿宋_GB2312" w:hAnsi="宋体"/>
          <w:color w:val="auto"/>
          <w:sz w:val="32"/>
          <w:szCs w:val="32"/>
          <w:highlight w:val="none"/>
          <w:u w:val="none"/>
          <w:lang w:val="zh-CN"/>
        </w:rPr>
        <w:tab/>
      </w:r>
    </w:p>
    <w:p w14:paraId="5A2DA94D">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楷体_GB2312" w:hAnsi="宋体" w:eastAsia="楷体_GB2312" w:cs="Times New Roman"/>
          <w:b/>
          <w:color w:val="auto"/>
          <w:sz w:val="32"/>
          <w:szCs w:val="32"/>
          <w:highlight w:val="none"/>
          <w:u w:val="none"/>
          <w:lang w:val="en-US" w:eastAsia="zh-CN"/>
        </w:rPr>
      </w:pPr>
      <w:r>
        <w:rPr>
          <w:rFonts w:hint="eastAsia" w:ascii="楷体_GB2312" w:hAnsi="宋体" w:eastAsia="楷体_GB2312" w:cs="Times New Roman"/>
          <w:b/>
          <w:color w:val="auto"/>
          <w:sz w:val="32"/>
          <w:szCs w:val="32"/>
          <w:highlight w:val="none"/>
          <w:u w:val="none"/>
          <w:lang w:val="zh-CN"/>
        </w:rPr>
        <w:t>（一）</w:t>
      </w:r>
      <w:r>
        <w:rPr>
          <w:rFonts w:hint="eastAsia" w:ascii="楷体_GB2312" w:hAnsi="宋体" w:eastAsia="楷体_GB2312" w:cs="Times New Roman"/>
          <w:b/>
          <w:color w:val="auto"/>
          <w:sz w:val="32"/>
          <w:szCs w:val="32"/>
          <w:highlight w:val="none"/>
          <w:u w:val="none"/>
          <w:lang w:val="en-US" w:eastAsia="zh-CN"/>
        </w:rPr>
        <w:t>通用指标</w:t>
      </w:r>
      <w:r>
        <w:rPr>
          <w:rFonts w:hint="default" w:ascii="楷体_GB2312" w:hAnsi="宋体" w:eastAsia="楷体_GB2312" w:cs="Times New Roman"/>
          <w:b/>
          <w:color w:val="auto"/>
          <w:sz w:val="32"/>
          <w:szCs w:val="32"/>
          <w:highlight w:val="none"/>
          <w:u w:val="none"/>
          <w:lang w:val="zh-CN"/>
        </w:rPr>
        <w:t>绩效分析。</w:t>
      </w:r>
    </w:p>
    <w:p w14:paraId="0E05A61F">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both"/>
        <w:textAlignment w:val="auto"/>
        <w:rPr>
          <w:rFonts w:hint="eastAsia" w:ascii="仿宋_GB2312" w:hAnsi="仿宋_GB2312" w:eastAsia="仿宋_GB2312" w:cs="仿宋_GB2312"/>
          <w:b w:val="0"/>
          <w:bCs w:val="0"/>
          <w:color w:val="auto"/>
          <w:kern w:val="0"/>
          <w:sz w:val="32"/>
          <w:szCs w:val="32"/>
          <w:highlight w:val="none"/>
          <w:u w:val="none"/>
          <w:shd w:val="clear" w:color="auto" w:fill="FFFFFF"/>
          <w:lang w:val="zh-CN" w:eastAsia="zh-CN"/>
        </w:rPr>
      </w:pPr>
      <w:r>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t>1.项目决策。</w:t>
      </w:r>
      <w:r>
        <w:rPr>
          <w:rFonts w:hint="eastAsia" w:ascii="仿宋_GB2312" w:hAnsi="仿宋_GB2312" w:eastAsia="仿宋_GB2312" w:cs="仿宋_GB2312"/>
          <w:b w:val="0"/>
          <w:bCs w:val="0"/>
          <w:color w:val="auto"/>
          <w:kern w:val="0"/>
          <w:sz w:val="32"/>
          <w:szCs w:val="32"/>
          <w:highlight w:val="none"/>
          <w:u w:val="none"/>
          <w:shd w:val="clear" w:color="auto" w:fill="FFFFFF"/>
          <w:lang w:val="zh-CN" w:eastAsia="zh-CN"/>
        </w:rPr>
        <w:t>一是贯彻落实中央关于自然资源工作的方针政策和省委、市委决策部署，并按照单位的职能职责，资金预算合规、科学、合理的同时，把预算、绩效和自然资源改革发展工作深度融合。二是履行预算绩效设立审核程序，经集体研究决策后纳入预算。三是细化量化项目绩效目标，编制预算时对科室申报的预算项目进行全面梳理，严把审核关，所有项目必须有明细的资金测算，对审核后的所有项目全部进行入库管理。</w:t>
      </w:r>
    </w:p>
    <w:p w14:paraId="227786A2">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both"/>
        <w:textAlignment w:val="auto"/>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pPr>
      <w:r>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t>2.项目管理。一是</w:t>
      </w:r>
      <w:r>
        <w:rPr>
          <w:rFonts w:hint="eastAsia" w:ascii="仿宋_GB2312" w:hAnsi="仿宋_GB2312" w:eastAsia="仿宋_GB2312" w:cs="仿宋_GB2312"/>
          <w:b w:val="0"/>
          <w:bCs w:val="0"/>
          <w:color w:val="auto"/>
          <w:kern w:val="0"/>
          <w:sz w:val="32"/>
          <w:szCs w:val="32"/>
          <w:highlight w:val="none"/>
          <w:u w:val="none"/>
          <w:shd w:val="clear" w:color="auto" w:fill="FFFFFF"/>
          <w:lang w:val="zh-CN" w:eastAsia="zh-CN"/>
        </w:rPr>
        <w:t>履行</w:t>
      </w:r>
      <w:r>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t>项目</w:t>
      </w:r>
      <w:r>
        <w:rPr>
          <w:rFonts w:hint="eastAsia" w:ascii="仿宋_GB2312" w:hAnsi="仿宋_GB2312" w:eastAsia="仿宋_GB2312" w:cs="仿宋_GB2312"/>
          <w:b w:val="0"/>
          <w:bCs w:val="0"/>
          <w:color w:val="auto"/>
          <w:kern w:val="0"/>
          <w:sz w:val="32"/>
          <w:szCs w:val="32"/>
          <w:highlight w:val="none"/>
          <w:u w:val="none"/>
          <w:shd w:val="clear" w:color="auto" w:fill="FFFFFF"/>
          <w:lang w:val="zh-CN" w:eastAsia="zh-CN"/>
        </w:rPr>
        <w:t>预算绩效设立审核程序，经集体研究决策后纳入</w:t>
      </w:r>
      <w:r>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t>基建</w:t>
      </w:r>
      <w:r>
        <w:rPr>
          <w:rFonts w:hint="eastAsia" w:ascii="仿宋_GB2312" w:hAnsi="仿宋_GB2312" w:eastAsia="仿宋_GB2312" w:cs="仿宋_GB2312"/>
          <w:b w:val="0"/>
          <w:bCs w:val="0"/>
          <w:color w:val="auto"/>
          <w:kern w:val="0"/>
          <w:sz w:val="32"/>
          <w:szCs w:val="32"/>
          <w:highlight w:val="none"/>
          <w:u w:val="none"/>
          <w:shd w:val="clear" w:color="auto" w:fill="FFFFFF"/>
          <w:lang w:val="zh-CN" w:eastAsia="zh-CN"/>
        </w:rPr>
        <w:t>预算。</w:t>
      </w:r>
      <w:r>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t>二</w:t>
      </w:r>
      <w:r>
        <w:rPr>
          <w:rFonts w:hint="eastAsia" w:ascii="仿宋_GB2312" w:hAnsi="仿宋_GB2312" w:eastAsia="仿宋_GB2312" w:cs="仿宋_GB2312"/>
          <w:b w:val="0"/>
          <w:bCs w:val="0"/>
          <w:color w:val="auto"/>
          <w:kern w:val="0"/>
          <w:sz w:val="32"/>
          <w:szCs w:val="32"/>
          <w:highlight w:val="none"/>
          <w:u w:val="none"/>
          <w:shd w:val="clear" w:color="auto" w:fill="FFFFFF"/>
          <w:lang w:val="zh-CN" w:eastAsia="zh-CN"/>
        </w:rPr>
        <w:t>是细化量化项目绩效目标，编制预算时对科室申报的预算项目进行全面梳理，严把审核关，项目必须有明细的资金测算，对审核后进行入库管理。</w:t>
      </w:r>
      <w:r>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t>财政下达资金后，我局严格按照《预算法》《项目资金管理办法》及时支付，确保项目按时按质完成。</w:t>
      </w:r>
    </w:p>
    <w:p w14:paraId="7CF126D6">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both"/>
        <w:textAlignment w:val="auto"/>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pPr>
      <w:r>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t>3.项目实施。根据我局的资金申请，财政于203年8月17日下达基金预算指标165万元，其中采购金额165万元。我局于2023年11月按照合同约定支付技术服务费69万元，余款2024年继续使用。我局制度了《财务管理制度》和《专项资金管理制度》和《三重一大制度》，确保项目高效率使用和支付过程中严格执行相关制度，专款专用，无截留，无挪用。</w:t>
      </w:r>
    </w:p>
    <w:p w14:paraId="050493B2">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both"/>
        <w:textAlignment w:val="auto"/>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pPr>
      <w:r>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t>4.项目结果。编制完成《广元市矿产资源调查报告》共4分，密资料29件；广元市矿产资源分布图、开发利用现状图、矿产资源量预测图、重点优势矿种分布图本报告分析总结2套。专家组已审核通过。本报告分析总结了主要（优势）矿产分布规律和成矿特征，通过典型矿床研究对比，推荐了具有找矿远景的区块28个，并进行了资源远景预测。</w:t>
      </w:r>
    </w:p>
    <w:p w14:paraId="711389B9">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楷体_GB2312" w:hAnsi="宋体" w:eastAsia="楷体_GB2312" w:cs="Times New Roman"/>
          <w:b/>
          <w:color w:val="auto"/>
          <w:sz w:val="32"/>
          <w:szCs w:val="32"/>
          <w:highlight w:val="none"/>
          <w:u w:val="none"/>
          <w:lang w:val="zh-CN" w:eastAsia="zh-CN"/>
        </w:rPr>
      </w:pPr>
      <w:r>
        <w:rPr>
          <w:rFonts w:hint="eastAsia" w:ascii="楷体_GB2312" w:hAnsi="宋体" w:eastAsia="楷体_GB2312" w:cs="Times New Roman"/>
          <w:b/>
          <w:color w:val="auto"/>
          <w:sz w:val="32"/>
          <w:szCs w:val="32"/>
          <w:highlight w:val="none"/>
          <w:u w:val="none"/>
          <w:lang w:val="zh-CN"/>
        </w:rPr>
        <w:t>（二）</w:t>
      </w:r>
      <w:r>
        <w:rPr>
          <w:rFonts w:hint="eastAsia" w:ascii="楷体_GB2312" w:hAnsi="宋体" w:eastAsia="楷体_GB2312" w:cs="Times New Roman"/>
          <w:b/>
          <w:color w:val="auto"/>
          <w:sz w:val="32"/>
          <w:szCs w:val="32"/>
          <w:highlight w:val="none"/>
          <w:u w:val="none"/>
          <w:lang w:val="en-US" w:eastAsia="zh-CN"/>
        </w:rPr>
        <w:t>专用指标</w:t>
      </w:r>
      <w:r>
        <w:rPr>
          <w:rFonts w:hint="default" w:ascii="楷体_GB2312" w:hAnsi="宋体" w:eastAsia="楷体_GB2312" w:cs="Times New Roman"/>
          <w:b/>
          <w:color w:val="auto"/>
          <w:sz w:val="32"/>
          <w:szCs w:val="32"/>
          <w:highlight w:val="none"/>
          <w:u w:val="none"/>
          <w:lang w:val="zh-CN"/>
        </w:rPr>
        <w:t>绩效分析</w:t>
      </w:r>
      <w:r>
        <w:rPr>
          <w:rFonts w:hint="eastAsia" w:ascii="楷体_GB2312" w:hAnsi="宋体" w:eastAsia="楷体_GB2312" w:cs="Times New Roman"/>
          <w:b/>
          <w:color w:val="auto"/>
          <w:sz w:val="32"/>
          <w:szCs w:val="32"/>
          <w:highlight w:val="none"/>
          <w:u w:val="none"/>
          <w:lang w:val="zh-CN" w:eastAsia="zh-CN"/>
        </w:rPr>
        <w:t>。</w:t>
      </w:r>
    </w:p>
    <w:p w14:paraId="08C382B7">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both"/>
        <w:textAlignment w:val="auto"/>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pPr>
      <w:r>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t>1.产业发展。该项目是市委市政府支持重点项目。深入贯彻实施国家新一轮找矿突破战略行动和市委“1345”发展战略，加速推进资源优势向产业优势转变，提高矿产资源保障能力，全力推动我市硅基新材料产业高质量发展。</w:t>
      </w:r>
    </w:p>
    <w:p w14:paraId="09DDF4B7">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both"/>
        <w:textAlignment w:val="auto"/>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pPr>
      <w:r>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t>2.</w:t>
      </w:r>
      <w:r>
        <w:rPr>
          <w:rFonts w:hint="eastAsia" w:ascii="仿宋_GB2312" w:hAnsi="仿宋_GB2312" w:eastAsia="仿宋_GB2312" w:cs="仿宋_GB2312"/>
          <w:b w:val="0"/>
          <w:bCs w:val="0"/>
          <w:color w:val="auto"/>
          <w:kern w:val="0"/>
          <w:sz w:val="32"/>
          <w:szCs w:val="32"/>
          <w:highlight w:val="none"/>
          <w:u w:val="none"/>
          <w:shd w:val="clear" w:color="auto" w:fill="FFFFFF"/>
          <w:lang w:val="zh-CN" w:eastAsia="zh-CN"/>
        </w:rPr>
        <w:t>行政运转。</w:t>
      </w:r>
      <w:r>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t>本</w:t>
      </w:r>
      <w:r>
        <w:rPr>
          <w:rFonts w:hint="eastAsia" w:ascii="仿宋_GB2312" w:hAnsi="仿宋_GB2312" w:eastAsia="仿宋_GB2312" w:cs="仿宋_GB2312"/>
          <w:b w:val="0"/>
          <w:bCs w:val="0"/>
          <w:color w:val="auto"/>
          <w:kern w:val="0"/>
          <w:sz w:val="32"/>
          <w:szCs w:val="32"/>
          <w:highlight w:val="none"/>
          <w:u w:val="none"/>
          <w:shd w:val="clear" w:color="auto" w:fill="FFFFFF"/>
          <w:lang w:val="zh-CN" w:eastAsia="zh-CN"/>
        </w:rPr>
        <w:t>单位财务管理制度健全，严格执行财务管理制度，账务处理及时，会计核算规范。</w:t>
      </w:r>
    </w:p>
    <w:p w14:paraId="315EB2C5">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default" w:ascii="楷体_GB2312" w:hAnsi="宋体" w:eastAsia="楷体_GB2312" w:cs="Times New Roman"/>
          <w:b/>
          <w:color w:val="auto"/>
          <w:sz w:val="32"/>
          <w:szCs w:val="32"/>
          <w:highlight w:val="none"/>
          <w:u w:val="none"/>
          <w:lang w:val="zh-CN"/>
        </w:rPr>
      </w:pPr>
      <w:r>
        <w:rPr>
          <w:rFonts w:hint="eastAsia" w:ascii="楷体_GB2312" w:hAnsi="宋体" w:eastAsia="楷体_GB2312" w:cs="Times New Roman"/>
          <w:b/>
          <w:color w:val="auto"/>
          <w:sz w:val="32"/>
          <w:szCs w:val="32"/>
          <w:highlight w:val="none"/>
          <w:u w:val="none"/>
          <w:lang w:val="zh-CN"/>
        </w:rPr>
        <w:t>（三）</w:t>
      </w:r>
      <w:r>
        <w:rPr>
          <w:rFonts w:hint="eastAsia" w:ascii="楷体_GB2312" w:hAnsi="宋体" w:eastAsia="楷体_GB2312" w:cs="Times New Roman"/>
          <w:b/>
          <w:color w:val="auto"/>
          <w:sz w:val="32"/>
          <w:szCs w:val="32"/>
          <w:highlight w:val="none"/>
          <w:u w:val="none"/>
          <w:lang w:val="en-US" w:eastAsia="zh-CN"/>
        </w:rPr>
        <w:t>个性指标</w:t>
      </w:r>
      <w:r>
        <w:rPr>
          <w:rFonts w:hint="default" w:ascii="楷体_GB2312" w:hAnsi="宋体" w:eastAsia="楷体_GB2312" w:cs="Times New Roman"/>
          <w:b/>
          <w:color w:val="auto"/>
          <w:sz w:val="32"/>
          <w:szCs w:val="32"/>
          <w:highlight w:val="none"/>
          <w:u w:val="none"/>
          <w:lang w:val="zh-CN"/>
        </w:rPr>
        <w:t>绩效分析。</w:t>
      </w:r>
    </w:p>
    <w:p w14:paraId="0CCAA3D3">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both"/>
        <w:textAlignment w:val="auto"/>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pPr>
      <w:r>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t>编制完成《广元市矿产资源调查报告》共4分，密资料29件；广元市矿产资源分布图、开发利用现状图、矿产资源量预测图、重点优势矿种分布图本报告分析总结2套。专家组已审核通过。本报告分析总结了主要（优势）矿产分布规律和成矿特征，通过典型矿床研究对比，推荐了具有找矿远景的区块28个，并进行了资源远景预测。</w:t>
      </w:r>
    </w:p>
    <w:p w14:paraId="5F998007">
      <w:pPr>
        <w:pStyle w:val="7"/>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olor w:val="auto"/>
          <w:sz w:val="32"/>
          <w:szCs w:val="32"/>
          <w:highlight w:val="none"/>
          <w:u w:val="none"/>
        </w:rPr>
      </w:pPr>
      <w:r>
        <w:rPr>
          <w:rFonts w:hint="eastAsia" w:ascii="黑体" w:hAnsi="宋体" w:eastAsia="黑体"/>
          <w:color w:val="auto"/>
          <w:sz w:val="32"/>
          <w:szCs w:val="32"/>
          <w:highlight w:val="none"/>
          <w:u w:val="none"/>
          <w:lang w:eastAsia="zh-CN"/>
        </w:rPr>
        <w:t>四</w:t>
      </w:r>
      <w:r>
        <w:rPr>
          <w:rFonts w:hint="eastAsia" w:ascii="黑体" w:hAnsi="宋体" w:eastAsia="黑体"/>
          <w:color w:val="auto"/>
          <w:sz w:val="32"/>
          <w:szCs w:val="32"/>
          <w:highlight w:val="none"/>
          <w:u w:val="none"/>
        </w:rPr>
        <w:t>、评价结论</w:t>
      </w:r>
    </w:p>
    <w:p w14:paraId="629CD271">
      <w:pPr>
        <w:pageBreakBefore w:val="0"/>
        <w:widowControl w:val="0"/>
        <w:kinsoku/>
        <w:wordWrap/>
        <w:overflowPunct/>
        <w:topLinePunct w:val="0"/>
        <w:autoSpaceDE/>
        <w:autoSpaceDN/>
        <w:bidi w:val="0"/>
        <w:adjustRightInd w:val="0"/>
        <w:snapToGrid w:val="0"/>
        <w:spacing w:line="520" w:lineRule="exact"/>
        <w:ind w:firstLine="640" w:firstLineChars="200"/>
        <w:contextualSpacing/>
        <w:jc w:val="both"/>
        <w:textAlignment w:val="auto"/>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pPr>
      <w:r>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t>按照《专项预算项目绩效评价指标体系》，自评得分100分。我局严格执行财经纪律、法规和各项规章制度，加强财务管理，规范会计核算，资金高效运行。项目决策科学，依据充分，项目管理规范；绩效执行进度达到预期；项目完成效果好，实施后达到了预期目的。</w:t>
      </w:r>
    </w:p>
    <w:p w14:paraId="02A1CBB2">
      <w:pPr>
        <w:pStyle w:val="7"/>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s="Times New Roman"/>
          <w:color w:val="auto"/>
          <w:sz w:val="32"/>
          <w:szCs w:val="32"/>
          <w:highlight w:val="none"/>
          <w:u w:val="none"/>
          <w:lang w:eastAsia="zh-CN"/>
        </w:rPr>
      </w:pPr>
      <w:r>
        <w:rPr>
          <w:rFonts w:hint="eastAsia" w:ascii="黑体" w:hAnsi="宋体" w:cs="Times New Roman"/>
          <w:color w:val="auto"/>
          <w:sz w:val="32"/>
          <w:szCs w:val="32"/>
          <w:highlight w:val="none"/>
          <w:u w:val="none"/>
          <w:lang w:eastAsia="zh-CN"/>
        </w:rPr>
        <w:t>五、</w:t>
      </w:r>
      <w:r>
        <w:rPr>
          <w:rFonts w:hint="eastAsia" w:ascii="黑体" w:hAnsi="宋体" w:eastAsia="黑体" w:cs="Times New Roman"/>
          <w:color w:val="auto"/>
          <w:sz w:val="32"/>
          <w:szCs w:val="32"/>
          <w:highlight w:val="none"/>
          <w:u w:val="none"/>
          <w:lang w:eastAsia="zh-CN"/>
        </w:rPr>
        <w:t>存在主要问题</w:t>
      </w:r>
    </w:p>
    <w:p w14:paraId="744B5088">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both"/>
        <w:textAlignment w:val="auto"/>
        <w:rPr>
          <w:rFonts w:hint="eastAsia" w:ascii="仿宋_GB2312" w:hAnsi="仿宋_GB2312" w:cs="仿宋_GB2312"/>
          <w:color w:val="auto"/>
          <w:kern w:val="0"/>
          <w:sz w:val="32"/>
          <w:szCs w:val="32"/>
          <w:highlight w:val="none"/>
          <w:u w:val="none"/>
          <w:shd w:val="clear" w:color="auto" w:fill="FFFFFF"/>
          <w:lang w:val="zh-CN" w:eastAsia="zh-CN"/>
        </w:rPr>
      </w:pPr>
      <w:r>
        <w:rPr>
          <w:rFonts w:hint="eastAsia" w:ascii="仿宋_GB2312" w:hAnsi="仿宋_GB2312" w:eastAsia="仿宋_GB2312" w:cs="仿宋_GB2312"/>
          <w:color w:val="auto"/>
          <w:kern w:val="0"/>
          <w:sz w:val="32"/>
          <w:szCs w:val="32"/>
          <w:highlight w:val="none"/>
          <w:u w:val="none"/>
          <w:shd w:val="clear" w:color="auto" w:fill="FFFFFF"/>
          <w:lang w:val="zh-CN" w:eastAsia="zh-CN"/>
        </w:rPr>
        <w:t xml:space="preserve"> </w:t>
      </w:r>
      <w:r>
        <w:rPr>
          <w:rFonts w:hint="eastAsia" w:ascii="仿宋_GB2312" w:hAnsi="仿宋_GB2312" w:cs="仿宋_GB2312"/>
          <w:color w:val="auto"/>
          <w:kern w:val="0"/>
          <w:sz w:val="32"/>
          <w:szCs w:val="32"/>
          <w:highlight w:val="none"/>
          <w:u w:val="none"/>
          <w:shd w:val="clear" w:color="auto" w:fill="FFFFFF"/>
          <w:lang w:val="en-US" w:eastAsia="zh-CN"/>
        </w:rPr>
        <w:t>无</w:t>
      </w:r>
      <w:r>
        <w:rPr>
          <w:rFonts w:hint="eastAsia" w:ascii="仿宋_GB2312" w:hAnsi="仿宋_GB2312" w:cs="仿宋_GB2312"/>
          <w:color w:val="auto"/>
          <w:kern w:val="0"/>
          <w:sz w:val="32"/>
          <w:szCs w:val="32"/>
          <w:highlight w:val="none"/>
          <w:u w:val="none"/>
          <w:shd w:val="clear" w:color="auto" w:fill="FFFFFF"/>
          <w:lang w:val="zh-CN" w:eastAsia="zh-CN"/>
        </w:rPr>
        <w:t>。</w:t>
      </w:r>
    </w:p>
    <w:p w14:paraId="4B94D263">
      <w:pPr>
        <w:pStyle w:val="7"/>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s="Times New Roman"/>
          <w:color w:val="auto"/>
          <w:kern w:val="0"/>
          <w:position w:val="3"/>
          <w:sz w:val="32"/>
          <w:szCs w:val="32"/>
          <w:highlight w:val="none"/>
          <w:u w:val="none"/>
          <w:lang w:val="zh-CN" w:eastAsia="zh-CN" w:bidi="ar-SA"/>
        </w:rPr>
      </w:pPr>
      <w:r>
        <w:rPr>
          <w:rFonts w:hint="eastAsia" w:ascii="黑体" w:hAnsi="宋体" w:eastAsia="黑体" w:cs="Times New Roman"/>
          <w:color w:val="auto"/>
          <w:kern w:val="0"/>
          <w:position w:val="3"/>
          <w:sz w:val="32"/>
          <w:szCs w:val="32"/>
          <w:highlight w:val="none"/>
          <w:u w:val="none"/>
          <w:lang w:val="zh-CN" w:eastAsia="zh-CN" w:bidi="ar-SA"/>
        </w:rPr>
        <w:t>六、改进建议</w:t>
      </w:r>
    </w:p>
    <w:p w14:paraId="6CED5EBC">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both"/>
        <w:textAlignment w:val="auto"/>
        <w:rPr>
          <w:rFonts w:hint="eastAsia" w:ascii="仿宋_GB2312" w:hAnsi="仿宋_GB2312" w:cs="仿宋_GB2312"/>
          <w:color w:val="auto"/>
          <w:kern w:val="0"/>
          <w:sz w:val="32"/>
          <w:szCs w:val="32"/>
          <w:highlight w:val="none"/>
          <w:u w:val="none"/>
          <w:shd w:val="clear" w:color="auto" w:fill="FFFFFF"/>
          <w:lang w:val="zh-CN" w:eastAsia="zh-CN"/>
        </w:rPr>
      </w:pPr>
      <w:r>
        <w:rPr>
          <w:rFonts w:hint="eastAsia" w:ascii="仿宋_GB2312" w:hAnsi="仿宋_GB2312" w:eastAsia="仿宋_GB2312" w:cs="仿宋_GB2312"/>
          <w:color w:val="auto"/>
          <w:kern w:val="0"/>
          <w:sz w:val="32"/>
          <w:szCs w:val="32"/>
          <w:highlight w:val="none"/>
          <w:u w:val="none"/>
          <w:shd w:val="clear" w:color="auto" w:fill="FFFFFF"/>
          <w:lang w:val="zh-CN" w:eastAsia="zh-CN"/>
        </w:rPr>
        <w:t xml:space="preserve"> </w:t>
      </w:r>
      <w:r>
        <w:rPr>
          <w:rFonts w:hint="eastAsia" w:ascii="仿宋_GB2312" w:hAnsi="仿宋_GB2312" w:cs="仿宋_GB2312"/>
          <w:color w:val="auto"/>
          <w:kern w:val="0"/>
          <w:sz w:val="32"/>
          <w:szCs w:val="32"/>
          <w:highlight w:val="none"/>
          <w:u w:val="none"/>
          <w:shd w:val="clear" w:color="auto" w:fill="FFFFFF"/>
          <w:lang w:val="en-US" w:eastAsia="zh-CN"/>
        </w:rPr>
        <w:t>无</w:t>
      </w:r>
      <w:r>
        <w:rPr>
          <w:rFonts w:hint="eastAsia" w:ascii="仿宋_GB2312" w:hAnsi="仿宋_GB2312" w:cs="仿宋_GB2312"/>
          <w:color w:val="auto"/>
          <w:kern w:val="0"/>
          <w:sz w:val="32"/>
          <w:szCs w:val="32"/>
          <w:highlight w:val="none"/>
          <w:u w:val="none"/>
          <w:shd w:val="clear" w:color="auto" w:fill="FFFFFF"/>
          <w:lang w:val="zh-CN" w:eastAsia="zh-CN"/>
        </w:rPr>
        <w:t>。</w:t>
      </w:r>
    </w:p>
    <w:p w14:paraId="6033D3A6">
      <w:pPr>
        <w:tabs>
          <w:tab w:val="left" w:pos="1911"/>
        </w:tabs>
        <w:jc w:val="left"/>
        <w:rPr>
          <w:rFonts w:hint="eastAsia" w:ascii="仿宋_GB2312" w:hAnsi="仿宋_GB2312" w:eastAsia="仿宋_GB2312" w:cs="仿宋_GB2312"/>
          <w:b w:val="0"/>
          <w:bCs w:val="0"/>
          <w:kern w:val="0"/>
          <w:position w:val="0"/>
          <w:sz w:val="32"/>
          <w:szCs w:val="32"/>
          <w:highlight w:val="none"/>
          <w:lang w:val="en" w:eastAsia="zh-CN" w:bidi="ar-SA"/>
        </w:rPr>
      </w:pPr>
    </w:p>
    <w:p w14:paraId="047DF29F">
      <w:pPr>
        <w:keepNext w:val="0"/>
        <w:keepLines w:val="0"/>
        <w:pageBreakBefore w:val="0"/>
        <w:kinsoku/>
        <w:wordWrap/>
        <w:overflowPunct/>
        <w:topLinePunct w:val="0"/>
        <w:autoSpaceDE/>
        <w:autoSpaceDN/>
        <w:bidi w:val="0"/>
        <w:adjustRightInd/>
        <w:snapToGrid w:val="0"/>
        <w:spacing w:line="578" w:lineRule="exact"/>
        <w:ind w:left="0" w:leftChars="0" w:firstLine="420" w:firstLineChars="200"/>
        <w:textAlignment w:val="auto"/>
        <w:outlineLvl w:val="9"/>
        <w:rPr>
          <w:rFonts w:hint="eastAsia" w:ascii="Times New Roman" w:hAnsi="Times New Roman" w:cs="Times New Roman"/>
          <w:color w:val="000000"/>
          <w:kern w:val="0"/>
          <w:szCs w:val="32"/>
          <w:highlight w:val="none"/>
          <w:shd w:val="clear" w:color="auto" w:fill="FFFFFF"/>
          <w:lang w:val="zh-CN" w:eastAsia="zh-CN"/>
        </w:rPr>
      </w:pPr>
    </w:p>
    <w:p w14:paraId="31251512">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both"/>
        <w:textAlignment w:val="auto"/>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pPr>
      <w:r>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t>附表：1.项目资金分配涉及所有点位自评得分情况表</w:t>
      </w:r>
    </w:p>
    <w:p w14:paraId="25FD3300">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1920" w:firstLineChars="600"/>
        <w:contextualSpacing/>
        <w:jc w:val="both"/>
        <w:textAlignment w:val="auto"/>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pPr>
      <w:r>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t>专项预算项目绩效目标完成情况自评表</w:t>
      </w:r>
    </w:p>
    <w:p w14:paraId="68FDFD31">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both"/>
        <w:textAlignment w:val="auto"/>
        <w:rPr>
          <w:rFonts w:hint="default" w:ascii="仿宋_GB2312" w:hAnsi="仿宋_GB2312" w:eastAsia="仿宋_GB2312" w:cs="仿宋_GB2312"/>
          <w:b w:val="0"/>
          <w:bCs w:val="0"/>
          <w:color w:val="auto"/>
          <w:kern w:val="0"/>
          <w:sz w:val="32"/>
          <w:szCs w:val="32"/>
          <w:highlight w:val="none"/>
          <w:u w:val="none"/>
          <w:shd w:val="clear" w:color="auto" w:fill="FFFFFF"/>
          <w:lang w:val="en-US" w:eastAsia="zh-CN"/>
        </w:rPr>
      </w:pPr>
    </w:p>
    <w:p w14:paraId="4205EB7D">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both"/>
        <w:textAlignment w:val="auto"/>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pPr>
      <w:r>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t xml:space="preserve">                   广元市自然资源局</w:t>
      </w:r>
    </w:p>
    <w:p w14:paraId="764E58DF">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both"/>
        <w:textAlignment w:val="auto"/>
        <w:rPr>
          <w:rFonts w:hint="default" w:ascii="仿宋_GB2312" w:hAnsi="仿宋_GB2312" w:eastAsia="仿宋_GB2312" w:cs="仿宋_GB2312"/>
          <w:b w:val="0"/>
          <w:bCs w:val="0"/>
          <w:color w:val="auto"/>
          <w:kern w:val="0"/>
          <w:sz w:val="32"/>
          <w:szCs w:val="32"/>
          <w:highlight w:val="none"/>
          <w:u w:val="none"/>
          <w:shd w:val="clear" w:color="auto" w:fill="FFFFFF"/>
          <w:lang w:val="en-US" w:eastAsia="zh-CN"/>
        </w:rPr>
      </w:pPr>
      <w:r>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t xml:space="preserve">                    2024年8月4日</w:t>
      </w:r>
    </w:p>
    <w:p w14:paraId="21A7F405">
      <w:pPr>
        <w:keepNext w:val="0"/>
        <w:keepLines w:val="0"/>
        <w:pageBreakBefore w:val="0"/>
        <w:kinsoku/>
        <w:wordWrap/>
        <w:overflowPunct/>
        <w:topLinePunct w:val="0"/>
        <w:autoSpaceDE/>
        <w:autoSpaceDN/>
        <w:bidi w:val="0"/>
        <w:adjustRightInd/>
        <w:snapToGrid w:val="0"/>
        <w:spacing w:line="578" w:lineRule="exact"/>
        <w:ind w:left="0" w:leftChars="0" w:firstLine="420" w:firstLineChars="200"/>
        <w:textAlignment w:val="auto"/>
        <w:outlineLvl w:val="9"/>
        <w:rPr>
          <w:rFonts w:hint="eastAsia" w:ascii="Times New Roman" w:hAnsi="Times New Roman" w:cs="Times New Roman"/>
          <w:color w:val="000000"/>
          <w:kern w:val="0"/>
          <w:szCs w:val="32"/>
          <w:highlight w:val="none"/>
          <w:shd w:val="clear" w:color="auto" w:fill="FFFFFF"/>
          <w:lang w:val="zh-CN" w:eastAsia="zh-CN"/>
        </w:rPr>
      </w:pPr>
      <w:r>
        <w:rPr>
          <w:rFonts w:hint="eastAsia" w:ascii="Times New Roman" w:hAnsi="Times New Roman" w:cs="Times New Roman"/>
          <w:color w:val="000000"/>
          <w:kern w:val="0"/>
          <w:szCs w:val="32"/>
          <w:highlight w:val="none"/>
          <w:shd w:val="clear" w:color="auto" w:fill="FFFFFF"/>
          <w:lang w:val="zh-CN" w:eastAsia="zh-CN"/>
        </w:rPr>
        <w:br w:type="page"/>
      </w:r>
    </w:p>
    <w:p w14:paraId="2E393204">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contextualSpacing/>
        <w:jc w:val="left"/>
        <w:textAlignment w:val="auto"/>
        <w:rPr>
          <w:rFonts w:hint="eastAsia" w:ascii="黑体" w:hAnsi="黑体" w:eastAsia="黑体" w:cs="黑体"/>
          <w:b w:val="0"/>
          <w:bCs w:val="0"/>
          <w:color w:val="auto"/>
          <w:kern w:val="0"/>
          <w:sz w:val="32"/>
          <w:szCs w:val="32"/>
          <w:highlight w:val="none"/>
          <w:u w:val="none"/>
          <w:shd w:val="clear" w:color="auto" w:fill="FFFFFF"/>
          <w:lang w:val="zh-CN" w:eastAsia="zh-CN"/>
        </w:rPr>
      </w:pPr>
      <w:r>
        <w:rPr>
          <w:rFonts w:hint="eastAsia" w:ascii="黑体" w:hAnsi="黑体" w:eastAsia="黑体" w:cs="黑体"/>
          <w:b w:val="0"/>
          <w:bCs w:val="0"/>
          <w:color w:val="auto"/>
          <w:kern w:val="0"/>
          <w:sz w:val="32"/>
          <w:szCs w:val="32"/>
          <w:highlight w:val="none"/>
          <w:u w:val="none"/>
          <w:shd w:val="clear" w:color="auto" w:fill="FFFFFF"/>
          <w:lang w:val="zh-CN" w:eastAsia="zh-CN"/>
        </w:rPr>
        <w:t>附表</w:t>
      </w:r>
      <w:r>
        <w:rPr>
          <w:rFonts w:hint="eastAsia" w:ascii="黑体" w:hAnsi="黑体" w:eastAsia="黑体" w:cs="黑体"/>
          <w:b w:val="0"/>
          <w:bCs w:val="0"/>
          <w:color w:val="auto"/>
          <w:kern w:val="0"/>
          <w:sz w:val="32"/>
          <w:szCs w:val="32"/>
          <w:highlight w:val="none"/>
          <w:u w:val="none"/>
          <w:shd w:val="clear" w:color="auto" w:fill="FFFFFF"/>
          <w:lang w:val="en-US" w:eastAsia="zh-CN"/>
        </w:rPr>
        <w:t>1</w:t>
      </w:r>
    </w:p>
    <w:p w14:paraId="7FFAD030">
      <w:pPr>
        <w:keepNext w:val="0"/>
        <w:keepLines w:val="0"/>
        <w:pageBreakBefore w:val="0"/>
        <w:widowControl w:val="0"/>
        <w:kinsoku/>
        <w:wordWrap/>
        <w:overflowPunct/>
        <w:topLinePunct w:val="0"/>
        <w:autoSpaceDE/>
        <w:autoSpaceDN/>
        <w:bidi w:val="0"/>
        <w:adjustRightInd/>
        <w:snapToGrid/>
        <w:spacing w:line="576" w:lineRule="exact"/>
        <w:ind w:left="0" w:leftChars="0"/>
        <w:jc w:val="center"/>
        <w:textAlignment w:val="auto"/>
        <w:outlineLvl w:val="9"/>
        <w:rPr>
          <w:rFonts w:hint="eastAsia" w:ascii="方正小标宋_GBK" w:hAnsi="方正小标宋_GBK" w:eastAsia="方正小标宋_GBK" w:cs="方正小标宋_GBK"/>
          <w:b w:val="0"/>
          <w:bCs w:val="0"/>
          <w:color w:val="auto"/>
          <w:sz w:val="44"/>
          <w:szCs w:val="44"/>
          <w:highlight w:val="none"/>
          <w:u w:val="none"/>
          <w:vertAlign w:val="baseline"/>
          <w:lang w:val="en-US" w:eastAsia="zh-CN"/>
        </w:rPr>
      </w:pPr>
      <w:r>
        <w:rPr>
          <w:rFonts w:hint="eastAsia" w:ascii="方正小标宋_GBK" w:hAnsi="方正小标宋_GBK" w:eastAsia="方正小标宋_GBK" w:cs="方正小标宋_GBK"/>
          <w:b w:val="0"/>
          <w:bCs w:val="0"/>
          <w:color w:val="auto"/>
          <w:sz w:val="44"/>
          <w:szCs w:val="44"/>
          <w:highlight w:val="none"/>
          <w:u w:val="none"/>
          <w:vertAlign w:val="baseline"/>
          <w:lang w:val="en-US" w:eastAsia="zh-CN"/>
        </w:rPr>
        <w:t>项目资金分配涉及所有点位自评得分情况表</w:t>
      </w:r>
    </w:p>
    <w:tbl>
      <w:tblPr>
        <w:tblStyle w:val="18"/>
        <w:tblW w:w="88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3"/>
        <w:gridCol w:w="5020"/>
        <w:gridCol w:w="210"/>
        <w:gridCol w:w="1474"/>
        <w:gridCol w:w="993"/>
      </w:tblGrid>
      <w:tr w14:paraId="23A2E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5671708E">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序号</w:t>
            </w:r>
          </w:p>
        </w:tc>
        <w:tc>
          <w:tcPr>
            <w:tcW w:w="5230" w:type="dxa"/>
            <w:gridSpan w:val="2"/>
            <w:vAlign w:val="top"/>
          </w:tcPr>
          <w:p w14:paraId="63014B4F">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项目资金末端分配点位</w:t>
            </w:r>
          </w:p>
        </w:tc>
        <w:tc>
          <w:tcPr>
            <w:tcW w:w="1474" w:type="dxa"/>
            <w:vAlign w:val="top"/>
          </w:tcPr>
          <w:p w14:paraId="7972593E">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 w:eastAsia="zh-CN"/>
              </w:rPr>
              <w:t>自评得分（百分制）</w:t>
            </w:r>
          </w:p>
        </w:tc>
        <w:tc>
          <w:tcPr>
            <w:tcW w:w="993" w:type="dxa"/>
            <w:vAlign w:val="top"/>
          </w:tcPr>
          <w:p w14:paraId="7545327C">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备注</w:t>
            </w:r>
          </w:p>
        </w:tc>
      </w:tr>
      <w:tr w14:paraId="6494C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2B1C140D">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1</w:t>
            </w:r>
          </w:p>
        </w:tc>
        <w:tc>
          <w:tcPr>
            <w:tcW w:w="5020" w:type="dxa"/>
            <w:vAlign w:val="top"/>
          </w:tcPr>
          <w:p w14:paraId="1C429B3A">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四川省地质勘察开发局化探队</w:t>
            </w:r>
          </w:p>
        </w:tc>
        <w:tc>
          <w:tcPr>
            <w:tcW w:w="1684" w:type="dxa"/>
            <w:gridSpan w:val="2"/>
            <w:vAlign w:val="top"/>
          </w:tcPr>
          <w:p w14:paraId="5694479F">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100</w:t>
            </w:r>
          </w:p>
        </w:tc>
        <w:tc>
          <w:tcPr>
            <w:tcW w:w="993" w:type="dxa"/>
            <w:vAlign w:val="top"/>
          </w:tcPr>
          <w:p w14:paraId="49E451F1">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r>
      <w:tr w14:paraId="39869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1C5F274D">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2</w:t>
            </w:r>
          </w:p>
        </w:tc>
        <w:tc>
          <w:tcPr>
            <w:tcW w:w="5020" w:type="dxa"/>
            <w:vAlign w:val="top"/>
          </w:tcPr>
          <w:p w14:paraId="6A1807B9">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p>
        </w:tc>
        <w:tc>
          <w:tcPr>
            <w:tcW w:w="1684" w:type="dxa"/>
            <w:gridSpan w:val="2"/>
            <w:vAlign w:val="top"/>
          </w:tcPr>
          <w:p w14:paraId="7D549F9E">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p>
        </w:tc>
        <w:tc>
          <w:tcPr>
            <w:tcW w:w="993" w:type="dxa"/>
            <w:vAlign w:val="top"/>
          </w:tcPr>
          <w:p w14:paraId="07C0BE06">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r>
      <w:tr w14:paraId="380AB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7FC48332">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3</w:t>
            </w:r>
          </w:p>
        </w:tc>
        <w:tc>
          <w:tcPr>
            <w:tcW w:w="5020" w:type="dxa"/>
            <w:vAlign w:val="top"/>
          </w:tcPr>
          <w:p w14:paraId="5D1E26F6">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 w:eastAsia="zh-CN"/>
              </w:rPr>
            </w:pPr>
          </w:p>
        </w:tc>
        <w:tc>
          <w:tcPr>
            <w:tcW w:w="1684" w:type="dxa"/>
            <w:gridSpan w:val="2"/>
            <w:vAlign w:val="top"/>
          </w:tcPr>
          <w:p w14:paraId="5F0CAEBF">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 w:eastAsia="zh-CN"/>
              </w:rPr>
            </w:pPr>
          </w:p>
        </w:tc>
        <w:tc>
          <w:tcPr>
            <w:tcW w:w="993" w:type="dxa"/>
            <w:vAlign w:val="top"/>
          </w:tcPr>
          <w:p w14:paraId="7356ABC3">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r>
      <w:tr w14:paraId="55AD6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154BBE93">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4</w:t>
            </w:r>
          </w:p>
        </w:tc>
        <w:tc>
          <w:tcPr>
            <w:tcW w:w="5020" w:type="dxa"/>
            <w:vAlign w:val="top"/>
          </w:tcPr>
          <w:p w14:paraId="78A56700">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 w:eastAsia="zh-CN"/>
              </w:rPr>
            </w:pPr>
          </w:p>
        </w:tc>
        <w:tc>
          <w:tcPr>
            <w:tcW w:w="1684" w:type="dxa"/>
            <w:gridSpan w:val="2"/>
            <w:vAlign w:val="top"/>
          </w:tcPr>
          <w:p w14:paraId="4D02D988">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 w:eastAsia="zh-CN"/>
              </w:rPr>
            </w:pPr>
          </w:p>
        </w:tc>
        <w:tc>
          <w:tcPr>
            <w:tcW w:w="993" w:type="dxa"/>
            <w:vAlign w:val="top"/>
          </w:tcPr>
          <w:p w14:paraId="1022D50D">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r>
      <w:tr w14:paraId="31DD7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36435B57">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5</w:t>
            </w:r>
          </w:p>
        </w:tc>
        <w:tc>
          <w:tcPr>
            <w:tcW w:w="5020" w:type="dxa"/>
            <w:vAlign w:val="top"/>
          </w:tcPr>
          <w:p w14:paraId="538C31A3">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 w:eastAsia="zh-CN"/>
              </w:rPr>
            </w:pPr>
          </w:p>
        </w:tc>
        <w:tc>
          <w:tcPr>
            <w:tcW w:w="1684" w:type="dxa"/>
            <w:gridSpan w:val="2"/>
            <w:vAlign w:val="top"/>
          </w:tcPr>
          <w:p w14:paraId="289B2952">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 w:eastAsia="zh-CN"/>
              </w:rPr>
            </w:pPr>
          </w:p>
        </w:tc>
        <w:tc>
          <w:tcPr>
            <w:tcW w:w="993" w:type="dxa"/>
            <w:vAlign w:val="top"/>
          </w:tcPr>
          <w:p w14:paraId="51DB6B87">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r>
      <w:tr w14:paraId="235ED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3B6F677A">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6</w:t>
            </w:r>
          </w:p>
        </w:tc>
        <w:tc>
          <w:tcPr>
            <w:tcW w:w="5020" w:type="dxa"/>
            <w:vAlign w:val="top"/>
          </w:tcPr>
          <w:p w14:paraId="1E5E9B2B">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 w:eastAsia="zh-CN"/>
              </w:rPr>
            </w:pPr>
          </w:p>
        </w:tc>
        <w:tc>
          <w:tcPr>
            <w:tcW w:w="1684" w:type="dxa"/>
            <w:gridSpan w:val="2"/>
            <w:vAlign w:val="top"/>
          </w:tcPr>
          <w:p w14:paraId="0D4B04D1">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 w:eastAsia="zh-CN"/>
              </w:rPr>
            </w:pPr>
          </w:p>
        </w:tc>
        <w:tc>
          <w:tcPr>
            <w:tcW w:w="993" w:type="dxa"/>
            <w:vAlign w:val="top"/>
          </w:tcPr>
          <w:p w14:paraId="3086BFE7">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r>
      <w:tr w14:paraId="16BE4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320A23C5">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7</w:t>
            </w:r>
          </w:p>
        </w:tc>
        <w:tc>
          <w:tcPr>
            <w:tcW w:w="5020" w:type="dxa"/>
            <w:vAlign w:val="top"/>
          </w:tcPr>
          <w:p w14:paraId="7AD69E2C">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 w:eastAsia="zh-CN"/>
              </w:rPr>
            </w:pPr>
          </w:p>
        </w:tc>
        <w:tc>
          <w:tcPr>
            <w:tcW w:w="1684" w:type="dxa"/>
            <w:gridSpan w:val="2"/>
            <w:vAlign w:val="top"/>
          </w:tcPr>
          <w:p w14:paraId="0CCB594E">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 w:eastAsia="zh-CN"/>
              </w:rPr>
            </w:pPr>
          </w:p>
        </w:tc>
        <w:tc>
          <w:tcPr>
            <w:tcW w:w="993" w:type="dxa"/>
            <w:vAlign w:val="top"/>
          </w:tcPr>
          <w:p w14:paraId="36FED98C">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r>
      <w:tr w14:paraId="2B218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4D70A39E">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8</w:t>
            </w:r>
          </w:p>
        </w:tc>
        <w:tc>
          <w:tcPr>
            <w:tcW w:w="5020" w:type="dxa"/>
            <w:vAlign w:val="top"/>
          </w:tcPr>
          <w:p w14:paraId="5D604718">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 w:eastAsia="zh-CN"/>
              </w:rPr>
            </w:pPr>
          </w:p>
        </w:tc>
        <w:tc>
          <w:tcPr>
            <w:tcW w:w="1684" w:type="dxa"/>
            <w:gridSpan w:val="2"/>
            <w:vAlign w:val="top"/>
          </w:tcPr>
          <w:p w14:paraId="56FD5557">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 w:eastAsia="zh-CN"/>
              </w:rPr>
            </w:pPr>
          </w:p>
        </w:tc>
        <w:tc>
          <w:tcPr>
            <w:tcW w:w="993" w:type="dxa"/>
            <w:vAlign w:val="top"/>
          </w:tcPr>
          <w:p w14:paraId="53CA4C1D">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r>
      <w:tr w14:paraId="65D54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0514380E">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w:t>
            </w:r>
          </w:p>
        </w:tc>
        <w:tc>
          <w:tcPr>
            <w:tcW w:w="5020" w:type="dxa"/>
            <w:vAlign w:val="top"/>
          </w:tcPr>
          <w:p w14:paraId="59897D41">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 w:eastAsia="zh-CN"/>
              </w:rPr>
            </w:pPr>
          </w:p>
        </w:tc>
        <w:tc>
          <w:tcPr>
            <w:tcW w:w="1684" w:type="dxa"/>
            <w:gridSpan w:val="2"/>
            <w:vAlign w:val="top"/>
          </w:tcPr>
          <w:p w14:paraId="5EBCE940">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 w:eastAsia="zh-CN"/>
              </w:rPr>
            </w:pPr>
          </w:p>
        </w:tc>
        <w:tc>
          <w:tcPr>
            <w:tcW w:w="993" w:type="dxa"/>
            <w:vAlign w:val="top"/>
          </w:tcPr>
          <w:p w14:paraId="792C8B56">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r>
    </w:tbl>
    <w:p w14:paraId="6B8FC0F5">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备注：1.项目资金末端分配点位包括市本级、县（区）、市级部门下属单位及一次性单位等。</w:t>
      </w:r>
    </w:p>
    <w:p w14:paraId="16C0A34B">
      <w:pPr>
        <w:keepNext w:val="0"/>
        <w:keepLines w:val="0"/>
        <w:pageBreakBefore w:val="0"/>
        <w:widowControl w:val="0"/>
        <w:kinsoku/>
        <w:wordWrap/>
        <w:overflowPunct/>
        <w:topLinePunct w:val="0"/>
        <w:autoSpaceDE/>
        <w:autoSpaceDN/>
        <w:bidi w:val="0"/>
        <w:adjustRightInd/>
        <w:snapToGrid/>
        <w:spacing w:line="400" w:lineRule="exact"/>
        <w:ind w:left="0" w:leftChars="0" w:firstLine="720" w:firstLineChars="300"/>
        <w:jc w:val="left"/>
        <w:textAlignment w:val="auto"/>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2.自评得分（百分制）从高到低划分为优、良、中、差四个档次，各个档次数量占比分别为20%、20%、55%、5%，且不同档次间得分分值应体现差异化，同档次得分分值相同的比例不超过该档次总数量的10%。</w:t>
      </w:r>
    </w:p>
    <w:p w14:paraId="3EC16677">
      <w:pPr>
        <w:rPr>
          <w:rFonts w:hint="eastAsia" w:ascii="Times New Roman" w:hAnsi="Times New Roman" w:eastAsia="仿宋_GB2312" w:cs="Times New Roman"/>
          <w:kern w:val="2"/>
          <w:sz w:val="32"/>
          <w:szCs w:val="24"/>
          <w:highlight w:val="none"/>
          <w:lang w:val="en-US" w:eastAsia="zh-CN" w:bidi="ar-SA"/>
        </w:rPr>
      </w:pPr>
      <w:r>
        <w:rPr>
          <w:rFonts w:hint="eastAsia" w:ascii="Times New Roman" w:hAnsi="Times New Roman" w:eastAsia="仿宋_GB2312" w:cs="Times New Roman"/>
          <w:kern w:val="2"/>
          <w:sz w:val="32"/>
          <w:szCs w:val="24"/>
          <w:highlight w:val="none"/>
          <w:lang w:val="en-US" w:eastAsia="zh-CN" w:bidi="ar-SA"/>
        </w:rPr>
        <w:br w:type="page"/>
      </w:r>
    </w:p>
    <w:p w14:paraId="41992A74">
      <w:pPr>
        <w:pStyle w:val="16"/>
        <w:keepNext w:val="0"/>
        <w:keepLines w:val="0"/>
        <w:pageBreakBefore w:val="0"/>
        <w:kinsoku/>
        <w:wordWrap/>
        <w:overflowPunct/>
        <w:topLinePunct w:val="0"/>
        <w:autoSpaceDE/>
        <w:autoSpaceDN/>
        <w:bidi w:val="0"/>
        <w:spacing w:after="0" w:line="578" w:lineRule="exact"/>
        <w:ind w:left="0" w:leftChars="0" w:firstLine="0" w:firstLineChars="0"/>
        <w:rPr>
          <w:rFonts w:hint="default" w:ascii="Times New Roman" w:hAnsi="Times New Roman" w:eastAsia="黑体" w:cs="Times New Roman"/>
          <w:kern w:val="2"/>
          <w:sz w:val="32"/>
          <w:szCs w:val="24"/>
          <w:highlight w:val="none"/>
          <w:lang w:val="en-US" w:eastAsia="zh-CN" w:bidi="ar-SA"/>
        </w:rPr>
      </w:pPr>
      <w:r>
        <w:rPr>
          <w:rFonts w:hint="default" w:ascii="Times New Roman" w:hAnsi="Times New Roman" w:eastAsia="黑体" w:cs="Times New Roman"/>
          <w:kern w:val="2"/>
          <w:sz w:val="32"/>
          <w:szCs w:val="24"/>
          <w:highlight w:val="none"/>
          <w:lang w:val="en-US" w:eastAsia="zh-CN" w:bidi="ar-SA"/>
        </w:rPr>
        <w:t>附表2</w:t>
      </w:r>
    </w:p>
    <w:p w14:paraId="4610E557">
      <w:pPr>
        <w:keepNext w:val="0"/>
        <w:keepLines w:val="0"/>
        <w:pageBreakBefore w:val="0"/>
        <w:widowControl w:val="0"/>
        <w:kinsoku/>
        <w:wordWrap/>
        <w:overflowPunct/>
        <w:topLinePunct w:val="0"/>
        <w:autoSpaceDE/>
        <w:autoSpaceDN/>
        <w:bidi w:val="0"/>
        <w:adjustRightInd/>
        <w:snapToGrid/>
        <w:spacing w:line="576" w:lineRule="exact"/>
        <w:ind w:left="0" w:leftChars="0"/>
        <w:jc w:val="center"/>
        <w:textAlignment w:val="auto"/>
        <w:outlineLvl w:val="9"/>
        <w:rPr>
          <w:rFonts w:hint="default" w:ascii="方正小标宋_GBK" w:hAnsi="方正小标宋_GBK" w:eastAsia="方正小标宋_GBK" w:cs="方正小标宋_GBK"/>
          <w:b w:val="0"/>
          <w:bCs w:val="0"/>
          <w:color w:val="auto"/>
          <w:sz w:val="44"/>
          <w:szCs w:val="44"/>
          <w:highlight w:val="none"/>
          <w:u w:val="none"/>
          <w:vertAlign w:val="baseline"/>
          <w:lang w:val="en-US" w:eastAsia="zh-CN"/>
        </w:rPr>
      </w:pPr>
      <w:r>
        <w:rPr>
          <w:rFonts w:hint="eastAsia" w:ascii="方正小标宋_GBK" w:hAnsi="方正小标宋_GBK" w:eastAsia="方正小标宋_GBK" w:cs="方正小标宋_GBK"/>
          <w:b w:val="0"/>
          <w:bCs w:val="0"/>
          <w:color w:val="auto"/>
          <w:sz w:val="44"/>
          <w:szCs w:val="44"/>
          <w:highlight w:val="none"/>
          <w:u w:val="none"/>
          <w:vertAlign w:val="baseline"/>
          <w:lang w:val="en-US" w:eastAsia="zh-CN"/>
        </w:rPr>
        <w:t>专项预算项目绩效目标完成情况自评表</w:t>
      </w:r>
    </w:p>
    <w:tbl>
      <w:tblPr>
        <w:tblStyle w:val="17"/>
        <w:tblW w:w="895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570"/>
        <w:gridCol w:w="946"/>
        <w:gridCol w:w="1094"/>
        <w:gridCol w:w="1150"/>
        <w:gridCol w:w="986"/>
        <w:gridCol w:w="849"/>
        <w:gridCol w:w="374"/>
        <w:gridCol w:w="555"/>
        <w:gridCol w:w="820"/>
        <w:gridCol w:w="1615"/>
      </w:tblGrid>
      <w:tr w14:paraId="1BA1ED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40" w:hRule="atLeast"/>
          <w:jc w:val="center"/>
        </w:trPr>
        <w:tc>
          <w:tcPr>
            <w:tcW w:w="376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506D57D">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项目名称</w:t>
            </w:r>
          </w:p>
        </w:tc>
        <w:tc>
          <w:tcPr>
            <w:tcW w:w="519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E05E5C9">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广元市矿产资源调查项目工作经费</w:t>
            </w:r>
          </w:p>
        </w:tc>
      </w:tr>
      <w:tr w14:paraId="5D5984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40" w:hRule="atLeast"/>
          <w:jc w:val="center"/>
        </w:trPr>
        <w:tc>
          <w:tcPr>
            <w:tcW w:w="376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14D2811">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预算单位</w:t>
            </w:r>
          </w:p>
        </w:tc>
        <w:tc>
          <w:tcPr>
            <w:tcW w:w="519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A364741">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广元市自然资源局</w:t>
            </w:r>
          </w:p>
        </w:tc>
      </w:tr>
      <w:tr w14:paraId="42EBD7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40" w:hRule="atLeast"/>
          <w:jc w:val="center"/>
        </w:trPr>
        <w:tc>
          <w:tcPr>
            <w:tcW w:w="376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CEB1925">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项目类型</w:t>
            </w:r>
          </w:p>
        </w:tc>
        <w:tc>
          <w:tcPr>
            <w:tcW w:w="519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6A7845E">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专项预算项目</w:t>
            </w:r>
          </w:p>
        </w:tc>
      </w:tr>
      <w:tr w14:paraId="3194A0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40" w:hRule="atLeast"/>
          <w:jc w:val="center"/>
        </w:trPr>
        <w:tc>
          <w:tcPr>
            <w:tcW w:w="5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6514B5">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项目 概况</w:t>
            </w:r>
          </w:p>
        </w:tc>
        <w:tc>
          <w:tcPr>
            <w:tcW w:w="319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3462564">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中长期规划（名称、文号，仅指常年项目）</w:t>
            </w:r>
          </w:p>
        </w:tc>
        <w:tc>
          <w:tcPr>
            <w:tcW w:w="519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D4C5150">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w:t>
            </w:r>
          </w:p>
        </w:tc>
      </w:tr>
      <w:tr w14:paraId="239653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4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DEE9A2">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319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586BE7F">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资金管理办法（名称、文号）</w:t>
            </w:r>
          </w:p>
        </w:tc>
        <w:tc>
          <w:tcPr>
            <w:tcW w:w="519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0EDDABB">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广元市自然资源局财务管理制度</w:t>
            </w:r>
          </w:p>
        </w:tc>
      </w:tr>
      <w:tr w14:paraId="73994F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4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05783C">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319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6E3C18C">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绩效分配方式</w:t>
            </w:r>
          </w:p>
        </w:tc>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418AD">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default" w:ascii="仿宋_GB2312" w:hAnsi="仿宋_GB2312" w:eastAsia="仿宋_GB2312" w:cs="仿宋_GB2312"/>
                <w:b w:val="0"/>
                <w:bCs w:val="0"/>
                <w:color w:val="auto"/>
                <w:sz w:val="24"/>
                <w:szCs w:val="24"/>
                <w:highlight w:val="none"/>
                <w:u w:val="none"/>
                <w:vertAlign w:val="baseline"/>
                <w:lang w:val="en-US" w:eastAsia="zh-CN"/>
              </w:rPr>
              <w:sym w:font="Wingdings 2" w:char="00A3"/>
            </w:r>
            <w:r>
              <w:rPr>
                <w:rFonts w:hint="eastAsia" w:ascii="仿宋_GB2312" w:hAnsi="仿宋_GB2312" w:eastAsia="仿宋_GB2312" w:cs="仿宋_GB2312"/>
                <w:b w:val="0"/>
                <w:bCs w:val="0"/>
                <w:color w:val="auto"/>
                <w:sz w:val="24"/>
                <w:szCs w:val="24"/>
                <w:highlight w:val="none"/>
                <w:u w:val="none"/>
                <w:vertAlign w:val="baseline"/>
                <w:lang w:val="en-US" w:eastAsia="zh-CN"/>
              </w:rPr>
              <w:t>因素法</w:t>
            </w:r>
          </w:p>
        </w:tc>
        <w:tc>
          <w:tcPr>
            <w:tcW w:w="177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3501D43">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default" w:ascii="仿宋_GB2312" w:hAnsi="仿宋_GB2312" w:eastAsia="仿宋_GB2312" w:cs="仿宋_GB2312"/>
                <w:b w:val="0"/>
                <w:bCs w:val="0"/>
                <w:color w:val="auto"/>
                <w:sz w:val="24"/>
                <w:szCs w:val="24"/>
                <w:highlight w:val="none"/>
                <w:u w:val="none"/>
                <w:vertAlign w:val="baseline"/>
                <w:lang w:val="en-US" w:eastAsia="zh-CN"/>
              </w:rPr>
              <w:sym w:font="Wingdings 2" w:char="0052"/>
            </w:r>
            <w:r>
              <w:rPr>
                <w:rFonts w:hint="default" w:ascii="仿宋_GB2312" w:hAnsi="仿宋_GB2312" w:eastAsia="仿宋_GB2312" w:cs="仿宋_GB2312"/>
                <w:b w:val="0"/>
                <w:bCs w:val="0"/>
                <w:color w:val="auto"/>
                <w:sz w:val="24"/>
                <w:szCs w:val="24"/>
                <w:highlight w:val="none"/>
                <w:u w:val="none"/>
                <w:vertAlign w:val="baseline"/>
                <w:lang w:val="en-US" w:eastAsia="zh-CN"/>
              </w:rPr>
              <w:t>项目法</w:t>
            </w: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347C0">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default" w:ascii="仿宋_GB2312" w:hAnsi="仿宋_GB2312" w:eastAsia="仿宋_GB2312" w:cs="仿宋_GB2312"/>
                <w:b w:val="0"/>
                <w:bCs w:val="0"/>
                <w:color w:val="auto"/>
                <w:sz w:val="24"/>
                <w:szCs w:val="24"/>
                <w:highlight w:val="none"/>
                <w:u w:val="none"/>
                <w:vertAlign w:val="baseline"/>
                <w:lang w:val="en-US" w:eastAsia="zh-CN"/>
              </w:rPr>
              <w:sym w:font="Wingdings 2" w:char="00A3"/>
            </w:r>
            <w:r>
              <w:rPr>
                <w:rFonts w:hint="eastAsia" w:ascii="仿宋_GB2312" w:hAnsi="仿宋_GB2312" w:eastAsia="仿宋_GB2312" w:cs="仿宋_GB2312"/>
                <w:b w:val="0"/>
                <w:bCs w:val="0"/>
                <w:color w:val="auto"/>
                <w:sz w:val="24"/>
                <w:szCs w:val="24"/>
                <w:highlight w:val="none"/>
                <w:u w:val="none"/>
                <w:vertAlign w:val="baseline"/>
                <w:lang w:val="en-US" w:eastAsia="zh-CN"/>
              </w:rPr>
              <w:t>据实据效</w:t>
            </w:r>
          </w:p>
        </w:tc>
        <w:tc>
          <w:tcPr>
            <w:tcW w:w="1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8C079">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default" w:ascii="仿宋_GB2312" w:hAnsi="仿宋_GB2312" w:eastAsia="仿宋_GB2312" w:cs="仿宋_GB2312"/>
                <w:b w:val="0"/>
                <w:bCs w:val="0"/>
                <w:color w:val="auto"/>
                <w:sz w:val="24"/>
                <w:szCs w:val="24"/>
                <w:highlight w:val="none"/>
                <w:u w:val="none"/>
                <w:vertAlign w:val="baseline"/>
                <w:lang w:val="en-US" w:eastAsia="zh-CN"/>
              </w:rPr>
              <w:t>£</w:t>
            </w:r>
            <w:r>
              <w:rPr>
                <w:rFonts w:hint="eastAsia" w:ascii="仿宋_GB2312" w:hAnsi="仿宋_GB2312" w:eastAsia="仿宋_GB2312" w:cs="仿宋_GB2312"/>
                <w:b w:val="0"/>
                <w:bCs w:val="0"/>
                <w:color w:val="auto"/>
                <w:sz w:val="24"/>
                <w:szCs w:val="24"/>
                <w:highlight w:val="none"/>
                <w:u w:val="none"/>
                <w:vertAlign w:val="baseline"/>
                <w:lang w:val="en-US" w:eastAsia="zh-CN"/>
              </w:rPr>
              <w:t>因素法与项目法相结合</w:t>
            </w:r>
          </w:p>
        </w:tc>
      </w:tr>
      <w:tr w14:paraId="43A827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4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80A46A">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319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E2BA3F8">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立项依据</w:t>
            </w:r>
          </w:p>
        </w:tc>
        <w:tc>
          <w:tcPr>
            <w:tcW w:w="519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0ED3724">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为深入贯彻实施国家新一轮找矿突破战略行动和市委“1345”发展战略，加速推进资源优势向产业优势转变，提高矿产资源保障能力，着力推动我市硅基新材料产业高质量发展，落实市委、市政府关于摸清全市矿产资源家底的工作安排。</w:t>
            </w:r>
          </w:p>
          <w:p w14:paraId="3DCA9378">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r>
      <w:tr w14:paraId="61BF5E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4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190429">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319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52546D1">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使用范围</w:t>
            </w:r>
          </w:p>
        </w:tc>
        <w:tc>
          <w:tcPr>
            <w:tcW w:w="519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48807B9">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委托业务费</w:t>
            </w:r>
          </w:p>
        </w:tc>
      </w:tr>
      <w:tr w14:paraId="3E7654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4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795266">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319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957A62C">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申报（补助）条件</w:t>
            </w:r>
          </w:p>
        </w:tc>
        <w:tc>
          <w:tcPr>
            <w:tcW w:w="519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AFF1923">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r>
      <w:tr w14:paraId="074251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4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F39DA0">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319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D960F17">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项目起止年限</w:t>
            </w:r>
          </w:p>
        </w:tc>
        <w:tc>
          <w:tcPr>
            <w:tcW w:w="519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A8BDFB9">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2023-2023</w:t>
            </w:r>
          </w:p>
        </w:tc>
      </w:tr>
      <w:tr w14:paraId="62C675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40" w:hRule="atLeast"/>
          <w:jc w:val="center"/>
        </w:trPr>
        <w:tc>
          <w:tcPr>
            <w:tcW w:w="151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A06F80">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项目资金</w:t>
            </w:r>
          </w:p>
          <w:p w14:paraId="53A79163">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（万元）</w:t>
            </w:r>
          </w:p>
        </w:tc>
        <w:tc>
          <w:tcPr>
            <w:tcW w:w="22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6C3243">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 xml:space="preserve">  年度资金总额：</w:t>
            </w:r>
          </w:p>
        </w:tc>
        <w:tc>
          <w:tcPr>
            <w:tcW w:w="519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36E5705">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165</w:t>
            </w:r>
          </w:p>
        </w:tc>
      </w:tr>
      <w:tr w14:paraId="431C30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40" w:hRule="atLeast"/>
          <w:jc w:val="center"/>
        </w:trPr>
        <w:tc>
          <w:tcPr>
            <w:tcW w:w="151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99ADBB">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22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3527C5">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 xml:space="preserve">    其中：财政拨款</w:t>
            </w:r>
          </w:p>
        </w:tc>
        <w:tc>
          <w:tcPr>
            <w:tcW w:w="519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291CD8A">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165</w:t>
            </w:r>
          </w:p>
        </w:tc>
      </w:tr>
      <w:tr w14:paraId="13A36E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40" w:hRule="atLeast"/>
          <w:jc w:val="center"/>
        </w:trPr>
        <w:tc>
          <w:tcPr>
            <w:tcW w:w="151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B2AD30">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22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BAAF96">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 xml:space="preserve">          其他资金</w:t>
            </w:r>
          </w:p>
        </w:tc>
        <w:tc>
          <w:tcPr>
            <w:tcW w:w="519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8839641">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r>
      <w:tr w14:paraId="738623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40" w:hRule="atLeast"/>
          <w:jc w:val="center"/>
        </w:trPr>
        <w:tc>
          <w:tcPr>
            <w:tcW w:w="5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A68407">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总体 目标</w:t>
            </w:r>
          </w:p>
        </w:tc>
        <w:tc>
          <w:tcPr>
            <w:tcW w:w="838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77656C2">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年度目标</w:t>
            </w:r>
          </w:p>
        </w:tc>
      </w:tr>
      <w:tr w14:paraId="03CD68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4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6E40C4">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838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ACAA09D">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编制完成《广元市矿产资源调查报告》共4分，密资料29件；广元市矿产资源分布图、开发利用现状图、矿产资源量预测图、重点优势矿种分布图本报告分析总结2套。专家组已审核通过。本报告分析总结了主要（优势）矿产分布规律和成矿特征，通过典型矿床研究对比，推荐了具有找矿远景的区块28个，并进行了资源远景预测。</w:t>
            </w:r>
          </w:p>
        </w:tc>
      </w:tr>
      <w:tr w14:paraId="43183B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40" w:hRule="atLeast"/>
          <w:jc w:val="center"/>
        </w:trPr>
        <w:tc>
          <w:tcPr>
            <w:tcW w:w="570" w:type="dxa"/>
            <w:vMerge w:val="restart"/>
            <w:tcBorders>
              <w:top w:val="single" w:color="000000" w:sz="4" w:space="0"/>
              <w:left w:val="single" w:color="000000" w:sz="4" w:space="0"/>
              <w:bottom w:val="single" w:color="000000" w:sz="4" w:space="0"/>
            </w:tcBorders>
            <w:shd w:val="clear" w:color="auto" w:fill="auto"/>
            <w:vAlign w:val="center"/>
          </w:tcPr>
          <w:p w14:paraId="2C10B4F3">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绩效 指标</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0E69F">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一级指标</w:t>
            </w:r>
          </w:p>
        </w:tc>
        <w:tc>
          <w:tcPr>
            <w:tcW w:w="1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ABB92">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二级指标</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9C3FE">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三级指标</w:t>
            </w:r>
          </w:p>
        </w:tc>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AD417">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指标性质</w:t>
            </w:r>
          </w:p>
        </w:tc>
        <w:tc>
          <w:tcPr>
            <w:tcW w:w="122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D7EEB8">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指标值</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09B81">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度量单位</w:t>
            </w: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1A92E">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权重</w:t>
            </w:r>
          </w:p>
        </w:tc>
        <w:tc>
          <w:tcPr>
            <w:tcW w:w="1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E5216">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实际完成指标值</w:t>
            </w:r>
          </w:p>
        </w:tc>
      </w:tr>
      <w:tr w14:paraId="110C35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97" w:hRule="atLeast"/>
          <w:jc w:val="center"/>
        </w:trPr>
        <w:tc>
          <w:tcPr>
            <w:tcW w:w="570" w:type="dxa"/>
            <w:vMerge w:val="continue"/>
            <w:tcBorders>
              <w:top w:val="single" w:color="000000" w:sz="4" w:space="0"/>
              <w:left w:val="single" w:color="000000" w:sz="4" w:space="0"/>
              <w:bottom w:val="single" w:color="000000" w:sz="4" w:space="0"/>
            </w:tcBorders>
            <w:shd w:val="clear" w:color="auto" w:fill="auto"/>
            <w:vAlign w:val="center"/>
          </w:tcPr>
          <w:p w14:paraId="6B1D81F8">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BB482">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产出指标</w:t>
            </w:r>
          </w:p>
        </w:tc>
        <w:tc>
          <w:tcPr>
            <w:tcW w:w="1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22DE7">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数量指标</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51733">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广元市矿产资源分布图、开发利用现状图、矿产资源量预测图、重点优势矿种分布图</w:t>
            </w:r>
          </w:p>
        </w:tc>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02728">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F4D20">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2</w:t>
            </w:r>
          </w:p>
        </w:tc>
        <w:tc>
          <w:tcPr>
            <w:tcW w:w="9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8CDBA5">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套</w:t>
            </w: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333AB">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20</w:t>
            </w:r>
          </w:p>
        </w:tc>
        <w:tc>
          <w:tcPr>
            <w:tcW w:w="1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F1A47">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15</w:t>
            </w:r>
          </w:p>
        </w:tc>
      </w:tr>
      <w:tr w14:paraId="114485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40" w:hRule="atLeast"/>
          <w:jc w:val="center"/>
        </w:trPr>
        <w:tc>
          <w:tcPr>
            <w:tcW w:w="570" w:type="dxa"/>
            <w:vMerge w:val="continue"/>
            <w:tcBorders>
              <w:top w:val="single" w:color="000000" w:sz="4" w:space="0"/>
              <w:left w:val="single" w:color="000000" w:sz="4" w:space="0"/>
              <w:bottom w:val="single" w:color="000000" w:sz="4" w:space="0"/>
            </w:tcBorders>
            <w:shd w:val="clear" w:color="auto" w:fill="auto"/>
            <w:vAlign w:val="center"/>
          </w:tcPr>
          <w:p w14:paraId="518FC5BD">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1046F">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产出指标</w:t>
            </w:r>
          </w:p>
        </w:tc>
        <w:tc>
          <w:tcPr>
            <w:tcW w:w="1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A0160">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数量指标</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A0D0C">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《广元市矿产资源调查报告》纸质及电子档</w:t>
            </w:r>
          </w:p>
        </w:tc>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45206">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EF30E">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4</w:t>
            </w:r>
          </w:p>
        </w:tc>
        <w:tc>
          <w:tcPr>
            <w:tcW w:w="9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CA424B">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套</w:t>
            </w: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82775">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10</w:t>
            </w:r>
          </w:p>
        </w:tc>
        <w:tc>
          <w:tcPr>
            <w:tcW w:w="1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22863">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1</w:t>
            </w:r>
          </w:p>
        </w:tc>
      </w:tr>
      <w:tr w14:paraId="221F82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40" w:hRule="atLeast"/>
          <w:jc w:val="center"/>
        </w:trPr>
        <w:tc>
          <w:tcPr>
            <w:tcW w:w="570" w:type="dxa"/>
            <w:vMerge w:val="continue"/>
            <w:tcBorders>
              <w:top w:val="single" w:color="000000" w:sz="4" w:space="0"/>
              <w:left w:val="single" w:color="000000" w:sz="4" w:space="0"/>
              <w:bottom w:val="single" w:color="000000" w:sz="4" w:space="0"/>
            </w:tcBorders>
            <w:shd w:val="clear" w:color="auto" w:fill="auto"/>
            <w:vAlign w:val="center"/>
          </w:tcPr>
          <w:p w14:paraId="7CF4BBCC">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E87D5">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产出指标</w:t>
            </w:r>
          </w:p>
        </w:tc>
        <w:tc>
          <w:tcPr>
            <w:tcW w:w="1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44D2C">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质量指标</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A49A5">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验收合格率</w:t>
            </w:r>
          </w:p>
        </w:tc>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4C748">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C567B">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100</w:t>
            </w:r>
          </w:p>
        </w:tc>
        <w:tc>
          <w:tcPr>
            <w:tcW w:w="9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90B552">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w:t>
            </w: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D7E42">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10</w:t>
            </w:r>
          </w:p>
        </w:tc>
        <w:tc>
          <w:tcPr>
            <w:tcW w:w="1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87C2A">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100</w:t>
            </w:r>
          </w:p>
        </w:tc>
      </w:tr>
      <w:tr w14:paraId="5C5A7C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40" w:hRule="atLeast"/>
          <w:jc w:val="center"/>
        </w:trPr>
        <w:tc>
          <w:tcPr>
            <w:tcW w:w="570" w:type="dxa"/>
            <w:vMerge w:val="continue"/>
            <w:tcBorders>
              <w:top w:val="single" w:color="000000" w:sz="4" w:space="0"/>
              <w:left w:val="single" w:color="000000" w:sz="4" w:space="0"/>
              <w:bottom w:val="single" w:color="000000" w:sz="4" w:space="0"/>
            </w:tcBorders>
            <w:shd w:val="clear" w:color="auto" w:fill="auto"/>
            <w:vAlign w:val="center"/>
          </w:tcPr>
          <w:p w14:paraId="0B3F4101">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30A55">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产出指标</w:t>
            </w:r>
          </w:p>
        </w:tc>
        <w:tc>
          <w:tcPr>
            <w:tcW w:w="1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B04D0">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时效指标</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5C33E">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完成时间</w:t>
            </w:r>
          </w:p>
        </w:tc>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B235F">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44A52">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5</w:t>
            </w:r>
          </w:p>
        </w:tc>
        <w:tc>
          <w:tcPr>
            <w:tcW w:w="9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26C2A4">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天</w:t>
            </w: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C34AF">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10</w:t>
            </w:r>
          </w:p>
        </w:tc>
        <w:tc>
          <w:tcPr>
            <w:tcW w:w="1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AA1A8">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1</w:t>
            </w:r>
          </w:p>
        </w:tc>
      </w:tr>
      <w:tr w14:paraId="67647D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40" w:hRule="atLeast"/>
          <w:jc w:val="center"/>
        </w:trPr>
        <w:tc>
          <w:tcPr>
            <w:tcW w:w="570" w:type="dxa"/>
            <w:vMerge w:val="continue"/>
            <w:tcBorders>
              <w:top w:val="single" w:color="000000" w:sz="4" w:space="0"/>
              <w:left w:val="single" w:color="000000" w:sz="4" w:space="0"/>
              <w:bottom w:val="single" w:color="000000" w:sz="4" w:space="0"/>
            </w:tcBorders>
            <w:shd w:val="clear" w:color="auto" w:fill="auto"/>
            <w:vAlign w:val="center"/>
          </w:tcPr>
          <w:p w14:paraId="72DF7338">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862F7">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效益指标</w:t>
            </w:r>
          </w:p>
        </w:tc>
        <w:tc>
          <w:tcPr>
            <w:tcW w:w="1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A71B1">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社会效益</w:t>
            </w:r>
          </w:p>
          <w:p w14:paraId="233F3CF5">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指标</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C43E3">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提高矿产资源保障能力，增加政府收益</w:t>
            </w:r>
          </w:p>
        </w:tc>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25B43">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定性</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7F38F">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良好</w:t>
            </w:r>
          </w:p>
        </w:tc>
        <w:tc>
          <w:tcPr>
            <w:tcW w:w="9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4CADAE">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级</w:t>
            </w: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16DC6">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20</w:t>
            </w:r>
          </w:p>
        </w:tc>
        <w:tc>
          <w:tcPr>
            <w:tcW w:w="1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D0B75">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良好</w:t>
            </w:r>
          </w:p>
        </w:tc>
      </w:tr>
      <w:tr w14:paraId="67A67D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40" w:hRule="atLeast"/>
          <w:jc w:val="center"/>
        </w:trPr>
        <w:tc>
          <w:tcPr>
            <w:tcW w:w="570" w:type="dxa"/>
            <w:tcBorders>
              <w:top w:val="single" w:color="000000" w:sz="4" w:space="0"/>
              <w:left w:val="single" w:color="000000" w:sz="4" w:space="0"/>
              <w:bottom w:val="single" w:color="000000" w:sz="4" w:space="0"/>
            </w:tcBorders>
            <w:shd w:val="clear" w:color="auto" w:fill="auto"/>
            <w:vAlign w:val="center"/>
          </w:tcPr>
          <w:p w14:paraId="55A68C9A">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D739B">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满意度指标</w:t>
            </w:r>
          </w:p>
        </w:tc>
        <w:tc>
          <w:tcPr>
            <w:tcW w:w="1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EB2EC">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满意度指标</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8950E">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矿区群众满意度</w:t>
            </w:r>
          </w:p>
        </w:tc>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1D437">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D228C">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95</w:t>
            </w:r>
          </w:p>
        </w:tc>
        <w:tc>
          <w:tcPr>
            <w:tcW w:w="9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E76DC8">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w:t>
            </w: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16A1C">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10</w:t>
            </w:r>
          </w:p>
        </w:tc>
        <w:tc>
          <w:tcPr>
            <w:tcW w:w="1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02876">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95</w:t>
            </w:r>
          </w:p>
        </w:tc>
      </w:tr>
      <w:tr w14:paraId="5612BC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40" w:hRule="atLeast"/>
          <w:jc w:val="center"/>
        </w:trPr>
        <w:tc>
          <w:tcPr>
            <w:tcW w:w="570" w:type="dxa"/>
            <w:tcBorders>
              <w:top w:val="single" w:color="000000" w:sz="4" w:space="0"/>
              <w:left w:val="single" w:color="000000" w:sz="4" w:space="0"/>
              <w:bottom w:val="single" w:color="000000" w:sz="4" w:space="0"/>
            </w:tcBorders>
            <w:shd w:val="clear" w:color="auto" w:fill="auto"/>
            <w:vAlign w:val="center"/>
          </w:tcPr>
          <w:p w14:paraId="6D7B3E24">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78CB6">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成本指标</w:t>
            </w:r>
          </w:p>
        </w:tc>
        <w:tc>
          <w:tcPr>
            <w:tcW w:w="1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250D7">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经济成本指标</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3918B">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预算控制数</w:t>
            </w:r>
          </w:p>
        </w:tc>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205B6">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53DAE">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165</w:t>
            </w:r>
          </w:p>
        </w:tc>
        <w:tc>
          <w:tcPr>
            <w:tcW w:w="9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66B102">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万元</w:t>
            </w: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B1965">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20</w:t>
            </w:r>
          </w:p>
        </w:tc>
        <w:tc>
          <w:tcPr>
            <w:tcW w:w="1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B2BAA">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69</w:t>
            </w:r>
          </w:p>
        </w:tc>
      </w:tr>
    </w:tbl>
    <w:p w14:paraId="20BE113C">
      <w:pPr>
        <w:pStyle w:val="16"/>
        <w:keepNext w:val="0"/>
        <w:keepLines w:val="0"/>
        <w:pageBreakBefore w:val="0"/>
        <w:kinsoku/>
        <w:wordWrap/>
        <w:overflowPunct/>
        <w:topLinePunct w:val="0"/>
        <w:autoSpaceDE/>
        <w:autoSpaceDN/>
        <w:bidi w:val="0"/>
        <w:spacing w:after="0" w:line="578" w:lineRule="exact"/>
        <w:ind w:left="0" w:leftChars="0"/>
        <w:rPr>
          <w:rFonts w:hint="default" w:ascii="黑体" w:hAnsi="黑体" w:eastAsia="黑体" w:cs="黑体"/>
          <w:sz w:val="24"/>
          <w:szCs w:val="24"/>
          <w:highlight w:val="none"/>
          <w:lang w:val="en-US" w:eastAsia="zh-CN"/>
        </w:rPr>
      </w:pPr>
    </w:p>
    <w:p w14:paraId="00424A6B">
      <w:pPr>
        <w:rPr>
          <w:rFonts w:hint="default" w:ascii="黑体" w:hAnsi="黑体" w:eastAsia="黑体" w:cs="黑体"/>
          <w:sz w:val="24"/>
          <w:szCs w:val="24"/>
          <w:highlight w:val="none"/>
          <w:lang w:val="en-US" w:eastAsia="zh-CN"/>
        </w:rPr>
      </w:pPr>
      <w:r>
        <w:rPr>
          <w:rFonts w:hint="default" w:ascii="黑体" w:hAnsi="黑体" w:eastAsia="黑体" w:cs="黑体"/>
          <w:sz w:val="24"/>
          <w:szCs w:val="24"/>
          <w:highlight w:val="none"/>
          <w:lang w:val="en-US" w:eastAsia="zh-CN"/>
        </w:rPr>
        <w:br w:type="page"/>
      </w:r>
    </w:p>
    <w:p w14:paraId="2EE46ABF">
      <w:pPr>
        <w:pStyle w:val="37"/>
        <w:keepNext w:val="0"/>
        <w:keepLines w:val="0"/>
        <w:pageBreakBefore w:val="0"/>
        <w:widowControl w:val="0"/>
        <w:kinsoku/>
        <w:wordWrap/>
        <w:overflowPunct/>
        <w:topLinePunct w:val="0"/>
        <w:autoSpaceDE/>
        <w:autoSpaceDN/>
        <w:bidi w:val="0"/>
        <w:spacing w:line="578" w:lineRule="exact"/>
        <w:ind w:left="0" w:leftChars="0"/>
        <w:jc w:val="center"/>
        <w:textAlignment w:val="auto"/>
        <w:rPr>
          <w:rFonts w:hint="default" w:ascii="方正小标宋简体" w:hAnsi="方正小标宋简体" w:eastAsia="方正小标宋简体" w:cs="方正小标宋简体"/>
          <w:color w:val="auto"/>
          <w:kern w:val="2"/>
          <w:sz w:val="44"/>
          <w:szCs w:val="44"/>
          <w:highlight w:val="none"/>
          <w:lang w:val="en-US" w:eastAsia="zh-CN"/>
        </w:rPr>
      </w:pPr>
      <w:r>
        <w:rPr>
          <w:rFonts w:hint="eastAsia" w:ascii="方正小标宋简体" w:hAnsi="方正小标宋简体" w:eastAsia="方正小标宋简体" w:cs="方正小标宋简体"/>
          <w:color w:val="auto"/>
          <w:kern w:val="2"/>
          <w:sz w:val="44"/>
          <w:szCs w:val="44"/>
          <w:highlight w:val="none"/>
          <w:lang w:val="en-US" w:eastAsia="zh-CN"/>
        </w:rPr>
        <w:t>广元市自然资源局</w:t>
      </w:r>
    </w:p>
    <w:p w14:paraId="1D0317DF">
      <w:pPr>
        <w:pStyle w:val="37"/>
        <w:keepNext w:val="0"/>
        <w:keepLines w:val="0"/>
        <w:pageBreakBefore w:val="0"/>
        <w:widowControl w:val="0"/>
        <w:kinsoku/>
        <w:wordWrap/>
        <w:overflowPunct/>
        <w:topLinePunct w:val="0"/>
        <w:autoSpaceDE/>
        <w:autoSpaceDN/>
        <w:bidi w:val="0"/>
        <w:spacing w:line="578" w:lineRule="exact"/>
        <w:ind w:left="0" w:leftChars="0"/>
        <w:jc w:val="center"/>
        <w:textAlignment w:val="auto"/>
        <w:rPr>
          <w:rFonts w:hint="eastAsia" w:ascii="方正小标宋简体" w:hAnsi="方正小标宋简体" w:eastAsia="方正小标宋简体" w:cs="方正小标宋简体"/>
          <w:color w:val="auto"/>
          <w:kern w:val="2"/>
          <w:sz w:val="44"/>
          <w:szCs w:val="44"/>
          <w:highlight w:val="none"/>
          <w:lang w:val="en-US" w:eastAsia="zh-CN"/>
        </w:rPr>
      </w:pPr>
      <w:r>
        <w:rPr>
          <w:rFonts w:hint="eastAsia" w:ascii="方正小标宋简体" w:hAnsi="方正小标宋简体" w:eastAsia="方正小标宋简体" w:cs="方正小标宋简体"/>
          <w:color w:val="auto"/>
          <w:kern w:val="2"/>
          <w:sz w:val="44"/>
          <w:szCs w:val="44"/>
          <w:highlight w:val="none"/>
          <w:lang w:val="en-US" w:eastAsia="zh-CN"/>
        </w:rPr>
        <w:t>关于广元市嘉陵江上游山水林田湖草沙一体化保护和修复工程项目编制专项预算项目绩效评价报告</w:t>
      </w:r>
    </w:p>
    <w:p w14:paraId="6646E606">
      <w:pPr>
        <w:pStyle w:val="37"/>
        <w:keepNext w:val="0"/>
        <w:keepLines w:val="0"/>
        <w:pageBreakBefore w:val="0"/>
        <w:widowControl w:val="0"/>
        <w:kinsoku/>
        <w:wordWrap/>
        <w:overflowPunct/>
        <w:topLinePunct w:val="0"/>
        <w:autoSpaceDE/>
        <w:autoSpaceDN/>
        <w:bidi w:val="0"/>
        <w:spacing w:line="578" w:lineRule="exact"/>
        <w:ind w:left="0" w:leftChars="0" w:firstLine="640"/>
        <w:jc w:val="center"/>
        <w:textAlignment w:val="auto"/>
        <w:rPr>
          <w:rFonts w:ascii="宋体" w:hAnsi="宋体"/>
          <w:color w:val="auto"/>
          <w:kern w:val="2"/>
          <w:sz w:val="32"/>
          <w:szCs w:val="32"/>
          <w:highlight w:val="none"/>
        </w:rPr>
      </w:pPr>
    </w:p>
    <w:p w14:paraId="01FF41F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黑体" w:hAnsi="宋体" w:eastAsia="黑体" w:cs="Times New Roman"/>
          <w:sz w:val="32"/>
          <w:szCs w:val="32"/>
          <w:highlight w:val="none"/>
          <w:lang w:val="zh-CN" w:eastAsia="zh-CN"/>
        </w:rPr>
      </w:pPr>
      <w:r>
        <w:rPr>
          <w:rFonts w:hint="eastAsia" w:ascii="黑体" w:hAnsi="宋体" w:eastAsia="黑体" w:cs="Times New Roman"/>
          <w:sz w:val="32"/>
          <w:szCs w:val="32"/>
          <w:highlight w:val="none"/>
          <w:lang w:val="zh-CN" w:eastAsia="zh-CN"/>
        </w:rPr>
        <w:t>一、项目概况</w:t>
      </w:r>
    </w:p>
    <w:p w14:paraId="7DCBDBB0">
      <w:pPr>
        <w:numPr>
          <w:ilvl w:val="0"/>
          <w:numId w:val="0"/>
        </w:numPr>
        <w:spacing w:line="580" w:lineRule="exact"/>
        <w:ind w:firstLine="643" w:firstLineChars="200"/>
        <w:rPr>
          <w:rFonts w:hint="eastAsia"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（一）设立背景及基本情况。</w:t>
      </w:r>
    </w:p>
    <w:p w14:paraId="3A261EE8">
      <w:pPr>
        <w:keepNext w:val="0"/>
        <w:keepLines w:val="0"/>
        <w:pageBreakBefore w:val="0"/>
        <w:numPr>
          <w:ilvl w:val="0"/>
          <w:numId w:val="0"/>
        </w:numPr>
        <w:kinsoku/>
        <w:wordWrap/>
        <w:overflowPunct/>
        <w:topLinePunct w:val="0"/>
        <w:autoSpaceDE/>
        <w:autoSpaceDN/>
        <w:bidi w:val="0"/>
        <w:adjustRightInd w:val="0"/>
        <w:snapToGrid w:val="0"/>
        <w:spacing w:line="578" w:lineRule="exact"/>
        <w:ind w:left="0" w:leftChars="0" w:firstLine="640" w:firstLineChars="200"/>
        <w:textAlignment w:val="auto"/>
        <w:rPr>
          <w:rFonts w:hint="eastAsia" w:ascii="仿宋_GB2312" w:hAnsi="仿宋_GB2312" w:eastAsia="仿宋_GB2312" w:cs="仿宋_GB2312"/>
          <w:color w:val="auto"/>
          <w:sz w:val="32"/>
          <w:szCs w:val="32"/>
          <w:shd w:val="clear" w:color="auto" w:fill="FFFFFF"/>
          <w:lang w:val="en-US" w:eastAsia="zh-CN"/>
        </w:rPr>
      </w:pPr>
      <w:r>
        <w:rPr>
          <w:rFonts w:hint="eastAsia" w:ascii="仿宋_GB2312" w:hAnsi="仿宋_GB2312" w:eastAsia="仿宋_GB2312" w:cs="仿宋_GB2312"/>
          <w:color w:val="auto"/>
          <w:sz w:val="32"/>
          <w:szCs w:val="32"/>
          <w:shd w:val="clear" w:color="auto" w:fill="FFFFFF"/>
          <w:lang w:val="en-US" w:eastAsia="zh-CN"/>
        </w:rPr>
        <w:t>为深入贯彻习近平生态文明思想，科学推进山水林田湖草沙一体化保护和修复，根据四川省自然资源厅国土空间生态修复处《关于收集山水林田湖草沙一体化保护和修复工程项目素材的通知》（厅修复函[2023]30号）要求，结合《广元市国土空间生态修复规划（2021-2035）》，以嘉陵江上游干流河流生态廊道为一个主轴，以岷山北段唐家河、秦巴山南麓米仓山国家级自然保护地位两翼，协调生态、农业、城镇三类国土空间，经报请市政府同意组织编制《广元市嘉陵江上游山水林田湖草沙一体化保护和修复工程项目》实施方案编制工作，我局通过竞争性谈判招标编制服务单位，中标金额为27.70万元。</w:t>
      </w:r>
    </w:p>
    <w:p w14:paraId="371E891A">
      <w:pPr>
        <w:keepNext w:val="0"/>
        <w:keepLines w:val="0"/>
        <w:pageBreakBefore w:val="0"/>
        <w:numPr>
          <w:ilvl w:val="0"/>
          <w:numId w:val="0"/>
        </w:numPr>
        <w:kinsoku/>
        <w:wordWrap/>
        <w:overflowPunct/>
        <w:topLinePunct w:val="0"/>
        <w:autoSpaceDE/>
        <w:autoSpaceDN/>
        <w:bidi w:val="0"/>
        <w:adjustRightInd w:val="0"/>
        <w:snapToGrid w:val="0"/>
        <w:spacing w:line="578" w:lineRule="exact"/>
        <w:ind w:left="0" w:leftChars="0" w:firstLine="643" w:firstLineChars="200"/>
        <w:textAlignment w:val="auto"/>
        <w:rPr>
          <w:rFonts w:hint="eastAsia" w:ascii="仿宋_GB2312" w:hAnsi="仿宋_GB2312" w:eastAsia="仿宋_GB2312" w:cs="仿宋_GB2312"/>
          <w:color w:val="auto"/>
          <w:sz w:val="32"/>
          <w:szCs w:val="32"/>
          <w:shd w:val="clear" w:color="auto" w:fill="FFFFFF"/>
          <w:lang w:val="en-US" w:eastAsia="zh-CN"/>
        </w:rPr>
      </w:pPr>
      <w:r>
        <w:rPr>
          <w:rFonts w:hint="eastAsia" w:ascii="楷体_GB2312" w:hAnsi="楷体_GB2312" w:eastAsia="楷体_GB2312" w:cs="楷体_GB2312"/>
          <w:b/>
          <w:bCs w:val="0"/>
          <w:color w:val="333333"/>
          <w:kern w:val="2"/>
          <w:sz w:val="32"/>
          <w:szCs w:val="32"/>
          <w:shd w:val="clear" w:fill="FFFFFF"/>
          <w:lang w:val="en-US" w:eastAsia="zh-CN" w:bidi="ar-SA"/>
        </w:rPr>
        <w:t>（七）</w:t>
      </w:r>
      <w:r>
        <w:rPr>
          <w:rFonts w:hint="eastAsia" w:ascii="楷体_GB2312" w:hAnsi="楷体_GB2312" w:eastAsia="楷体_GB2312" w:cs="楷体_GB2312"/>
          <w:b/>
          <w:bCs w:val="0"/>
          <w:color w:val="auto"/>
          <w:sz w:val="32"/>
          <w:szCs w:val="32"/>
          <w:highlight w:val="none"/>
          <w:u w:val="none"/>
          <w:lang w:val="en-US" w:eastAsia="zh-CN"/>
        </w:rPr>
        <w:t>实施目的及支持方向</w:t>
      </w:r>
      <w:r>
        <w:rPr>
          <w:rFonts w:hint="eastAsia" w:ascii="楷体_GB2312" w:hAnsi="宋体" w:eastAsia="楷体_GB2312" w:cs="Times New Roman"/>
          <w:b/>
          <w:color w:val="auto"/>
          <w:sz w:val="32"/>
          <w:szCs w:val="32"/>
          <w:highlight w:val="none"/>
          <w:u w:val="none"/>
          <w:lang w:val="en-US" w:eastAsia="zh-CN"/>
        </w:rPr>
        <w:t>。</w:t>
      </w:r>
      <w:r>
        <w:rPr>
          <w:rFonts w:hint="eastAsia" w:ascii="仿宋_GB2312" w:hAnsi="仿宋_GB2312" w:eastAsia="仿宋_GB2312" w:cs="仿宋_GB2312"/>
          <w:color w:val="auto"/>
          <w:sz w:val="32"/>
          <w:szCs w:val="32"/>
          <w:shd w:val="clear" w:color="auto" w:fill="FFFFFF"/>
          <w:lang w:val="en-US" w:eastAsia="zh-CN"/>
        </w:rPr>
        <w:t>根据四川省自然资源厅国土空间生态修复处《关于收集山水林田湖草沙一体化保护和修复工程项目素材的通知》（厅修复函[2023]30号）要求，结合《广元市国土空间生态修复规划（2021-2035）》，依据相关领域编制技术规范，编制完成《广元市嘉陵江上游山水林田湖草一体化保护和修复工程项目实施方案》（含可行性研究报告）、项目清单（含SHP文件）及相关图件纸质文档6套、电子文档1套。</w:t>
      </w:r>
    </w:p>
    <w:p w14:paraId="686CDAE7">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3" w:firstLineChars="200"/>
        <w:contextualSpacing/>
        <w:jc w:val="both"/>
        <w:textAlignment w:val="auto"/>
        <w:rPr>
          <w:rFonts w:hint="eastAsia" w:ascii="楷体_GB2312" w:hAnsi="宋体" w:eastAsia="楷体_GB2312" w:cs="Times New Roman"/>
          <w:b/>
          <w:color w:val="auto"/>
          <w:sz w:val="32"/>
          <w:szCs w:val="32"/>
          <w:highlight w:val="none"/>
          <w:u w:val="none"/>
          <w:lang w:val="zh-CN" w:eastAsia="zh-CN"/>
        </w:rPr>
      </w:pPr>
      <w:r>
        <w:rPr>
          <w:rFonts w:hint="eastAsia" w:ascii="楷体_GB2312" w:hAnsi="宋体" w:eastAsia="楷体_GB2312" w:cs="Times New Roman"/>
          <w:b/>
          <w:color w:val="auto"/>
          <w:sz w:val="32"/>
          <w:szCs w:val="32"/>
          <w:highlight w:val="none"/>
          <w:u w:val="none"/>
          <w:lang w:val="zh-CN" w:eastAsia="zh-CN"/>
        </w:rPr>
        <w:t>（三）</w:t>
      </w:r>
      <w:r>
        <w:rPr>
          <w:rFonts w:hint="default" w:ascii="楷体_GB2312" w:hAnsi="宋体" w:eastAsia="楷体_GB2312" w:cs="Times New Roman"/>
          <w:b/>
          <w:color w:val="auto"/>
          <w:sz w:val="32"/>
          <w:szCs w:val="32"/>
          <w:highlight w:val="none"/>
          <w:u w:val="none"/>
          <w:lang w:val="en-US" w:eastAsia="zh-CN"/>
        </w:rPr>
        <w:t>预算安排及分配管理</w:t>
      </w:r>
      <w:r>
        <w:rPr>
          <w:rFonts w:hint="eastAsia" w:ascii="楷体_GB2312" w:hAnsi="宋体" w:eastAsia="楷体_GB2312" w:cs="Times New Roman"/>
          <w:b/>
          <w:color w:val="auto"/>
          <w:sz w:val="32"/>
          <w:szCs w:val="32"/>
          <w:highlight w:val="none"/>
          <w:u w:val="none"/>
          <w:lang w:val="zh-CN" w:eastAsia="zh-CN"/>
        </w:rPr>
        <w:t>。</w:t>
      </w:r>
    </w:p>
    <w:p w14:paraId="74B6DD14">
      <w:pPr>
        <w:keepNext w:val="0"/>
        <w:keepLines w:val="0"/>
        <w:pageBreakBefore w:val="0"/>
        <w:numPr>
          <w:ilvl w:val="0"/>
          <w:numId w:val="0"/>
        </w:numPr>
        <w:kinsoku/>
        <w:wordWrap/>
        <w:overflowPunct/>
        <w:topLinePunct w:val="0"/>
        <w:autoSpaceDE/>
        <w:autoSpaceDN/>
        <w:bidi w:val="0"/>
        <w:adjustRightInd w:val="0"/>
        <w:snapToGrid w:val="0"/>
        <w:spacing w:line="578" w:lineRule="exact"/>
        <w:ind w:left="0" w:leftChars="0" w:firstLine="640" w:firstLineChars="200"/>
        <w:textAlignment w:val="auto"/>
        <w:rPr>
          <w:rFonts w:hint="eastAsia" w:ascii="仿宋_GB2312" w:hAnsi="仿宋_GB2312" w:eastAsia="仿宋_GB2312" w:cs="仿宋_GB2312"/>
          <w:color w:val="auto"/>
          <w:sz w:val="32"/>
          <w:szCs w:val="32"/>
          <w:shd w:val="clear" w:color="auto" w:fill="FFFFFF"/>
          <w:lang w:val="en-US" w:eastAsia="zh-CN"/>
        </w:rPr>
      </w:pPr>
      <w:r>
        <w:rPr>
          <w:rFonts w:hint="eastAsia" w:ascii="仿宋_GB2312" w:hAnsi="仿宋_GB2312" w:eastAsia="仿宋_GB2312" w:cs="仿宋_GB2312"/>
          <w:color w:val="auto"/>
          <w:sz w:val="32"/>
          <w:szCs w:val="32"/>
          <w:shd w:val="clear" w:color="auto" w:fill="FFFFFF"/>
          <w:lang w:val="en-US" w:eastAsia="zh-CN"/>
        </w:rPr>
        <w:t>根据四川省自然资源厅国土空间生态修复处《关于收集山水林田湖草沙一体化保护和修复工程项目素材的通知》（厅修复函[2023]30号）要求，该项目纳入年初基建计划，市财政于2023年8月17日下达该项目资金27.7万元，2023年8月我局按进度支付费用13.725万元，余款待省级审核后支付，目前该项目待审核阶段。</w:t>
      </w:r>
    </w:p>
    <w:p w14:paraId="0BFF484E">
      <w:pPr>
        <w:keepNext w:val="0"/>
        <w:keepLines w:val="0"/>
        <w:pageBreakBefore w:val="0"/>
        <w:widowControl w:val="0"/>
        <w:kinsoku/>
        <w:wordWrap/>
        <w:overflowPunct/>
        <w:topLinePunct w:val="0"/>
        <w:autoSpaceDE/>
        <w:autoSpaceDN/>
        <w:bidi w:val="0"/>
        <w:adjustRightInd w:val="0"/>
        <w:snapToGrid w:val="0"/>
        <w:spacing w:line="576" w:lineRule="exact"/>
        <w:ind w:firstLine="643" w:firstLineChars="200"/>
        <w:textAlignment w:val="auto"/>
        <w:rPr>
          <w:rFonts w:hint="eastAsia" w:ascii="仿宋_GB2312" w:hAnsi="仿宋_GB2312" w:eastAsia="仿宋_GB2312" w:cs="仿宋_GB2312"/>
          <w:color w:val="auto"/>
          <w:sz w:val="32"/>
          <w:szCs w:val="32"/>
          <w:shd w:val="clear" w:color="auto" w:fill="FFFFFF"/>
          <w:lang w:val="en-US" w:eastAsia="zh-CN"/>
        </w:rPr>
      </w:pPr>
      <w:r>
        <w:rPr>
          <w:rFonts w:hint="eastAsia" w:ascii="楷体_GB2312" w:hAnsi="宋体" w:eastAsia="楷体_GB2312" w:cs="Times New Roman"/>
          <w:b/>
          <w:color w:val="auto"/>
          <w:sz w:val="32"/>
          <w:szCs w:val="32"/>
          <w:highlight w:val="none"/>
          <w:u w:val="none"/>
          <w:lang w:val="zh-CN" w:eastAsia="zh-CN"/>
        </w:rPr>
        <w:t>（四）项目绩效目标设置。</w:t>
      </w:r>
      <w:r>
        <w:rPr>
          <w:rFonts w:hint="eastAsia" w:ascii="仿宋_GB2312" w:hAnsi="仿宋_GB2312" w:eastAsia="仿宋_GB2312" w:cs="仿宋_GB2312"/>
          <w:color w:val="auto"/>
          <w:sz w:val="32"/>
          <w:szCs w:val="32"/>
          <w:shd w:val="clear" w:color="auto" w:fill="FFFFFF"/>
          <w:lang w:val="en-US" w:eastAsia="zh-CN"/>
        </w:rPr>
        <w:t>绩效目标和绩效指标可量化考核，与规划部门的长期规划目标、年度工作目标相一致。绩效指标细化、量化，绩效目标和绩效指标契合政策或项目实质，产出和效果相关联。可对满意度指标进行量化预测，绩效目标具有一定的前瞻性和挑战性，绩效目标和绩效指标相匹配，全面完整，契合项目实质。</w:t>
      </w:r>
    </w:p>
    <w:p w14:paraId="31C82F8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黑体" w:hAnsi="宋体" w:eastAsia="黑体" w:cs="Times New Roman"/>
          <w:sz w:val="32"/>
          <w:szCs w:val="32"/>
          <w:highlight w:val="none"/>
          <w:lang w:val="zh-CN" w:eastAsia="zh-CN"/>
        </w:rPr>
      </w:pPr>
      <w:r>
        <w:rPr>
          <w:rFonts w:hint="eastAsia" w:ascii="黑体" w:hAnsi="宋体" w:eastAsia="黑体" w:cs="Times New Roman"/>
          <w:sz w:val="32"/>
          <w:szCs w:val="32"/>
          <w:highlight w:val="none"/>
          <w:lang w:val="zh-CN" w:eastAsia="zh-CN"/>
        </w:rPr>
        <w:t>二、评价实施</w:t>
      </w:r>
    </w:p>
    <w:p w14:paraId="6B870469">
      <w:pPr>
        <w:keepNext w:val="0"/>
        <w:keepLines w:val="0"/>
        <w:pageBreakBefore w:val="0"/>
        <w:widowControl w:val="0"/>
        <w:kinsoku/>
        <w:wordWrap/>
        <w:overflowPunct/>
        <w:topLinePunct w:val="0"/>
        <w:autoSpaceDE/>
        <w:autoSpaceDN/>
        <w:bidi w:val="0"/>
        <w:spacing w:line="578" w:lineRule="exact"/>
        <w:ind w:firstLine="640"/>
        <w:textAlignment w:val="auto"/>
        <w:outlineLvl w:val="9"/>
        <w:rPr>
          <w:rFonts w:hint="eastAsia" w:ascii="仿宋_GB2312" w:hAnsi="仿宋_GB2312" w:eastAsia="仿宋_GB2312" w:cs="仿宋_GB2312"/>
          <w:color w:val="auto"/>
          <w:sz w:val="32"/>
          <w:szCs w:val="32"/>
          <w:shd w:val="clear" w:color="auto" w:fill="FFFFFF"/>
          <w:lang w:val="en-US" w:eastAsia="zh-CN"/>
        </w:rPr>
      </w:pPr>
      <w:r>
        <w:rPr>
          <w:rFonts w:hint="eastAsia" w:ascii="楷体_GB2312" w:hAnsi="宋体" w:eastAsia="楷体_GB2312"/>
          <w:b/>
          <w:color w:val="auto"/>
          <w:sz w:val="32"/>
          <w:szCs w:val="32"/>
          <w:highlight w:val="none"/>
          <w:u w:val="none"/>
          <w:lang w:val="zh-CN"/>
        </w:rPr>
        <w:t>（一）评价目的。</w:t>
      </w:r>
      <w:r>
        <w:rPr>
          <w:rFonts w:hint="eastAsia" w:ascii="仿宋_GB2312" w:hAnsi="仿宋_GB2312" w:eastAsia="仿宋_GB2312" w:cs="仿宋_GB2312"/>
          <w:color w:val="auto"/>
          <w:sz w:val="32"/>
          <w:szCs w:val="32"/>
          <w:shd w:val="clear" w:color="auto" w:fill="FFFFFF"/>
          <w:lang w:val="en-US" w:eastAsia="zh-CN"/>
        </w:rPr>
        <w:t>通过绩效评价，一是对项目预算及资金使用方案的合理性和有效性进行优化，去除不合理的预算项目。二是详细掌握资金使用情况，提高预算执行力。三是促进预算管理的公开化透明化。</w:t>
      </w:r>
    </w:p>
    <w:p w14:paraId="26044D48">
      <w:pPr>
        <w:keepNext w:val="0"/>
        <w:keepLines w:val="0"/>
        <w:pageBreakBefore w:val="0"/>
        <w:widowControl w:val="0"/>
        <w:kinsoku/>
        <w:wordWrap/>
        <w:overflowPunct/>
        <w:topLinePunct w:val="0"/>
        <w:autoSpaceDE/>
        <w:autoSpaceDN/>
        <w:bidi w:val="0"/>
        <w:adjustRightInd w:val="0"/>
        <w:snapToGrid w:val="0"/>
        <w:spacing w:line="578" w:lineRule="exact"/>
        <w:ind w:left="0" w:leftChars="0" w:firstLine="643" w:firstLineChars="200"/>
        <w:textAlignment w:val="auto"/>
        <w:outlineLvl w:val="9"/>
        <w:rPr>
          <w:rFonts w:hint="eastAsia" w:ascii="仿宋_GB2312" w:hAnsi="仿宋_GB2312" w:eastAsia="仿宋_GB2312" w:cs="仿宋_GB2312"/>
          <w:color w:val="auto"/>
          <w:sz w:val="32"/>
          <w:szCs w:val="32"/>
          <w:shd w:val="clear" w:color="auto" w:fill="FFFFFF"/>
          <w:lang w:val="en-US" w:eastAsia="zh-CN"/>
        </w:rPr>
      </w:pPr>
      <w:r>
        <w:rPr>
          <w:rFonts w:hint="eastAsia" w:ascii="楷体_GB2312" w:hAnsi="宋体" w:eastAsia="楷体_GB2312"/>
          <w:b/>
          <w:color w:val="auto"/>
          <w:sz w:val="32"/>
          <w:szCs w:val="32"/>
          <w:highlight w:val="none"/>
          <w:u w:val="none"/>
          <w:lang w:val="zh-CN"/>
        </w:rPr>
        <w:t>（二）预设问题及评价重点。</w:t>
      </w:r>
      <w:r>
        <w:rPr>
          <w:rFonts w:hint="eastAsia" w:ascii="仿宋_GB2312" w:hAnsi="仿宋_GB2312" w:eastAsia="仿宋_GB2312" w:cs="仿宋_GB2312"/>
          <w:color w:val="auto"/>
          <w:sz w:val="32"/>
          <w:szCs w:val="32"/>
          <w:shd w:val="clear" w:color="auto" w:fill="FFFFFF"/>
          <w:lang w:val="en-US" w:eastAsia="zh-CN"/>
        </w:rPr>
        <w:t>按照绩效评价指标体系体系</w:t>
      </w:r>
      <w:r>
        <w:rPr>
          <w:rFonts w:hint="eastAsia" w:ascii="仿宋_GB2312" w:hAnsi="仿宋_GB2312" w:eastAsia="仿宋_GB2312" w:cs="仿宋_GB2312"/>
          <w:color w:val="auto"/>
          <w:sz w:val="32"/>
          <w:szCs w:val="32"/>
          <w:shd w:val="clear" w:color="auto" w:fill="FFFFFF"/>
          <w:lang w:val="zh-CN" w:eastAsia="zh-CN"/>
        </w:rPr>
        <w:t>，</w:t>
      </w:r>
      <w:r>
        <w:rPr>
          <w:rFonts w:hint="eastAsia" w:ascii="仿宋_GB2312" w:hAnsi="仿宋_GB2312" w:eastAsia="仿宋_GB2312" w:cs="仿宋_GB2312"/>
          <w:color w:val="auto"/>
          <w:sz w:val="32"/>
          <w:szCs w:val="32"/>
          <w:shd w:val="clear" w:color="auto" w:fill="FFFFFF"/>
          <w:lang w:val="en-US" w:eastAsia="zh-CN"/>
        </w:rPr>
        <w:t>该项目经费使用应符合相关财务法规和政策，按照合同约定和项目进度进行支付，做到专款专用，确保资金使用的合法合规，避免违规行为发生。编制完成《广元市嘉陵江上游山水林田湖草一体化保护和修复工程项目实施方案》（含可行性研究报告）、项目清单（含SHP文件）及相关图件纸质文档6套、电子文档1套。</w:t>
      </w:r>
    </w:p>
    <w:p w14:paraId="6857E3B7">
      <w:pPr>
        <w:keepNext w:val="0"/>
        <w:keepLines w:val="0"/>
        <w:pageBreakBefore w:val="0"/>
        <w:widowControl w:val="0"/>
        <w:kinsoku/>
        <w:wordWrap/>
        <w:overflowPunct/>
        <w:topLinePunct w:val="0"/>
        <w:autoSpaceDE/>
        <w:autoSpaceDN/>
        <w:bidi w:val="0"/>
        <w:adjustRightInd w:val="0"/>
        <w:snapToGrid w:val="0"/>
        <w:spacing w:line="578" w:lineRule="exact"/>
        <w:ind w:left="0" w:leftChars="0" w:firstLine="643" w:firstLineChars="200"/>
        <w:textAlignment w:val="auto"/>
        <w:outlineLvl w:val="9"/>
        <w:rPr>
          <w:rFonts w:hint="default" w:eastAsia="楷体_GB2312" w:cs="Times New Roman"/>
          <w:szCs w:val="32"/>
          <w:lang w:val="en-US" w:eastAsia="zh-CN"/>
        </w:rPr>
      </w:pPr>
      <w:r>
        <w:rPr>
          <w:rFonts w:hint="eastAsia" w:ascii="楷体_GB2312" w:hAnsi="宋体" w:eastAsia="楷体_GB2312"/>
          <w:b/>
          <w:color w:val="auto"/>
          <w:sz w:val="32"/>
          <w:szCs w:val="32"/>
          <w:highlight w:val="none"/>
          <w:u w:val="none"/>
          <w:lang w:val="zh-CN"/>
        </w:rPr>
        <w:t>（三）评价选点。</w:t>
      </w:r>
      <w:r>
        <w:rPr>
          <w:rFonts w:hint="eastAsia" w:ascii="仿宋_GB2312" w:hAnsi="仿宋_GB2312" w:eastAsia="仿宋_GB2312" w:cs="仿宋_GB2312"/>
          <w:color w:val="auto"/>
          <w:sz w:val="32"/>
          <w:szCs w:val="32"/>
          <w:shd w:val="clear" w:color="auto" w:fill="FFFFFF"/>
          <w:lang w:val="en-US" w:eastAsia="zh-CN"/>
        </w:rPr>
        <w:t>对编制方案完成情况进行自评。</w:t>
      </w:r>
    </w:p>
    <w:p w14:paraId="1ACF8DD3">
      <w:pPr>
        <w:keepNext w:val="0"/>
        <w:keepLines w:val="0"/>
        <w:pageBreakBefore w:val="0"/>
        <w:widowControl w:val="0"/>
        <w:kinsoku/>
        <w:wordWrap/>
        <w:overflowPunct/>
        <w:topLinePunct w:val="0"/>
        <w:autoSpaceDE/>
        <w:autoSpaceDN/>
        <w:bidi w:val="0"/>
        <w:spacing w:line="578" w:lineRule="exact"/>
        <w:ind w:firstLine="640"/>
        <w:textAlignment w:val="auto"/>
        <w:outlineLvl w:val="9"/>
        <w:rPr>
          <w:rFonts w:hint="eastAsia" w:ascii="仿宋_GB2312" w:hAnsi="仿宋_GB2312" w:eastAsia="仿宋_GB2312" w:cs="仿宋_GB2312"/>
          <w:color w:val="auto"/>
          <w:sz w:val="32"/>
          <w:szCs w:val="32"/>
          <w:shd w:val="clear" w:color="auto" w:fill="FFFFFF"/>
          <w:lang w:val="en-US" w:eastAsia="zh-CN"/>
        </w:rPr>
      </w:pPr>
      <w:r>
        <w:rPr>
          <w:rFonts w:hint="eastAsia" w:ascii="楷体_GB2312" w:hAnsi="宋体" w:eastAsia="楷体_GB2312"/>
          <w:b/>
          <w:color w:val="auto"/>
          <w:sz w:val="32"/>
          <w:szCs w:val="32"/>
          <w:highlight w:val="none"/>
          <w:u w:val="none"/>
          <w:lang w:val="zh-CN"/>
        </w:rPr>
        <w:t>（四）评价方法。</w:t>
      </w:r>
      <w:r>
        <w:rPr>
          <w:rFonts w:hint="eastAsia" w:ascii="仿宋_GB2312" w:hAnsi="仿宋_GB2312" w:eastAsia="仿宋_GB2312" w:cs="仿宋_GB2312"/>
          <w:color w:val="auto"/>
          <w:sz w:val="32"/>
          <w:szCs w:val="32"/>
          <w:shd w:val="clear" w:color="auto" w:fill="FFFFFF"/>
          <w:lang w:val="en-US" w:eastAsia="zh-CN"/>
        </w:rPr>
        <w:t>采用单位自评法.</w:t>
      </w:r>
    </w:p>
    <w:p w14:paraId="6E9FA7E2">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3" w:firstLineChars="200"/>
        <w:contextualSpacing/>
        <w:jc w:val="both"/>
        <w:textAlignment w:val="auto"/>
        <w:rPr>
          <w:rFonts w:hint="eastAsia" w:ascii="仿宋_GB2312" w:hAnsi="仿宋_GB2312" w:eastAsia="仿宋_GB2312" w:cs="仿宋_GB2312"/>
          <w:color w:val="auto"/>
          <w:sz w:val="32"/>
          <w:szCs w:val="32"/>
          <w:shd w:val="clear" w:color="auto" w:fill="FFFFFF"/>
          <w:lang w:val="en-US" w:eastAsia="zh-CN"/>
        </w:rPr>
      </w:pPr>
      <w:r>
        <w:rPr>
          <w:rFonts w:hint="eastAsia" w:ascii="楷体_GB2312" w:hAnsi="宋体" w:eastAsia="楷体_GB2312"/>
          <w:b/>
          <w:color w:val="auto"/>
          <w:sz w:val="32"/>
          <w:szCs w:val="32"/>
          <w:highlight w:val="none"/>
          <w:u w:val="none"/>
          <w:lang w:val="zh-CN"/>
        </w:rPr>
        <w:t>（五）评价组织。</w:t>
      </w:r>
      <w:r>
        <w:rPr>
          <w:rFonts w:hint="eastAsia" w:ascii="仿宋_GB2312" w:hAnsi="仿宋_GB2312" w:eastAsia="仿宋_GB2312" w:cs="仿宋_GB2312"/>
          <w:color w:val="auto"/>
          <w:sz w:val="32"/>
          <w:szCs w:val="32"/>
          <w:shd w:val="clear" w:color="auto" w:fill="FFFFFF"/>
          <w:lang w:val="en-US" w:eastAsia="zh-CN"/>
        </w:rPr>
        <w:t>按照财政资金“谁使用，谁自评”的原则，我单位在收到</w:t>
      </w:r>
      <w:r>
        <w:rPr>
          <w:rFonts w:hint="eastAsia" w:ascii="仿宋_GB2312" w:hAnsi="仿宋_GB2312" w:eastAsia="仿宋_GB2312" w:cs="仿宋_GB2312"/>
          <w:color w:val="auto"/>
          <w:sz w:val="32"/>
          <w:szCs w:val="32"/>
          <w:shd w:val="clear" w:color="auto" w:fill="FFFFFF"/>
          <w:lang w:val="zh-CN" w:eastAsia="zh-CN"/>
        </w:rPr>
        <w:t>自评工作通知后，立即</w:t>
      </w:r>
      <w:r>
        <w:rPr>
          <w:rFonts w:hint="eastAsia" w:ascii="仿宋_GB2312" w:hAnsi="仿宋_GB2312" w:eastAsia="仿宋_GB2312" w:cs="仿宋_GB2312"/>
          <w:color w:val="auto"/>
          <w:sz w:val="32"/>
          <w:szCs w:val="32"/>
          <w:shd w:val="clear" w:color="auto" w:fill="FFFFFF"/>
          <w:lang w:val="en-US" w:eastAsia="zh-CN"/>
        </w:rPr>
        <w:t>落实专人负责</w:t>
      </w:r>
      <w:r>
        <w:rPr>
          <w:rFonts w:hint="eastAsia" w:ascii="仿宋_GB2312" w:hAnsi="仿宋_GB2312" w:eastAsia="仿宋_GB2312" w:cs="仿宋_GB2312"/>
          <w:color w:val="auto"/>
          <w:sz w:val="32"/>
          <w:szCs w:val="32"/>
          <w:shd w:val="clear" w:color="auto" w:fill="FFFFFF"/>
          <w:lang w:val="zh-CN" w:eastAsia="zh-CN"/>
        </w:rPr>
        <w:t>，及时</w:t>
      </w:r>
      <w:r>
        <w:rPr>
          <w:rFonts w:hint="eastAsia" w:ascii="仿宋_GB2312" w:hAnsi="仿宋_GB2312" w:eastAsia="仿宋_GB2312" w:cs="仿宋_GB2312"/>
          <w:color w:val="auto"/>
          <w:sz w:val="32"/>
          <w:szCs w:val="32"/>
          <w:shd w:val="clear" w:color="auto" w:fill="FFFFFF"/>
          <w:lang w:val="en-US" w:eastAsia="zh-CN"/>
        </w:rPr>
        <w:t>与相关业务科实协调对接</w:t>
      </w:r>
      <w:r>
        <w:rPr>
          <w:rFonts w:hint="eastAsia" w:ascii="仿宋_GB2312" w:hAnsi="仿宋_GB2312" w:eastAsia="仿宋_GB2312" w:cs="仿宋_GB2312"/>
          <w:color w:val="auto"/>
          <w:sz w:val="32"/>
          <w:szCs w:val="32"/>
          <w:shd w:val="clear" w:color="auto" w:fill="FFFFFF"/>
          <w:lang w:val="zh-CN" w:eastAsia="zh-CN"/>
        </w:rPr>
        <w:t>，对项目概况、评价实施、绩效分析、评价结论、存在主要问题、改进建议等进行综合自评，形成自评结果。</w:t>
      </w:r>
    </w:p>
    <w:p w14:paraId="2F14E57F">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eastAsia" w:eastAsia="仿宋_GB2312" w:cs="Times New Roman"/>
          <w:szCs w:val="32"/>
          <w:lang w:val="en-US" w:eastAsia="zh-CN"/>
        </w:rPr>
      </w:pPr>
      <w:r>
        <w:rPr>
          <w:rFonts w:hint="eastAsia" w:ascii="黑体" w:hAnsi="宋体" w:eastAsia="黑体"/>
          <w:color w:val="auto"/>
          <w:sz w:val="32"/>
          <w:szCs w:val="32"/>
          <w:highlight w:val="none"/>
          <w:u w:val="none"/>
        </w:rPr>
        <w:t>三、</w:t>
      </w:r>
      <w:r>
        <w:rPr>
          <w:rFonts w:hint="eastAsia" w:ascii="黑体" w:hAnsi="宋体" w:eastAsia="黑体"/>
          <w:color w:val="auto"/>
          <w:sz w:val="32"/>
          <w:szCs w:val="32"/>
          <w:highlight w:val="none"/>
          <w:u w:val="none"/>
          <w:lang w:eastAsia="zh-CN"/>
        </w:rPr>
        <w:t>绩效分析</w:t>
      </w:r>
      <w:r>
        <w:rPr>
          <w:rFonts w:hint="eastAsia" w:ascii="仿宋_GB2312" w:hAnsi="宋体"/>
          <w:color w:val="auto"/>
          <w:sz w:val="32"/>
          <w:szCs w:val="32"/>
          <w:highlight w:val="none"/>
          <w:u w:val="none"/>
          <w:lang w:val="zh-CN"/>
        </w:rPr>
        <w:tab/>
      </w:r>
    </w:p>
    <w:p w14:paraId="0E2CC00C">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楷体_GB2312" w:hAnsi="宋体" w:eastAsia="楷体_GB2312" w:cs="Times New Roman"/>
          <w:b/>
          <w:color w:val="auto"/>
          <w:sz w:val="32"/>
          <w:szCs w:val="32"/>
          <w:highlight w:val="none"/>
          <w:u w:val="none"/>
          <w:lang w:val="en-US" w:eastAsia="zh-CN"/>
        </w:rPr>
      </w:pPr>
      <w:r>
        <w:rPr>
          <w:rFonts w:hint="eastAsia" w:ascii="楷体_GB2312" w:hAnsi="宋体" w:eastAsia="楷体_GB2312" w:cs="Times New Roman"/>
          <w:b/>
          <w:color w:val="auto"/>
          <w:sz w:val="32"/>
          <w:szCs w:val="32"/>
          <w:highlight w:val="none"/>
          <w:u w:val="none"/>
          <w:lang w:val="zh-CN"/>
        </w:rPr>
        <w:t>（一）</w:t>
      </w:r>
      <w:r>
        <w:rPr>
          <w:rFonts w:hint="eastAsia" w:ascii="楷体_GB2312" w:hAnsi="宋体" w:eastAsia="楷体_GB2312" w:cs="Times New Roman"/>
          <w:b/>
          <w:color w:val="auto"/>
          <w:sz w:val="32"/>
          <w:szCs w:val="32"/>
          <w:highlight w:val="none"/>
          <w:u w:val="none"/>
          <w:lang w:val="en-US" w:eastAsia="zh-CN"/>
        </w:rPr>
        <w:t>通用指标</w:t>
      </w:r>
      <w:r>
        <w:rPr>
          <w:rFonts w:hint="default" w:ascii="楷体_GB2312" w:hAnsi="宋体" w:eastAsia="楷体_GB2312" w:cs="Times New Roman"/>
          <w:b/>
          <w:color w:val="auto"/>
          <w:sz w:val="32"/>
          <w:szCs w:val="32"/>
          <w:highlight w:val="none"/>
          <w:u w:val="none"/>
          <w:lang w:val="zh-CN"/>
        </w:rPr>
        <w:t>绩效分析。</w:t>
      </w:r>
    </w:p>
    <w:p w14:paraId="13EC8B79">
      <w:pPr>
        <w:keepNext w:val="0"/>
        <w:keepLines w:val="0"/>
        <w:pageBreakBefore w:val="0"/>
        <w:numPr>
          <w:ilvl w:val="0"/>
          <w:numId w:val="0"/>
        </w:numPr>
        <w:kinsoku/>
        <w:wordWrap/>
        <w:overflowPunct/>
        <w:topLinePunct w:val="0"/>
        <w:autoSpaceDE/>
        <w:autoSpaceDN/>
        <w:bidi w:val="0"/>
        <w:adjustRightInd w:val="0"/>
        <w:snapToGrid w:val="0"/>
        <w:spacing w:line="578" w:lineRule="exact"/>
        <w:ind w:left="0" w:leftChars="0" w:firstLine="640" w:firstLineChars="200"/>
        <w:textAlignment w:val="auto"/>
        <w:rPr>
          <w:rFonts w:hint="eastAsia" w:ascii="仿宋_GB2312" w:hAnsi="仿宋_GB2312" w:eastAsia="仿宋_GB2312" w:cs="仿宋_GB2312"/>
          <w:color w:val="auto"/>
          <w:sz w:val="32"/>
          <w:szCs w:val="32"/>
          <w:shd w:val="clear" w:color="auto" w:fill="FFFFFF"/>
          <w:lang w:val="zh-CN" w:eastAsia="zh-CN"/>
        </w:rPr>
      </w:pPr>
      <w:r>
        <w:rPr>
          <w:rFonts w:hint="eastAsia" w:ascii="仿宋_GB2312" w:hAnsi="仿宋_GB2312" w:eastAsia="仿宋_GB2312" w:cs="仿宋_GB2312"/>
          <w:color w:val="auto"/>
          <w:sz w:val="32"/>
          <w:szCs w:val="32"/>
          <w:shd w:val="clear" w:color="auto" w:fill="FFFFFF"/>
          <w:lang w:val="en-US" w:eastAsia="zh-CN"/>
        </w:rPr>
        <w:t>1.项目决策。</w:t>
      </w:r>
      <w:r>
        <w:rPr>
          <w:rFonts w:hint="eastAsia" w:ascii="仿宋_GB2312" w:hAnsi="仿宋_GB2312" w:eastAsia="仿宋_GB2312" w:cs="仿宋_GB2312"/>
          <w:color w:val="auto"/>
          <w:sz w:val="32"/>
          <w:szCs w:val="32"/>
          <w:shd w:val="clear" w:color="auto" w:fill="FFFFFF"/>
          <w:lang w:val="zh-CN" w:eastAsia="zh-CN"/>
        </w:rPr>
        <w:t>一是贯彻落实中央关于自然资源工作的方针政策和省委、市委决策部署，并按照单位的职能职责，资金预算合规、科学、合理的同时，把预算、绩效和自然资源改革发展工作深度融合。二是履行预算绩效设立审核程序，经集体研究决策后纳入预算。三是细化量化项目绩效目标，编制预算时对科室申报的预算项目进行全面梳理，严把审核关，所有项目必须有明细的资金测算，对审核后的所有项目全部进行入库管理。</w:t>
      </w:r>
    </w:p>
    <w:p w14:paraId="673A6C47">
      <w:pPr>
        <w:keepNext w:val="0"/>
        <w:keepLines w:val="0"/>
        <w:pageBreakBefore w:val="0"/>
        <w:numPr>
          <w:ilvl w:val="0"/>
          <w:numId w:val="0"/>
        </w:numPr>
        <w:kinsoku/>
        <w:wordWrap/>
        <w:overflowPunct/>
        <w:topLinePunct w:val="0"/>
        <w:autoSpaceDE/>
        <w:autoSpaceDN/>
        <w:bidi w:val="0"/>
        <w:adjustRightInd w:val="0"/>
        <w:snapToGrid w:val="0"/>
        <w:spacing w:line="578" w:lineRule="exact"/>
        <w:ind w:left="0" w:leftChars="0" w:firstLine="640" w:firstLineChars="200"/>
        <w:textAlignment w:val="auto"/>
        <w:rPr>
          <w:rFonts w:hint="eastAsia" w:ascii="仿宋_GB2312" w:hAnsi="仿宋_GB2312" w:eastAsia="仿宋_GB2312" w:cs="仿宋_GB2312"/>
          <w:color w:val="auto"/>
          <w:sz w:val="32"/>
          <w:szCs w:val="32"/>
          <w:shd w:val="clear" w:color="auto" w:fill="FFFFFF"/>
          <w:lang w:val="en-US" w:eastAsia="zh-CN"/>
        </w:rPr>
      </w:pPr>
      <w:r>
        <w:rPr>
          <w:rFonts w:hint="eastAsia" w:ascii="仿宋_GB2312" w:hAnsi="仿宋_GB2312" w:eastAsia="仿宋_GB2312" w:cs="仿宋_GB2312"/>
          <w:color w:val="auto"/>
          <w:sz w:val="32"/>
          <w:szCs w:val="32"/>
          <w:shd w:val="clear" w:color="auto" w:fill="FFFFFF"/>
          <w:lang w:val="en-US" w:eastAsia="zh-CN"/>
        </w:rPr>
        <w:t>2.项目管理。一是</w:t>
      </w:r>
      <w:r>
        <w:rPr>
          <w:rFonts w:hint="eastAsia" w:ascii="仿宋_GB2312" w:hAnsi="仿宋_GB2312" w:eastAsia="仿宋_GB2312" w:cs="仿宋_GB2312"/>
          <w:color w:val="auto"/>
          <w:sz w:val="32"/>
          <w:szCs w:val="32"/>
          <w:shd w:val="clear" w:color="auto" w:fill="FFFFFF"/>
          <w:lang w:val="zh-CN" w:eastAsia="zh-CN"/>
        </w:rPr>
        <w:t>履行</w:t>
      </w:r>
      <w:r>
        <w:rPr>
          <w:rFonts w:hint="eastAsia" w:ascii="仿宋_GB2312" w:hAnsi="仿宋_GB2312" w:eastAsia="仿宋_GB2312" w:cs="仿宋_GB2312"/>
          <w:color w:val="auto"/>
          <w:sz w:val="32"/>
          <w:szCs w:val="32"/>
          <w:shd w:val="clear" w:color="auto" w:fill="FFFFFF"/>
          <w:lang w:val="en-US" w:eastAsia="zh-CN"/>
        </w:rPr>
        <w:t>项目</w:t>
      </w:r>
      <w:r>
        <w:rPr>
          <w:rFonts w:hint="eastAsia" w:ascii="仿宋_GB2312" w:hAnsi="仿宋_GB2312" w:eastAsia="仿宋_GB2312" w:cs="仿宋_GB2312"/>
          <w:color w:val="auto"/>
          <w:sz w:val="32"/>
          <w:szCs w:val="32"/>
          <w:shd w:val="clear" w:color="auto" w:fill="FFFFFF"/>
          <w:lang w:val="zh-CN" w:eastAsia="zh-CN"/>
        </w:rPr>
        <w:t>预算绩效设立审核程序，经集体研究决策后纳入</w:t>
      </w:r>
      <w:r>
        <w:rPr>
          <w:rFonts w:hint="eastAsia" w:ascii="仿宋_GB2312" w:hAnsi="仿宋_GB2312" w:eastAsia="仿宋_GB2312" w:cs="仿宋_GB2312"/>
          <w:color w:val="auto"/>
          <w:sz w:val="32"/>
          <w:szCs w:val="32"/>
          <w:shd w:val="clear" w:color="auto" w:fill="FFFFFF"/>
          <w:lang w:val="en-US" w:eastAsia="zh-CN"/>
        </w:rPr>
        <w:t>基建</w:t>
      </w:r>
      <w:r>
        <w:rPr>
          <w:rFonts w:hint="eastAsia" w:ascii="仿宋_GB2312" w:hAnsi="仿宋_GB2312" w:eastAsia="仿宋_GB2312" w:cs="仿宋_GB2312"/>
          <w:color w:val="auto"/>
          <w:sz w:val="32"/>
          <w:szCs w:val="32"/>
          <w:shd w:val="clear" w:color="auto" w:fill="FFFFFF"/>
          <w:lang w:val="zh-CN" w:eastAsia="zh-CN"/>
        </w:rPr>
        <w:t>预算。</w:t>
      </w:r>
      <w:r>
        <w:rPr>
          <w:rFonts w:hint="eastAsia" w:ascii="仿宋_GB2312" w:hAnsi="仿宋_GB2312" w:eastAsia="仿宋_GB2312" w:cs="仿宋_GB2312"/>
          <w:color w:val="auto"/>
          <w:sz w:val="32"/>
          <w:szCs w:val="32"/>
          <w:shd w:val="clear" w:color="auto" w:fill="FFFFFF"/>
          <w:lang w:val="en-US" w:eastAsia="zh-CN"/>
        </w:rPr>
        <w:t>二</w:t>
      </w:r>
      <w:r>
        <w:rPr>
          <w:rFonts w:hint="eastAsia" w:ascii="仿宋_GB2312" w:hAnsi="仿宋_GB2312" w:eastAsia="仿宋_GB2312" w:cs="仿宋_GB2312"/>
          <w:color w:val="auto"/>
          <w:sz w:val="32"/>
          <w:szCs w:val="32"/>
          <w:shd w:val="clear" w:color="auto" w:fill="FFFFFF"/>
          <w:lang w:val="zh-CN" w:eastAsia="zh-CN"/>
        </w:rPr>
        <w:t>是细化量化项目绩效目标，编制预算时对科室申报的预算项目进行全面梳理，严把审核关，所有项目必须有明细的资金测算，对审核后进行入库管理。</w:t>
      </w:r>
      <w:r>
        <w:rPr>
          <w:rFonts w:hint="eastAsia" w:ascii="仿宋_GB2312" w:hAnsi="仿宋_GB2312" w:eastAsia="仿宋_GB2312" w:cs="仿宋_GB2312"/>
          <w:color w:val="auto"/>
          <w:sz w:val="32"/>
          <w:szCs w:val="32"/>
          <w:shd w:val="clear" w:color="auto" w:fill="FFFFFF"/>
          <w:lang w:val="en-US" w:eastAsia="zh-CN"/>
        </w:rPr>
        <w:t>财政下达资金后，我局严格按照《预算法》《项目资金管理办法》及时支付，确保项目按时按质完成。</w:t>
      </w:r>
    </w:p>
    <w:p w14:paraId="342AD29E">
      <w:pPr>
        <w:keepNext w:val="0"/>
        <w:keepLines w:val="0"/>
        <w:pageBreakBefore w:val="0"/>
        <w:numPr>
          <w:ilvl w:val="0"/>
          <w:numId w:val="0"/>
        </w:numPr>
        <w:kinsoku/>
        <w:wordWrap/>
        <w:overflowPunct/>
        <w:topLinePunct w:val="0"/>
        <w:autoSpaceDE/>
        <w:autoSpaceDN/>
        <w:bidi w:val="0"/>
        <w:adjustRightInd w:val="0"/>
        <w:snapToGrid w:val="0"/>
        <w:spacing w:line="578" w:lineRule="exact"/>
        <w:ind w:left="0" w:leftChars="0" w:firstLine="640" w:firstLineChars="200"/>
        <w:textAlignment w:val="auto"/>
        <w:rPr>
          <w:rFonts w:hint="eastAsia" w:ascii="仿宋_GB2312" w:hAnsi="仿宋_GB2312" w:eastAsia="仿宋_GB2312" w:cs="仿宋_GB2312"/>
          <w:color w:val="auto"/>
          <w:sz w:val="32"/>
          <w:szCs w:val="32"/>
          <w:shd w:val="clear" w:color="auto" w:fill="FFFFFF"/>
          <w:lang w:val="en-US" w:eastAsia="zh-CN"/>
        </w:rPr>
      </w:pPr>
      <w:r>
        <w:rPr>
          <w:rFonts w:hint="eastAsia" w:ascii="仿宋_GB2312" w:hAnsi="仿宋_GB2312" w:eastAsia="仿宋_GB2312" w:cs="仿宋_GB2312"/>
          <w:color w:val="auto"/>
          <w:sz w:val="32"/>
          <w:szCs w:val="32"/>
          <w:shd w:val="clear" w:color="auto" w:fill="FFFFFF"/>
          <w:lang w:val="en-US" w:eastAsia="zh-CN"/>
        </w:rPr>
        <w:t>3.项目实施。市财政于2023年8月17日下达该项目资金27.7万元，2023年8月我局按进度支付费用13.725万元，余款待省级审核后支付，目前该项目待审核阶段。</w:t>
      </w:r>
    </w:p>
    <w:p w14:paraId="6E5B2F90">
      <w:pPr>
        <w:keepNext w:val="0"/>
        <w:keepLines w:val="0"/>
        <w:pageBreakBefore w:val="0"/>
        <w:numPr>
          <w:ilvl w:val="0"/>
          <w:numId w:val="0"/>
        </w:numPr>
        <w:kinsoku/>
        <w:wordWrap/>
        <w:overflowPunct/>
        <w:topLinePunct w:val="0"/>
        <w:autoSpaceDE/>
        <w:autoSpaceDN/>
        <w:bidi w:val="0"/>
        <w:adjustRightInd w:val="0"/>
        <w:snapToGrid w:val="0"/>
        <w:spacing w:line="578" w:lineRule="exact"/>
        <w:ind w:left="0" w:leftChars="0" w:firstLine="640" w:firstLineChars="200"/>
        <w:textAlignment w:val="auto"/>
        <w:rPr>
          <w:rFonts w:hint="eastAsia" w:ascii="仿宋_GB2312" w:hAnsi="仿宋_GB2312" w:eastAsia="仿宋_GB2312" w:cs="仿宋_GB2312"/>
          <w:color w:val="auto"/>
          <w:sz w:val="32"/>
          <w:szCs w:val="32"/>
          <w:shd w:val="clear" w:color="auto" w:fill="FFFFFF"/>
          <w:lang w:val="en-US" w:eastAsia="zh-CN"/>
        </w:rPr>
      </w:pPr>
      <w:r>
        <w:rPr>
          <w:rFonts w:hint="eastAsia" w:ascii="仿宋_GB2312" w:hAnsi="仿宋_GB2312" w:eastAsia="仿宋_GB2312" w:cs="仿宋_GB2312"/>
          <w:color w:val="auto"/>
          <w:sz w:val="32"/>
          <w:szCs w:val="32"/>
          <w:shd w:val="clear" w:color="auto" w:fill="FFFFFF"/>
          <w:lang w:val="en-US" w:eastAsia="zh-CN"/>
        </w:rPr>
        <w:t>4.项目结果。编制完成《广元市嘉陵江上游山水林田湖草一体化保护和修复工程项目实施方案》（含可行性研究报告）、项目清单（含SHP文件）及相关图件纸质文档6套、电子文档1套。</w:t>
      </w:r>
    </w:p>
    <w:p w14:paraId="257BE150">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楷体_GB2312" w:hAnsi="宋体" w:eastAsia="楷体_GB2312" w:cs="Times New Roman"/>
          <w:b/>
          <w:color w:val="auto"/>
          <w:sz w:val="32"/>
          <w:szCs w:val="32"/>
          <w:highlight w:val="none"/>
          <w:u w:val="none"/>
          <w:lang w:val="zh-CN" w:eastAsia="zh-CN"/>
        </w:rPr>
      </w:pPr>
      <w:r>
        <w:rPr>
          <w:rFonts w:hint="eastAsia" w:ascii="楷体_GB2312" w:hAnsi="宋体" w:eastAsia="楷体_GB2312" w:cs="Times New Roman"/>
          <w:b/>
          <w:color w:val="auto"/>
          <w:sz w:val="32"/>
          <w:szCs w:val="32"/>
          <w:highlight w:val="none"/>
          <w:u w:val="none"/>
          <w:lang w:val="zh-CN"/>
        </w:rPr>
        <w:t>（二）</w:t>
      </w:r>
      <w:r>
        <w:rPr>
          <w:rFonts w:hint="eastAsia" w:ascii="楷体_GB2312" w:hAnsi="宋体" w:eastAsia="楷体_GB2312" w:cs="Times New Roman"/>
          <w:b/>
          <w:color w:val="auto"/>
          <w:sz w:val="32"/>
          <w:szCs w:val="32"/>
          <w:highlight w:val="none"/>
          <w:u w:val="none"/>
          <w:lang w:val="en-US" w:eastAsia="zh-CN"/>
        </w:rPr>
        <w:t>专用指标</w:t>
      </w:r>
      <w:r>
        <w:rPr>
          <w:rFonts w:hint="default" w:ascii="楷体_GB2312" w:hAnsi="宋体" w:eastAsia="楷体_GB2312" w:cs="Times New Roman"/>
          <w:b/>
          <w:color w:val="auto"/>
          <w:sz w:val="32"/>
          <w:szCs w:val="32"/>
          <w:highlight w:val="none"/>
          <w:u w:val="none"/>
          <w:lang w:val="zh-CN"/>
        </w:rPr>
        <w:t>绩效分析</w:t>
      </w:r>
      <w:r>
        <w:rPr>
          <w:rFonts w:hint="eastAsia" w:ascii="楷体_GB2312" w:hAnsi="宋体" w:eastAsia="楷体_GB2312" w:cs="Times New Roman"/>
          <w:b/>
          <w:color w:val="auto"/>
          <w:sz w:val="32"/>
          <w:szCs w:val="32"/>
          <w:highlight w:val="none"/>
          <w:u w:val="none"/>
          <w:lang w:val="zh-CN" w:eastAsia="zh-CN"/>
        </w:rPr>
        <w:t>。</w:t>
      </w:r>
    </w:p>
    <w:p w14:paraId="2579DAF5">
      <w:pPr>
        <w:keepNext w:val="0"/>
        <w:keepLines w:val="0"/>
        <w:pageBreakBefore w:val="0"/>
        <w:numPr>
          <w:ilvl w:val="0"/>
          <w:numId w:val="0"/>
        </w:numPr>
        <w:kinsoku/>
        <w:wordWrap/>
        <w:overflowPunct/>
        <w:topLinePunct w:val="0"/>
        <w:autoSpaceDE/>
        <w:autoSpaceDN/>
        <w:bidi w:val="0"/>
        <w:adjustRightInd w:val="0"/>
        <w:snapToGrid w:val="0"/>
        <w:spacing w:line="578" w:lineRule="exact"/>
        <w:ind w:left="0" w:leftChars="0" w:firstLine="640" w:firstLineChars="200"/>
        <w:textAlignment w:val="auto"/>
        <w:rPr>
          <w:rFonts w:hint="default" w:ascii="仿宋_GB2312" w:hAnsi="仿宋_GB2312" w:eastAsia="仿宋_GB2312" w:cs="仿宋_GB2312"/>
          <w:color w:val="auto"/>
          <w:sz w:val="32"/>
          <w:szCs w:val="32"/>
          <w:shd w:val="clear" w:color="auto" w:fill="FFFFFF"/>
          <w:lang w:val="en-US" w:eastAsia="zh-CN"/>
        </w:rPr>
      </w:pPr>
      <w:r>
        <w:rPr>
          <w:rFonts w:hint="eastAsia" w:ascii="仿宋_GB2312" w:hAnsi="仿宋_GB2312" w:eastAsia="仿宋_GB2312" w:cs="仿宋_GB2312"/>
          <w:color w:val="auto"/>
          <w:sz w:val="32"/>
          <w:szCs w:val="32"/>
          <w:shd w:val="clear" w:color="auto" w:fill="FFFFFF"/>
          <w:lang w:val="en-US" w:eastAsia="zh-CN"/>
        </w:rPr>
        <w:t>1.产业发展。该项目是市委市政府支持重点项目。深入贯彻习近平生态文明思想，科学推进山水林田湖草沙一体化保护和修复，结合《广元市国土空间生态修复规划（2021-2035）》，以嘉陵江上游干流河流生态廊道为一个主轴，以岷山北段唐家河、秦巴山南麓米仓山国家级自然保护地位两翼，协调生态、农业、城镇三类国土空间。推动绿色可持续发展，健全生态修复体系。</w:t>
      </w:r>
    </w:p>
    <w:p w14:paraId="0EF829B5">
      <w:pPr>
        <w:keepNext w:val="0"/>
        <w:keepLines w:val="0"/>
        <w:pageBreakBefore w:val="0"/>
        <w:numPr>
          <w:ilvl w:val="0"/>
          <w:numId w:val="0"/>
        </w:numPr>
        <w:kinsoku/>
        <w:wordWrap/>
        <w:overflowPunct/>
        <w:topLinePunct w:val="0"/>
        <w:autoSpaceDE/>
        <w:autoSpaceDN/>
        <w:bidi w:val="0"/>
        <w:adjustRightInd w:val="0"/>
        <w:snapToGrid w:val="0"/>
        <w:spacing w:line="578" w:lineRule="exact"/>
        <w:ind w:left="0" w:leftChars="0" w:firstLine="640" w:firstLineChars="200"/>
        <w:textAlignment w:val="auto"/>
        <w:rPr>
          <w:rFonts w:hint="eastAsia" w:ascii="仿宋_GB2312" w:hAnsi="仿宋_GB2312" w:eastAsia="仿宋_GB2312" w:cs="仿宋_GB2312"/>
          <w:color w:val="auto"/>
          <w:sz w:val="32"/>
          <w:szCs w:val="32"/>
          <w:shd w:val="clear" w:color="auto" w:fill="FFFFFF"/>
          <w:lang w:val="en-US" w:eastAsia="zh-CN"/>
        </w:rPr>
      </w:pPr>
      <w:r>
        <w:rPr>
          <w:rFonts w:hint="eastAsia" w:ascii="仿宋_GB2312" w:hAnsi="仿宋_GB2312" w:eastAsia="仿宋_GB2312" w:cs="仿宋_GB2312"/>
          <w:color w:val="auto"/>
          <w:sz w:val="32"/>
          <w:szCs w:val="32"/>
          <w:shd w:val="clear" w:color="auto" w:fill="FFFFFF"/>
          <w:lang w:val="en-US" w:eastAsia="zh-CN"/>
        </w:rPr>
        <w:t>2.</w:t>
      </w:r>
      <w:r>
        <w:rPr>
          <w:rFonts w:hint="eastAsia" w:ascii="仿宋_GB2312" w:hAnsi="仿宋_GB2312" w:eastAsia="仿宋_GB2312" w:cs="仿宋_GB2312"/>
          <w:color w:val="auto"/>
          <w:sz w:val="32"/>
          <w:szCs w:val="32"/>
          <w:shd w:val="clear" w:color="auto" w:fill="FFFFFF"/>
          <w:lang w:val="zh-CN" w:eastAsia="zh-CN"/>
        </w:rPr>
        <w:t>行政运转。</w:t>
      </w:r>
      <w:r>
        <w:rPr>
          <w:rFonts w:hint="eastAsia" w:ascii="仿宋_GB2312" w:hAnsi="仿宋_GB2312" w:eastAsia="仿宋_GB2312" w:cs="仿宋_GB2312"/>
          <w:color w:val="auto"/>
          <w:sz w:val="32"/>
          <w:szCs w:val="32"/>
          <w:shd w:val="clear" w:color="auto" w:fill="FFFFFF"/>
          <w:lang w:val="en-US" w:eastAsia="zh-CN"/>
        </w:rPr>
        <w:t>本</w:t>
      </w:r>
      <w:r>
        <w:rPr>
          <w:rFonts w:hint="eastAsia" w:ascii="仿宋_GB2312" w:hAnsi="仿宋_GB2312" w:eastAsia="仿宋_GB2312" w:cs="仿宋_GB2312"/>
          <w:color w:val="auto"/>
          <w:sz w:val="32"/>
          <w:szCs w:val="32"/>
          <w:shd w:val="clear" w:color="auto" w:fill="FFFFFF"/>
          <w:lang w:val="zh-CN" w:eastAsia="zh-CN"/>
        </w:rPr>
        <w:t>单位财务管理制度健全，严格执行财务管理制度，账务处理及时，会计核算规范。</w:t>
      </w:r>
    </w:p>
    <w:p w14:paraId="66FA2CE9">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default" w:ascii="楷体_GB2312" w:hAnsi="宋体" w:eastAsia="楷体_GB2312" w:cs="Times New Roman"/>
          <w:b/>
          <w:color w:val="auto"/>
          <w:sz w:val="32"/>
          <w:szCs w:val="32"/>
          <w:highlight w:val="none"/>
          <w:u w:val="none"/>
          <w:lang w:val="zh-CN"/>
        </w:rPr>
      </w:pPr>
      <w:r>
        <w:rPr>
          <w:rFonts w:hint="eastAsia" w:ascii="楷体_GB2312" w:hAnsi="宋体" w:eastAsia="楷体_GB2312" w:cs="Times New Roman"/>
          <w:b/>
          <w:color w:val="auto"/>
          <w:sz w:val="32"/>
          <w:szCs w:val="32"/>
          <w:highlight w:val="none"/>
          <w:u w:val="none"/>
          <w:lang w:val="zh-CN"/>
        </w:rPr>
        <w:t>（三）</w:t>
      </w:r>
      <w:r>
        <w:rPr>
          <w:rFonts w:hint="eastAsia" w:ascii="楷体_GB2312" w:hAnsi="宋体" w:eastAsia="楷体_GB2312" w:cs="Times New Roman"/>
          <w:b/>
          <w:color w:val="auto"/>
          <w:sz w:val="32"/>
          <w:szCs w:val="32"/>
          <w:highlight w:val="none"/>
          <w:u w:val="none"/>
          <w:lang w:val="en-US" w:eastAsia="zh-CN"/>
        </w:rPr>
        <w:t>个性指标</w:t>
      </w:r>
      <w:r>
        <w:rPr>
          <w:rFonts w:hint="default" w:ascii="楷体_GB2312" w:hAnsi="宋体" w:eastAsia="楷体_GB2312" w:cs="Times New Roman"/>
          <w:b/>
          <w:color w:val="auto"/>
          <w:sz w:val="32"/>
          <w:szCs w:val="32"/>
          <w:highlight w:val="none"/>
          <w:u w:val="none"/>
          <w:lang w:val="zh-CN"/>
        </w:rPr>
        <w:t>绩效分析。</w:t>
      </w:r>
    </w:p>
    <w:p w14:paraId="4BD2A765">
      <w:pPr>
        <w:pStyle w:val="7"/>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default" w:ascii="仿宋_GB2312" w:hAnsi="仿宋_GB2312" w:eastAsia="仿宋_GB2312" w:cs="仿宋_GB2312"/>
          <w:color w:val="auto"/>
          <w:kern w:val="2"/>
          <w:sz w:val="32"/>
          <w:szCs w:val="32"/>
          <w:shd w:val="clear" w:color="auto" w:fill="FFFFFF"/>
          <w:lang w:val="en-US" w:eastAsia="zh-CN" w:bidi="ar-SA"/>
        </w:rPr>
      </w:pPr>
      <w:r>
        <w:rPr>
          <w:rFonts w:hint="eastAsia" w:ascii="仿宋_GB2312" w:hAnsi="仿宋_GB2312" w:eastAsia="仿宋_GB2312" w:cs="仿宋_GB2312"/>
          <w:color w:val="auto"/>
          <w:kern w:val="2"/>
          <w:sz w:val="32"/>
          <w:szCs w:val="32"/>
          <w:shd w:val="clear" w:color="auto" w:fill="FFFFFF"/>
          <w:lang w:val="en-US" w:eastAsia="zh-CN" w:bidi="ar-SA"/>
        </w:rPr>
        <w:t>依据相关领域编制技术规范，编制完成《广元市嘉陵江上游山水林田湖草一体化保护和修复工程项目实施方案》（含可行性研究报告）、项目清单（含SHP文件）及相关图件纸质文档6套、电子文档1套。通过项目的实施，推动绿色可持续发展，健全生态修复体系。</w:t>
      </w:r>
    </w:p>
    <w:p w14:paraId="512885A7">
      <w:pPr>
        <w:pStyle w:val="7"/>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olor w:val="auto"/>
          <w:sz w:val="32"/>
          <w:szCs w:val="32"/>
          <w:highlight w:val="none"/>
          <w:u w:val="none"/>
        </w:rPr>
      </w:pPr>
      <w:r>
        <w:rPr>
          <w:rFonts w:hint="eastAsia" w:ascii="黑体" w:hAnsi="宋体" w:eastAsia="黑体"/>
          <w:color w:val="auto"/>
          <w:sz w:val="32"/>
          <w:szCs w:val="32"/>
          <w:highlight w:val="none"/>
          <w:u w:val="none"/>
          <w:lang w:eastAsia="zh-CN"/>
        </w:rPr>
        <w:t>四</w:t>
      </w:r>
      <w:r>
        <w:rPr>
          <w:rFonts w:hint="eastAsia" w:ascii="黑体" w:hAnsi="宋体" w:eastAsia="黑体"/>
          <w:color w:val="auto"/>
          <w:sz w:val="32"/>
          <w:szCs w:val="32"/>
          <w:highlight w:val="none"/>
          <w:u w:val="none"/>
        </w:rPr>
        <w:t>、评价结论</w:t>
      </w:r>
    </w:p>
    <w:p w14:paraId="10DB56D9">
      <w:pPr>
        <w:keepNext w:val="0"/>
        <w:keepLines w:val="0"/>
        <w:pageBreakBefore w:val="0"/>
        <w:numPr>
          <w:ilvl w:val="0"/>
          <w:numId w:val="0"/>
        </w:numPr>
        <w:kinsoku/>
        <w:wordWrap/>
        <w:overflowPunct/>
        <w:topLinePunct w:val="0"/>
        <w:autoSpaceDE/>
        <w:autoSpaceDN/>
        <w:bidi w:val="0"/>
        <w:adjustRightInd w:val="0"/>
        <w:snapToGrid w:val="0"/>
        <w:spacing w:line="578" w:lineRule="exact"/>
        <w:ind w:left="0" w:leftChars="0" w:firstLine="640" w:firstLineChars="200"/>
        <w:textAlignment w:val="auto"/>
        <w:rPr>
          <w:rFonts w:hint="eastAsia" w:ascii="仿宋_GB2312" w:hAnsi="仿宋_GB2312" w:eastAsia="仿宋_GB2312" w:cs="仿宋_GB2312"/>
          <w:color w:val="auto"/>
          <w:sz w:val="32"/>
          <w:szCs w:val="32"/>
          <w:shd w:val="clear" w:color="auto" w:fill="FFFFFF"/>
          <w:lang w:val="en-US" w:eastAsia="zh-CN"/>
        </w:rPr>
      </w:pPr>
      <w:r>
        <w:rPr>
          <w:rFonts w:hint="eastAsia" w:ascii="仿宋_GB2312" w:hAnsi="仿宋_GB2312" w:eastAsia="仿宋_GB2312" w:cs="仿宋_GB2312"/>
          <w:color w:val="auto"/>
          <w:sz w:val="32"/>
          <w:szCs w:val="32"/>
          <w:shd w:val="clear" w:color="auto" w:fill="FFFFFF"/>
          <w:lang w:val="en-US" w:eastAsia="zh-CN"/>
        </w:rPr>
        <w:t>按照《专项预算项目绩效评价指标体系》，自评得分100分。我局严格执行财经纪律、法规和各项规章制度，加强财务管理，规范会计核算，资金高效运行。项目决策科学，依据充分，项目管理规范；绩效执行进度达到预期；项目完成效果好，实施后达到了预期目的。</w:t>
      </w:r>
    </w:p>
    <w:p w14:paraId="582E455B">
      <w:pPr>
        <w:pStyle w:val="7"/>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s="Times New Roman"/>
          <w:color w:val="auto"/>
          <w:sz w:val="32"/>
          <w:szCs w:val="32"/>
          <w:highlight w:val="none"/>
          <w:u w:val="none"/>
          <w:lang w:eastAsia="zh-CN"/>
        </w:rPr>
      </w:pPr>
      <w:r>
        <w:rPr>
          <w:rFonts w:hint="eastAsia" w:ascii="黑体" w:hAnsi="宋体" w:cs="Times New Roman"/>
          <w:color w:val="auto"/>
          <w:sz w:val="32"/>
          <w:szCs w:val="32"/>
          <w:highlight w:val="none"/>
          <w:u w:val="none"/>
          <w:lang w:eastAsia="zh-CN"/>
        </w:rPr>
        <w:t>五、</w:t>
      </w:r>
      <w:r>
        <w:rPr>
          <w:rFonts w:hint="eastAsia" w:ascii="黑体" w:hAnsi="宋体" w:eastAsia="黑体" w:cs="Times New Roman"/>
          <w:color w:val="auto"/>
          <w:sz w:val="32"/>
          <w:szCs w:val="32"/>
          <w:highlight w:val="none"/>
          <w:u w:val="none"/>
          <w:lang w:eastAsia="zh-CN"/>
        </w:rPr>
        <w:t>存在主要问题</w:t>
      </w:r>
    </w:p>
    <w:p w14:paraId="24EFA148">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both"/>
        <w:textAlignment w:val="auto"/>
        <w:rPr>
          <w:rFonts w:hint="eastAsia" w:ascii="仿宋_GB2312" w:hAnsi="仿宋_GB2312" w:cs="仿宋_GB2312"/>
          <w:color w:val="auto"/>
          <w:kern w:val="0"/>
          <w:sz w:val="32"/>
          <w:szCs w:val="32"/>
          <w:highlight w:val="none"/>
          <w:u w:val="none"/>
          <w:shd w:val="clear" w:color="auto" w:fill="FFFFFF"/>
          <w:lang w:val="zh-CN" w:eastAsia="zh-CN"/>
        </w:rPr>
      </w:pPr>
      <w:r>
        <w:rPr>
          <w:rFonts w:hint="eastAsia" w:ascii="仿宋_GB2312" w:hAnsi="仿宋_GB2312" w:eastAsia="仿宋_GB2312" w:cs="仿宋_GB2312"/>
          <w:color w:val="auto"/>
          <w:kern w:val="0"/>
          <w:sz w:val="32"/>
          <w:szCs w:val="32"/>
          <w:highlight w:val="none"/>
          <w:u w:val="none"/>
          <w:shd w:val="clear" w:color="auto" w:fill="FFFFFF"/>
          <w:lang w:val="zh-CN" w:eastAsia="zh-CN"/>
        </w:rPr>
        <w:t xml:space="preserve"> </w:t>
      </w:r>
      <w:r>
        <w:rPr>
          <w:rFonts w:hint="eastAsia" w:ascii="仿宋_GB2312" w:hAnsi="仿宋_GB2312" w:cs="仿宋_GB2312"/>
          <w:color w:val="auto"/>
          <w:kern w:val="0"/>
          <w:sz w:val="32"/>
          <w:szCs w:val="32"/>
          <w:highlight w:val="none"/>
          <w:u w:val="none"/>
          <w:shd w:val="clear" w:color="auto" w:fill="FFFFFF"/>
          <w:lang w:val="en-US" w:eastAsia="zh-CN"/>
        </w:rPr>
        <w:t>无</w:t>
      </w:r>
      <w:r>
        <w:rPr>
          <w:rFonts w:hint="eastAsia" w:ascii="仿宋_GB2312" w:hAnsi="仿宋_GB2312" w:cs="仿宋_GB2312"/>
          <w:color w:val="auto"/>
          <w:kern w:val="0"/>
          <w:sz w:val="32"/>
          <w:szCs w:val="32"/>
          <w:highlight w:val="none"/>
          <w:u w:val="none"/>
          <w:shd w:val="clear" w:color="auto" w:fill="FFFFFF"/>
          <w:lang w:val="zh-CN" w:eastAsia="zh-CN"/>
        </w:rPr>
        <w:t>。</w:t>
      </w:r>
    </w:p>
    <w:p w14:paraId="51D5C386">
      <w:pPr>
        <w:pStyle w:val="7"/>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s="Times New Roman"/>
          <w:color w:val="auto"/>
          <w:kern w:val="0"/>
          <w:position w:val="3"/>
          <w:sz w:val="32"/>
          <w:szCs w:val="32"/>
          <w:highlight w:val="none"/>
          <w:u w:val="none"/>
          <w:lang w:val="zh-CN" w:eastAsia="zh-CN" w:bidi="ar-SA"/>
        </w:rPr>
      </w:pPr>
      <w:r>
        <w:rPr>
          <w:rFonts w:hint="eastAsia" w:ascii="黑体" w:hAnsi="宋体" w:eastAsia="黑体" w:cs="Times New Roman"/>
          <w:color w:val="auto"/>
          <w:kern w:val="0"/>
          <w:position w:val="3"/>
          <w:sz w:val="32"/>
          <w:szCs w:val="32"/>
          <w:highlight w:val="none"/>
          <w:u w:val="none"/>
          <w:lang w:val="zh-CN" w:eastAsia="zh-CN" w:bidi="ar-SA"/>
        </w:rPr>
        <w:t>六、改进建议</w:t>
      </w:r>
    </w:p>
    <w:p w14:paraId="6BEBDF94">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both"/>
        <w:textAlignment w:val="auto"/>
        <w:rPr>
          <w:rFonts w:hint="eastAsia" w:ascii="仿宋_GB2312" w:hAnsi="仿宋_GB2312" w:cs="仿宋_GB2312"/>
          <w:color w:val="auto"/>
          <w:kern w:val="0"/>
          <w:sz w:val="32"/>
          <w:szCs w:val="32"/>
          <w:highlight w:val="none"/>
          <w:u w:val="none"/>
          <w:shd w:val="clear" w:color="auto" w:fill="FFFFFF"/>
          <w:lang w:val="zh-CN" w:eastAsia="zh-CN"/>
        </w:rPr>
      </w:pPr>
      <w:r>
        <w:rPr>
          <w:rFonts w:hint="eastAsia" w:ascii="仿宋_GB2312" w:hAnsi="仿宋_GB2312" w:eastAsia="仿宋_GB2312" w:cs="仿宋_GB2312"/>
          <w:color w:val="auto"/>
          <w:kern w:val="0"/>
          <w:sz w:val="32"/>
          <w:szCs w:val="32"/>
          <w:highlight w:val="none"/>
          <w:u w:val="none"/>
          <w:shd w:val="clear" w:color="auto" w:fill="FFFFFF"/>
          <w:lang w:val="zh-CN" w:eastAsia="zh-CN"/>
        </w:rPr>
        <w:t xml:space="preserve"> </w:t>
      </w:r>
      <w:r>
        <w:rPr>
          <w:rFonts w:hint="eastAsia" w:ascii="仿宋_GB2312" w:hAnsi="仿宋_GB2312" w:cs="仿宋_GB2312"/>
          <w:color w:val="auto"/>
          <w:kern w:val="0"/>
          <w:sz w:val="32"/>
          <w:szCs w:val="32"/>
          <w:highlight w:val="none"/>
          <w:u w:val="none"/>
          <w:shd w:val="clear" w:color="auto" w:fill="FFFFFF"/>
          <w:lang w:val="en-US" w:eastAsia="zh-CN"/>
        </w:rPr>
        <w:t>无</w:t>
      </w:r>
      <w:r>
        <w:rPr>
          <w:rFonts w:hint="eastAsia" w:ascii="仿宋_GB2312" w:hAnsi="仿宋_GB2312" w:cs="仿宋_GB2312"/>
          <w:color w:val="auto"/>
          <w:kern w:val="0"/>
          <w:sz w:val="32"/>
          <w:szCs w:val="32"/>
          <w:highlight w:val="none"/>
          <w:u w:val="none"/>
          <w:shd w:val="clear" w:color="auto" w:fill="FFFFFF"/>
          <w:lang w:val="zh-CN" w:eastAsia="zh-CN"/>
        </w:rPr>
        <w:t>。</w:t>
      </w:r>
    </w:p>
    <w:p w14:paraId="5F8C6C96">
      <w:pPr>
        <w:tabs>
          <w:tab w:val="left" w:pos="1911"/>
        </w:tabs>
        <w:jc w:val="left"/>
        <w:rPr>
          <w:rFonts w:hint="eastAsia" w:ascii="仿宋_GB2312" w:hAnsi="仿宋_GB2312" w:eastAsia="仿宋_GB2312" w:cs="仿宋_GB2312"/>
          <w:b w:val="0"/>
          <w:bCs w:val="0"/>
          <w:kern w:val="0"/>
          <w:position w:val="0"/>
          <w:sz w:val="32"/>
          <w:szCs w:val="32"/>
          <w:highlight w:val="none"/>
          <w:lang w:val="en" w:eastAsia="zh-CN" w:bidi="ar-SA"/>
        </w:rPr>
      </w:pPr>
    </w:p>
    <w:p w14:paraId="51EDFDBC">
      <w:pPr>
        <w:keepNext w:val="0"/>
        <w:keepLines w:val="0"/>
        <w:pageBreakBefore w:val="0"/>
        <w:kinsoku/>
        <w:wordWrap/>
        <w:overflowPunct/>
        <w:topLinePunct w:val="0"/>
        <w:autoSpaceDE/>
        <w:autoSpaceDN/>
        <w:bidi w:val="0"/>
        <w:adjustRightInd/>
        <w:snapToGrid w:val="0"/>
        <w:spacing w:line="578" w:lineRule="exact"/>
        <w:ind w:left="0" w:leftChars="0" w:firstLine="420" w:firstLineChars="200"/>
        <w:textAlignment w:val="auto"/>
        <w:outlineLvl w:val="9"/>
        <w:rPr>
          <w:rFonts w:hint="eastAsia" w:ascii="Times New Roman" w:hAnsi="Times New Roman" w:cs="Times New Roman"/>
          <w:color w:val="000000"/>
          <w:kern w:val="0"/>
          <w:szCs w:val="32"/>
          <w:highlight w:val="none"/>
          <w:shd w:val="clear" w:color="auto" w:fill="FFFFFF"/>
          <w:lang w:val="zh-CN" w:eastAsia="zh-CN"/>
        </w:rPr>
      </w:pPr>
    </w:p>
    <w:p w14:paraId="531E42B6">
      <w:pPr>
        <w:keepNext w:val="0"/>
        <w:keepLines w:val="0"/>
        <w:pageBreakBefore w:val="0"/>
        <w:numPr>
          <w:ilvl w:val="0"/>
          <w:numId w:val="0"/>
        </w:numPr>
        <w:kinsoku/>
        <w:wordWrap/>
        <w:overflowPunct/>
        <w:topLinePunct w:val="0"/>
        <w:autoSpaceDE/>
        <w:autoSpaceDN/>
        <w:bidi w:val="0"/>
        <w:adjustRightInd w:val="0"/>
        <w:snapToGrid w:val="0"/>
        <w:spacing w:line="578" w:lineRule="exact"/>
        <w:ind w:left="0" w:leftChars="0" w:firstLine="640" w:firstLineChars="200"/>
        <w:textAlignment w:val="auto"/>
        <w:rPr>
          <w:rFonts w:hint="eastAsia" w:ascii="仿宋_GB2312" w:hAnsi="仿宋_GB2312" w:eastAsia="仿宋_GB2312" w:cs="仿宋_GB2312"/>
          <w:color w:val="auto"/>
          <w:sz w:val="32"/>
          <w:szCs w:val="32"/>
          <w:shd w:val="clear" w:color="auto" w:fill="FFFFFF"/>
          <w:lang w:val="en-US" w:eastAsia="zh-CN"/>
        </w:rPr>
      </w:pPr>
      <w:r>
        <w:rPr>
          <w:rFonts w:hint="eastAsia" w:ascii="仿宋_GB2312" w:hAnsi="仿宋_GB2312" w:eastAsia="仿宋_GB2312" w:cs="仿宋_GB2312"/>
          <w:color w:val="auto"/>
          <w:sz w:val="32"/>
          <w:szCs w:val="32"/>
          <w:shd w:val="clear" w:color="auto" w:fill="FFFFFF"/>
          <w:lang w:val="en-US" w:eastAsia="zh-CN"/>
        </w:rPr>
        <w:t>附表：1.项目资金分配涉及所有点位自评得分情况表</w:t>
      </w:r>
    </w:p>
    <w:p w14:paraId="798C7BD7">
      <w:pPr>
        <w:keepNext w:val="0"/>
        <w:keepLines w:val="0"/>
        <w:pageBreakBefore w:val="0"/>
        <w:numPr>
          <w:ilvl w:val="0"/>
          <w:numId w:val="0"/>
        </w:numPr>
        <w:kinsoku/>
        <w:wordWrap/>
        <w:overflowPunct/>
        <w:topLinePunct w:val="0"/>
        <w:autoSpaceDE/>
        <w:autoSpaceDN/>
        <w:bidi w:val="0"/>
        <w:adjustRightInd w:val="0"/>
        <w:snapToGrid w:val="0"/>
        <w:spacing w:line="578" w:lineRule="exact"/>
        <w:ind w:left="0" w:leftChars="0" w:firstLine="1920" w:firstLineChars="600"/>
        <w:textAlignment w:val="auto"/>
        <w:rPr>
          <w:rFonts w:hint="eastAsia" w:ascii="仿宋_GB2312" w:hAnsi="仿宋_GB2312" w:eastAsia="仿宋_GB2312" w:cs="仿宋_GB2312"/>
          <w:color w:val="auto"/>
          <w:sz w:val="32"/>
          <w:szCs w:val="32"/>
          <w:shd w:val="clear" w:color="auto" w:fill="FFFFFF"/>
          <w:lang w:val="en-US" w:eastAsia="zh-CN"/>
        </w:rPr>
      </w:pPr>
      <w:r>
        <w:rPr>
          <w:rFonts w:hint="eastAsia" w:ascii="仿宋_GB2312" w:hAnsi="仿宋_GB2312" w:eastAsia="仿宋_GB2312" w:cs="仿宋_GB2312"/>
          <w:color w:val="auto"/>
          <w:sz w:val="32"/>
          <w:szCs w:val="32"/>
          <w:shd w:val="clear" w:color="auto" w:fill="FFFFFF"/>
          <w:lang w:val="en-US" w:eastAsia="zh-CN"/>
        </w:rPr>
        <w:t>专项预算项目绩效目标完成情况自评表</w:t>
      </w:r>
    </w:p>
    <w:p w14:paraId="39C86F89">
      <w:pPr>
        <w:keepNext w:val="0"/>
        <w:keepLines w:val="0"/>
        <w:pageBreakBefore w:val="0"/>
        <w:numPr>
          <w:ilvl w:val="0"/>
          <w:numId w:val="0"/>
        </w:numPr>
        <w:kinsoku/>
        <w:wordWrap/>
        <w:overflowPunct/>
        <w:topLinePunct w:val="0"/>
        <w:autoSpaceDE/>
        <w:autoSpaceDN/>
        <w:bidi w:val="0"/>
        <w:adjustRightInd w:val="0"/>
        <w:snapToGrid w:val="0"/>
        <w:spacing w:line="578" w:lineRule="exact"/>
        <w:ind w:left="0" w:leftChars="0" w:firstLine="640" w:firstLineChars="200"/>
        <w:textAlignment w:val="auto"/>
        <w:rPr>
          <w:rFonts w:hint="default" w:ascii="仿宋_GB2312" w:hAnsi="仿宋_GB2312" w:eastAsia="仿宋_GB2312" w:cs="仿宋_GB2312"/>
          <w:color w:val="auto"/>
          <w:sz w:val="32"/>
          <w:szCs w:val="32"/>
          <w:shd w:val="clear" w:color="auto" w:fill="FFFFFF"/>
          <w:lang w:val="en-US" w:eastAsia="zh-CN"/>
        </w:rPr>
      </w:pPr>
    </w:p>
    <w:p w14:paraId="5F2F6BA5">
      <w:pPr>
        <w:keepNext w:val="0"/>
        <w:keepLines w:val="0"/>
        <w:pageBreakBefore w:val="0"/>
        <w:numPr>
          <w:ilvl w:val="0"/>
          <w:numId w:val="0"/>
        </w:numPr>
        <w:kinsoku/>
        <w:wordWrap/>
        <w:overflowPunct/>
        <w:topLinePunct w:val="0"/>
        <w:autoSpaceDE/>
        <w:autoSpaceDN/>
        <w:bidi w:val="0"/>
        <w:adjustRightInd w:val="0"/>
        <w:snapToGrid w:val="0"/>
        <w:spacing w:line="578" w:lineRule="exact"/>
        <w:ind w:left="0" w:leftChars="0" w:firstLine="640" w:firstLineChars="200"/>
        <w:textAlignment w:val="auto"/>
        <w:rPr>
          <w:rFonts w:hint="eastAsia" w:ascii="仿宋_GB2312" w:hAnsi="仿宋_GB2312" w:eastAsia="仿宋_GB2312" w:cs="仿宋_GB2312"/>
          <w:color w:val="auto"/>
          <w:sz w:val="32"/>
          <w:szCs w:val="32"/>
          <w:shd w:val="clear" w:color="auto" w:fill="FFFFFF"/>
          <w:lang w:val="en-US" w:eastAsia="zh-CN"/>
        </w:rPr>
      </w:pPr>
      <w:r>
        <w:rPr>
          <w:rFonts w:hint="eastAsia" w:ascii="仿宋_GB2312" w:hAnsi="仿宋_GB2312" w:eastAsia="仿宋_GB2312" w:cs="仿宋_GB2312"/>
          <w:color w:val="auto"/>
          <w:sz w:val="32"/>
          <w:szCs w:val="32"/>
          <w:shd w:val="clear" w:color="auto" w:fill="FFFFFF"/>
          <w:lang w:val="en-US" w:eastAsia="zh-CN"/>
        </w:rPr>
        <w:t xml:space="preserve">                   广元市自然资源局</w:t>
      </w:r>
    </w:p>
    <w:p w14:paraId="6C1835F4">
      <w:pPr>
        <w:keepNext w:val="0"/>
        <w:keepLines w:val="0"/>
        <w:pageBreakBefore w:val="0"/>
        <w:numPr>
          <w:ilvl w:val="0"/>
          <w:numId w:val="0"/>
        </w:numPr>
        <w:kinsoku/>
        <w:wordWrap/>
        <w:overflowPunct/>
        <w:topLinePunct w:val="0"/>
        <w:autoSpaceDE/>
        <w:autoSpaceDN/>
        <w:bidi w:val="0"/>
        <w:adjustRightInd w:val="0"/>
        <w:snapToGrid w:val="0"/>
        <w:spacing w:line="578" w:lineRule="exact"/>
        <w:ind w:left="0" w:leftChars="0" w:firstLine="640" w:firstLineChars="200"/>
        <w:textAlignment w:val="auto"/>
        <w:rPr>
          <w:rFonts w:hint="default" w:ascii="仿宋_GB2312" w:hAnsi="仿宋_GB2312" w:eastAsia="仿宋_GB2312" w:cs="仿宋_GB2312"/>
          <w:color w:val="auto"/>
          <w:sz w:val="32"/>
          <w:szCs w:val="32"/>
          <w:shd w:val="clear" w:color="auto" w:fill="FFFFFF"/>
          <w:lang w:val="en-US" w:eastAsia="zh-CN"/>
        </w:rPr>
      </w:pPr>
      <w:r>
        <w:rPr>
          <w:rFonts w:hint="eastAsia" w:ascii="仿宋_GB2312" w:hAnsi="仿宋_GB2312" w:eastAsia="仿宋_GB2312" w:cs="仿宋_GB2312"/>
          <w:color w:val="auto"/>
          <w:sz w:val="32"/>
          <w:szCs w:val="32"/>
          <w:shd w:val="clear" w:color="auto" w:fill="FFFFFF"/>
          <w:lang w:val="en-US" w:eastAsia="zh-CN"/>
        </w:rPr>
        <w:t xml:space="preserve">                   2024年8月4日</w:t>
      </w:r>
    </w:p>
    <w:p w14:paraId="27059671">
      <w:pPr>
        <w:keepNext w:val="0"/>
        <w:keepLines w:val="0"/>
        <w:pageBreakBefore w:val="0"/>
        <w:kinsoku/>
        <w:wordWrap/>
        <w:overflowPunct/>
        <w:topLinePunct w:val="0"/>
        <w:autoSpaceDE/>
        <w:autoSpaceDN/>
        <w:bidi w:val="0"/>
        <w:adjustRightInd/>
        <w:snapToGrid w:val="0"/>
        <w:spacing w:line="578" w:lineRule="exact"/>
        <w:ind w:left="0" w:leftChars="0" w:firstLine="420" w:firstLineChars="200"/>
        <w:textAlignment w:val="auto"/>
        <w:outlineLvl w:val="9"/>
        <w:rPr>
          <w:rFonts w:hint="eastAsia" w:ascii="Times New Roman" w:hAnsi="Times New Roman" w:cs="Times New Roman"/>
          <w:color w:val="000000"/>
          <w:kern w:val="0"/>
          <w:szCs w:val="32"/>
          <w:highlight w:val="none"/>
          <w:shd w:val="clear" w:color="auto" w:fill="FFFFFF"/>
          <w:lang w:val="zh-CN" w:eastAsia="zh-CN"/>
        </w:rPr>
      </w:pPr>
      <w:r>
        <w:rPr>
          <w:rFonts w:hint="eastAsia" w:ascii="Times New Roman" w:hAnsi="Times New Roman" w:cs="Times New Roman"/>
          <w:color w:val="000000"/>
          <w:kern w:val="0"/>
          <w:szCs w:val="32"/>
          <w:highlight w:val="none"/>
          <w:shd w:val="clear" w:color="auto" w:fill="FFFFFF"/>
          <w:lang w:val="zh-CN" w:eastAsia="zh-CN"/>
        </w:rPr>
        <w:br w:type="page"/>
      </w:r>
    </w:p>
    <w:p w14:paraId="2DF499E3">
      <w:pPr>
        <w:pStyle w:val="25"/>
        <w:rPr>
          <w:rFonts w:hint="eastAsia"/>
          <w:lang w:val="zh-CN" w:eastAsia="zh-CN"/>
        </w:rPr>
      </w:pPr>
    </w:p>
    <w:p w14:paraId="514BB8DC">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contextualSpacing/>
        <w:jc w:val="left"/>
        <w:textAlignment w:val="auto"/>
        <w:rPr>
          <w:rFonts w:hint="eastAsia" w:ascii="黑体" w:hAnsi="黑体" w:eastAsia="黑体" w:cs="黑体"/>
          <w:b w:val="0"/>
          <w:bCs w:val="0"/>
          <w:color w:val="auto"/>
          <w:kern w:val="0"/>
          <w:sz w:val="32"/>
          <w:szCs w:val="32"/>
          <w:highlight w:val="none"/>
          <w:u w:val="none"/>
          <w:shd w:val="clear" w:color="auto" w:fill="FFFFFF"/>
          <w:lang w:val="zh-CN" w:eastAsia="zh-CN"/>
        </w:rPr>
      </w:pPr>
      <w:r>
        <w:rPr>
          <w:rFonts w:hint="eastAsia" w:ascii="黑体" w:hAnsi="黑体" w:eastAsia="黑体" w:cs="黑体"/>
          <w:b w:val="0"/>
          <w:bCs w:val="0"/>
          <w:color w:val="auto"/>
          <w:kern w:val="0"/>
          <w:sz w:val="32"/>
          <w:szCs w:val="32"/>
          <w:highlight w:val="none"/>
          <w:u w:val="none"/>
          <w:shd w:val="clear" w:color="auto" w:fill="FFFFFF"/>
          <w:lang w:val="zh-CN" w:eastAsia="zh-CN"/>
        </w:rPr>
        <w:t>附表</w:t>
      </w:r>
      <w:r>
        <w:rPr>
          <w:rFonts w:hint="eastAsia" w:ascii="黑体" w:hAnsi="黑体" w:eastAsia="黑体" w:cs="黑体"/>
          <w:b w:val="0"/>
          <w:bCs w:val="0"/>
          <w:color w:val="auto"/>
          <w:kern w:val="0"/>
          <w:sz w:val="32"/>
          <w:szCs w:val="32"/>
          <w:highlight w:val="none"/>
          <w:u w:val="none"/>
          <w:shd w:val="clear" w:color="auto" w:fill="FFFFFF"/>
          <w:lang w:val="en-US" w:eastAsia="zh-CN"/>
        </w:rPr>
        <w:t>1</w:t>
      </w:r>
    </w:p>
    <w:p w14:paraId="4B6942E4">
      <w:pPr>
        <w:keepNext w:val="0"/>
        <w:keepLines w:val="0"/>
        <w:pageBreakBefore w:val="0"/>
        <w:kinsoku/>
        <w:wordWrap/>
        <w:overflowPunct/>
        <w:topLinePunct w:val="0"/>
        <w:autoSpaceDE/>
        <w:autoSpaceDN/>
        <w:bidi w:val="0"/>
        <w:spacing w:line="578" w:lineRule="exact"/>
        <w:ind w:left="0" w:leftChars="0"/>
        <w:jc w:val="center"/>
        <w:textAlignment w:val="auto"/>
        <w:rPr>
          <w:rFonts w:hint="eastAsia" w:ascii="方正小标宋_GBK" w:hAnsi="方正小标宋_GBK" w:eastAsia="方正小标宋_GBK" w:cs="方正小标宋_GBK"/>
          <w:b w:val="0"/>
          <w:bCs w:val="0"/>
          <w:color w:val="auto"/>
          <w:sz w:val="40"/>
          <w:szCs w:val="40"/>
          <w:highlight w:val="none"/>
          <w:u w:val="none"/>
          <w:lang w:val="en-US" w:eastAsia="zh-CN"/>
        </w:rPr>
      </w:pPr>
      <w:r>
        <w:rPr>
          <w:rFonts w:hint="eastAsia" w:ascii="方正小标宋_GBK" w:hAnsi="方正小标宋_GBK" w:eastAsia="方正小标宋_GBK" w:cs="方正小标宋_GBK"/>
          <w:b w:val="0"/>
          <w:bCs w:val="0"/>
          <w:color w:val="auto"/>
          <w:sz w:val="40"/>
          <w:szCs w:val="40"/>
          <w:highlight w:val="none"/>
          <w:u w:val="none"/>
          <w:lang w:val="en-US" w:eastAsia="zh-CN"/>
        </w:rPr>
        <w:t>项目资金分配涉及所有点位自评得分情况表</w:t>
      </w:r>
    </w:p>
    <w:tbl>
      <w:tblPr>
        <w:tblStyle w:val="18"/>
        <w:tblW w:w="88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3"/>
        <w:gridCol w:w="5020"/>
        <w:gridCol w:w="1684"/>
        <w:gridCol w:w="993"/>
      </w:tblGrid>
      <w:tr w14:paraId="50D4C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exact"/>
          <w:jc w:val="center"/>
        </w:trPr>
        <w:tc>
          <w:tcPr>
            <w:tcW w:w="1123" w:type="dxa"/>
            <w:vAlign w:val="top"/>
          </w:tcPr>
          <w:p w14:paraId="65303326">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序号</w:t>
            </w:r>
          </w:p>
        </w:tc>
        <w:tc>
          <w:tcPr>
            <w:tcW w:w="5020" w:type="dxa"/>
            <w:vAlign w:val="top"/>
          </w:tcPr>
          <w:p w14:paraId="7F4886C5">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项目资金末端分配点位</w:t>
            </w:r>
          </w:p>
        </w:tc>
        <w:tc>
          <w:tcPr>
            <w:tcW w:w="1684" w:type="dxa"/>
            <w:vAlign w:val="top"/>
          </w:tcPr>
          <w:p w14:paraId="792904EC">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 w:eastAsia="zh-CN"/>
              </w:rPr>
            </w:pPr>
            <w:r>
              <w:rPr>
                <w:rFonts w:hint="eastAsia" w:ascii="仿宋_GB2312" w:hAnsi="仿宋_GB2312" w:eastAsia="仿宋_GB2312" w:cs="仿宋_GB2312"/>
                <w:b w:val="0"/>
                <w:bCs w:val="0"/>
                <w:color w:val="auto"/>
                <w:sz w:val="24"/>
                <w:szCs w:val="24"/>
                <w:highlight w:val="none"/>
                <w:u w:val="none"/>
                <w:vertAlign w:val="baseline"/>
                <w:lang w:val="en" w:eastAsia="zh-CN"/>
              </w:rPr>
              <w:t>自评得分</w:t>
            </w:r>
          </w:p>
          <w:p w14:paraId="2ACAF30B">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 w:eastAsia="zh-CN"/>
              </w:rPr>
              <w:t>（百分制）</w:t>
            </w:r>
          </w:p>
        </w:tc>
        <w:tc>
          <w:tcPr>
            <w:tcW w:w="993" w:type="dxa"/>
            <w:vAlign w:val="top"/>
          </w:tcPr>
          <w:p w14:paraId="47E46D36">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备注</w:t>
            </w:r>
          </w:p>
        </w:tc>
      </w:tr>
      <w:tr w14:paraId="4C442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79583C26">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1</w:t>
            </w:r>
          </w:p>
        </w:tc>
        <w:tc>
          <w:tcPr>
            <w:tcW w:w="5020" w:type="dxa"/>
            <w:vAlign w:val="top"/>
          </w:tcPr>
          <w:p w14:paraId="7CF7E106">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省国土空间生态修复与地质灾害害防治研究院</w:t>
            </w:r>
          </w:p>
        </w:tc>
        <w:tc>
          <w:tcPr>
            <w:tcW w:w="1684" w:type="dxa"/>
            <w:vAlign w:val="top"/>
          </w:tcPr>
          <w:p w14:paraId="78CE3D12">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100</w:t>
            </w:r>
          </w:p>
        </w:tc>
        <w:tc>
          <w:tcPr>
            <w:tcW w:w="993" w:type="dxa"/>
            <w:vAlign w:val="top"/>
          </w:tcPr>
          <w:p w14:paraId="05652A76">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r>
      <w:tr w14:paraId="1437B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1139A6F9">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2</w:t>
            </w:r>
          </w:p>
        </w:tc>
        <w:tc>
          <w:tcPr>
            <w:tcW w:w="5020" w:type="dxa"/>
            <w:vAlign w:val="top"/>
          </w:tcPr>
          <w:p w14:paraId="1F92420B">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p>
        </w:tc>
        <w:tc>
          <w:tcPr>
            <w:tcW w:w="1684" w:type="dxa"/>
            <w:vAlign w:val="top"/>
          </w:tcPr>
          <w:p w14:paraId="166DA8B4">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p>
        </w:tc>
        <w:tc>
          <w:tcPr>
            <w:tcW w:w="993" w:type="dxa"/>
            <w:vAlign w:val="top"/>
          </w:tcPr>
          <w:p w14:paraId="1CA9A10F">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r>
      <w:tr w14:paraId="063DD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2A604487">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3</w:t>
            </w:r>
          </w:p>
        </w:tc>
        <w:tc>
          <w:tcPr>
            <w:tcW w:w="5020" w:type="dxa"/>
            <w:vAlign w:val="top"/>
          </w:tcPr>
          <w:p w14:paraId="3E254CEE">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 w:eastAsia="zh-CN"/>
              </w:rPr>
            </w:pPr>
          </w:p>
        </w:tc>
        <w:tc>
          <w:tcPr>
            <w:tcW w:w="1684" w:type="dxa"/>
            <w:vAlign w:val="top"/>
          </w:tcPr>
          <w:p w14:paraId="633F2B06">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 w:eastAsia="zh-CN"/>
              </w:rPr>
            </w:pPr>
          </w:p>
        </w:tc>
        <w:tc>
          <w:tcPr>
            <w:tcW w:w="993" w:type="dxa"/>
            <w:vAlign w:val="top"/>
          </w:tcPr>
          <w:p w14:paraId="4106F0A9">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r>
      <w:tr w14:paraId="30146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2C46B743">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4</w:t>
            </w:r>
          </w:p>
        </w:tc>
        <w:tc>
          <w:tcPr>
            <w:tcW w:w="5020" w:type="dxa"/>
            <w:vAlign w:val="top"/>
          </w:tcPr>
          <w:p w14:paraId="4091C4FD">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 w:eastAsia="zh-CN"/>
              </w:rPr>
            </w:pPr>
          </w:p>
        </w:tc>
        <w:tc>
          <w:tcPr>
            <w:tcW w:w="1684" w:type="dxa"/>
            <w:vAlign w:val="top"/>
          </w:tcPr>
          <w:p w14:paraId="77C1B06E">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 w:eastAsia="zh-CN"/>
              </w:rPr>
            </w:pPr>
          </w:p>
        </w:tc>
        <w:tc>
          <w:tcPr>
            <w:tcW w:w="993" w:type="dxa"/>
            <w:vAlign w:val="top"/>
          </w:tcPr>
          <w:p w14:paraId="029FF40F">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r>
      <w:tr w14:paraId="76FCF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2EC75A60">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5</w:t>
            </w:r>
          </w:p>
        </w:tc>
        <w:tc>
          <w:tcPr>
            <w:tcW w:w="5020" w:type="dxa"/>
            <w:vAlign w:val="top"/>
          </w:tcPr>
          <w:p w14:paraId="78945CCE">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 w:eastAsia="zh-CN"/>
              </w:rPr>
            </w:pPr>
          </w:p>
        </w:tc>
        <w:tc>
          <w:tcPr>
            <w:tcW w:w="1684" w:type="dxa"/>
            <w:vAlign w:val="top"/>
          </w:tcPr>
          <w:p w14:paraId="76B72DA3">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 w:eastAsia="zh-CN"/>
              </w:rPr>
            </w:pPr>
          </w:p>
        </w:tc>
        <w:tc>
          <w:tcPr>
            <w:tcW w:w="993" w:type="dxa"/>
            <w:vAlign w:val="top"/>
          </w:tcPr>
          <w:p w14:paraId="36512539">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r>
      <w:tr w14:paraId="6A41E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25BFD979">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6</w:t>
            </w:r>
          </w:p>
        </w:tc>
        <w:tc>
          <w:tcPr>
            <w:tcW w:w="5020" w:type="dxa"/>
            <w:vAlign w:val="top"/>
          </w:tcPr>
          <w:p w14:paraId="634B5497">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 w:eastAsia="zh-CN"/>
              </w:rPr>
            </w:pPr>
          </w:p>
        </w:tc>
        <w:tc>
          <w:tcPr>
            <w:tcW w:w="1684" w:type="dxa"/>
            <w:vAlign w:val="top"/>
          </w:tcPr>
          <w:p w14:paraId="617E73D2">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 w:eastAsia="zh-CN"/>
              </w:rPr>
            </w:pPr>
          </w:p>
        </w:tc>
        <w:tc>
          <w:tcPr>
            <w:tcW w:w="993" w:type="dxa"/>
            <w:vAlign w:val="top"/>
          </w:tcPr>
          <w:p w14:paraId="2984295D">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r>
      <w:tr w14:paraId="70BBE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44E42866">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7</w:t>
            </w:r>
          </w:p>
        </w:tc>
        <w:tc>
          <w:tcPr>
            <w:tcW w:w="5020" w:type="dxa"/>
            <w:vAlign w:val="top"/>
          </w:tcPr>
          <w:p w14:paraId="2C9B9D20">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 w:eastAsia="zh-CN"/>
              </w:rPr>
            </w:pPr>
          </w:p>
        </w:tc>
        <w:tc>
          <w:tcPr>
            <w:tcW w:w="1684" w:type="dxa"/>
            <w:vAlign w:val="top"/>
          </w:tcPr>
          <w:p w14:paraId="4711CA76">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 w:eastAsia="zh-CN"/>
              </w:rPr>
            </w:pPr>
          </w:p>
        </w:tc>
        <w:tc>
          <w:tcPr>
            <w:tcW w:w="993" w:type="dxa"/>
            <w:vAlign w:val="top"/>
          </w:tcPr>
          <w:p w14:paraId="7847B538">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r>
      <w:tr w14:paraId="6E824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024EC0F4">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8</w:t>
            </w:r>
          </w:p>
        </w:tc>
        <w:tc>
          <w:tcPr>
            <w:tcW w:w="5020" w:type="dxa"/>
            <w:vAlign w:val="top"/>
          </w:tcPr>
          <w:p w14:paraId="73AD69F0">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 w:eastAsia="zh-CN"/>
              </w:rPr>
            </w:pPr>
          </w:p>
        </w:tc>
        <w:tc>
          <w:tcPr>
            <w:tcW w:w="1684" w:type="dxa"/>
            <w:vAlign w:val="top"/>
          </w:tcPr>
          <w:p w14:paraId="472A4F04">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 w:eastAsia="zh-CN"/>
              </w:rPr>
            </w:pPr>
          </w:p>
        </w:tc>
        <w:tc>
          <w:tcPr>
            <w:tcW w:w="993" w:type="dxa"/>
            <w:vAlign w:val="top"/>
          </w:tcPr>
          <w:p w14:paraId="138B0381">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r>
      <w:tr w14:paraId="51EB2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72D5B4B3">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w:t>
            </w:r>
          </w:p>
        </w:tc>
        <w:tc>
          <w:tcPr>
            <w:tcW w:w="5020" w:type="dxa"/>
            <w:vAlign w:val="top"/>
          </w:tcPr>
          <w:p w14:paraId="2C7232A4">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 w:eastAsia="zh-CN"/>
              </w:rPr>
            </w:pPr>
          </w:p>
        </w:tc>
        <w:tc>
          <w:tcPr>
            <w:tcW w:w="1684" w:type="dxa"/>
            <w:vAlign w:val="top"/>
          </w:tcPr>
          <w:p w14:paraId="076D2330">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 w:eastAsia="zh-CN"/>
              </w:rPr>
            </w:pPr>
          </w:p>
        </w:tc>
        <w:tc>
          <w:tcPr>
            <w:tcW w:w="993" w:type="dxa"/>
            <w:vAlign w:val="top"/>
          </w:tcPr>
          <w:p w14:paraId="02CC0C63">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r>
    </w:tbl>
    <w:p w14:paraId="2A4EA65A">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备注：1.项目资金末端分配点位包括市本级、县（区）、市级部门下属单位及一次性单位等。</w:t>
      </w:r>
    </w:p>
    <w:p w14:paraId="654D193C">
      <w:pPr>
        <w:keepNext w:val="0"/>
        <w:keepLines w:val="0"/>
        <w:pageBreakBefore w:val="0"/>
        <w:widowControl w:val="0"/>
        <w:kinsoku/>
        <w:wordWrap/>
        <w:overflowPunct/>
        <w:topLinePunct w:val="0"/>
        <w:autoSpaceDE/>
        <w:autoSpaceDN/>
        <w:bidi w:val="0"/>
        <w:adjustRightInd/>
        <w:snapToGrid/>
        <w:spacing w:line="400" w:lineRule="exact"/>
        <w:ind w:left="0" w:leftChars="0" w:firstLine="480" w:firstLineChars="200"/>
        <w:jc w:val="left"/>
        <w:textAlignment w:val="auto"/>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2.自评得分（百分制）从高到低划分为优、良、中、差四个档次，各个档次数量占比分别为20%、20%、55%、5%，且不同档次间得分分值应体现差异化，同档次得分分值相同的比例不超过该档次总数量的10%。</w:t>
      </w:r>
    </w:p>
    <w:p w14:paraId="432098ED">
      <w:pPr>
        <w:rPr>
          <w:rFonts w:hint="eastAsia" w:ascii="Times New Roman" w:hAnsi="Times New Roman" w:eastAsia="仿宋_GB2312" w:cs="Times New Roman"/>
          <w:kern w:val="2"/>
          <w:sz w:val="32"/>
          <w:szCs w:val="24"/>
          <w:highlight w:val="none"/>
          <w:lang w:val="en-US" w:eastAsia="zh-CN" w:bidi="ar-SA"/>
        </w:rPr>
      </w:pPr>
      <w:r>
        <w:rPr>
          <w:rFonts w:hint="eastAsia" w:ascii="Times New Roman" w:hAnsi="Times New Roman" w:eastAsia="仿宋_GB2312" w:cs="Times New Roman"/>
          <w:kern w:val="2"/>
          <w:sz w:val="32"/>
          <w:szCs w:val="24"/>
          <w:highlight w:val="none"/>
          <w:lang w:val="en-US" w:eastAsia="zh-CN" w:bidi="ar-SA"/>
        </w:rPr>
        <w:br w:type="page"/>
      </w:r>
    </w:p>
    <w:p w14:paraId="73DD8078">
      <w:pPr>
        <w:pStyle w:val="16"/>
        <w:keepNext w:val="0"/>
        <w:keepLines w:val="0"/>
        <w:pageBreakBefore w:val="0"/>
        <w:kinsoku/>
        <w:wordWrap/>
        <w:overflowPunct/>
        <w:topLinePunct w:val="0"/>
        <w:autoSpaceDE/>
        <w:autoSpaceDN/>
        <w:bidi w:val="0"/>
        <w:spacing w:after="0" w:line="578" w:lineRule="exact"/>
        <w:ind w:left="0" w:leftChars="0" w:firstLine="0" w:firstLineChars="0"/>
        <w:rPr>
          <w:rFonts w:hint="default" w:ascii="Times New Roman" w:hAnsi="Times New Roman" w:eastAsia="黑体" w:cs="Times New Roman"/>
          <w:kern w:val="2"/>
          <w:sz w:val="32"/>
          <w:szCs w:val="24"/>
          <w:highlight w:val="none"/>
          <w:lang w:val="en-US" w:eastAsia="zh-CN" w:bidi="ar-SA"/>
        </w:rPr>
      </w:pPr>
      <w:r>
        <w:rPr>
          <w:rFonts w:hint="default" w:ascii="Times New Roman" w:hAnsi="Times New Roman" w:eastAsia="黑体" w:cs="Times New Roman"/>
          <w:kern w:val="2"/>
          <w:sz w:val="32"/>
          <w:szCs w:val="24"/>
          <w:highlight w:val="none"/>
          <w:lang w:val="en-US" w:eastAsia="zh-CN" w:bidi="ar-SA"/>
        </w:rPr>
        <w:t>附表2</w:t>
      </w:r>
    </w:p>
    <w:p w14:paraId="71A040A0">
      <w:pPr>
        <w:keepNext w:val="0"/>
        <w:keepLines w:val="0"/>
        <w:pageBreakBefore w:val="0"/>
        <w:kinsoku/>
        <w:wordWrap/>
        <w:overflowPunct/>
        <w:topLinePunct w:val="0"/>
        <w:autoSpaceDE/>
        <w:autoSpaceDN/>
        <w:bidi w:val="0"/>
        <w:spacing w:line="578" w:lineRule="exact"/>
        <w:ind w:left="0" w:leftChars="0"/>
        <w:jc w:val="center"/>
        <w:textAlignment w:val="auto"/>
        <w:rPr>
          <w:rFonts w:hint="default" w:ascii="方正小标宋_GBK" w:hAnsi="方正小标宋_GBK" w:eastAsia="方正小标宋_GBK" w:cs="方正小标宋_GBK"/>
          <w:b w:val="0"/>
          <w:bCs w:val="0"/>
          <w:color w:val="auto"/>
          <w:sz w:val="40"/>
          <w:szCs w:val="40"/>
          <w:highlight w:val="none"/>
          <w:u w:val="none"/>
          <w:lang w:val="en-US" w:eastAsia="zh-CN"/>
        </w:rPr>
      </w:pPr>
      <w:r>
        <w:rPr>
          <w:rFonts w:hint="eastAsia" w:ascii="方正小标宋_GBK" w:hAnsi="方正小标宋_GBK" w:eastAsia="方正小标宋_GBK" w:cs="方正小标宋_GBK"/>
          <w:b w:val="0"/>
          <w:bCs w:val="0"/>
          <w:color w:val="auto"/>
          <w:sz w:val="40"/>
          <w:szCs w:val="40"/>
          <w:highlight w:val="none"/>
          <w:u w:val="none"/>
          <w:lang w:val="en-US" w:eastAsia="zh-CN"/>
        </w:rPr>
        <w:t>专项预算项目绩效目标完成情况自评表</w:t>
      </w:r>
    </w:p>
    <w:tbl>
      <w:tblPr>
        <w:tblStyle w:val="17"/>
        <w:tblW w:w="903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575"/>
        <w:gridCol w:w="956"/>
        <w:gridCol w:w="1103"/>
        <w:gridCol w:w="1160"/>
        <w:gridCol w:w="994"/>
        <w:gridCol w:w="857"/>
        <w:gridCol w:w="937"/>
        <w:gridCol w:w="828"/>
        <w:gridCol w:w="1629"/>
      </w:tblGrid>
      <w:tr w14:paraId="79A5F2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12" w:hRule="atLeast"/>
          <w:jc w:val="center"/>
        </w:trPr>
        <w:tc>
          <w:tcPr>
            <w:tcW w:w="379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C6E409C">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项目名称</w:t>
            </w:r>
          </w:p>
        </w:tc>
        <w:tc>
          <w:tcPr>
            <w:tcW w:w="524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59EB389">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广元市嘉陵江上游山水林田湖草沙一体化保护和修复工程项目编制</w:t>
            </w:r>
          </w:p>
        </w:tc>
      </w:tr>
      <w:tr w14:paraId="06C2D2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64" w:hRule="atLeast"/>
          <w:jc w:val="center"/>
        </w:trPr>
        <w:tc>
          <w:tcPr>
            <w:tcW w:w="379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BF82420">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预算单位</w:t>
            </w:r>
          </w:p>
        </w:tc>
        <w:tc>
          <w:tcPr>
            <w:tcW w:w="524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99DC7C9">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广元市自然资源局</w:t>
            </w:r>
          </w:p>
        </w:tc>
      </w:tr>
      <w:tr w14:paraId="4FFBB3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64" w:hRule="atLeast"/>
          <w:jc w:val="center"/>
        </w:trPr>
        <w:tc>
          <w:tcPr>
            <w:tcW w:w="379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318459C">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项目类型</w:t>
            </w:r>
          </w:p>
        </w:tc>
        <w:tc>
          <w:tcPr>
            <w:tcW w:w="524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F5EA861">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专项预算项目</w:t>
            </w:r>
          </w:p>
        </w:tc>
      </w:tr>
      <w:tr w14:paraId="7CD164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12" w:hRule="atLeast"/>
          <w:jc w:val="center"/>
        </w:trPr>
        <w:tc>
          <w:tcPr>
            <w:tcW w:w="5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C5E30C">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项目 概况</w:t>
            </w:r>
          </w:p>
        </w:tc>
        <w:tc>
          <w:tcPr>
            <w:tcW w:w="32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4B0CC34">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中长期规划（名称、文号，仅指</w:t>
            </w:r>
          </w:p>
          <w:p w14:paraId="53C1F0C5">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常年项目）</w:t>
            </w:r>
          </w:p>
        </w:tc>
        <w:tc>
          <w:tcPr>
            <w:tcW w:w="524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AA04D97">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w:t>
            </w:r>
          </w:p>
        </w:tc>
      </w:tr>
      <w:tr w14:paraId="3C4DB6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64" w:hRule="atLeast"/>
          <w:jc w:val="center"/>
        </w:trPr>
        <w:tc>
          <w:tcPr>
            <w:tcW w:w="5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1789C6">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32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2F4768E">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资金管理办法（名称、文号）</w:t>
            </w:r>
          </w:p>
        </w:tc>
        <w:tc>
          <w:tcPr>
            <w:tcW w:w="524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650DEFC">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广元市自然资源局财务管理制度</w:t>
            </w:r>
          </w:p>
        </w:tc>
      </w:tr>
      <w:tr w14:paraId="7FBE0D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21" w:hRule="atLeast"/>
          <w:jc w:val="center"/>
        </w:trPr>
        <w:tc>
          <w:tcPr>
            <w:tcW w:w="5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9298C0">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32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98E708A">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绩效分配方式</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3B1D4">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default" w:ascii="仿宋_GB2312" w:hAnsi="仿宋_GB2312" w:eastAsia="仿宋_GB2312" w:cs="仿宋_GB2312"/>
                <w:b w:val="0"/>
                <w:bCs w:val="0"/>
                <w:color w:val="auto"/>
                <w:sz w:val="24"/>
                <w:szCs w:val="24"/>
                <w:highlight w:val="none"/>
                <w:u w:val="none"/>
                <w:vertAlign w:val="baseline"/>
                <w:lang w:val="en-US" w:eastAsia="zh-CN"/>
              </w:rPr>
              <w:sym w:font="Wingdings 2" w:char="00A3"/>
            </w:r>
            <w:r>
              <w:rPr>
                <w:rFonts w:hint="eastAsia" w:ascii="仿宋_GB2312" w:hAnsi="仿宋_GB2312" w:eastAsia="仿宋_GB2312" w:cs="仿宋_GB2312"/>
                <w:b w:val="0"/>
                <w:bCs w:val="0"/>
                <w:color w:val="auto"/>
                <w:sz w:val="24"/>
                <w:szCs w:val="24"/>
                <w:highlight w:val="none"/>
                <w:u w:val="none"/>
                <w:vertAlign w:val="baseline"/>
                <w:lang w:val="en-US" w:eastAsia="zh-CN"/>
              </w:rPr>
              <w:t>因素法</w:t>
            </w:r>
          </w:p>
        </w:tc>
        <w:tc>
          <w:tcPr>
            <w:tcW w:w="179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726F35">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default" w:ascii="仿宋_GB2312" w:hAnsi="仿宋_GB2312" w:eastAsia="仿宋_GB2312" w:cs="仿宋_GB2312"/>
                <w:b w:val="0"/>
                <w:bCs w:val="0"/>
                <w:color w:val="auto"/>
                <w:sz w:val="24"/>
                <w:szCs w:val="24"/>
                <w:highlight w:val="none"/>
                <w:u w:val="none"/>
                <w:vertAlign w:val="baseline"/>
                <w:lang w:val="en-US" w:eastAsia="zh-CN"/>
              </w:rPr>
              <w:sym w:font="Wingdings 2" w:char="0052"/>
            </w:r>
            <w:r>
              <w:rPr>
                <w:rFonts w:hint="default" w:ascii="仿宋_GB2312" w:hAnsi="仿宋_GB2312" w:eastAsia="仿宋_GB2312" w:cs="仿宋_GB2312"/>
                <w:b w:val="0"/>
                <w:bCs w:val="0"/>
                <w:color w:val="auto"/>
                <w:sz w:val="24"/>
                <w:szCs w:val="24"/>
                <w:highlight w:val="none"/>
                <w:u w:val="none"/>
                <w:vertAlign w:val="baseline"/>
                <w:lang w:val="en-US" w:eastAsia="zh-CN"/>
              </w:rPr>
              <w:t>项目法</w:t>
            </w: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76085">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default" w:ascii="仿宋_GB2312" w:hAnsi="仿宋_GB2312" w:eastAsia="仿宋_GB2312" w:cs="仿宋_GB2312"/>
                <w:b w:val="0"/>
                <w:bCs w:val="0"/>
                <w:color w:val="auto"/>
                <w:sz w:val="24"/>
                <w:szCs w:val="24"/>
                <w:highlight w:val="none"/>
                <w:u w:val="none"/>
                <w:vertAlign w:val="baseline"/>
                <w:lang w:val="en-US" w:eastAsia="zh-CN"/>
              </w:rPr>
              <w:sym w:font="Wingdings 2" w:char="00A3"/>
            </w:r>
            <w:r>
              <w:rPr>
                <w:rFonts w:hint="eastAsia" w:ascii="仿宋_GB2312" w:hAnsi="仿宋_GB2312" w:eastAsia="仿宋_GB2312" w:cs="仿宋_GB2312"/>
                <w:b w:val="0"/>
                <w:bCs w:val="0"/>
                <w:color w:val="auto"/>
                <w:sz w:val="24"/>
                <w:szCs w:val="24"/>
                <w:highlight w:val="none"/>
                <w:u w:val="none"/>
                <w:vertAlign w:val="baseline"/>
                <w:lang w:val="en-US" w:eastAsia="zh-CN"/>
              </w:rPr>
              <w:t>据实据效</w:t>
            </w:r>
          </w:p>
        </w:tc>
        <w:tc>
          <w:tcPr>
            <w:tcW w:w="1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2ABC4">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default" w:ascii="仿宋_GB2312" w:hAnsi="仿宋_GB2312" w:eastAsia="仿宋_GB2312" w:cs="仿宋_GB2312"/>
                <w:b w:val="0"/>
                <w:bCs w:val="0"/>
                <w:color w:val="auto"/>
                <w:sz w:val="24"/>
                <w:szCs w:val="24"/>
                <w:highlight w:val="none"/>
                <w:u w:val="none"/>
                <w:vertAlign w:val="baseline"/>
                <w:lang w:val="en-US" w:eastAsia="zh-CN"/>
              </w:rPr>
              <w:t>£</w:t>
            </w:r>
            <w:r>
              <w:rPr>
                <w:rFonts w:hint="eastAsia" w:ascii="仿宋_GB2312" w:hAnsi="仿宋_GB2312" w:eastAsia="仿宋_GB2312" w:cs="仿宋_GB2312"/>
                <w:b w:val="0"/>
                <w:bCs w:val="0"/>
                <w:color w:val="auto"/>
                <w:sz w:val="24"/>
                <w:szCs w:val="24"/>
                <w:highlight w:val="none"/>
                <w:u w:val="none"/>
                <w:vertAlign w:val="baseline"/>
                <w:lang w:val="en-US" w:eastAsia="zh-CN"/>
              </w:rPr>
              <w:t>因素法与项目法相结合</w:t>
            </w:r>
          </w:p>
        </w:tc>
      </w:tr>
      <w:tr w14:paraId="4126A3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365" w:hRule="atLeast"/>
          <w:jc w:val="center"/>
        </w:trPr>
        <w:tc>
          <w:tcPr>
            <w:tcW w:w="5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97FA0C">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32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063615A">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立项依据</w:t>
            </w:r>
          </w:p>
        </w:tc>
        <w:tc>
          <w:tcPr>
            <w:tcW w:w="524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BB4BB8D">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为深入贯彻习近平生态文明思想，科学推进山水林田湖草沙一体化保护和修复，根据四川省自然资源厅国土空间生态修复处《关于收集山水林田湖草沙一体化保护和修复工程项目素材的通知》（厅修复函[2023]30号）。</w:t>
            </w:r>
          </w:p>
        </w:tc>
      </w:tr>
      <w:tr w14:paraId="5F9BED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64" w:hRule="atLeast"/>
          <w:jc w:val="center"/>
        </w:trPr>
        <w:tc>
          <w:tcPr>
            <w:tcW w:w="5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B6C9EF">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32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BAEF80C">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使用范围</w:t>
            </w:r>
          </w:p>
        </w:tc>
        <w:tc>
          <w:tcPr>
            <w:tcW w:w="524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EB0287C">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委托业务费</w:t>
            </w:r>
          </w:p>
        </w:tc>
      </w:tr>
      <w:tr w14:paraId="50F30B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64" w:hRule="atLeast"/>
          <w:jc w:val="center"/>
        </w:trPr>
        <w:tc>
          <w:tcPr>
            <w:tcW w:w="5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07B257">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32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FFB9CAF">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申报（补助）条件</w:t>
            </w:r>
          </w:p>
        </w:tc>
        <w:tc>
          <w:tcPr>
            <w:tcW w:w="524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9171572">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r>
      <w:tr w14:paraId="5D715F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64" w:hRule="atLeast"/>
          <w:jc w:val="center"/>
        </w:trPr>
        <w:tc>
          <w:tcPr>
            <w:tcW w:w="5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300A67">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32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6FCB477">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项目起止年限</w:t>
            </w:r>
          </w:p>
        </w:tc>
        <w:tc>
          <w:tcPr>
            <w:tcW w:w="524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C020290">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2023-2023</w:t>
            </w:r>
          </w:p>
        </w:tc>
      </w:tr>
      <w:tr w14:paraId="45DF1B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64" w:hRule="atLeast"/>
          <w:jc w:val="center"/>
        </w:trPr>
        <w:tc>
          <w:tcPr>
            <w:tcW w:w="1531"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FD7DD9">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项目资金</w:t>
            </w:r>
          </w:p>
          <w:p w14:paraId="2399467D">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（万元）</w:t>
            </w:r>
          </w:p>
        </w:tc>
        <w:tc>
          <w:tcPr>
            <w:tcW w:w="226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84920A">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 xml:space="preserve">  年度资金总额：</w:t>
            </w:r>
          </w:p>
        </w:tc>
        <w:tc>
          <w:tcPr>
            <w:tcW w:w="524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AA1AD97">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default" w:ascii="仿宋_GB2312" w:hAnsi="仿宋_GB2312" w:eastAsia="仿宋_GB2312" w:cs="仿宋_GB2312"/>
                <w:b w:val="0"/>
                <w:bCs w:val="0"/>
                <w:color w:val="auto"/>
                <w:sz w:val="24"/>
                <w:szCs w:val="24"/>
                <w:highlight w:val="none"/>
                <w:u w:val="none"/>
                <w:vertAlign w:val="baseline"/>
                <w:lang w:val="en-US" w:eastAsia="zh-CN"/>
              </w:rPr>
              <w:t>27.7</w:t>
            </w:r>
          </w:p>
        </w:tc>
      </w:tr>
      <w:tr w14:paraId="09DCD8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64" w:hRule="atLeast"/>
          <w:jc w:val="center"/>
        </w:trPr>
        <w:tc>
          <w:tcPr>
            <w:tcW w:w="153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61415E">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226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2E6B0F">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 xml:space="preserve">      其中：财政拨款</w:t>
            </w:r>
          </w:p>
        </w:tc>
        <w:tc>
          <w:tcPr>
            <w:tcW w:w="524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BBD7168">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27.7</w:t>
            </w:r>
          </w:p>
        </w:tc>
      </w:tr>
      <w:tr w14:paraId="235E78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93" w:hRule="atLeast"/>
          <w:jc w:val="center"/>
        </w:trPr>
        <w:tc>
          <w:tcPr>
            <w:tcW w:w="153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D7491F">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226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29DD4A">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 xml:space="preserve">            其他资金</w:t>
            </w:r>
          </w:p>
        </w:tc>
        <w:tc>
          <w:tcPr>
            <w:tcW w:w="524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0B3C5DA">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r>
      <w:tr w14:paraId="163139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64" w:hRule="atLeast"/>
          <w:jc w:val="center"/>
        </w:trPr>
        <w:tc>
          <w:tcPr>
            <w:tcW w:w="5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D7A3FE">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总体 目标</w:t>
            </w:r>
          </w:p>
        </w:tc>
        <w:tc>
          <w:tcPr>
            <w:tcW w:w="8464"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6AA0BED">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年度目标</w:t>
            </w:r>
          </w:p>
        </w:tc>
      </w:tr>
      <w:tr w14:paraId="3AEFDE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12" w:hRule="atLeast"/>
          <w:jc w:val="center"/>
        </w:trPr>
        <w:tc>
          <w:tcPr>
            <w:tcW w:w="5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C5884B">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8464"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9D1F770">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依据相关领域编制技术规范，编制完成《广元市嘉陵江上游山水林田湖草一体化保护和修复工程项目实施方案》。</w:t>
            </w:r>
          </w:p>
        </w:tc>
      </w:tr>
      <w:tr w14:paraId="4FBA3D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45" w:hRule="atLeast"/>
          <w:jc w:val="center"/>
        </w:trPr>
        <w:tc>
          <w:tcPr>
            <w:tcW w:w="575" w:type="dxa"/>
            <w:vMerge w:val="restart"/>
            <w:tcBorders>
              <w:top w:val="single" w:color="000000" w:sz="4" w:space="0"/>
              <w:left w:val="single" w:color="000000" w:sz="4" w:space="0"/>
              <w:bottom w:val="single" w:color="000000" w:sz="4" w:space="0"/>
            </w:tcBorders>
            <w:shd w:val="clear" w:color="auto" w:fill="auto"/>
            <w:vAlign w:val="center"/>
          </w:tcPr>
          <w:p w14:paraId="5AE9C16E">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绩效 指标</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F8D74">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一级指标</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87F57">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二级指标</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A3383">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三级指标</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D07E0">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指标性质</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92A9F">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指标值</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69C82">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度量单位</w:t>
            </w: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09F29">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权重</w:t>
            </w:r>
          </w:p>
        </w:tc>
        <w:tc>
          <w:tcPr>
            <w:tcW w:w="1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3B781">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实际完成指标值</w:t>
            </w:r>
          </w:p>
        </w:tc>
      </w:tr>
      <w:tr w14:paraId="6C7FAA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108" w:hRule="atLeast"/>
          <w:jc w:val="center"/>
        </w:trPr>
        <w:tc>
          <w:tcPr>
            <w:tcW w:w="575" w:type="dxa"/>
            <w:vMerge w:val="continue"/>
            <w:tcBorders>
              <w:top w:val="single" w:color="000000" w:sz="4" w:space="0"/>
              <w:left w:val="single" w:color="000000" w:sz="4" w:space="0"/>
              <w:bottom w:val="single" w:color="000000" w:sz="4" w:space="0"/>
            </w:tcBorders>
            <w:shd w:val="clear" w:color="auto" w:fill="auto"/>
            <w:vAlign w:val="center"/>
          </w:tcPr>
          <w:p w14:paraId="3D137868">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AB7D1">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产出指标</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5E38A">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数量指标</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3B992">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保护和修复工程项目子项目资料</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0CD5D">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EBEF5">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CF76A">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套</w:t>
            </w: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E2915">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10</w:t>
            </w:r>
          </w:p>
        </w:tc>
        <w:tc>
          <w:tcPr>
            <w:tcW w:w="1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36BC9">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15</w:t>
            </w:r>
          </w:p>
        </w:tc>
      </w:tr>
      <w:tr w14:paraId="0B8038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108" w:hRule="atLeast"/>
          <w:jc w:val="center"/>
        </w:trPr>
        <w:tc>
          <w:tcPr>
            <w:tcW w:w="575" w:type="dxa"/>
            <w:vMerge w:val="continue"/>
            <w:tcBorders>
              <w:top w:val="single" w:color="000000" w:sz="4" w:space="0"/>
              <w:left w:val="single" w:color="000000" w:sz="4" w:space="0"/>
              <w:bottom w:val="single" w:color="000000" w:sz="4" w:space="0"/>
            </w:tcBorders>
            <w:shd w:val="clear" w:color="auto" w:fill="auto"/>
            <w:vAlign w:val="center"/>
          </w:tcPr>
          <w:p w14:paraId="7463E806">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75F3E">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6A24B">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数量指标</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6CD73">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保护和修复工程项目实施方案</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0D023">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5426A">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3</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10D8C">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份</w:t>
            </w: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2AE8A">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20</w:t>
            </w:r>
          </w:p>
        </w:tc>
        <w:tc>
          <w:tcPr>
            <w:tcW w:w="1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1197A">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3</w:t>
            </w:r>
          </w:p>
        </w:tc>
      </w:tr>
      <w:tr w14:paraId="561CBA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12" w:hRule="atLeast"/>
          <w:jc w:val="center"/>
        </w:trPr>
        <w:tc>
          <w:tcPr>
            <w:tcW w:w="575" w:type="dxa"/>
            <w:vMerge w:val="continue"/>
            <w:tcBorders>
              <w:top w:val="single" w:color="000000" w:sz="4" w:space="0"/>
              <w:left w:val="single" w:color="000000" w:sz="4" w:space="0"/>
              <w:bottom w:val="single" w:color="000000" w:sz="4" w:space="0"/>
            </w:tcBorders>
            <w:shd w:val="clear" w:color="auto" w:fill="auto"/>
            <w:vAlign w:val="center"/>
          </w:tcPr>
          <w:p w14:paraId="264A8778">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F15DD">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30415">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质量指标</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9EE78">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市、省级核查完成率</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2AA02">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BD3E2">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98</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E8C85">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w:t>
            </w: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690A3">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10</w:t>
            </w:r>
          </w:p>
        </w:tc>
        <w:tc>
          <w:tcPr>
            <w:tcW w:w="1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E6469">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100</w:t>
            </w:r>
          </w:p>
        </w:tc>
      </w:tr>
      <w:tr w14:paraId="5E3082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64" w:hRule="atLeast"/>
          <w:jc w:val="center"/>
        </w:trPr>
        <w:tc>
          <w:tcPr>
            <w:tcW w:w="575" w:type="dxa"/>
            <w:vMerge w:val="continue"/>
            <w:tcBorders>
              <w:top w:val="single" w:color="000000" w:sz="4" w:space="0"/>
              <w:left w:val="single" w:color="000000" w:sz="4" w:space="0"/>
              <w:bottom w:val="single" w:color="000000" w:sz="4" w:space="0"/>
            </w:tcBorders>
            <w:shd w:val="clear" w:color="auto" w:fill="auto"/>
            <w:vAlign w:val="center"/>
          </w:tcPr>
          <w:p w14:paraId="383340AD">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83F15">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8C14D">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时效指标</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B3EA0">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完成时间</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0B1A7">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EFCE8">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7601D">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年</w:t>
            </w: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BC61C">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10</w:t>
            </w:r>
          </w:p>
        </w:tc>
        <w:tc>
          <w:tcPr>
            <w:tcW w:w="1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DEC3A">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1</w:t>
            </w:r>
          </w:p>
        </w:tc>
      </w:tr>
      <w:tr w14:paraId="0E8D55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137" w:hRule="atLeast"/>
          <w:jc w:val="center"/>
        </w:trPr>
        <w:tc>
          <w:tcPr>
            <w:tcW w:w="575" w:type="dxa"/>
            <w:vMerge w:val="continue"/>
            <w:tcBorders>
              <w:top w:val="single" w:color="000000" w:sz="4" w:space="0"/>
              <w:left w:val="single" w:color="000000" w:sz="4" w:space="0"/>
              <w:bottom w:val="single" w:color="000000" w:sz="4" w:space="0"/>
            </w:tcBorders>
            <w:shd w:val="clear" w:color="auto" w:fill="auto"/>
            <w:vAlign w:val="center"/>
          </w:tcPr>
          <w:p w14:paraId="20B0AEA5">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81529">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效益指标</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5ACDF">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社会效益</w:t>
            </w:r>
          </w:p>
          <w:p w14:paraId="35A0A1A8">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指标</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3DF58">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项目区生态环境综合质量将得到系统提升，切实保障区域生态安全。</w:t>
            </w:r>
          </w:p>
          <w:p w14:paraId="3957FAC4">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E4B8B">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定性</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00E54">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良好</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C9CA2">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级</w:t>
            </w: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20BED">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20</w:t>
            </w:r>
          </w:p>
        </w:tc>
        <w:tc>
          <w:tcPr>
            <w:tcW w:w="1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04578">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良好</w:t>
            </w:r>
          </w:p>
        </w:tc>
      </w:tr>
      <w:tr w14:paraId="334A28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93" w:hRule="atLeast"/>
          <w:jc w:val="center"/>
        </w:trPr>
        <w:tc>
          <w:tcPr>
            <w:tcW w:w="575" w:type="dxa"/>
            <w:tcBorders>
              <w:top w:val="single" w:color="000000" w:sz="4" w:space="0"/>
              <w:left w:val="single" w:color="000000" w:sz="4" w:space="0"/>
              <w:bottom w:val="single" w:color="000000" w:sz="4" w:space="0"/>
            </w:tcBorders>
            <w:shd w:val="clear" w:color="auto" w:fill="auto"/>
            <w:vAlign w:val="center"/>
          </w:tcPr>
          <w:p w14:paraId="471CB00B">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4094C">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满意度指标</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2158F">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满意度指标</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0CDDD">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群众满意度</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FEE56">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F8169">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95</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4E12D">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w:t>
            </w: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AA5F6">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10</w:t>
            </w:r>
          </w:p>
        </w:tc>
        <w:tc>
          <w:tcPr>
            <w:tcW w:w="1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5EFE9">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95</w:t>
            </w:r>
          </w:p>
        </w:tc>
      </w:tr>
      <w:tr w14:paraId="4AF51C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41" w:hRule="atLeast"/>
          <w:jc w:val="center"/>
        </w:trPr>
        <w:tc>
          <w:tcPr>
            <w:tcW w:w="575" w:type="dxa"/>
            <w:tcBorders>
              <w:top w:val="single" w:color="000000" w:sz="4" w:space="0"/>
              <w:left w:val="single" w:color="000000" w:sz="4" w:space="0"/>
              <w:bottom w:val="single" w:color="000000" w:sz="4" w:space="0"/>
            </w:tcBorders>
            <w:shd w:val="clear" w:color="auto" w:fill="auto"/>
            <w:vAlign w:val="center"/>
          </w:tcPr>
          <w:p w14:paraId="467EAD0D">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5C0C8">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成本指标</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3A634">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经济成本指标</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372D1">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委托业务费</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2E70A">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6A086">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27.7</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C4C37">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万元</w:t>
            </w: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8DD90">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20</w:t>
            </w:r>
          </w:p>
        </w:tc>
        <w:tc>
          <w:tcPr>
            <w:tcW w:w="1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1BF3A">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13.725</w:t>
            </w:r>
          </w:p>
        </w:tc>
      </w:tr>
    </w:tbl>
    <w:p w14:paraId="76CE804D">
      <w:pPr>
        <w:pStyle w:val="16"/>
        <w:keepNext w:val="0"/>
        <w:keepLines w:val="0"/>
        <w:pageBreakBefore w:val="0"/>
        <w:kinsoku/>
        <w:wordWrap/>
        <w:overflowPunct/>
        <w:topLinePunct w:val="0"/>
        <w:autoSpaceDE/>
        <w:autoSpaceDN/>
        <w:bidi w:val="0"/>
        <w:spacing w:after="0" w:line="578" w:lineRule="exact"/>
        <w:ind w:left="0" w:leftChars="0"/>
        <w:rPr>
          <w:rFonts w:hint="default" w:ascii="黑体" w:hAnsi="黑体" w:eastAsia="黑体" w:cs="黑体"/>
          <w:sz w:val="24"/>
          <w:szCs w:val="24"/>
          <w:highlight w:val="none"/>
          <w:lang w:val="en-US" w:eastAsia="zh-CN"/>
        </w:rPr>
      </w:pPr>
    </w:p>
    <w:p w14:paraId="0E600C9B">
      <w:pPr>
        <w:rPr>
          <w:rFonts w:hint="default" w:ascii="黑体" w:hAnsi="黑体" w:eastAsia="黑体" w:cs="黑体"/>
          <w:sz w:val="24"/>
          <w:szCs w:val="24"/>
          <w:highlight w:val="none"/>
          <w:lang w:val="en-US" w:eastAsia="zh-CN"/>
        </w:rPr>
      </w:pPr>
      <w:r>
        <w:rPr>
          <w:rFonts w:hint="default" w:ascii="黑体" w:hAnsi="黑体" w:eastAsia="黑体" w:cs="黑体"/>
          <w:sz w:val="24"/>
          <w:szCs w:val="24"/>
          <w:highlight w:val="none"/>
          <w:lang w:val="en-US" w:eastAsia="zh-CN"/>
        </w:rPr>
        <w:br w:type="page"/>
      </w:r>
    </w:p>
    <w:p w14:paraId="01E7724C">
      <w:pPr>
        <w:pStyle w:val="37"/>
        <w:keepNext w:val="0"/>
        <w:keepLines w:val="0"/>
        <w:pageBreakBefore w:val="0"/>
        <w:widowControl w:val="0"/>
        <w:kinsoku/>
        <w:wordWrap/>
        <w:overflowPunct/>
        <w:topLinePunct w:val="0"/>
        <w:autoSpaceDE/>
        <w:autoSpaceDN/>
        <w:bidi w:val="0"/>
        <w:spacing w:line="578" w:lineRule="exact"/>
        <w:ind w:left="0" w:leftChars="0"/>
        <w:jc w:val="center"/>
        <w:textAlignment w:val="auto"/>
        <w:rPr>
          <w:rFonts w:hint="default" w:ascii="方正小标宋简体" w:hAnsi="方正小标宋简体" w:eastAsia="方正小标宋简体" w:cs="方正小标宋简体"/>
          <w:color w:val="auto"/>
          <w:kern w:val="2"/>
          <w:sz w:val="44"/>
          <w:szCs w:val="44"/>
          <w:highlight w:val="none"/>
          <w:lang w:val="en-US" w:eastAsia="zh-CN"/>
        </w:rPr>
      </w:pPr>
      <w:r>
        <w:rPr>
          <w:rFonts w:hint="eastAsia" w:ascii="方正小标宋简体" w:hAnsi="方正小标宋简体" w:eastAsia="方正小标宋简体" w:cs="方正小标宋简体"/>
          <w:color w:val="auto"/>
          <w:kern w:val="2"/>
          <w:sz w:val="44"/>
          <w:szCs w:val="44"/>
          <w:highlight w:val="none"/>
          <w:lang w:val="en-US" w:eastAsia="zh-CN"/>
        </w:rPr>
        <w:t>广元市自然资源局</w:t>
      </w:r>
    </w:p>
    <w:p w14:paraId="09B967FA">
      <w:pPr>
        <w:pStyle w:val="37"/>
        <w:keepNext w:val="0"/>
        <w:keepLines w:val="0"/>
        <w:pageBreakBefore w:val="0"/>
        <w:widowControl w:val="0"/>
        <w:kinsoku/>
        <w:wordWrap/>
        <w:overflowPunct/>
        <w:topLinePunct w:val="0"/>
        <w:autoSpaceDE/>
        <w:autoSpaceDN/>
        <w:bidi w:val="0"/>
        <w:spacing w:line="578" w:lineRule="exact"/>
        <w:ind w:left="0" w:leftChars="0"/>
        <w:jc w:val="center"/>
        <w:textAlignment w:val="auto"/>
        <w:rPr>
          <w:rFonts w:hint="eastAsia" w:ascii="方正小标宋简体" w:hAnsi="方正小标宋简体" w:eastAsia="方正小标宋简体" w:cs="方正小标宋简体"/>
          <w:color w:val="auto"/>
          <w:kern w:val="2"/>
          <w:sz w:val="44"/>
          <w:szCs w:val="44"/>
          <w:highlight w:val="none"/>
          <w:lang w:val="en-US" w:eastAsia="zh-CN"/>
        </w:rPr>
      </w:pPr>
      <w:r>
        <w:rPr>
          <w:rFonts w:hint="eastAsia" w:ascii="方正小标宋简体" w:hAnsi="方正小标宋简体" w:eastAsia="方正小标宋简体" w:cs="方正小标宋简体"/>
          <w:color w:val="auto"/>
          <w:kern w:val="2"/>
          <w:sz w:val="44"/>
          <w:szCs w:val="44"/>
          <w:highlight w:val="none"/>
          <w:lang w:val="en-US" w:eastAsia="zh-CN"/>
        </w:rPr>
        <w:t>关于广元市国土空间总体规划编制服务费专项预算项目绩效评价报告</w:t>
      </w:r>
    </w:p>
    <w:p w14:paraId="50D0CBAF">
      <w:pPr>
        <w:pStyle w:val="37"/>
        <w:keepNext w:val="0"/>
        <w:keepLines w:val="0"/>
        <w:pageBreakBefore w:val="0"/>
        <w:widowControl w:val="0"/>
        <w:kinsoku/>
        <w:wordWrap/>
        <w:overflowPunct/>
        <w:topLinePunct w:val="0"/>
        <w:autoSpaceDE/>
        <w:autoSpaceDN/>
        <w:bidi w:val="0"/>
        <w:spacing w:line="578" w:lineRule="exact"/>
        <w:ind w:left="0" w:leftChars="0" w:firstLine="640"/>
        <w:jc w:val="center"/>
        <w:textAlignment w:val="auto"/>
        <w:rPr>
          <w:rFonts w:ascii="宋体" w:hAnsi="宋体"/>
          <w:color w:val="auto"/>
          <w:kern w:val="2"/>
          <w:sz w:val="32"/>
          <w:szCs w:val="32"/>
          <w:highlight w:val="none"/>
        </w:rPr>
      </w:pPr>
    </w:p>
    <w:p w14:paraId="6BAC75F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黑体" w:hAnsi="宋体" w:eastAsia="黑体" w:cs="Times New Roman"/>
          <w:sz w:val="32"/>
          <w:szCs w:val="32"/>
          <w:highlight w:val="none"/>
          <w:lang w:val="zh-CN" w:eastAsia="zh-CN"/>
        </w:rPr>
      </w:pPr>
      <w:r>
        <w:rPr>
          <w:rFonts w:hint="eastAsia" w:ascii="黑体" w:hAnsi="宋体" w:eastAsia="黑体" w:cs="Times New Roman"/>
          <w:sz w:val="32"/>
          <w:szCs w:val="32"/>
          <w:highlight w:val="none"/>
          <w:lang w:val="zh-CN" w:eastAsia="zh-CN"/>
        </w:rPr>
        <w:t>一、项目概况</w:t>
      </w:r>
    </w:p>
    <w:p w14:paraId="4A201781">
      <w:pPr>
        <w:numPr>
          <w:ilvl w:val="0"/>
          <w:numId w:val="0"/>
        </w:numPr>
        <w:spacing w:line="580" w:lineRule="exact"/>
        <w:ind w:firstLine="643" w:firstLineChars="200"/>
        <w:rPr>
          <w:rFonts w:hint="eastAsia"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（一）设立背景及基本情况。</w:t>
      </w:r>
    </w:p>
    <w:p w14:paraId="12221CE7">
      <w:pPr>
        <w:keepNext w:val="0"/>
        <w:keepLines w:val="0"/>
        <w:pageBreakBefore w:val="0"/>
        <w:widowControl w:val="0"/>
        <w:kinsoku/>
        <w:wordWrap/>
        <w:overflowPunct/>
        <w:topLinePunct w:val="0"/>
        <w:autoSpaceDE/>
        <w:autoSpaceDN/>
        <w:bidi w:val="0"/>
        <w:adjustRightInd/>
        <w:snapToGrid/>
        <w:spacing w:line="576" w:lineRule="exact"/>
        <w:ind w:left="0" w:firstLine="640" w:firstLineChars="200"/>
        <w:jc w:val="both"/>
        <w:textAlignment w:val="auto"/>
        <w:rPr>
          <w:rFonts w:hint="eastAsia" w:ascii="仿宋_GB2312" w:hAnsi="宋体" w:eastAsia="仿宋_GB2312" w:cs="Times New Roman"/>
          <w:sz w:val="32"/>
          <w:szCs w:val="32"/>
        </w:rPr>
      </w:pPr>
      <w:r>
        <w:rPr>
          <w:rFonts w:hint="eastAsia" w:ascii="仿宋_GB2312" w:hAnsi="宋体" w:eastAsia="仿宋_GB2312"/>
          <w:sz w:val="32"/>
          <w:szCs w:val="32"/>
        </w:rPr>
        <w:t>按照《中共中央国务院关于建立国土空间规划体系并监督实施若干意见》（中发【2019】18号）要求，编制广元市国土空间总体规划。2019年5月，我市启动广元市国土空间总体规划编制工作，内容包括市域国土空间总体规划、中心城区国土空间总体规划和专题研究报告。该规划编制的主要内容：1.市域国土空间总体规划：确立区域和城乡统筹发展目标和策略，构建市域国土空间格局，确定主导功能分区，划定三线方案，确定各类自然资源保护利用、国土空间生态修复以及土地整治要求，构建自然资源人文魅力景观体系，提出市域城镇化发展目标策略以及近期和远景规划布局、工作指引及管控措施。2.中心城市国土空间规划：细化主导功能分区和三线划定，布局城市建设，提出城乡公共服务和基础设施配套策略、标准、和重大设施布局，确定生态修复、土地整治、建设用地存量利用的目标、策略和重大项目，确定城乡风貌总体定位，保护历史文化资源和自然景观要素，构建蓝绿空间网络和休闲游憩体系，塑造城乡魅力景观格局。该项目总预算1200万元，采购中标金额1200万元，分四期支付，本</w:t>
      </w:r>
      <w:r>
        <w:rPr>
          <w:rFonts w:hint="eastAsia" w:ascii="仿宋_GB2312" w:hAnsi="宋体" w:eastAsia="仿宋_GB2312" w:cs="Times New Roman"/>
          <w:sz w:val="32"/>
          <w:szCs w:val="32"/>
        </w:rPr>
        <w:t>次是第四期支付。市财政于2023年10月26日下达基金指标220万元（广财投[2023]106号），同年10月20日我局支付220万元。</w:t>
      </w:r>
    </w:p>
    <w:p w14:paraId="3EB7D81E">
      <w:pPr>
        <w:keepNext w:val="0"/>
        <w:keepLines w:val="0"/>
        <w:pageBreakBefore w:val="0"/>
        <w:widowControl w:val="0"/>
        <w:kinsoku/>
        <w:wordWrap/>
        <w:overflowPunct/>
        <w:topLinePunct w:val="0"/>
        <w:autoSpaceDE/>
        <w:autoSpaceDN/>
        <w:bidi w:val="0"/>
        <w:adjustRightInd/>
        <w:snapToGrid/>
        <w:spacing w:line="576" w:lineRule="exact"/>
        <w:ind w:left="0" w:firstLine="643" w:firstLineChars="200"/>
        <w:jc w:val="both"/>
        <w:textAlignment w:val="auto"/>
        <w:rPr>
          <w:rFonts w:hint="eastAsia" w:ascii="仿宋_GB2312" w:hAnsi="宋体" w:eastAsia="仿宋_GB2312" w:cs="Times New Roman"/>
          <w:sz w:val="32"/>
          <w:szCs w:val="32"/>
          <w:lang w:val="en-US" w:eastAsia="zh-CN"/>
        </w:rPr>
      </w:pPr>
      <w:r>
        <w:rPr>
          <w:rFonts w:hint="eastAsia" w:ascii="楷体_GB2312" w:hAnsi="宋体" w:eastAsia="楷体_GB2312" w:cs="Times New Roman"/>
          <w:b/>
          <w:color w:val="auto"/>
          <w:sz w:val="32"/>
          <w:szCs w:val="32"/>
          <w:highlight w:val="none"/>
          <w:u w:val="none"/>
          <w:lang w:val="en-US" w:eastAsia="zh-CN"/>
        </w:rPr>
        <w:t>（二）</w:t>
      </w:r>
      <w:r>
        <w:rPr>
          <w:rFonts w:hint="default" w:ascii="楷体_GB2312" w:hAnsi="宋体" w:eastAsia="楷体_GB2312" w:cs="Times New Roman"/>
          <w:b/>
          <w:color w:val="auto"/>
          <w:sz w:val="32"/>
          <w:szCs w:val="32"/>
          <w:highlight w:val="none"/>
          <w:u w:val="none"/>
          <w:lang w:val="en-US" w:eastAsia="zh-CN"/>
        </w:rPr>
        <w:t>实施目的及支持方向</w:t>
      </w:r>
      <w:r>
        <w:rPr>
          <w:rFonts w:hint="eastAsia" w:ascii="楷体_GB2312" w:hAnsi="宋体" w:eastAsia="楷体_GB2312" w:cs="Times New Roman"/>
          <w:b/>
          <w:color w:val="auto"/>
          <w:sz w:val="32"/>
          <w:szCs w:val="32"/>
          <w:highlight w:val="none"/>
          <w:u w:val="none"/>
          <w:lang w:val="en-US" w:eastAsia="zh-CN"/>
        </w:rPr>
        <w:t>。</w:t>
      </w:r>
      <w:r>
        <w:rPr>
          <w:rFonts w:hint="eastAsia" w:ascii="仿宋_GB2312" w:hAnsi="宋体" w:eastAsia="仿宋_GB2312" w:cs="Times New Roman"/>
          <w:sz w:val="32"/>
          <w:szCs w:val="32"/>
          <w:lang w:val="en-US" w:eastAsia="zh-CN"/>
        </w:rPr>
        <w:t>我局制度了《财务管理制度》、《专项资金管理制度》、《三重一大制度》《政府采购内控管理制度》等相关制度。我局</w:t>
      </w:r>
      <w:r>
        <w:rPr>
          <w:rFonts w:hint="default" w:ascii="仿宋_GB2312" w:hAnsi="宋体" w:eastAsia="仿宋_GB2312" w:cs="Times New Roman"/>
          <w:sz w:val="32"/>
          <w:szCs w:val="32"/>
        </w:rPr>
        <w:t>严格按照项目管理有关规定管理专项经费，为保障项目资金安全，确保资金专款专用， 从资金申请、资金使用、会计核算三个环节加强资金管理，在项目资金申请环节，严格按照国库集中支付流程申请财政资金；在资金使用环节，严格遵守相关法律法规规定，严格按照单位财务管理审批流程办理款项支付；在会计核算环节，对本项目资金实行单独核算，确保专款专用</w:t>
      </w:r>
      <w:r>
        <w:rPr>
          <w:rFonts w:hint="eastAsia" w:ascii="仿宋_GB2312" w:hAnsi="宋体" w:eastAsia="仿宋_GB2312" w:cs="Times New Roman"/>
          <w:sz w:val="32"/>
          <w:szCs w:val="32"/>
          <w:lang w:eastAsia="zh-CN"/>
        </w:rPr>
        <w:t>。</w:t>
      </w:r>
      <w:r>
        <w:rPr>
          <w:rFonts w:hint="eastAsia" w:ascii="仿宋_GB2312" w:hAnsi="宋体" w:eastAsia="仿宋_GB2312" w:cs="Times New Roman"/>
          <w:sz w:val="32"/>
          <w:szCs w:val="32"/>
          <w:lang w:val="en-US" w:eastAsia="zh-CN"/>
        </w:rPr>
        <w:t>按照合同约定支付第四期国土空间总体规划编制服务费220万元。</w:t>
      </w:r>
    </w:p>
    <w:p w14:paraId="4A06C464">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3" w:firstLineChars="200"/>
        <w:contextualSpacing/>
        <w:jc w:val="both"/>
        <w:textAlignment w:val="auto"/>
        <w:rPr>
          <w:rFonts w:hint="eastAsia" w:ascii="楷体_GB2312" w:hAnsi="宋体" w:eastAsia="楷体_GB2312" w:cs="Times New Roman"/>
          <w:b/>
          <w:color w:val="auto"/>
          <w:sz w:val="32"/>
          <w:szCs w:val="32"/>
          <w:highlight w:val="none"/>
          <w:u w:val="none"/>
          <w:lang w:val="zh-CN" w:eastAsia="zh-CN"/>
        </w:rPr>
      </w:pPr>
      <w:r>
        <w:rPr>
          <w:rFonts w:hint="eastAsia" w:ascii="楷体_GB2312" w:hAnsi="宋体" w:eastAsia="楷体_GB2312" w:cs="Times New Roman"/>
          <w:b/>
          <w:color w:val="auto"/>
          <w:sz w:val="32"/>
          <w:szCs w:val="32"/>
          <w:highlight w:val="none"/>
          <w:u w:val="none"/>
          <w:lang w:val="zh-CN" w:eastAsia="zh-CN"/>
        </w:rPr>
        <w:t>（三）</w:t>
      </w:r>
      <w:r>
        <w:rPr>
          <w:rFonts w:hint="default" w:ascii="楷体_GB2312" w:hAnsi="宋体" w:eastAsia="楷体_GB2312" w:cs="Times New Roman"/>
          <w:b/>
          <w:color w:val="auto"/>
          <w:sz w:val="32"/>
          <w:szCs w:val="32"/>
          <w:highlight w:val="none"/>
          <w:u w:val="none"/>
          <w:lang w:val="en-US" w:eastAsia="zh-CN"/>
        </w:rPr>
        <w:t>预算安排及分配管理</w:t>
      </w:r>
      <w:r>
        <w:rPr>
          <w:rFonts w:hint="eastAsia" w:ascii="楷体_GB2312" w:hAnsi="宋体" w:eastAsia="楷体_GB2312" w:cs="Times New Roman"/>
          <w:b/>
          <w:color w:val="auto"/>
          <w:sz w:val="32"/>
          <w:szCs w:val="32"/>
          <w:highlight w:val="none"/>
          <w:u w:val="none"/>
          <w:lang w:val="zh-CN" w:eastAsia="zh-CN"/>
        </w:rPr>
        <w:t>。</w:t>
      </w:r>
    </w:p>
    <w:p w14:paraId="449D09D0">
      <w:pPr>
        <w:keepNext w:val="0"/>
        <w:keepLines w:val="0"/>
        <w:pageBreakBefore w:val="0"/>
        <w:widowControl w:val="0"/>
        <w:kinsoku/>
        <w:wordWrap/>
        <w:overflowPunct/>
        <w:topLinePunct w:val="0"/>
        <w:autoSpaceDE/>
        <w:autoSpaceDN/>
        <w:bidi w:val="0"/>
        <w:adjustRightInd/>
        <w:snapToGrid/>
        <w:spacing w:line="576" w:lineRule="exact"/>
        <w:ind w:left="0" w:firstLine="640" w:firstLineChars="200"/>
        <w:jc w:val="both"/>
        <w:textAlignment w:val="auto"/>
        <w:rPr>
          <w:rFonts w:hint="eastAsia" w:ascii="仿宋_GB2312" w:hAnsi="宋体" w:eastAsia="仿宋_GB2312" w:cs="Times New Roman"/>
          <w:sz w:val="32"/>
          <w:szCs w:val="32"/>
        </w:rPr>
      </w:pPr>
      <w:r>
        <w:rPr>
          <w:rFonts w:hint="eastAsia" w:ascii="仿宋_GB2312" w:hAnsi="宋体" w:eastAsia="仿宋_GB2312" w:cs="Times New Roman"/>
          <w:sz w:val="32"/>
          <w:szCs w:val="32"/>
        </w:rPr>
        <w:t>市财政于2023年10月26日下达基金指标220万元（广财投[2023]106号），同年10月20日我局</w:t>
      </w:r>
      <w:r>
        <w:rPr>
          <w:rFonts w:hint="eastAsia" w:ascii="仿宋_GB2312" w:hAnsi="宋体" w:eastAsia="仿宋_GB2312" w:cs="Times New Roman"/>
          <w:sz w:val="32"/>
          <w:szCs w:val="32"/>
          <w:lang w:val="en-US" w:eastAsia="zh-CN"/>
        </w:rPr>
        <w:t>按照合同约定支付第四期国土空间总体规划编制服务费220万元。</w:t>
      </w:r>
      <w:r>
        <w:rPr>
          <w:rFonts w:hint="eastAsia" w:ascii="仿宋_GB2312" w:hAnsi="宋体" w:eastAsia="仿宋_GB2312" w:cs="Times New Roman"/>
          <w:sz w:val="32"/>
          <w:szCs w:val="32"/>
        </w:rPr>
        <w:t>我局制度了《财务管理制度》和《专项资金管理制度》和《三重一大制度》，确保项目高效率使用和支付过程中严格执行相关制度，专款专用，无截留，无挪用。</w:t>
      </w:r>
    </w:p>
    <w:p w14:paraId="7F6E2F58">
      <w:pPr>
        <w:keepNext w:val="0"/>
        <w:keepLines w:val="0"/>
        <w:pageBreakBefore w:val="0"/>
        <w:widowControl w:val="0"/>
        <w:kinsoku/>
        <w:wordWrap/>
        <w:overflowPunct/>
        <w:topLinePunct w:val="0"/>
        <w:autoSpaceDE/>
        <w:autoSpaceDN/>
        <w:bidi w:val="0"/>
        <w:adjustRightInd w:val="0"/>
        <w:snapToGrid w:val="0"/>
        <w:spacing w:line="576" w:lineRule="exact"/>
        <w:ind w:firstLine="643" w:firstLineChars="200"/>
        <w:textAlignment w:val="auto"/>
        <w:rPr>
          <w:rFonts w:hint="eastAsia" w:ascii="仿宋_GB2312" w:hAnsi="宋体" w:eastAsia="仿宋_GB2312" w:cs="Times New Roman"/>
          <w:sz w:val="32"/>
          <w:szCs w:val="32"/>
          <w:lang w:eastAsia="zh-CN"/>
        </w:rPr>
      </w:pPr>
      <w:r>
        <w:rPr>
          <w:rFonts w:hint="eastAsia" w:ascii="楷体_GB2312" w:hAnsi="宋体" w:eastAsia="楷体_GB2312" w:cs="Times New Roman"/>
          <w:b/>
          <w:color w:val="auto"/>
          <w:sz w:val="32"/>
          <w:szCs w:val="32"/>
          <w:highlight w:val="none"/>
          <w:u w:val="none"/>
          <w:lang w:val="zh-CN" w:eastAsia="zh-CN"/>
        </w:rPr>
        <w:t>（四）项目绩效目标设置。</w:t>
      </w:r>
      <w:r>
        <w:rPr>
          <w:rFonts w:hint="eastAsia" w:ascii="仿宋_GB2312" w:hAnsi="宋体" w:eastAsia="仿宋_GB2312" w:cs="Times New Roman"/>
          <w:sz w:val="32"/>
          <w:szCs w:val="32"/>
        </w:rPr>
        <w:t>绩效目标和绩效指标可量化考核</w:t>
      </w:r>
      <w:r>
        <w:rPr>
          <w:rFonts w:hint="eastAsia" w:ascii="仿宋_GB2312" w:hAnsi="宋体" w:eastAsia="仿宋_GB2312" w:cs="Times New Roman"/>
          <w:sz w:val="32"/>
          <w:szCs w:val="32"/>
          <w:lang w:eastAsia="zh-CN"/>
        </w:rPr>
        <w:t>，与规划部门的长期规划目标、年度工作目标相一致。绩效指标细化、量化，绩效目标和绩效指标契合政策或项目实质，产出和效果相关联。可对满意度指标进行量化预测，绩效目标具有一定的前瞻性和挑战性，绩效目标和绩效指标相匹配，</w:t>
      </w:r>
      <w:r>
        <w:rPr>
          <w:rFonts w:hint="eastAsia" w:ascii="仿宋_GB2312" w:hAnsi="宋体" w:eastAsia="仿宋_GB2312" w:cs="Times New Roman"/>
          <w:sz w:val="32"/>
          <w:szCs w:val="32"/>
        </w:rPr>
        <w:t>全面完整，契合项目实质</w:t>
      </w:r>
      <w:r>
        <w:rPr>
          <w:rFonts w:hint="eastAsia" w:ascii="仿宋_GB2312" w:hAnsi="宋体" w:eastAsia="仿宋_GB2312" w:cs="Times New Roman"/>
          <w:sz w:val="32"/>
          <w:szCs w:val="32"/>
          <w:lang w:eastAsia="zh-CN"/>
        </w:rPr>
        <w:t>。</w:t>
      </w:r>
    </w:p>
    <w:p w14:paraId="6B3208B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黑体" w:hAnsi="宋体" w:eastAsia="黑体" w:cs="Times New Roman"/>
          <w:sz w:val="32"/>
          <w:szCs w:val="32"/>
          <w:highlight w:val="none"/>
          <w:lang w:val="zh-CN" w:eastAsia="zh-CN"/>
        </w:rPr>
      </w:pPr>
      <w:r>
        <w:rPr>
          <w:rFonts w:hint="eastAsia" w:ascii="黑体" w:hAnsi="宋体" w:eastAsia="黑体" w:cs="Times New Roman"/>
          <w:sz w:val="32"/>
          <w:szCs w:val="32"/>
          <w:highlight w:val="none"/>
          <w:lang w:val="zh-CN" w:eastAsia="zh-CN"/>
        </w:rPr>
        <w:t>二、评价实施</w:t>
      </w:r>
    </w:p>
    <w:p w14:paraId="4121F680">
      <w:pPr>
        <w:keepNext w:val="0"/>
        <w:keepLines w:val="0"/>
        <w:pageBreakBefore w:val="0"/>
        <w:widowControl w:val="0"/>
        <w:kinsoku/>
        <w:wordWrap/>
        <w:overflowPunct/>
        <w:topLinePunct w:val="0"/>
        <w:autoSpaceDE/>
        <w:autoSpaceDN/>
        <w:bidi w:val="0"/>
        <w:spacing w:line="578" w:lineRule="exact"/>
        <w:ind w:firstLine="640"/>
        <w:textAlignment w:val="auto"/>
        <w:outlineLvl w:val="9"/>
        <w:rPr>
          <w:rFonts w:hint="eastAsia" w:ascii="仿宋_GB2312" w:hAnsi="宋体" w:eastAsia="仿宋_GB2312" w:cs="Times New Roman"/>
          <w:sz w:val="32"/>
          <w:szCs w:val="32"/>
        </w:rPr>
      </w:pPr>
      <w:r>
        <w:rPr>
          <w:rFonts w:hint="eastAsia" w:ascii="楷体_GB2312" w:hAnsi="宋体" w:eastAsia="楷体_GB2312"/>
          <w:b/>
          <w:color w:val="auto"/>
          <w:sz w:val="32"/>
          <w:szCs w:val="32"/>
          <w:highlight w:val="none"/>
          <w:u w:val="none"/>
          <w:lang w:val="zh-CN"/>
        </w:rPr>
        <w:t>（一）评价目的。</w:t>
      </w:r>
      <w:r>
        <w:rPr>
          <w:rFonts w:hint="eastAsia" w:ascii="仿宋_GB2312" w:hAnsi="宋体" w:eastAsia="仿宋_GB2312" w:cs="Times New Roman"/>
          <w:sz w:val="32"/>
          <w:szCs w:val="32"/>
          <w:lang w:val="en-US" w:eastAsia="zh-CN"/>
        </w:rPr>
        <w:t>通过绩效评价，一是对项目预算及资金使用方案的合理性和有效性进行优化，去除不合理的预算项目。二是详细掌握资金使用情况，提高预算执行力。三是促进预算管理的公开化透明化</w:t>
      </w:r>
      <w:r>
        <w:rPr>
          <w:rFonts w:hint="eastAsia" w:ascii="仿宋_GB2312" w:hAnsi="宋体" w:eastAsia="仿宋_GB2312" w:cs="Times New Roman"/>
          <w:sz w:val="32"/>
          <w:szCs w:val="32"/>
          <w:lang w:eastAsia="zh-CN"/>
        </w:rPr>
        <w:t>。</w:t>
      </w:r>
    </w:p>
    <w:p w14:paraId="47EA7321">
      <w:pPr>
        <w:keepNext w:val="0"/>
        <w:keepLines w:val="0"/>
        <w:pageBreakBefore w:val="0"/>
        <w:widowControl w:val="0"/>
        <w:kinsoku/>
        <w:wordWrap/>
        <w:overflowPunct/>
        <w:topLinePunct w:val="0"/>
        <w:autoSpaceDE/>
        <w:autoSpaceDN/>
        <w:bidi w:val="0"/>
        <w:adjustRightInd w:val="0"/>
        <w:snapToGrid w:val="0"/>
        <w:spacing w:line="578" w:lineRule="exact"/>
        <w:ind w:left="0" w:leftChars="0" w:firstLine="643" w:firstLineChars="200"/>
        <w:textAlignment w:val="auto"/>
        <w:outlineLvl w:val="9"/>
        <w:rPr>
          <w:rFonts w:hint="eastAsia" w:ascii="仿宋_GB2312" w:hAnsi="宋体" w:eastAsia="仿宋_GB2312" w:cs="Times New Roman"/>
          <w:sz w:val="32"/>
          <w:szCs w:val="32"/>
          <w:lang w:val="en-US" w:eastAsia="zh-CN"/>
        </w:rPr>
      </w:pPr>
      <w:r>
        <w:rPr>
          <w:rFonts w:hint="eastAsia" w:ascii="楷体_GB2312" w:hAnsi="宋体" w:eastAsia="楷体_GB2312"/>
          <w:b/>
          <w:color w:val="auto"/>
          <w:sz w:val="32"/>
          <w:szCs w:val="32"/>
          <w:highlight w:val="none"/>
          <w:u w:val="none"/>
          <w:lang w:val="zh-CN"/>
        </w:rPr>
        <w:t>（二）预设问题及评价重点。</w:t>
      </w:r>
      <w:r>
        <w:rPr>
          <w:rFonts w:hint="eastAsia" w:ascii="仿宋_GB2312" w:hAnsi="宋体" w:eastAsia="仿宋_GB2312" w:cs="Times New Roman"/>
          <w:sz w:val="32"/>
          <w:szCs w:val="32"/>
          <w:lang w:val="en-US" w:eastAsia="zh-CN"/>
        </w:rPr>
        <w:t>按照绩效评价指标体系体系</w:t>
      </w:r>
      <w:r>
        <w:rPr>
          <w:rFonts w:hint="eastAsia" w:ascii="仿宋_GB2312" w:hAnsi="宋体" w:eastAsia="仿宋_GB2312" w:cs="Times New Roman"/>
          <w:sz w:val="32"/>
          <w:szCs w:val="32"/>
          <w:lang w:val="zh-CN"/>
        </w:rPr>
        <w:t>，</w:t>
      </w:r>
      <w:r>
        <w:rPr>
          <w:rFonts w:hint="eastAsia" w:ascii="仿宋_GB2312" w:hAnsi="宋体" w:eastAsia="仿宋_GB2312" w:cs="Times New Roman"/>
          <w:sz w:val="32"/>
          <w:szCs w:val="32"/>
          <w:lang w:val="en-US" w:eastAsia="zh-CN"/>
        </w:rPr>
        <w:t>该项目</w:t>
      </w:r>
      <w:r>
        <w:rPr>
          <w:rFonts w:hint="eastAsia" w:ascii="仿宋_GB2312" w:hAnsi="宋体" w:eastAsia="仿宋_GB2312" w:cs="Times New Roman"/>
          <w:sz w:val="32"/>
          <w:szCs w:val="32"/>
          <w:lang w:eastAsia="zh-CN"/>
        </w:rPr>
        <w:t>经费使用应符合相关财务法规和政策，</w:t>
      </w:r>
      <w:r>
        <w:rPr>
          <w:rFonts w:hint="eastAsia" w:ascii="仿宋_GB2312" w:hAnsi="宋体" w:eastAsia="仿宋_GB2312" w:cs="Times New Roman"/>
          <w:sz w:val="32"/>
          <w:szCs w:val="32"/>
          <w:lang w:val="en-US" w:eastAsia="zh-CN"/>
        </w:rPr>
        <w:t>按照合同约定和项目进度进行支付，做到专款专用，</w:t>
      </w:r>
      <w:r>
        <w:rPr>
          <w:rFonts w:hint="eastAsia" w:ascii="仿宋_GB2312" w:hAnsi="宋体" w:eastAsia="仿宋_GB2312" w:cs="Times New Roman"/>
          <w:sz w:val="32"/>
          <w:szCs w:val="32"/>
          <w:lang w:eastAsia="zh-CN"/>
        </w:rPr>
        <w:t>确保资金使用的合法合规，避免违规行为发生。</w:t>
      </w:r>
      <w:r>
        <w:rPr>
          <w:rFonts w:hint="eastAsia" w:ascii="仿宋_GB2312" w:hAnsi="宋体" w:eastAsia="仿宋_GB2312" w:cs="Times New Roman"/>
          <w:sz w:val="32"/>
          <w:szCs w:val="32"/>
          <w:lang w:val="en-US" w:eastAsia="zh-CN"/>
        </w:rPr>
        <w:t>按照合同约定支付第四期国土空间总体规划编制服务费220万元。</w:t>
      </w:r>
    </w:p>
    <w:p w14:paraId="1C68782A">
      <w:pPr>
        <w:adjustRightInd w:val="0"/>
        <w:snapToGrid w:val="0"/>
        <w:spacing w:line="580" w:lineRule="exact"/>
        <w:ind w:firstLine="643" w:firstLineChars="200"/>
        <w:rPr>
          <w:rFonts w:ascii="仿宋_GB2312" w:hAnsi="宋体"/>
          <w:sz w:val="32"/>
          <w:szCs w:val="32"/>
        </w:rPr>
      </w:pPr>
      <w:r>
        <w:rPr>
          <w:rFonts w:hint="eastAsia" w:ascii="楷体_GB2312" w:hAnsi="宋体" w:eastAsia="楷体_GB2312"/>
          <w:b/>
          <w:color w:val="auto"/>
          <w:sz w:val="32"/>
          <w:szCs w:val="32"/>
          <w:highlight w:val="none"/>
          <w:u w:val="none"/>
          <w:lang w:val="zh-CN"/>
        </w:rPr>
        <w:t>（三）评价选点。</w:t>
      </w:r>
      <w:r>
        <w:rPr>
          <w:rFonts w:hint="eastAsia" w:ascii="仿宋_GB2312" w:hAnsi="宋体" w:eastAsia="仿宋_GB2312" w:cs="Times New Roman"/>
          <w:sz w:val="32"/>
          <w:szCs w:val="32"/>
        </w:rPr>
        <w:t>年末通过数量指标、质量指标及产生的社会效益和政府满意度来自评项目绩效完成情况。</w:t>
      </w:r>
    </w:p>
    <w:p w14:paraId="2FD1A794">
      <w:pPr>
        <w:keepNext w:val="0"/>
        <w:keepLines w:val="0"/>
        <w:pageBreakBefore w:val="0"/>
        <w:widowControl w:val="0"/>
        <w:kinsoku/>
        <w:wordWrap/>
        <w:overflowPunct/>
        <w:topLinePunct w:val="0"/>
        <w:autoSpaceDE/>
        <w:autoSpaceDN/>
        <w:bidi w:val="0"/>
        <w:spacing w:line="578" w:lineRule="exact"/>
        <w:ind w:firstLine="640"/>
        <w:textAlignment w:val="auto"/>
        <w:outlineLvl w:val="9"/>
        <w:rPr>
          <w:rFonts w:hint="eastAsia" w:ascii="仿宋_GB2312" w:hAnsi="宋体" w:eastAsia="仿宋_GB2312" w:cs="Times New Roman"/>
          <w:sz w:val="32"/>
          <w:szCs w:val="32"/>
          <w:lang w:val="en-US" w:eastAsia="zh-CN"/>
        </w:rPr>
      </w:pPr>
      <w:r>
        <w:rPr>
          <w:rFonts w:hint="eastAsia" w:ascii="楷体_GB2312" w:hAnsi="宋体" w:eastAsia="楷体_GB2312"/>
          <w:b/>
          <w:color w:val="auto"/>
          <w:sz w:val="32"/>
          <w:szCs w:val="32"/>
          <w:highlight w:val="none"/>
          <w:u w:val="none"/>
          <w:lang w:val="zh-CN"/>
        </w:rPr>
        <w:t>（四）评价方法。</w:t>
      </w:r>
      <w:r>
        <w:rPr>
          <w:rFonts w:hint="eastAsia" w:ascii="仿宋_GB2312" w:hAnsi="宋体" w:eastAsia="仿宋_GB2312" w:cs="Times New Roman"/>
          <w:sz w:val="32"/>
          <w:szCs w:val="32"/>
        </w:rPr>
        <w:t>采用单位自评法</w:t>
      </w:r>
      <w:r>
        <w:rPr>
          <w:rFonts w:hint="eastAsia" w:ascii="仿宋_GB2312" w:hAnsi="宋体" w:eastAsia="仿宋_GB2312" w:cs="Times New Roman"/>
          <w:sz w:val="32"/>
          <w:szCs w:val="32"/>
          <w:lang w:val="en-US" w:eastAsia="zh-CN"/>
        </w:rPr>
        <w:t>.</w:t>
      </w:r>
    </w:p>
    <w:p w14:paraId="34877360">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3" w:firstLineChars="200"/>
        <w:contextualSpacing/>
        <w:jc w:val="both"/>
        <w:textAlignment w:val="auto"/>
        <w:rPr>
          <w:rFonts w:hint="eastAsia" w:ascii="仿宋_GB2312"/>
          <w:b w:val="0"/>
          <w:bCs w:val="0"/>
          <w:sz w:val="32"/>
          <w:szCs w:val="32"/>
          <w:highlight w:val="none"/>
          <w:lang w:val="en-US" w:eastAsia="zh-CN"/>
        </w:rPr>
      </w:pPr>
      <w:r>
        <w:rPr>
          <w:rFonts w:hint="eastAsia" w:ascii="楷体_GB2312" w:hAnsi="宋体" w:eastAsia="楷体_GB2312"/>
          <w:b/>
          <w:color w:val="auto"/>
          <w:sz w:val="32"/>
          <w:szCs w:val="32"/>
          <w:highlight w:val="none"/>
          <w:u w:val="none"/>
          <w:lang w:val="zh-CN"/>
        </w:rPr>
        <w:t>（五）评价组织。</w:t>
      </w:r>
      <w:r>
        <w:rPr>
          <w:rFonts w:hint="eastAsia" w:ascii="仿宋_GB2312" w:hAnsi="宋体" w:eastAsia="仿宋_GB2312" w:cs="Times New Roman"/>
          <w:sz w:val="32"/>
          <w:szCs w:val="32"/>
          <w:lang w:val="en-US" w:eastAsia="zh-CN"/>
        </w:rPr>
        <w:t>按照财政资金“谁使用，谁自评”的原则，我单位在收到</w:t>
      </w:r>
      <w:r>
        <w:rPr>
          <w:rFonts w:hint="eastAsia" w:ascii="仿宋_GB2312" w:hAnsi="宋体" w:eastAsia="仿宋_GB2312" w:cs="Times New Roman"/>
          <w:sz w:val="32"/>
          <w:szCs w:val="32"/>
          <w:lang w:val="zh-CN"/>
        </w:rPr>
        <w:t>自评工作通知后，立即</w:t>
      </w:r>
      <w:r>
        <w:rPr>
          <w:rFonts w:hint="eastAsia" w:ascii="仿宋_GB2312" w:hAnsi="宋体" w:eastAsia="仿宋_GB2312" w:cs="Times New Roman"/>
          <w:sz w:val="32"/>
          <w:szCs w:val="32"/>
          <w:lang w:val="en-US" w:eastAsia="zh-CN"/>
        </w:rPr>
        <w:t>落实专人负责</w:t>
      </w:r>
      <w:r>
        <w:rPr>
          <w:rFonts w:hint="eastAsia" w:ascii="仿宋_GB2312" w:hAnsi="宋体" w:eastAsia="仿宋_GB2312" w:cs="Times New Roman"/>
          <w:sz w:val="32"/>
          <w:szCs w:val="32"/>
          <w:lang w:val="zh-CN"/>
        </w:rPr>
        <w:t>，及时</w:t>
      </w:r>
      <w:r>
        <w:rPr>
          <w:rFonts w:hint="eastAsia" w:ascii="仿宋_GB2312" w:hAnsi="宋体" w:eastAsia="仿宋_GB2312" w:cs="Times New Roman"/>
          <w:sz w:val="32"/>
          <w:szCs w:val="32"/>
          <w:lang w:val="en-US" w:eastAsia="zh-CN"/>
        </w:rPr>
        <w:t>与相关业务科实协调对接</w:t>
      </w:r>
      <w:r>
        <w:rPr>
          <w:rFonts w:hint="eastAsia" w:ascii="仿宋_GB2312" w:hAnsi="宋体" w:eastAsia="仿宋_GB2312" w:cs="Times New Roman"/>
          <w:sz w:val="32"/>
          <w:szCs w:val="32"/>
          <w:lang w:val="zh-CN"/>
        </w:rPr>
        <w:t>，对项目概况、评价实施、绩效分析、评价结论、存在主要问题、改进建议等进行综合自评，形成自评结果。</w:t>
      </w:r>
    </w:p>
    <w:p w14:paraId="73B6896D">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eastAsia" w:eastAsia="仿宋_GB2312" w:cs="Times New Roman"/>
          <w:szCs w:val="32"/>
          <w:lang w:val="en-US" w:eastAsia="zh-CN"/>
        </w:rPr>
      </w:pPr>
      <w:r>
        <w:rPr>
          <w:rFonts w:hint="eastAsia" w:ascii="黑体" w:hAnsi="宋体" w:eastAsia="黑体"/>
          <w:color w:val="auto"/>
          <w:sz w:val="32"/>
          <w:szCs w:val="32"/>
          <w:highlight w:val="none"/>
          <w:u w:val="none"/>
        </w:rPr>
        <w:t>三、</w:t>
      </w:r>
      <w:r>
        <w:rPr>
          <w:rFonts w:hint="eastAsia" w:ascii="黑体" w:hAnsi="宋体" w:eastAsia="黑体"/>
          <w:color w:val="auto"/>
          <w:sz w:val="32"/>
          <w:szCs w:val="32"/>
          <w:highlight w:val="none"/>
          <w:u w:val="none"/>
          <w:lang w:eastAsia="zh-CN"/>
        </w:rPr>
        <w:t>绩效分析</w:t>
      </w:r>
      <w:r>
        <w:rPr>
          <w:rFonts w:hint="eastAsia" w:ascii="仿宋_GB2312" w:hAnsi="宋体"/>
          <w:color w:val="auto"/>
          <w:sz w:val="32"/>
          <w:szCs w:val="32"/>
          <w:highlight w:val="none"/>
          <w:u w:val="none"/>
          <w:lang w:val="zh-CN"/>
        </w:rPr>
        <w:tab/>
      </w:r>
    </w:p>
    <w:p w14:paraId="052A0E27">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楷体_GB2312" w:hAnsi="宋体" w:eastAsia="楷体_GB2312" w:cs="Times New Roman"/>
          <w:b/>
          <w:color w:val="auto"/>
          <w:sz w:val="32"/>
          <w:szCs w:val="32"/>
          <w:highlight w:val="none"/>
          <w:u w:val="none"/>
          <w:lang w:val="en-US" w:eastAsia="zh-CN"/>
        </w:rPr>
      </w:pPr>
      <w:r>
        <w:rPr>
          <w:rFonts w:hint="eastAsia" w:ascii="楷体_GB2312" w:hAnsi="宋体" w:eastAsia="楷体_GB2312" w:cs="Times New Roman"/>
          <w:b/>
          <w:color w:val="auto"/>
          <w:sz w:val="32"/>
          <w:szCs w:val="32"/>
          <w:highlight w:val="none"/>
          <w:u w:val="none"/>
          <w:lang w:val="zh-CN"/>
        </w:rPr>
        <w:t>（一）</w:t>
      </w:r>
      <w:r>
        <w:rPr>
          <w:rFonts w:hint="eastAsia" w:ascii="楷体_GB2312" w:hAnsi="宋体" w:eastAsia="楷体_GB2312" w:cs="Times New Roman"/>
          <w:b/>
          <w:color w:val="auto"/>
          <w:sz w:val="32"/>
          <w:szCs w:val="32"/>
          <w:highlight w:val="none"/>
          <w:u w:val="none"/>
          <w:lang w:val="en-US" w:eastAsia="zh-CN"/>
        </w:rPr>
        <w:t>通用指标</w:t>
      </w:r>
      <w:r>
        <w:rPr>
          <w:rFonts w:hint="default" w:ascii="楷体_GB2312" w:hAnsi="宋体" w:eastAsia="楷体_GB2312" w:cs="Times New Roman"/>
          <w:b/>
          <w:color w:val="auto"/>
          <w:sz w:val="32"/>
          <w:szCs w:val="32"/>
          <w:highlight w:val="none"/>
          <w:u w:val="none"/>
          <w:lang w:val="zh-CN"/>
        </w:rPr>
        <w:t>绩效分析。</w:t>
      </w:r>
    </w:p>
    <w:p w14:paraId="0E720D6F">
      <w:pPr>
        <w:keepNext w:val="0"/>
        <w:keepLines w:val="0"/>
        <w:pageBreakBefore w:val="0"/>
        <w:widowControl w:val="0"/>
        <w:kinsoku/>
        <w:wordWrap/>
        <w:overflowPunct/>
        <w:topLinePunct w:val="0"/>
        <w:autoSpaceDE/>
        <w:autoSpaceDN/>
        <w:bidi w:val="0"/>
        <w:adjustRightInd/>
        <w:snapToGrid/>
        <w:spacing w:line="576" w:lineRule="exact"/>
        <w:ind w:left="0" w:firstLine="640" w:firstLineChars="200"/>
        <w:jc w:val="both"/>
        <w:textAlignment w:val="auto"/>
        <w:rPr>
          <w:rFonts w:hint="eastAsia" w:ascii="仿宋_GB2312" w:hAnsi="宋体" w:eastAsia="仿宋_GB2312" w:cs="Times New Roman"/>
          <w:sz w:val="32"/>
          <w:szCs w:val="32"/>
          <w:lang w:val="zh-CN"/>
        </w:rPr>
      </w:pPr>
      <w:r>
        <w:rPr>
          <w:rFonts w:hint="eastAsia" w:ascii="仿宋_GB2312" w:hAnsi="宋体" w:eastAsia="仿宋_GB2312" w:cs="Times New Roman"/>
          <w:sz w:val="32"/>
          <w:szCs w:val="32"/>
          <w:lang w:val="en-US" w:eastAsia="zh-CN"/>
        </w:rPr>
        <w:t>1.</w:t>
      </w:r>
      <w:r>
        <w:rPr>
          <w:rFonts w:hint="eastAsia" w:ascii="仿宋_GB2312" w:hAnsi="宋体" w:eastAsia="仿宋_GB2312" w:cs="Times New Roman"/>
          <w:sz w:val="32"/>
          <w:szCs w:val="32"/>
          <w:lang w:eastAsia="zh-CN"/>
        </w:rPr>
        <w:t>项目决策。</w:t>
      </w:r>
      <w:r>
        <w:rPr>
          <w:rFonts w:hint="eastAsia" w:ascii="仿宋_GB2312" w:hAnsi="宋体" w:eastAsia="仿宋_GB2312" w:cs="Times New Roman"/>
          <w:sz w:val="32"/>
          <w:szCs w:val="32"/>
          <w:lang w:val="zh-CN"/>
        </w:rPr>
        <w:t>一是贯彻落实中央关于自然资源工作的方针政策和省委、市委决策部署，并按照单位的职能职责，资金预算合规、科学、合理的同时，把预算、绩效和自然资源改革发展工作深度融合。二是履行预算绩效设立审核程序，经集体研究决策后纳入预算。三是细化量化项目绩效目标，编制预算时对科室申报的预算项目进行全面梳理，严把审核关，所有项目必须有明细的资金测算，对审核后的所有项目全部进行入库管理。</w:t>
      </w:r>
    </w:p>
    <w:p w14:paraId="41F73F9E">
      <w:pPr>
        <w:keepNext w:val="0"/>
        <w:keepLines w:val="0"/>
        <w:pageBreakBefore w:val="0"/>
        <w:widowControl w:val="0"/>
        <w:kinsoku/>
        <w:wordWrap/>
        <w:overflowPunct/>
        <w:topLinePunct w:val="0"/>
        <w:autoSpaceDE/>
        <w:autoSpaceDN/>
        <w:bidi w:val="0"/>
        <w:adjustRightInd/>
        <w:snapToGrid/>
        <w:spacing w:line="576" w:lineRule="exact"/>
        <w:ind w:left="0" w:firstLine="640" w:firstLineChars="200"/>
        <w:jc w:val="both"/>
        <w:textAlignment w:val="auto"/>
        <w:rPr>
          <w:rFonts w:hint="eastAsia" w:ascii="仿宋_GB2312" w:hAnsi="宋体" w:eastAsia="仿宋_GB2312" w:cs="Times New Roman"/>
          <w:sz w:val="32"/>
          <w:szCs w:val="32"/>
          <w:lang w:val="en-US" w:eastAsia="zh-CN"/>
        </w:rPr>
      </w:pPr>
      <w:r>
        <w:rPr>
          <w:rFonts w:hint="eastAsia" w:ascii="仿宋_GB2312" w:hAnsi="宋体" w:eastAsia="仿宋_GB2312" w:cs="Times New Roman"/>
          <w:sz w:val="32"/>
          <w:szCs w:val="32"/>
          <w:lang w:val="en-US" w:eastAsia="zh-CN"/>
        </w:rPr>
        <w:t>2.</w:t>
      </w:r>
      <w:r>
        <w:rPr>
          <w:rFonts w:hint="eastAsia" w:ascii="仿宋_GB2312" w:hAnsi="宋体" w:eastAsia="仿宋_GB2312" w:cs="Times New Roman"/>
          <w:sz w:val="32"/>
          <w:szCs w:val="32"/>
          <w:lang w:eastAsia="zh-CN"/>
        </w:rPr>
        <w:t>项目管理。</w:t>
      </w:r>
      <w:r>
        <w:rPr>
          <w:rFonts w:hint="eastAsia" w:ascii="仿宋_GB2312" w:hAnsi="宋体" w:eastAsia="仿宋_GB2312" w:cs="Times New Roman"/>
          <w:sz w:val="32"/>
          <w:szCs w:val="32"/>
          <w:lang w:val="en-US" w:eastAsia="zh-CN"/>
        </w:rPr>
        <w:t>一是</w:t>
      </w:r>
      <w:r>
        <w:rPr>
          <w:rFonts w:hint="eastAsia" w:ascii="仿宋_GB2312" w:hAnsi="宋体" w:eastAsia="仿宋_GB2312" w:cs="Times New Roman"/>
          <w:sz w:val="32"/>
          <w:szCs w:val="32"/>
          <w:lang w:val="zh-CN"/>
        </w:rPr>
        <w:t>履行</w:t>
      </w:r>
      <w:r>
        <w:rPr>
          <w:rFonts w:hint="eastAsia" w:ascii="仿宋_GB2312" w:hAnsi="宋体" w:eastAsia="仿宋_GB2312" w:cs="Times New Roman"/>
          <w:sz w:val="32"/>
          <w:szCs w:val="32"/>
          <w:lang w:val="en-US" w:eastAsia="zh-CN"/>
        </w:rPr>
        <w:t>项目</w:t>
      </w:r>
      <w:r>
        <w:rPr>
          <w:rFonts w:hint="eastAsia" w:ascii="仿宋_GB2312" w:hAnsi="宋体" w:eastAsia="仿宋_GB2312" w:cs="Times New Roman"/>
          <w:sz w:val="32"/>
          <w:szCs w:val="32"/>
          <w:lang w:val="zh-CN"/>
        </w:rPr>
        <w:t>预算绩效设立审核程序，经集体研究决策后纳入</w:t>
      </w:r>
      <w:r>
        <w:rPr>
          <w:rFonts w:hint="eastAsia" w:ascii="仿宋_GB2312" w:hAnsi="宋体" w:eastAsia="仿宋_GB2312" w:cs="Times New Roman"/>
          <w:sz w:val="32"/>
          <w:szCs w:val="32"/>
          <w:lang w:val="en-US" w:eastAsia="zh-CN"/>
        </w:rPr>
        <w:t>基建</w:t>
      </w:r>
      <w:r>
        <w:rPr>
          <w:rFonts w:hint="eastAsia" w:ascii="仿宋_GB2312" w:hAnsi="宋体" w:eastAsia="仿宋_GB2312" w:cs="Times New Roman"/>
          <w:sz w:val="32"/>
          <w:szCs w:val="32"/>
          <w:lang w:val="zh-CN"/>
        </w:rPr>
        <w:t>预算。</w:t>
      </w:r>
      <w:r>
        <w:rPr>
          <w:rFonts w:hint="eastAsia" w:ascii="仿宋_GB2312" w:hAnsi="宋体" w:eastAsia="仿宋_GB2312" w:cs="Times New Roman"/>
          <w:sz w:val="32"/>
          <w:szCs w:val="32"/>
          <w:lang w:val="en-US" w:eastAsia="zh-CN"/>
        </w:rPr>
        <w:t>二</w:t>
      </w:r>
      <w:r>
        <w:rPr>
          <w:rFonts w:hint="eastAsia" w:ascii="仿宋_GB2312" w:hAnsi="宋体" w:eastAsia="仿宋_GB2312" w:cs="Times New Roman"/>
          <w:sz w:val="32"/>
          <w:szCs w:val="32"/>
          <w:lang w:val="zh-CN"/>
        </w:rPr>
        <w:t>是细化量化项目绩效目标，编制预算时对科室申报的预算项目进行全面梳理，严把审核关，项目必须有明细的资金测算，对审核后进行入库管理。</w:t>
      </w:r>
      <w:r>
        <w:rPr>
          <w:rFonts w:hint="eastAsia" w:ascii="仿宋_GB2312" w:hAnsi="宋体" w:eastAsia="仿宋_GB2312" w:cs="Times New Roman"/>
          <w:sz w:val="32"/>
          <w:szCs w:val="32"/>
          <w:lang w:val="en-US" w:eastAsia="zh-CN"/>
        </w:rPr>
        <w:t>财政下达资金后，我局严格按照《预算法》《项目资金管理办法》及时支付，确保项目按时按质完成。</w:t>
      </w:r>
    </w:p>
    <w:p w14:paraId="33A1130B">
      <w:pPr>
        <w:keepNext w:val="0"/>
        <w:keepLines w:val="0"/>
        <w:pageBreakBefore w:val="0"/>
        <w:widowControl w:val="0"/>
        <w:kinsoku/>
        <w:wordWrap/>
        <w:overflowPunct/>
        <w:topLinePunct w:val="0"/>
        <w:autoSpaceDE/>
        <w:autoSpaceDN/>
        <w:bidi w:val="0"/>
        <w:adjustRightInd/>
        <w:snapToGrid/>
        <w:spacing w:line="576" w:lineRule="exact"/>
        <w:ind w:left="0" w:firstLine="640" w:firstLineChars="200"/>
        <w:jc w:val="both"/>
        <w:textAlignment w:val="auto"/>
        <w:rPr>
          <w:rFonts w:hint="eastAsia" w:ascii="仿宋_GB2312" w:hAnsi="宋体" w:eastAsia="仿宋_GB2312" w:cs="Times New Roman"/>
          <w:sz w:val="32"/>
          <w:szCs w:val="32"/>
        </w:rPr>
      </w:pPr>
      <w:r>
        <w:rPr>
          <w:rFonts w:hint="eastAsia" w:ascii="仿宋_GB2312" w:hAnsi="宋体" w:eastAsia="仿宋_GB2312" w:cs="Times New Roman"/>
          <w:sz w:val="32"/>
          <w:szCs w:val="32"/>
          <w:lang w:val="en-US" w:eastAsia="zh-CN"/>
        </w:rPr>
        <w:t>3.项目实施。按照合同约定支付第四期国土空间总体规划编制服务费220万元。</w:t>
      </w:r>
      <w:r>
        <w:rPr>
          <w:rFonts w:hint="eastAsia" w:ascii="仿宋_GB2312" w:hAnsi="宋体" w:eastAsia="仿宋_GB2312" w:cs="Times New Roman"/>
          <w:sz w:val="32"/>
          <w:szCs w:val="32"/>
        </w:rPr>
        <w:t>我局制度了《财务管理制度》和《专项资金管理制度》和《三重一大制度》，确保项目高效率使用和支付过程中严格执行相关制度，专款专用，无截留，无挪用。</w:t>
      </w:r>
    </w:p>
    <w:p w14:paraId="6FF4F3FA">
      <w:pPr>
        <w:keepNext w:val="0"/>
        <w:keepLines w:val="0"/>
        <w:pageBreakBefore w:val="0"/>
        <w:widowControl w:val="0"/>
        <w:kinsoku/>
        <w:wordWrap/>
        <w:overflowPunct/>
        <w:topLinePunct w:val="0"/>
        <w:autoSpaceDE/>
        <w:autoSpaceDN/>
        <w:bidi w:val="0"/>
        <w:adjustRightInd/>
        <w:snapToGrid/>
        <w:spacing w:line="576" w:lineRule="exact"/>
        <w:ind w:left="0" w:firstLine="640" w:firstLineChars="200"/>
        <w:jc w:val="both"/>
        <w:textAlignment w:val="auto"/>
        <w:rPr>
          <w:rFonts w:hint="eastAsia" w:ascii="仿宋_GB2312" w:hAnsi="宋体" w:eastAsia="仿宋_GB2312" w:cs="Times New Roman"/>
          <w:sz w:val="32"/>
          <w:szCs w:val="32"/>
          <w:lang w:val="en-US" w:eastAsia="zh-CN"/>
        </w:rPr>
      </w:pPr>
      <w:r>
        <w:rPr>
          <w:rFonts w:hint="eastAsia" w:ascii="仿宋_GB2312" w:hAnsi="宋体" w:eastAsia="仿宋_GB2312" w:cs="Times New Roman"/>
          <w:sz w:val="32"/>
          <w:szCs w:val="32"/>
          <w:lang w:val="en-US" w:eastAsia="zh-CN"/>
        </w:rPr>
        <w:t>4.项目结果。系统功能基本建成，共汇集各类现状数据、管理数据，社会经济数据，规划管控数据等共包含4大类、25中类、72小类，并将最新“三区三线”划定成果入库。按照“统一底图、统一标准，统一规划、同一平台”的指示要求，高标准、高质量的完成了省厅下发的建设任务，在全省的初步评定中获得90分并取得等级为“优”的优秀成绩。</w:t>
      </w:r>
    </w:p>
    <w:p w14:paraId="1C309E4B">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楷体_GB2312" w:hAnsi="宋体" w:eastAsia="楷体_GB2312" w:cs="Times New Roman"/>
          <w:b/>
          <w:color w:val="auto"/>
          <w:sz w:val="32"/>
          <w:szCs w:val="32"/>
          <w:highlight w:val="none"/>
          <w:u w:val="none"/>
          <w:lang w:val="zh-CN" w:eastAsia="zh-CN"/>
        </w:rPr>
      </w:pPr>
      <w:r>
        <w:rPr>
          <w:rFonts w:hint="eastAsia" w:ascii="楷体_GB2312" w:hAnsi="宋体" w:eastAsia="楷体_GB2312" w:cs="Times New Roman"/>
          <w:b/>
          <w:color w:val="auto"/>
          <w:sz w:val="32"/>
          <w:szCs w:val="32"/>
          <w:highlight w:val="none"/>
          <w:u w:val="none"/>
          <w:lang w:val="zh-CN"/>
        </w:rPr>
        <w:t>（二）</w:t>
      </w:r>
      <w:r>
        <w:rPr>
          <w:rFonts w:hint="eastAsia" w:ascii="楷体_GB2312" w:hAnsi="宋体" w:eastAsia="楷体_GB2312" w:cs="Times New Roman"/>
          <w:b/>
          <w:color w:val="auto"/>
          <w:sz w:val="32"/>
          <w:szCs w:val="32"/>
          <w:highlight w:val="none"/>
          <w:u w:val="none"/>
          <w:lang w:val="en-US" w:eastAsia="zh-CN"/>
        </w:rPr>
        <w:t>专用指标</w:t>
      </w:r>
      <w:r>
        <w:rPr>
          <w:rFonts w:hint="default" w:ascii="楷体_GB2312" w:hAnsi="宋体" w:eastAsia="楷体_GB2312" w:cs="Times New Roman"/>
          <w:b/>
          <w:color w:val="auto"/>
          <w:sz w:val="32"/>
          <w:szCs w:val="32"/>
          <w:highlight w:val="none"/>
          <w:u w:val="none"/>
          <w:lang w:val="zh-CN"/>
        </w:rPr>
        <w:t>绩效分析</w:t>
      </w:r>
      <w:r>
        <w:rPr>
          <w:rFonts w:hint="eastAsia" w:ascii="楷体_GB2312" w:hAnsi="宋体" w:eastAsia="楷体_GB2312" w:cs="Times New Roman"/>
          <w:b/>
          <w:color w:val="auto"/>
          <w:sz w:val="32"/>
          <w:szCs w:val="32"/>
          <w:highlight w:val="none"/>
          <w:u w:val="none"/>
          <w:lang w:val="zh-CN" w:eastAsia="zh-CN"/>
        </w:rPr>
        <w:t>。</w:t>
      </w:r>
    </w:p>
    <w:p w14:paraId="3F0CCFFA">
      <w:pPr>
        <w:keepNext w:val="0"/>
        <w:keepLines w:val="0"/>
        <w:pageBreakBefore w:val="0"/>
        <w:widowControl w:val="0"/>
        <w:kinsoku/>
        <w:wordWrap/>
        <w:overflowPunct/>
        <w:topLinePunct w:val="0"/>
        <w:autoSpaceDE/>
        <w:autoSpaceDN/>
        <w:bidi w:val="0"/>
        <w:adjustRightInd/>
        <w:snapToGrid/>
        <w:spacing w:line="576" w:lineRule="exact"/>
        <w:ind w:left="0" w:firstLine="640" w:firstLineChars="200"/>
        <w:jc w:val="both"/>
        <w:textAlignment w:val="auto"/>
        <w:rPr>
          <w:rFonts w:hint="eastAsia" w:ascii="仿宋_GB2312" w:hAnsi="宋体" w:eastAsia="仿宋_GB2312" w:cs="Times New Roman"/>
          <w:sz w:val="32"/>
          <w:szCs w:val="32"/>
          <w:lang w:val="en-US" w:eastAsia="zh-CN"/>
        </w:rPr>
      </w:pPr>
      <w:r>
        <w:rPr>
          <w:rFonts w:hint="eastAsia" w:ascii="仿宋_GB2312" w:hAnsi="宋体" w:eastAsia="仿宋_GB2312" w:cs="Times New Roman"/>
          <w:sz w:val="32"/>
          <w:szCs w:val="32"/>
          <w:lang w:val="en-US" w:eastAsia="zh-CN"/>
        </w:rPr>
        <w:t>1.产业发展。该项目是市委市政府支持重点项目。</w:t>
      </w:r>
      <w:r>
        <w:rPr>
          <w:rFonts w:hint="eastAsia" w:ascii="仿宋_GB2312" w:hAnsi="宋体" w:eastAsia="仿宋_GB2312" w:cs="Times New Roman"/>
          <w:sz w:val="32"/>
          <w:szCs w:val="32"/>
        </w:rPr>
        <w:t>细化主导功能分区和三线划定，布局城市建设，提出城乡公共服务和基础设施配套策略、标准、和重大设施布局，确定生态修复、土地整治、建设用地存量利用的目标、策略和重大项目，确定城乡风貌总体定位，保护历史文化资源和自然景观要素，构建蓝绿空间网络和休闲游憩体系，塑造城乡魅力景观格局。</w:t>
      </w:r>
    </w:p>
    <w:p w14:paraId="1A3000DD">
      <w:pPr>
        <w:keepNext w:val="0"/>
        <w:keepLines w:val="0"/>
        <w:pageBreakBefore w:val="0"/>
        <w:widowControl w:val="0"/>
        <w:kinsoku/>
        <w:wordWrap/>
        <w:overflowPunct/>
        <w:topLinePunct w:val="0"/>
        <w:autoSpaceDE/>
        <w:autoSpaceDN/>
        <w:bidi w:val="0"/>
        <w:adjustRightInd/>
        <w:snapToGrid/>
        <w:spacing w:line="576" w:lineRule="exact"/>
        <w:ind w:left="0" w:firstLine="640" w:firstLineChars="200"/>
        <w:jc w:val="both"/>
        <w:textAlignment w:val="auto"/>
        <w:rPr>
          <w:rFonts w:hint="eastAsia" w:ascii="仿宋_GB2312" w:hAnsi="宋体" w:eastAsia="仿宋_GB2312" w:cs="Times New Roman"/>
          <w:sz w:val="32"/>
          <w:szCs w:val="32"/>
          <w:lang w:val="en-US" w:eastAsia="zh-CN"/>
        </w:rPr>
      </w:pPr>
      <w:r>
        <w:rPr>
          <w:rFonts w:hint="eastAsia" w:ascii="仿宋_GB2312" w:hAnsi="宋体" w:eastAsia="仿宋_GB2312" w:cs="Times New Roman"/>
          <w:sz w:val="32"/>
          <w:szCs w:val="32"/>
          <w:lang w:val="en-US" w:eastAsia="zh-CN"/>
        </w:rPr>
        <w:t>2.</w:t>
      </w:r>
      <w:r>
        <w:rPr>
          <w:rFonts w:hint="eastAsia" w:ascii="仿宋_GB2312" w:hAnsi="宋体" w:eastAsia="仿宋_GB2312" w:cs="Times New Roman"/>
          <w:sz w:val="32"/>
          <w:szCs w:val="32"/>
          <w:lang w:val="zh-CN" w:eastAsia="zh-CN"/>
        </w:rPr>
        <w:t>行政运转。</w:t>
      </w:r>
      <w:r>
        <w:rPr>
          <w:rFonts w:hint="eastAsia" w:ascii="仿宋_GB2312" w:hAnsi="宋体" w:eastAsia="仿宋_GB2312" w:cs="Times New Roman"/>
          <w:sz w:val="32"/>
          <w:szCs w:val="32"/>
          <w:lang w:val="en-US" w:eastAsia="zh-CN"/>
        </w:rPr>
        <w:t>本</w:t>
      </w:r>
      <w:r>
        <w:rPr>
          <w:rFonts w:hint="eastAsia" w:ascii="仿宋_GB2312" w:hAnsi="宋体" w:eastAsia="仿宋_GB2312" w:cs="Times New Roman"/>
          <w:sz w:val="32"/>
          <w:szCs w:val="32"/>
          <w:lang w:val="zh-CN"/>
        </w:rPr>
        <w:t>单位财务管理制度健全，严格执行财务管理制度，账务处理及时，会计核算规范。</w:t>
      </w:r>
    </w:p>
    <w:p w14:paraId="2731A862">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default" w:ascii="楷体_GB2312" w:hAnsi="宋体" w:eastAsia="楷体_GB2312" w:cs="Times New Roman"/>
          <w:b/>
          <w:color w:val="auto"/>
          <w:sz w:val="32"/>
          <w:szCs w:val="32"/>
          <w:highlight w:val="none"/>
          <w:u w:val="none"/>
          <w:lang w:val="zh-CN"/>
        </w:rPr>
      </w:pPr>
      <w:r>
        <w:rPr>
          <w:rFonts w:hint="eastAsia" w:ascii="楷体_GB2312" w:hAnsi="宋体" w:eastAsia="楷体_GB2312" w:cs="Times New Roman"/>
          <w:b/>
          <w:color w:val="auto"/>
          <w:sz w:val="32"/>
          <w:szCs w:val="32"/>
          <w:highlight w:val="none"/>
          <w:u w:val="none"/>
          <w:lang w:val="zh-CN"/>
        </w:rPr>
        <w:t>（三）</w:t>
      </w:r>
      <w:r>
        <w:rPr>
          <w:rFonts w:hint="eastAsia" w:ascii="楷体_GB2312" w:hAnsi="宋体" w:eastAsia="楷体_GB2312" w:cs="Times New Roman"/>
          <w:b/>
          <w:color w:val="auto"/>
          <w:sz w:val="32"/>
          <w:szCs w:val="32"/>
          <w:highlight w:val="none"/>
          <w:u w:val="none"/>
          <w:lang w:val="en-US" w:eastAsia="zh-CN"/>
        </w:rPr>
        <w:t>个性指标</w:t>
      </w:r>
      <w:r>
        <w:rPr>
          <w:rFonts w:hint="default" w:ascii="楷体_GB2312" w:hAnsi="宋体" w:eastAsia="楷体_GB2312" w:cs="Times New Roman"/>
          <w:b/>
          <w:color w:val="auto"/>
          <w:sz w:val="32"/>
          <w:szCs w:val="32"/>
          <w:highlight w:val="none"/>
          <w:u w:val="none"/>
          <w:lang w:val="zh-CN"/>
        </w:rPr>
        <w:t>绩效分析。</w:t>
      </w:r>
    </w:p>
    <w:p w14:paraId="3308F497">
      <w:pPr>
        <w:pStyle w:val="7"/>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default" w:ascii="仿宋_GB2312" w:hAnsi="宋体" w:eastAsia="仿宋_GB2312" w:cs="Times New Roman"/>
          <w:kern w:val="2"/>
          <w:sz w:val="32"/>
          <w:szCs w:val="32"/>
          <w:lang w:val="en-US" w:eastAsia="zh-CN" w:bidi="ar-SA"/>
        </w:rPr>
      </w:pPr>
      <w:r>
        <w:rPr>
          <w:rFonts w:hint="eastAsia" w:ascii="仿宋_GB2312" w:hAnsi="宋体" w:eastAsia="仿宋_GB2312" w:cs="Times New Roman"/>
          <w:kern w:val="2"/>
          <w:sz w:val="32"/>
          <w:szCs w:val="32"/>
          <w:lang w:val="en-US" w:eastAsia="zh-CN" w:bidi="ar-SA"/>
        </w:rPr>
        <w:t>编制完成规划专题研究报告10份，规划成果电子文件10份，规划纸质成果（文本、说明书、图集及相关附件）10套，并将最新“三区三线”划定成果入库。</w:t>
      </w:r>
    </w:p>
    <w:p w14:paraId="35B3D737">
      <w:pPr>
        <w:pStyle w:val="7"/>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olor w:val="auto"/>
          <w:sz w:val="32"/>
          <w:szCs w:val="32"/>
          <w:highlight w:val="none"/>
          <w:u w:val="none"/>
        </w:rPr>
      </w:pPr>
      <w:r>
        <w:rPr>
          <w:rFonts w:hint="eastAsia" w:ascii="黑体" w:hAnsi="宋体" w:eastAsia="黑体"/>
          <w:color w:val="auto"/>
          <w:sz w:val="32"/>
          <w:szCs w:val="32"/>
          <w:highlight w:val="none"/>
          <w:u w:val="none"/>
          <w:lang w:eastAsia="zh-CN"/>
        </w:rPr>
        <w:t>四</w:t>
      </w:r>
      <w:r>
        <w:rPr>
          <w:rFonts w:hint="eastAsia" w:ascii="黑体" w:hAnsi="宋体" w:eastAsia="黑体"/>
          <w:color w:val="auto"/>
          <w:sz w:val="32"/>
          <w:szCs w:val="32"/>
          <w:highlight w:val="none"/>
          <w:u w:val="none"/>
        </w:rPr>
        <w:t>、评价结论</w:t>
      </w:r>
    </w:p>
    <w:p w14:paraId="31482250">
      <w:pPr>
        <w:keepNext w:val="0"/>
        <w:keepLines w:val="0"/>
        <w:pageBreakBefore w:val="0"/>
        <w:widowControl w:val="0"/>
        <w:kinsoku/>
        <w:wordWrap/>
        <w:overflowPunct/>
        <w:topLinePunct w:val="0"/>
        <w:autoSpaceDE/>
        <w:autoSpaceDN/>
        <w:bidi w:val="0"/>
        <w:adjustRightInd/>
        <w:snapToGrid/>
        <w:spacing w:line="576" w:lineRule="exact"/>
        <w:ind w:left="0" w:firstLine="640" w:firstLineChars="200"/>
        <w:jc w:val="both"/>
        <w:textAlignment w:val="auto"/>
        <w:rPr>
          <w:rFonts w:hint="eastAsia" w:ascii="仿宋_GB2312" w:hAnsi="宋体" w:eastAsia="仿宋_GB2312" w:cs="Times New Roman"/>
          <w:sz w:val="32"/>
          <w:szCs w:val="32"/>
        </w:rPr>
      </w:pPr>
      <w:r>
        <w:rPr>
          <w:rFonts w:hint="eastAsia" w:ascii="仿宋_GB2312" w:hAnsi="宋体" w:eastAsia="仿宋_GB2312" w:cs="Times New Roman"/>
          <w:sz w:val="32"/>
          <w:szCs w:val="32"/>
        </w:rPr>
        <w:t>按照《</w:t>
      </w:r>
      <w:r>
        <w:rPr>
          <w:rFonts w:hint="eastAsia" w:ascii="仿宋_GB2312" w:hAnsi="宋体" w:eastAsia="仿宋_GB2312" w:cs="Times New Roman"/>
          <w:sz w:val="32"/>
          <w:szCs w:val="32"/>
          <w:lang w:val="en-US" w:eastAsia="zh-CN"/>
        </w:rPr>
        <w:t>专项预算项目</w:t>
      </w:r>
      <w:r>
        <w:rPr>
          <w:rFonts w:hint="eastAsia" w:ascii="仿宋_GB2312" w:hAnsi="宋体" w:eastAsia="仿宋_GB2312" w:cs="Times New Roman"/>
          <w:sz w:val="32"/>
          <w:szCs w:val="32"/>
        </w:rPr>
        <w:t>绩效评价指标体系》，自评得分</w:t>
      </w:r>
      <w:r>
        <w:rPr>
          <w:rFonts w:hint="eastAsia" w:ascii="仿宋_GB2312" w:hAnsi="宋体" w:eastAsia="仿宋_GB2312" w:cs="Times New Roman"/>
          <w:sz w:val="32"/>
          <w:szCs w:val="32"/>
          <w:lang w:val="en-US" w:eastAsia="zh-CN"/>
        </w:rPr>
        <w:t>100</w:t>
      </w:r>
      <w:r>
        <w:rPr>
          <w:rFonts w:hint="eastAsia" w:ascii="仿宋_GB2312" w:hAnsi="宋体" w:eastAsia="仿宋_GB2312" w:cs="Times New Roman"/>
          <w:sz w:val="32"/>
          <w:szCs w:val="32"/>
        </w:rPr>
        <w:t>分。</w:t>
      </w:r>
      <w:r>
        <w:rPr>
          <w:rFonts w:hint="eastAsia" w:ascii="仿宋_GB2312" w:hAnsi="宋体" w:eastAsia="仿宋_GB2312" w:cs="Times New Roman"/>
          <w:sz w:val="32"/>
          <w:szCs w:val="32"/>
          <w:lang w:val="en-US" w:eastAsia="zh-CN"/>
        </w:rPr>
        <w:t>我</w:t>
      </w:r>
      <w:r>
        <w:rPr>
          <w:rFonts w:hint="eastAsia" w:ascii="仿宋_GB2312" w:hAnsi="宋体" w:eastAsia="仿宋_GB2312" w:cs="Times New Roman"/>
          <w:sz w:val="32"/>
          <w:szCs w:val="32"/>
        </w:rPr>
        <w:t>局严格执行财经纪律、法规和各项规章制度，加强财务管理，规范会计核算，资金高效运行。项目决策科学，依据充分，项目管理规范；绩效执行进度达到预期；项目完成效果好，实施后达到了预期目的。</w:t>
      </w:r>
    </w:p>
    <w:p w14:paraId="45DF7EF3">
      <w:pPr>
        <w:pStyle w:val="7"/>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s="Times New Roman"/>
          <w:color w:val="auto"/>
          <w:sz w:val="32"/>
          <w:szCs w:val="32"/>
          <w:highlight w:val="none"/>
          <w:u w:val="none"/>
          <w:lang w:eastAsia="zh-CN"/>
        </w:rPr>
      </w:pPr>
      <w:r>
        <w:rPr>
          <w:rFonts w:hint="eastAsia" w:ascii="黑体" w:hAnsi="宋体" w:cs="Times New Roman"/>
          <w:color w:val="auto"/>
          <w:sz w:val="32"/>
          <w:szCs w:val="32"/>
          <w:highlight w:val="none"/>
          <w:u w:val="none"/>
          <w:lang w:eastAsia="zh-CN"/>
        </w:rPr>
        <w:t>五、</w:t>
      </w:r>
      <w:r>
        <w:rPr>
          <w:rFonts w:hint="eastAsia" w:ascii="黑体" w:hAnsi="宋体" w:eastAsia="黑体" w:cs="Times New Roman"/>
          <w:color w:val="auto"/>
          <w:sz w:val="32"/>
          <w:szCs w:val="32"/>
          <w:highlight w:val="none"/>
          <w:u w:val="none"/>
          <w:lang w:eastAsia="zh-CN"/>
        </w:rPr>
        <w:t>存在主要问题</w:t>
      </w:r>
    </w:p>
    <w:p w14:paraId="6A67325A">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both"/>
        <w:textAlignment w:val="auto"/>
        <w:rPr>
          <w:rFonts w:hint="eastAsia" w:ascii="仿宋_GB2312" w:hAnsi="仿宋_GB2312" w:cs="仿宋_GB2312"/>
          <w:color w:val="auto"/>
          <w:kern w:val="0"/>
          <w:sz w:val="32"/>
          <w:szCs w:val="32"/>
          <w:highlight w:val="none"/>
          <w:u w:val="none"/>
          <w:shd w:val="clear" w:color="auto" w:fill="FFFFFF"/>
          <w:lang w:val="zh-CN" w:eastAsia="zh-CN"/>
        </w:rPr>
      </w:pPr>
      <w:r>
        <w:rPr>
          <w:rFonts w:hint="eastAsia" w:ascii="仿宋_GB2312" w:hAnsi="仿宋_GB2312" w:eastAsia="仿宋_GB2312" w:cs="仿宋_GB2312"/>
          <w:color w:val="auto"/>
          <w:kern w:val="0"/>
          <w:sz w:val="32"/>
          <w:szCs w:val="32"/>
          <w:highlight w:val="none"/>
          <w:u w:val="none"/>
          <w:shd w:val="clear" w:color="auto" w:fill="FFFFFF"/>
          <w:lang w:val="zh-CN" w:eastAsia="zh-CN"/>
        </w:rPr>
        <w:t xml:space="preserve"> </w:t>
      </w:r>
      <w:r>
        <w:rPr>
          <w:rFonts w:hint="eastAsia" w:ascii="仿宋_GB2312" w:hAnsi="仿宋_GB2312" w:cs="仿宋_GB2312"/>
          <w:color w:val="auto"/>
          <w:kern w:val="0"/>
          <w:sz w:val="32"/>
          <w:szCs w:val="32"/>
          <w:highlight w:val="none"/>
          <w:u w:val="none"/>
          <w:shd w:val="clear" w:color="auto" w:fill="FFFFFF"/>
          <w:lang w:val="en-US" w:eastAsia="zh-CN"/>
        </w:rPr>
        <w:t>无</w:t>
      </w:r>
      <w:r>
        <w:rPr>
          <w:rFonts w:hint="eastAsia" w:ascii="仿宋_GB2312" w:hAnsi="仿宋_GB2312" w:cs="仿宋_GB2312"/>
          <w:color w:val="auto"/>
          <w:kern w:val="0"/>
          <w:sz w:val="32"/>
          <w:szCs w:val="32"/>
          <w:highlight w:val="none"/>
          <w:u w:val="none"/>
          <w:shd w:val="clear" w:color="auto" w:fill="FFFFFF"/>
          <w:lang w:val="zh-CN" w:eastAsia="zh-CN"/>
        </w:rPr>
        <w:t>。</w:t>
      </w:r>
    </w:p>
    <w:p w14:paraId="7EB037F7">
      <w:pPr>
        <w:pStyle w:val="7"/>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s="Times New Roman"/>
          <w:color w:val="auto"/>
          <w:kern w:val="0"/>
          <w:position w:val="3"/>
          <w:sz w:val="32"/>
          <w:szCs w:val="32"/>
          <w:highlight w:val="none"/>
          <w:u w:val="none"/>
          <w:lang w:val="zh-CN" w:eastAsia="zh-CN" w:bidi="ar-SA"/>
        </w:rPr>
      </w:pPr>
      <w:r>
        <w:rPr>
          <w:rFonts w:hint="eastAsia" w:ascii="黑体" w:hAnsi="宋体" w:eastAsia="黑体" w:cs="Times New Roman"/>
          <w:color w:val="auto"/>
          <w:kern w:val="0"/>
          <w:position w:val="3"/>
          <w:sz w:val="32"/>
          <w:szCs w:val="32"/>
          <w:highlight w:val="none"/>
          <w:u w:val="none"/>
          <w:lang w:val="zh-CN" w:eastAsia="zh-CN" w:bidi="ar-SA"/>
        </w:rPr>
        <w:t>六、改进建议</w:t>
      </w:r>
    </w:p>
    <w:p w14:paraId="0635583B">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both"/>
        <w:textAlignment w:val="auto"/>
        <w:rPr>
          <w:rFonts w:hint="eastAsia" w:ascii="仿宋_GB2312" w:hAnsi="仿宋_GB2312" w:cs="仿宋_GB2312"/>
          <w:color w:val="auto"/>
          <w:kern w:val="0"/>
          <w:sz w:val="32"/>
          <w:szCs w:val="32"/>
          <w:highlight w:val="none"/>
          <w:u w:val="none"/>
          <w:shd w:val="clear" w:color="auto" w:fill="FFFFFF"/>
          <w:lang w:val="zh-CN" w:eastAsia="zh-CN"/>
        </w:rPr>
      </w:pPr>
      <w:r>
        <w:rPr>
          <w:rFonts w:hint="eastAsia" w:ascii="仿宋_GB2312" w:hAnsi="仿宋_GB2312" w:cs="仿宋_GB2312"/>
          <w:color w:val="auto"/>
          <w:kern w:val="0"/>
          <w:sz w:val="32"/>
          <w:szCs w:val="32"/>
          <w:highlight w:val="none"/>
          <w:u w:val="none"/>
          <w:shd w:val="clear" w:color="auto" w:fill="FFFFFF"/>
          <w:lang w:val="en-US" w:eastAsia="zh-CN"/>
        </w:rPr>
        <w:t>无</w:t>
      </w:r>
      <w:r>
        <w:rPr>
          <w:rFonts w:hint="eastAsia" w:ascii="仿宋_GB2312" w:hAnsi="仿宋_GB2312" w:cs="仿宋_GB2312"/>
          <w:color w:val="auto"/>
          <w:kern w:val="0"/>
          <w:sz w:val="32"/>
          <w:szCs w:val="32"/>
          <w:highlight w:val="none"/>
          <w:u w:val="none"/>
          <w:shd w:val="clear" w:color="auto" w:fill="FFFFFF"/>
          <w:lang w:val="zh-CN" w:eastAsia="zh-CN"/>
        </w:rPr>
        <w:t>。</w:t>
      </w:r>
    </w:p>
    <w:p w14:paraId="125A0691">
      <w:pPr>
        <w:tabs>
          <w:tab w:val="left" w:pos="1911"/>
        </w:tabs>
        <w:jc w:val="left"/>
        <w:rPr>
          <w:rFonts w:hint="eastAsia" w:ascii="仿宋_GB2312" w:hAnsi="仿宋_GB2312" w:eastAsia="仿宋_GB2312" w:cs="仿宋_GB2312"/>
          <w:b w:val="0"/>
          <w:bCs w:val="0"/>
          <w:kern w:val="0"/>
          <w:position w:val="0"/>
          <w:sz w:val="32"/>
          <w:szCs w:val="32"/>
          <w:highlight w:val="none"/>
          <w:lang w:val="en" w:eastAsia="zh-CN" w:bidi="ar-SA"/>
        </w:rPr>
      </w:pPr>
    </w:p>
    <w:p w14:paraId="6A003759">
      <w:pPr>
        <w:keepNext w:val="0"/>
        <w:keepLines w:val="0"/>
        <w:pageBreakBefore w:val="0"/>
        <w:widowControl w:val="0"/>
        <w:kinsoku/>
        <w:wordWrap/>
        <w:overflowPunct/>
        <w:topLinePunct w:val="0"/>
        <w:autoSpaceDE/>
        <w:autoSpaceDN/>
        <w:bidi w:val="0"/>
        <w:adjustRightInd/>
        <w:snapToGrid/>
        <w:spacing w:line="576" w:lineRule="exact"/>
        <w:ind w:left="0" w:firstLine="640" w:firstLineChars="200"/>
        <w:jc w:val="both"/>
        <w:textAlignment w:val="auto"/>
        <w:rPr>
          <w:rFonts w:hint="eastAsia" w:ascii="仿宋_GB2312" w:hAnsi="宋体" w:eastAsia="仿宋_GB2312" w:cs="Times New Roman"/>
          <w:sz w:val="32"/>
          <w:szCs w:val="32"/>
          <w:lang w:val="zh-CN" w:eastAsia="zh-CN"/>
        </w:rPr>
      </w:pPr>
    </w:p>
    <w:p w14:paraId="09207EE7">
      <w:pPr>
        <w:keepNext w:val="0"/>
        <w:keepLines w:val="0"/>
        <w:pageBreakBefore w:val="0"/>
        <w:widowControl w:val="0"/>
        <w:kinsoku/>
        <w:wordWrap/>
        <w:overflowPunct/>
        <w:topLinePunct w:val="0"/>
        <w:autoSpaceDE/>
        <w:autoSpaceDN/>
        <w:bidi w:val="0"/>
        <w:adjustRightInd/>
        <w:snapToGrid/>
        <w:spacing w:line="576" w:lineRule="exact"/>
        <w:ind w:left="0" w:firstLine="640" w:firstLineChars="200"/>
        <w:jc w:val="both"/>
        <w:textAlignment w:val="auto"/>
        <w:rPr>
          <w:rFonts w:hint="eastAsia" w:ascii="仿宋_GB2312" w:hAnsi="宋体" w:eastAsia="仿宋_GB2312" w:cs="Times New Roman"/>
          <w:sz w:val="32"/>
          <w:szCs w:val="32"/>
          <w:lang w:val="en-US" w:eastAsia="zh-CN"/>
        </w:rPr>
      </w:pPr>
      <w:r>
        <w:rPr>
          <w:rFonts w:hint="eastAsia" w:ascii="仿宋_GB2312" w:hAnsi="宋体" w:eastAsia="仿宋_GB2312" w:cs="Times New Roman"/>
          <w:sz w:val="32"/>
          <w:szCs w:val="32"/>
          <w:lang w:val="en-US" w:eastAsia="zh-CN"/>
        </w:rPr>
        <w:t>附表：1.项目资金分配涉及所有点位自评得分情况表</w:t>
      </w:r>
    </w:p>
    <w:p w14:paraId="5AE9B62D">
      <w:pPr>
        <w:keepNext w:val="0"/>
        <w:keepLines w:val="0"/>
        <w:pageBreakBefore w:val="0"/>
        <w:widowControl w:val="0"/>
        <w:kinsoku/>
        <w:wordWrap/>
        <w:overflowPunct/>
        <w:topLinePunct w:val="0"/>
        <w:autoSpaceDE/>
        <w:autoSpaceDN/>
        <w:bidi w:val="0"/>
        <w:adjustRightInd/>
        <w:snapToGrid/>
        <w:spacing w:line="576" w:lineRule="exact"/>
        <w:ind w:left="0" w:firstLine="1920" w:firstLineChars="600"/>
        <w:jc w:val="both"/>
        <w:textAlignment w:val="auto"/>
        <w:rPr>
          <w:rFonts w:hint="eastAsia" w:ascii="仿宋_GB2312" w:hAnsi="宋体" w:eastAsia="仿宋_GB2312" w:cs="Times New Roman"/>
          <w:sz w:val="32"/>
          <w:szCs w:val="32"/>
          <w:lang w:val="en-US" w:eastAsia="zh-CN"/>
        </w:rPr>
      </w:pPr>
      <w:r>
        <w:rPr>
          <w:rFonts w:hint="eastAsia" w:ascii="仿宋_GB2312" w:hAnsi="宋体" w:eastAsia="仿宋_GB2312" w:cs="Times New Roman"/>
          <w:sz w:val="32"/>
          <w:szCs w:val="32"/>
          <w:lang w:val="en-US" w:eastAsia="zh-CN"/>
        </w:rPr>
        <w:t>专项预算项目绩效目标完成情况自评表</w:t>
      </w:r>
    </w:p>
    <w:p w14:paraId="0B99FC6C">
      <w:pPr>
        <w:keepNext w:val="0"/>
        <w:keepLines w:val="0"/>
        <w:pageBreakBefore w:val="0"/>
        <w:widowControl w:val="0"/>
        <w:kinsoku/>
        <w:wordWrap/>
        <w:overflowPunct/>
        <w:topLinePunct w:val="0"/>
        <w:autoSpaceDE/>
        <w:autoSpaceDN/>
        <w:bidi w:val="0"/>
        <w:adjustRightInd/>
        <w:snapToGrid/>
        <w:spacing w:line="576" w:lineRule="exact"/>
        <w:ind w:left="0" w:firstLine="640" w:firstLineChars="200"/>
        <w:jc w:val="both"/>
        <w:textAlignment w:val="auto"/>
        <w:rPr>
          <w:rFonts w:hint="default" w:ascii="仿宋_GB2312" w:hAnsi="宋体" w:eastAsia="仿宋_GB2312" w:cs="Times New Roman"/>
          <w:sz w:val="32"/>
          <w:szCs w:val="32"/>
          <w:lang w:val="en-US" w:eastAsia="zh-CN"/>
        </w:rPr>
      </w:pPr>
    </w:p>
    <w:p w14:paraId="60C62DF1">
      <w:pPr>
        <w:pStyle w:val="2"/>
        <w:rPr>
          <w:rFonts w:hint="default"/>
          <w:lang w:val="en-US" w:eastAsia="zh-CN"/>
        </w:rPr>
      </w:pPr>
    </w:p>
    <w:p w14:paraId="5678CA36">
      <w:pPr>
        <w:keepNext w:val="0"/>
        <w:keepLines w:val="0"/>
        <w:pageBreakBefore w:val="0"/>
        <w:widowControl w:val="0"/>
        <w:kinsoku/>
        <w:wordWrap/>
        <w:overflowPunct/>
        <w:topLinePunct w:val="0"/>
        <w:autoSpaceDE/>
        <w:autoSpaceDN/>
        <w:bidi w:val="0"/>
        <w:adjustRightInd/>
        <w:snapToGrid/>
        <w:spacing w:line="576" w:lineRule="exact"/>
        <w:ind w:left="0" w:firstLine="640" w:firstLineChars="200"/>
        <w:jc w:val="both"/>
        <w:textAlignment w:val="auto"/>
        <w:rPr>
          <w:rFonts w:hint="eastAsia" w:ascii="仿宋_GB2312" w:hAnsi="宋体" w:eastAsia="仿宋_GB2312" w:cs="Times New Roman"/>
          <w:sz w:val="32"/>
          <w:szCs w:val="32"/>
          <w:lang w:val="en-US" w:eastAsia="zh-CN"/>
        </w:rPr>
      </w:pPr>
      <w:r>
        <w:rPr>
          <w:rFonts w:hint="eastAsia" w:ascii="仿宋_GB2312" w:hAnsi="宋体" w:eastAsia="仿宋_GB2312" w:cs="Times New Roman"/>
          <w:sz w:val="32"/>
          <w:szCs w:val="32"/>
          <w:lang w:val="en-US" w:eastAsia="zh-CN"/>
        </w:rPr>
        <w:t xml:space="preserve">                   广元市自然资源局</w:t>
      </w:r>
    </w:p>
    <w:p w14:paraId="73EBD911">
      <w:pPr>
        <w:keepNext w:val="0"/>
        <w:keepLines w:val="0"/>
        <w:pageBreakBefore w:val="0"/>
        <w:widowControl w:val="0"/>
        <w:kinsoku/>
        <w:wordWrap/>
        <w:overflowPunct/>
        <w:topLinePunct w:val="0"/>
        <w:autoSpaceDE/>
        <w:autoSpaceDN/>
        <w:bidi w:val="0"/>
        <w:adjustRightInd/>
        <w:snapToGrid/>
        <w:spacing w:line="576" w:lineRule="exact"/>
        <w:ind w:left="0" w:firstLine="640" w:firstLineChars="200"/>
        <w:jc w:val="both"/>
        <w:textAlignment w:val="auto"/>
        <w:rPr>
          <w:rFonts w:hint="default" w:ascii="仿宋_GB2312" w:hAnsi="宋体" w:eastAsia="仿宋_GB2312" w:cs="Times New Roman"/>
          <w:sz w:val="32"/>
          <w:szCs w:val="32"/>
          <w:lang w:val="en-US" w:eastAsia="zh-CN"/>
        </w:rPr>
      </w:pPr>
      <w:r>
        <w:rPr>
          <w:rFonts w:hint="eastAsia" w:ascii="仿宋_GB2312" w:hAnsi="宋体" w:eastAsia="仿宋_GB2312" w:cs="Times New Roman"/>
          <w:sz w:val="32"/>
          <w:szCs w:val="32"/>
          <w:lang w:val="en-US" w:eastAsia="zh-CN"/>
        </w:rPr>
        <w:t xml:space="preserve">                   2024年8月4日</w:t>
      </w:r>
    </w:p>
    <w:p w14:paraId="5E9D0359">
      <w:pPr>
        <w:keepNext w:val="0"/>
        <w:keepLines w:val="0"/>
        <w:pageBreakBefore w:val="0"/>
        <w:widowControl w:val="0"/>
        <w:kinsoku/>
        <w:wordWrap/>
        <w:overflowPunct/>
        <w:topLinePunct w:val="0"/>
        <w:autoSpaceDE/>
        <w:autoSpaceDN/>
        <w:bidi w:val="0"/>
        <w:adjustRightInd/>
        <w:snapToGrid/>
        <w:spacing w:line="576" w:lineRule="exact"/>
        <w:ind w:left="0" w:firstLine="640" w:firstLineChars="200"/>
        <w:jc w:val="both"/>
        <w:textAlignment w:val="auto"/>
        <w:rPr>
          <w:rFonts w:hint="eastAsia" w:ascii="仿宋_GB2312" w:hAnsi="宋体" w:eastAsia="仿宋_GB2312" w:cs="Times New Roman"/>
          <w:sz w:val="32"/>
          <w:szCs w:val="32"/>
          <w:lang w:val="zh-CN" w:eastAsia="zh-CN"/>
        </w:rPr>
      </w:pPr>
      <w:r>
        <w:rPr>
          <w:rFonts w:hint="eastAsia" w:ascii="仿宋_GB2312" w:hAnsi="宋体" w:eastAsia="仿宋_GB2312" w:cs="Times New Roman"/>
          <w:sz w:val="32"/>
          <w:szCs w:val="32"/>
          <w:lang w:val="zh-CN" w:eastAsia="zh-CN"/>
        </w:rPr>
        <w:br w:type="page"/>
      </w:r>
    </w:p>
    <w:p w14:paraId="41D2035C">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contextualSpacing/>
        <w:jc w:val="left"/>
        <w:textAlignment w:val="auto"/>
        <w:rPr>
          <w:rFonts w:hint="eastAsia" w:ascii="黑体" w:hAnsi="黑体" w:eastAsia="黑体" w:cs="黑体"/>
          <w:b w:val="0"/>
          <w:bCs w:val="0"/>
          <w:color w:val="auto"/>
          <w:kern w:val="0"/>
          <w:sz w:val="32"/>
          <w:szCs w:val="32"/>
          <w:highlight w:val="none"/>
          <w:u w:val="none"/>
          <w:shd w:val="clear" w:color="auto" w:fill="FFFFFF"/>
          <w:lang w:val="zh-CN" w:eastAsia="zh-CN"/>
        </w:rPr>
      </w:pPr>
      <w:r>
        <w:rPr>
          <w:rFonts w:hint="eastAsia" w:ascii="黑体" w:hAnsi="黑体" w:eastAsia="黑体" w:cs="黑体"/>
          <w:b w:val="0"/>
          <w:bCs w:val="0"/>
          <w:color w:val="auto"/>
          <w:kern w:val="0"/>
          <w:sz w:val="32"/>
          <w:szCs w:val="32"/>
          <w:highlight w:val="none"/>
          <w:u w:val="none"/>
          <w:shd w:val="clear" w:color="auto" w:fill="FFFFFF"/>
          <w:lang w:val="zh-CN" w:eastAsia="zh-CN"/>
        </w:rPr>
        <w:t>附表</w:t>
      </w:r>
      <w:r>
        <w:rPr>
          <w:rFonts w:hint="eastAsia" w:ascii="黑体" w:hAnsi="黑体" w:eastAsia="黑体" w:cs="黑体"/>
          <w:b w:val="0"/>
          <w:bCs w:val="0"/>
          <w:color w:val="auto"/>
          <w:kern w:val="0"/>
          <w:sz w:val="32"/>
          <w:szCs w:val="32"/>
          <w:highlight w:val="none"/>
          <w:u w:val="none"/>
          <w:shd w:val="clear" w:color="auto" w:fill="FFFFFF"/>
          <w:lang w:val="en-US" w:eastAsia="zh-CN"/>
        </w:rPr>
        <w:t>1</w:t>
      </w:r>
    </w:p>
    <w:p w14:paraId="1E7F8ADB">
      <w:pPr>
        <w:keepNext w:val="0"/>
        <w:keepLines w:val="0"/>
        <w:pageBreakBefore w:val="0"/>
        <w:widowControl w:val="0"/>
        <w:kinsoku/>
        <w:wordWrap/>
        <w:overflowPunct/>
        <w:topLinePunct w:val="0"/>
        <w:autoSpaceDE/>
        <w:autoSpaceDN/>
        <w:bidi w:val="0"/>
        <w:adjustRightInd/>
        <w:snapToGrid/>
        <w:spacing w:line="560" w:lineRule="exact"/>
        <w:ind w:left="0" w:leftChars="0"/>
        <w:jc w:val="center"/>
        <w:textAlignment w:val="auto"/>
        <w:outlineLvl w:val="9"/>
        <w:rPr>
          <w:rFonts w:hint="eastAsia" w:ascii="方正小标宋_GBK" w:hAnsi="方正小标宋_GBK" w:eastAsia="方正小标宋_GBK" w:cs="方正小标宋_GBK"/>
          <w:b w:val="0"/>
          <w:bCs w:val="0"/>
          <w:color w:val="auto"/>
          <w:sz w:val="44"/>
          <w:szCs w:val="44"/>
          <w:highlight w:val="none"/>
          <w:u w:val="none"/>
          <w:vertAlign w:val="baseline"/>
          <w:lang w:val="en-US" w:eastAsia="zh-CN"/>
        </w:rPr>
      </w:pPr>
      <w:r>
        <w:rPr>
          <w:rFonts w:hint="eastAsia" w:ascii="方正小标宋_GBK" w:hAnsi="方正小标宋_GBK" w:eastAsia="方正小标宋_GBK" w:cs="方正小标宋_GBK"/>
          <w:b w:val="0"/>
          <w:bCs w:val="0"/>
          <w:color w:val="auto"/>
          <w:sz w:val="44"/>
          <w:szCs w:val="44"/>
          <w:highlight w:val="none"/>
          <w:u w:val="none"/>
          <w:vertAlign w:val="baseline"/>
          <w:lang w:val="en-US" w:eastAsia="zh-CN"/>
        </w:rPr>
        <w:t>项目资金分配涉及所有点位自评得分情况表</w:t>
      </w:r>
    </w:p>
    <w:tbl>
      <w:tblPr>
        <w:tblStyle w:val="18"/>
        <w:tblW w:w="88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3"/>
        <w:gridCol w:w="5020"/>
        <w:gridCol w:w="210"/>
        <w:gridCol w:w="1474"/>
        <w:gridCol w:w="993"/>
      </w:tblGrid>
      <w:tr w14:paraId="57E4C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03E11D70">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序号</w:t>
            </w:r>
          </w:p>
        </w:tc>
        <w:tc>
          <w:tcPr>
            <w:tcW w:w="5230" w:type="dxa"/>
            <w:gridSpan w:val="2"/>
            <w:vAlign w:val="top"/>
          </w:tcPr>
          <w:p w14:paraId="7A24FCC9">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项目资金末端分配点位</w:t>
            </w:r>
          </w:p>
        </w:tc>
        <w:tc>
          <w:tcPr>
            <w:tcW w:w="1474" w:type="dxa"/>
            <w:vAlign w:val="top"/>
          </w:tcPr>
          <w:p w14:paraId="31E20FFA">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 w:eastAsia="zh-CN"/>
              </w:rPr>
              <w:t>自评得分（百分制）</w:t>
            </w:r>
          </w:p>
        </w:tc>
        <w:tc>
          <w:tcPr>
            <w:tcW w:w="993" w:type="dxa"/>
            <w:vAlign w:val="top"/>
          </w:tcPr>
          <w:p w14:paraId="7656F818">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备注</w:t>
            </w:r>
          </w:p>
        </w:tc>
      </w:tr>
      <w:tr w14:paraId="44114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331B9289">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1</w:t>
            </w:r>
          </w:p>
        </w:tc>
        <w:tc>
          <w:tcPr>
            <w:tcW w:w="5020" w:type="dxa"/>
            <w:vAlign w:val="top"/>
          </w:tcPr>
          <w:p w14:paraId="08BCA08F">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中国城市规划研究院西部分院</w:t>
            </w:r>
          </w:p>
        </w:tc>
        <w:tc>
          <w:tcPr>
            <w:tcW w:w="1684" w:type="dxa"/>
            <w:gridSpan w:val="2"/>
            <w:vAlign w:val="top"/>
          </w:tcPr>
          <w:p w14:paraId="15C73F81">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100</w:t>
            </w:r>
          </w:p>
        </w:tc>
        <w:tc>
          <w:tcPr>
            <w:tcW w:w="993" w:type="dxa"/>
            <w:vAlign w:val="top"/>
          </w:tcPr>
          <w:p w14:paraId="004FF004">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r>
      <w:tr w14:paraId="7D99C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28A32372">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2</w:t>
            </w:r>
          </w:p>
        </w:tc>
        <w:tc>
          <w:tcPr>
            <w:tcW w:w="5020" w:type="dxa"/>
            <w:vAlign w:val="top"/>
          </w:tcPr>
          <w:p w14:paraId="0E95AE25">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p>
        </w:tc>
        <w:tc>
          <w:tcPr>
            <w:tcW w:w="1684" w:type="dxa"/>
            <w:gridSpan w:val="2"/>
            <w:vAlign w:val="top"/>
          </w:tcPr>
          <w:p w14:paraId="364D02B0">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p>
        </w:tc>
        <w:tc>
          <w:tcPr>
            <w:tcW w:w="993" w:type="dxa"/>
            <w:vAlign w:val="top"/>
          </w:tcPr>
          <w:p w14:paraId="4743DB5E">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r>
      <w:tr w14:paraId="3E5A9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42DA6593">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3</w:t>
            </w:r>
          </w:p>
        </w:tc>
        <w:tc>
          <w:tcPr>
            <w:tcW w:w="5020" w:type="dxa"/>
            <w:vAlign w:val="top"/>
          </w:tcPr>
          <w:p w14:paraId="6BF634BE">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 w:eastAsia="zh-CN"/>
              </w:rPr>
            </w:pPr>
          </w:p>
        </w:tc>
        <w:tc>
          <w:tcPr>
            <w:tcW w:w="1684" w:type="dxa"/>
            <w:gridSpan w:val="2"/>
            <w:vAlign w:val="top"/>
          </w:tcPr>
          <w:p w14:paraId="197542C5">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 w:eastAsia="zh-CN"/>
              </w:rPr>
            </w:pPr>
          </w:p>
        </w:tc>
        <w:tc>
          <w:tcPr>
            <w:tcW w:w="993" w:type="dxa"/>
            <w:vAlign w:val="top"/>
          </w:tcPr>
          <w:p w14:paraId="7E9CE8E1">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r>
      <w:tr w14:paraId="3310C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49ED8833">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4</w:t>
            </w:r>
          </w:p>
        </w:tc>
        <w:tc>
          <w:tcPr>
            <w:tcW w:w="5020" w:type="dxa"/>
            <w:vAlign w:val="top"/>
          </w:tcPr>
          <w:p w14:paraId="3D02EDF1">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 w:eastAsia="zh-CN"/>
              </w:rPr>
            </w:pPr>
          </w:p>
        </w:tc>
        <w:tc>
          <w:tcPr>
            <w:tcW w:w="1684" w:type="dxa"/>
            <w:gridSpan w:val="2"/>
            <w:vAlign w:val="top"/>
          </w:tcPr>
          <w:p w14:paraId="2E32F93F">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 w:eastAsia="zh-CN"/>
              </w:rPr>
            </w:pPr>
          </w:p>
        </w:tc>
        <w:tc>
          <w:tcPr>
            <w:tcW w:w="993" w:type="dxa"/>
            <w:vAlign w:val="top"/>
          </w:tcPr>
          <w:p w14:paraId="4ED1B2E7">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r>
      <w:tr w14:paraId="69559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45385D5C">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5</w:t>
            </w:r>
          </w:p>
        </w:tc>
        <w:tc>
          <w:tcPr>
            <w:tcW w:w="5020" w:type="dxa"/>
            <w:vAlign w:val="top"/>
          </w:tcPr>
          <w:p w14:paraId="27A91AB5">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 w:eastAsia="zh-CN"/>
              </w:rPr>
            </w:pPr>
          </w:p>
        </w:tc>
        <w:tc>
          <w:tcPr>
            <w:tcW w:w="1684" w:type="dxa"/>
            <w:gridSpan w:val="2"/>
            <w:vAlign w:val="top"/>
          </w:tcPr>
          <w:p w14:paraId="26CEB030">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 w:eastAsia="zh-CN"/>
              </w:rPr>
            </w:pPr>
          </w:p>
        </w:tc>
        <w:tc>
          <w:tcPr>
            <w:tcW w:w="993" w:type="dxa"/>
            <w:vAlign w:val="top"/>
          </w:tcPr>
          <w:p w14:paraId="76C8AFD7">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r>
      <w:tr w14:paraId="38255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5A03F7CD">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6</w:t>
            </w:r>
          </w:p>
        </w:tc>
        <w:tc>
          <w:tcPr>
            <w:tcW w:w="5020" w:type="dxa"/>
            <w:vAlign w:val="top"/>
          </w:tcPr>
          <w:p w14:paraId="4326C1F2">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 w:eastAsia="zh-CN"/>
              </w:rPr>
            </w:pPr>
          </w:p>
        </w:tc>
        <w:tc>
          <w:tcPr>
            <w:tcW w:w="1684" w:type="dxa"/>
            <w:gridSpan w:val="2"/>
            <w:vAlign w:val="top"/>
          </w:tcPr>
          <w:p w14:paraId="613AFEB4">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 w:eastAsia="zh-CN"/>
              </w:rPr>
            </w:pPr>
          </w:p>
        </w:tc>
        <w:tc>
          <w:tcPr>
            <w:tcW w:w="993" w:type="dxa"/>
            <w:vAlign w:val="top"/>
          </w:tcPr>
          <w:p w14:paraId="56ABF1CD">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r>
      <w:tr w14:paraId="4E2DC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6CEA95BB">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7</w:t>
            </w:r>
          </w:p>
        </w:tc>
        <w:tc>
          <w:tcPr>
            <w:tcW w:w="5020" w:type="dxa"/>
            <w:vAlign w:val="top"/>
          </w:tcPr>
          <w:p w14:paraId="38DD16A0">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 w:eastAsia="zh-CN"/>
              </w:rPr>
            </w:pPr>
          </w:p>
        </w:tc>
        <w:tc>
          <w:tcPr>
            <w:tcW w:w="1684" w:type="dxa"/>
            <w:gridSpan w:val="2"/>
            <w:vAlign w:val="top"/>
          </w:tcPr>
          <w:p w14:paraId="0CAF9E43">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 w:eastAsia="zh-CN"/>
              </w:rPr>
            </w:pPr>
          </w:p>
        </w:tc>
        <w:tc>
          <w:tcPr>
            <w:tcW w:w="993" w:type="dxa"/>
            <w:vAlign w:val="top"/>
          </w:tcPr>
          <w:p w14:paraId="4D6978C5">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r>
      <w:tr w14:paraId="2C19C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583CBCA3">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8</w:t>
            </w:r>
          </w:p>
        </w:tc>
        <w:tc>
          <w:tcPr>
            <w:tcW w:w="5020" w:type="dxa"/>
            <w:vAlign w:val="top"/>
          </w:tcPr>
          <w:p w14:paraId="4B587018">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 w:eastAsia="zh-CN"/>
              </w:rPr>
            </w:pPr>
          </w:p>
        </w:tc>
        <w:tc>
          <w:tcPr>
            <w:tcW w:w="1684" w:type="dxa"/>
            <w:gridSpan w:val="2"/>
            <w:vAlign w:val="top"/>
          </w:tcPr>
          <w:p w14:paraId="547EBA81">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 w:eastAsia="zh-CN"/>
              </w:rPr>
            </w:pPr>
          </w:p>
        </w:tc>
        <w:tc>
          <w:tcPr>
            <w:tcW w:w="993" w:type="dxa"/>
            <w:vAlign w:val="top"/>
          </w:tcPr>
          <w:p w14:paraId="3C8104CB">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r>
      <w:tr w14:paraId="6F3B6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48755F60">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w:t>
            </w:r>
          </w:p>
        </w:tc>
        <w:tc>
          <w:tcPr>
            <w:tcW w:w="5020" w:type="dxa"/>
            <w:vAlign w:val="top"/>
          </w:tcPr>
          <w:p w14:paraId="06F5FE81">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 w:eastAsia="zh-CN"/>
              </w:rPr>
            </w:pPr>
          </w:p>
        </w:tc>
        <w:tc>
          <w:tcPr>
            <w:tcW w:w="1684" w:type="dxa"/>
            <w:gridSpan w:val="2"/>
            <w:vAlign w:val="top"/>
          </w:tcPr>
          <w:p w14:paraId="474373A4">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 w:eastAsia="zh-CN"/>
              </w:rPr>
            </w:pPr>
          </w:p>
        </w:tc>
        <w:tc>
          <w:tcPr>
            <w:tcW w:w="993" w:type="dxa"/>
            <w:vAlign w:val="top"/>
          </w:tcPr>
          <w:p w14:paraId="223FA5EC">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r>
    </w:tbl>
    <w:p w14:paraId="51EA6E76">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备注：1.项目资金末端分配点位包括市本级、县（区）、市级部门下属单位及一次性单位等。</w:t>
      </w:r>
    </w:p>
    <w:p w14:paraId="0FB3CA8C">
      <w:pPr>
        <w:keepNext w:val="0"/>
        <w:keepLines w:val="0"/>
        <w:pageBreakBefore w:val="0"/>
        <w:widowControl w:val="0"/>
        <w:kinsoku/>
        <w:wordWrap/>
        <w:overflowPunct/>
        <w:topLinePunct w:val="0"/>
        <w:autoSpaceDE/>
        <w:autoSpaceDN/>
        <w:bidi w:val="0"/>
        <w:adjustRightInd/>
        <w:snapToGrid/>
        <w:spacing w:line="400" w:lineRule="exact"/>
        <w:ind w:left="0" w:leftChars="0" w:firstLine="720" w:firstLineChars="300"/>
        <w:jc w:val="left"/>
        <w:textAlignment w:val="auto"/>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2.自评得分（百分制）从高到低划分为优、良、中、差四个档次，各个档次数量占比分别为20%、20%、55%、5%，且不同档次间得分分值应体现差异化，同档次得分分值相同的比例不超过该档次总数量的10%。</w:t>
      </w:r>
    </w:p>
    <w:p w14:paraId="0FFA769E">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br w:type="page"/>
      </w:r>
    </w:p>
    <w:p w14:paraId="1B14D15D">
      <w:pPr>
        <w:pStyle w:val="16"/>
        <w:keepNext w:val="0"/>
        <w:keepLines w:val="0"/>
        <w:pageBreakBefore w:val="0"/>
        <w:kinsoku/>
        <w:wordWrap/>
        <w:overflowPunct/>
        <w:topLinePunct w:val="0"/>
        <w:autoSpaceDE/>
        <w:autoSpaceDN/>
        <w:bidi w:val="0"/>
        <w:spacing w:after="0" w:line="578" w:lineRule="exact"/>
        <w:ind w:left="0" w:leftChars="0" w:firstLine="0" w:firstLineChars="0"/>
        <w:rPr>
          <w:rFonts w:hint="default" w:ascii="Times New Roman" w:hAnsi="Times New Roman" w:eastAsia="黑体" w:cs="Times New Roman"/>
          <w:kern w:val="2"/>
          <w:sz w:val="32"/>
          <w:szCs w:val="24"/>
          <w:highlight w:val="none"/>
          <w:lang w:val="en-US" w:eastAsia="zh-CN" w:bidi="ar-SA"/>
        </w:rPr>
      </w:pPr>
      <w:r>
        <w:rPr>
          <w:rFonts w:hint="default" w:ascii="Times New Roman" w:hAnsi="Times New Roman" w:eastAsia="黑体" w:cs="Times New Roman"/>
          <w:kern w:val="2"/>
          <w:sz w:val="32"/>
          <w:szCs w:val="24"/>
          <w:highlight w:val="none"/>
          <w:lang w:val="en-US" w:eastAsia="zh-CN" w:bidi="ar-SA"/>
        </w:rPr>
        <w:t>附表2</w:t>
      </w:r>
    </w:p>
    <w:p w14:paraId="3BA80C38">
      <w:pPr>
        <w:keepNext w:val="0"/>
        <w:keepLines w:val="0"/>
        <w:pageBreakBefore w:val="0"/>
        <w:widowControl w:val="0"/>
        <w:kinsoku/>
        <w:wordWrap/>
        <w:overflowPunct/>
        <w:topLinePunct w:val="0"/>
        <w:autoSpaceDE/>
        <w:autoSpaceDN/>
        <w:bidi w:val="0"/>
        <w:adjustRightInd/>
        <w:snapToGrid/>
        <w:spacing w:line="560" w:lineRule="exact"/>
        <w:ind w:left="0" w:leftChars="0"/>
        <w:jc w:val="center"/>
        <w:textAlignment w:val="auto"/>
        <w:outlineLvl w:val="9"/>
        <w:rPr>
          <w:rFonts w:hint="default" w:ascii="方正小标宋_GBK" w:hAnsi="方正小标宋_GBK" w:eastAsia="方正小标宋_GBK" w:cs="方正小标宋_GBK"/>
          <w:b w:val="0"/>
          <w:bCs w:val="0"/>
          <w:color w:val="auto"/>
          <w:sz w:val="44"/>
          <w:szCs w:val="44"/>
          <w:highlight w:val="none"/>
          <w:u w:val="none"/>
          <w:vertAlign w:val="baseline"/>
          <w:lang w:val="en-US" w:eastAsia="zh-CN"/>
        </w:rPr>
      </w:pPr>
      <w:r>
        <w:rPr>
          <w:rFonts w:hint="eastAsia" w:ascii="方正小标宋_GBK" w:hAnsi="方正小标宋_GBK" w:eastAsia="方正小标宋_GBK" w:cs="方正小标宋_GBK"/>
          <w:b w:val="0"/>
          <w:bCs w:val="0"/>
          <w:color w:val="auto"/>
          <w:sz w:val="44"/>
          <w:szCs w:val="44"/>
          <w:highlight w:val="none"/>
          <w:u w:val="none"/>
          <w:vertAlign w:val="baseline"/>
          <w:lang w:val="en-US" w:eastAsia="zh-CN"/>
        </w:rPr>
        <w:t>专项预算项目绩效目标完成情况自评表</w:t>
      </w:r>
    </w:p>
    <w:tbl>
      <w:tblPr>
        <w:tblStyle w:val="17"/>
        <w:tblW w:w="941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597"/>
        <w:gridCol w:w="996"/>
        <w:gridCol w:w="1147"/>
        <w:gridCol w:w="1212"/>
        <w:gridCol w:w="1036"/>
        <w:gridCol w:w="889"/>
        <w:gridCol w:w="395"/>
        <w:gridCol w:w="585"/>
        <w:gridCol w:w="861"/>
        <w:gridCol w:w="1701"/>
      </w:tblGrid>
      <w:tr w14:paraId="37B64A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 w:hRule="atLeast"/>
          <w:jc w:val="center"/>
        </w:trPr>
        <w:tc>
          <w:tcPr>
            <w:tcW w:w="3952"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F3034F0">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项目名称</w:t>
            </w:r>
          </w:p>
        </w:tc>
        <w:tc>
          <w:tcPr>
            <w:tcW w:w="546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E5D2E3D">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广元市国土空间总体规划编制服务费</w:t>
            </w:r>
          </w:p>
        </w:tc>
      </w:tr>
      <w:tr w14:paraId="552B12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 w:hRule="atLeast"/>
          <w:jc w:val="center"/>
        </w:trPr>
        <w:tc>
          <w:tcPr>
            <w:tcW w:w="3952"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31F36DB">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预算单位</w:t>
            </w:r>
          </w:p>
        </w:tc>
        <w:tc>
          <w:tcPr>
            <w:tcW w:w="546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3C2640C">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广元市自然资源局</w:t>
            </w:r>
          </w:p>
        </w:tc>
      </w:tr>
      <w:tr w14:paraId="2864F2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 w:hRule="atLeast"/>
          <w:jc w:val="center"/>
        </w:trPr>
        <w:tc>
          <w:tcPr>
            <w:tcW w:w="3952"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5F59C2B">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项目类型</w:t>
            </w:r>
          </w:p>
        </w:tc>
        <w:tc>
          <w:tcPr>
            <w:tcW w:w="546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0542BB9">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专项预算项目</w:t>
            </w:r>
          </w:p>
        </w:tc>
      </w:tr>
      <w:tr w14:paraId="4279CB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 w:hRule="atLeast"/>
          <w:jc w:val="center"/>
        </w:trPr>
        <w:tc>
          <w:tcPr>
            <w:tcW w:w="59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3C55BE">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项目 概况</w:t>
            </w:r>
          </w:p>
        </w:tc>
        <w:tc>
          <w:tcPr>
            <w:tcW w:w="33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A19A6DE">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中长期规划（名称、文号，仅指</w:t>
            </w:r>
          </w:p>
          <w:p w14:paraId="464E72F0">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常年项目）</w:t>
            </w:r>
          </w:p>
        </w:tc>
        <w:tc>
          <w:tcPr>
            <w:tcW w:w="546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5FD6B00">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w:t>
            </w:r>
          </w:p>
        </w:tc>
      </w:tr>
      <w:tr w14:paraId="1872CD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 w:hRule="atLeast"/>
          <w:jc w:val="center"/>
        </w:trPr>
        <w:tc>
          <w:tcPr>
            <w:tcW w:w="5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CD5DB5">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33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11F5FF9">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资金管理办法（名称、文号）</w:t>
            </w:r>
          </w:p>
        </w:tc>
        <w:tc>
          <w:tcPr>
            <w:tcW w:w="546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CA299FF">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广元市自然资源局财务管理制度</w:t>
            </w:r>
          </w:p>
        </w:tc>
      </w:tr>
      <w:tr w14:paraId="7209FE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 w:hRule="atLeast"/>
          <w:jc w:val="center"/>
        </w:trPr>
        <w:tc>
          <w:tcPr>
            <w:tcW w:w="5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F99512">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33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A9A11EF">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绩效分配方式</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A6FA4">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default" w:ascii="仿宋_GB2312" w:hAnsi="仿宋_GB2312" w:eastAsia="仿宋_GB2312" w:cs="仿宋_GB2312"/>
                <w:b w:val="0"/>
                <w:bCs w:val="0"/>
                <w:color w:val="auto"/>
                <w:sz w:val="24"/>
                <w:szCs w:val="24"/>
                <w:highlight w:val="none"/>
                <w:u w:val="none"/>
                <w:vertAlign w:val="baseline"/>
                <w:lang w:val="en-US" w:eastAsia="zh-CN"/>
              </w:rPr>
              <w:sym w:font="Wingdings 2" w:char="00A3"/>
            </w:r>
            <w:r>
              <w:rPr>
                <w:rFonts w:hint="eastAsia" w:ascii="仿宋_GB2312" w:hAnsi="仿宋_GB2312" w:eastAsia="仿宋_GB2312" w:cs="仿宋_GB2312"/>
                <w:b w:val="0"/>
                <w:bCs w:val="0"/>
                <w:color w:val="auto"/>
                <w:sz w:val="24"/>
                <w:szCs w:val="24"/>
                <w:highlight w:val="none"/>
                <w:u w:val="none"/>
                <w:vertAlign w:val="baseline"/>
                <w:lang w:val="en-US" w:eastAsia="zh-CN"/>
              </w:rPr>
              <w:t>因素法</w:t>
            </w:r>
          </w:p>
        </w:tc>
        <w:tc>
          <w:tcPr>
            <w:tcW w:w="186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846762C">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default" w:ascii="仿宋_GB2312" w:hAnsi="仿宋_GB2312" w:eastAsia="仿宋_GB2312" w:cs="仿宋_GB2312"/>
                <w:b w:val="0"/>
                <w:bCs w:val="0"/>
                <w:color w:val="auto"/>
                <w:sz w:val="24"/>
                <w:szCs w:val="24"/>
                <w:highlight w:val="none"/>
                <w:u w:val="none"/>
                <w:vertAlign w:val="baseline"/>
                <w:lang w:val="en-US" w:eastAsia="zh-CN"/>
              </w:rPr>
              <w:sym w:font="Wingdings 2" w:char="0052"/>
            </w:r>
            <w:r>
              <w:rPr>
                <w:rFonts w:hint="default" w:ascii="仿宋_GB2312" w:hAnsi="仿宋_GB2312" w:eastAsia="仿宋_GB2312" w:cs="仿宋_GB2312"/>
                <w:b w:val="0"/>
                <w:bCs w:val="0"/>
                <w:color w:val="auto"/>
                <w:sz w:val="24"/>
                <w:szCs w:val="24"/>
                <w:highlight w:val="none"/>
                <w:u w:val="none"/>
                <w:vertAlign w:val="baseline"/>
                <w:lang w:val="en-US" w:eastAsia="zh-CN"/>
              </w:rPr>
              <w:t>项目法</w:t>
            </w:r>
          </w:p>
        </w:tc>
        <w:tc>
          <w:tcPr>
            <w:tcW w:w="8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A39CC">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default" w:ascii="仿宋_GB2312" w:hAnsi="仿宋_GB2312" w:eastAsia="仿宋_GB2312" w:cs="仿宋_GB2312"/>
                <w:b w:val="0"/>
                <w:bCs w:val="0"/>
                <w:color w:val="auto"/>
                <w:sz w:val="24"/>
                <w:szCs w:val="24"/>
                <w:highlight w:val="none"/>
                <w:u w:val="none"/>
                <w:vertAlign w:val="baseline"/>
                <w:lang w:val="en-US" w:eastAsia="zh-CN"/>
              </w:rPr>
              <w:sym w:font="Wingdings 2" w:char="00A3"/>
            </w:r>
            <w:r>
              <w:rPr>
                <w:rFonts w:hint="eastAsia" w:ascii="仿宋_GB2312" w:hAnsi="仿宋_GB2312" w:eastAsia="仿宋_GB2312" w:cs="仿宋_GB2312"/>
                <w:b w:val="0"/>
                <w:bCs w:val="0"/>
                <w:color w:val="auto"/>
                <w:sz w:val="24"/>
                <w:szCs w:val="24"/>
                <w:highlight w:val="none"/>
                <w:u w:val="none"/>
                <w:vertAlign w:val="baseline"/>
                <w:lang w:val="en-US" w:eastAsia="zh-CN"/>
              </w:rPr>
              <w:t>据实据效</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71F99">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default" w:ascii="仿宋_GB2312" w:hAnsi="仿宋_GB2312" w:eastAsia="仿宋_GB2312" w:cs="仿宋_GB2312"/>
                <w:b w:val="0"/>
                <w:bCs w:val="0"/>
                <w:color w:val="auto"/>
                <w:sz w:val="24"/>
                <w:szCs w:val="24"/>
                <w:highlight w:val="none"/>
                <w:u w:val="none"/>
                <w:vertAlign w:val="baseline"/>
                <w:lang w:val="en-US" w:eastAsia="zh-CN"/>
              </w:rPr>
              <w:t>£</w:t>
            </w:r>
            <w:r>
              <w:rPr>
                <w:rFonts w:hint="eastAsia" w:ascii="仿宋_GB2312" w:hAnsi="仿宋_GB2312" w:eastAsia="仿宋_GB2312" w:cs="仿宋_GB2312"/>
                <w:b w:val="0"/>
                <w:bCs w:val="0"/>
                <w:color w:val="auto"/>
                <w:sz w:val="24"/>
                <w:szCs w:val="24"/>
                <w:highlight w:val="none"/>
                <w:u w:val="none"/>
                <w:vertAlign w:val="baseline"/>
                <w:lang w:val="en-US" w:eastAsia="zh-CN"/>
              </w:rPr>
              <w:t>因素法与项目法相结合</w:t>
            </w:r>
          </w:p>
        </w:tc>
      </w:tr>
      <w:tr w14:paraId="74D1F3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 w:hRule="atLeast"/>
          <w:jc w:val="center"/>
        </w:trPr>
        <w:tc>
          <w:tcPr>
            <w:tcW w:w="5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896B26">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33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0D003FD">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立项依据</w:t>
            </w:r>
          </w:p>
        </w:tc>
        <w:tc>
          <w:tcPr>
            <w:tcW w:w="546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DEC9BBE">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《中共中央国务院关于建立国土空间规划体系并监督实施若干意见》（中发【2019】18号）</w:t>
            </w:r>
          </w:p>
        </w:tc>
      </w:tr>
      <w:tr w14:paraId="56A279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 w:hRule="atLeast"/>
          <w:jc w:val="center"/>
        </w:trPr>
        <w:tc>
          <w:tcPr>
            <w:tcW w:w="5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F1C808">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33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1E51980">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使用范围</w:t>
            </w:r>
          </w:p>
        </w:tc>
        <w:tc>
          <w:tcPr>
            <w:tcW w:w="546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92D2E6A">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委托业务费</w:t>
            </w:r>
          </w:p>
        </w:tc>
      </w:tr>
      <w:tr w14:paraId="3C6AE7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 w:hRule="atLeast"/>
          <w:jc w:val="center"/>
        </w:trPr>
        <w:tc>
          <w:tcPr>
            <w:tcW w:w="5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F5A70D">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33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E59F70F">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申报（补助）条件</w:t>
            </w:r>
          </w:p>
        </w:tc>
        <w:tc>
          <w:tcPr>
            <w:tcW w:w="546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73B2F15">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r>
      <w:tr w14:paraId="562442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 w:hRule="atLeast"/>
          <w:jc w:val="center"/>
        </w:trPr>
        <w:tc>
          <w:tcPr>
            <w:tcW w:w="5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D4C363">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33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94D2D61">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项目起止年限</w:t>
            </w:r>
          </w:p>
        </w:tc>
        <w:tc>
          <w:tcPr>
            <w:tcW w:w="546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3F3D480">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2023-2023</w:t>
            </w:r>
          </w:p>
        </w:tc>
      </w:tr>
      <w:tr w14:paraId="5CF96A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 w:hRule="atLeast"/>
          <w:jc w:val="center"/>
        </w:trPr>
        <w:tc>
          <w:tcPr>
            <w:tcW w:w="1593"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6F9FDD">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项目资金</w:t>
            </w:r>
          </w:p>
          <w:p w14:paraId="7E292847">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（万元）</w:t>
            </w:r>
          </w:p>
        </w:tc>
        <w:tc>
          <w:tcPr>
            <w:tcW w:w="235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3A622A2">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 xml:space="preserve">  年度资金总额：</w:t>
            </w:r>
          </w:p>
        </w:tc>
        <w:tc>
          <w:tcPr>
            <w:tcW w:w="546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89C0332">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220</w:t>
            </w:r>
          </w:p>
        </w:tc>
      </w:tr>
      <w:tr w14:paraId="595683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 w:hRule="atLeast"/>
          <w:jc w:val="center"/>
        </w:trPr>
        <w:tc>
          <w:tcPr>
            <w:tcW w:w="159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7862CE">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235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98F09F">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 xml:space="preserve">      其中：财政拨款</w:t>
            </w:r>
          </w:p>
        </w:tc>
        <w:tc>
          <w:tcPr>
            <w:tcW w:w="546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8099860">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20</w:t>
            </w:r>
          </w:p>
        </w:tc>
      </w:tr>
      <w:tr w14:paraId="0C91F1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 w:hRule="atLeast"/>
          <w:jc w:val="center"/>
        </w:trPr>
        <w:tc>
          <w:tcPr>
            <w:tcW w:w="159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C43FDF">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235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462ED6">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 xml:space="preserve">        其他资金</w:t>
            </w:r>
          </w:p>
        </w:tc>
        <w:tc>
          <w:tcPr>
            <w:tcW w:w="546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3C73AB9">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r>
      <w:tr w14:paraId="030E5E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 w:hRule="atLeast"/>
          <w:jc w:val="center"/>
        </w:trPr>
        <w:tc>
          <w:tcPr>
            <w:tcW w:w="59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6F212EC">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总体 目标</w:t>
            </w:r>
          </w:p>
        </w:tc>
        <w:tc>
          <w:tcPr>
            <w:tcW w:w="8822"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4695766">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年度目标</w:t>
            </w:r>
          </w:p>
        </w:tc>
      </w:tr>
      <w:tr w14:paraId="684132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 w:hRule="atLeast"/>
          <w:jc w:val="center"/>
        </w:trPr>
        <w:tc>
          <w:tcPr>
            <w:tcW w:w="5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F9E04E">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8822"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A2673D2">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编制完成规划专题研究报告10份，规划成果电子文件10份，规划纸质成果（文本、说明书、图集及相关附件）10套，并将最新“三区三线”划定成果入库。</w:t>
            </w:r>
          </w:p>
          <w:p w14:paraId="1994A304">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r>
      <w:tr w14:paraId="04FFA2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 w:hRule="atLeast"/>
          <w:jc w:val="center"/>
        </w:trPr>
        <w:tc>
          <w:tcPr>
            <w:tcW w:w="597" w:type="dxa"/>
            <w:vMerge w:val="restart"/>
            <w:tcBorders>
              <w:top w:val="single" w:color="000000" w:sz="4" w:space="0"/>
              <w:left w:val="single" w:color="000000" w:sz="4" w:space="0"/>
              <w:bottom w:val="single" w:color="000000" w:sz="4" w:space="0"/>
            </w:tcBorders>
            <w:shd w:val="clear" w:color="auto" w:fill="auto"/>
            <w:vAlign w:val="center"/>
          </w:tcPr>
          <w:p w14:paraId="4365C05C">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绩效 指标</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7A436">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一级指标</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E1737">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二级指标</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AD9A6">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三级指标</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55076">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指标性质</w:t>
            </w:r>
          </w:p>
        </w:tc>
        <w:tc>
          <w:tcPr>
            <w:tcW w:w="12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E2AEBD">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指标值</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E0846">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度量单位</w:t>
            </w:r>
          </w:p>
        </w:tc>
        <w:tc>
          <w:tcPr>
            <w:tcW w:w="8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D6DCB">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权重</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A75FC">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实际完成指标值</w:t>
            </w:r>
          </w:p>
        </w:tc>
      </w:tr>
      <w:tr w14:paraId="1C967A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 w:hRule="atLeast"/>
          <w:jc w:val="center"/>
        </w:trPr>
        <w:tc>
          <w:tcPr>
            <w:tcW w:w="597" w:type="dxa"/>
            <w:vMerge w:val="continue"/>
            <w:tcBorders>
              <w:top w:val="single" w:color="000000" w:sz="4" w:space="0"/>
              <w:left w:val="single" w:color="000000" w:sz="4" w:space="0"/>
              <w:bottom w:val="single" w:color="000000" w:sz="4" w:space="0"/>
            </w:tcBorders>
            <w:shd w:val="clear" w:color="auto" w:fill="auto"/>
            <w:vAlign w:val="center"/>
          </w:tcPr>
          <w:p w14:paraId="7F7642B1">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82272">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产出指标</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01A62">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数量指标</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97755">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规划专题研究报告布图</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31916">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w:t>
            </w: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6FC3F">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10</w:t>
            </w:r>
          </w:p>
        </w:tc>
        <w:tc>
          <w:tcPr>
            <w:tcW w:w="9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5D2AEC">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套</w:t>
            </w:r>
          </w:p>
        </w:tc>
        <w:tc>
          <w:tcPr>
            <w:tcW w:w="8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DC626">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20</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9494B">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15</w:t>
            </w:r>
          </w:p>
        </w:tc>
      </w:tr>
      <w:tr w14:paraId="5E61BA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 w:hRule="atLeast"/>
          <w:jc w:val="center"/>
        </w:trPr>
        <w:tc>
          <w:tcPr>
            <w:tcW w:w="597" w:type="dxa"/>
            <w:vMerge w:val="continue"/>
            <w:tcBorders>
              <w:top w:val="single" w:color="000000" w:sz="4" w:space="0"/>
              <w:left w:val="single" w:color="000000" w:sz="4" w:space="0"/>
              <w:bottom w:val="single" w:color="000000" w:sz="4" w:space="0"/>
            </w:tcBorders>
            <w:shd w:val="clear" w:color="auto" w:fill="auto"/>
            <w:vAlign w:val="center"/>
          </w:tcPr>
          <w:p w14:paraId="07D95A2F">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1B91F">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产出指标</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EEC7F">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数量指标</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3C8AD">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规划纸质成果（文本、说明书、图集及相关附件）</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114DB">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w:t>
            </w: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B7EFC">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10</w:t>
            </w:r>
          </w:p>
        </w:tc>
        <w:tc>
          <w:tcPr>
            <w:tcW w:w="9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D9F38E">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套</w:t>
            </w:r>
          </w:p>
        </w:tc>
        <w:tc>
          <w:tcPr>
            <w:tcW w:w="8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8B04A">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20</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2E7D2">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1</w:t>
            </w:r>
          </w:p>
        </w:tc>
      </w:tr>
      <w:tr w14:paraId="7A3207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 w:hRule="atLeast"/>
          <w:jc w:val="center"/>
        </w:trPr>
        <w:tc>
          <w:tcPr>
            <w:tcW w:w="597" w:type="dxa"/>
            <w:vMerge w:val="continue"/>
            <w:tcBorders>
              <w:top w:val="single" w:color="000000" w:sz="4" w:space="0"/>
              <w:left w:val="single" w:color="000000" w:sz="4" w:space="0"/>
              <w:bottom w:val="single" w:color="000000" w:sz="4" w:space="0"/>
            </w:tcBorders>
            <w:shd w:val="clear" w:color="auto" w:fill="auto"/>
            <w:vAlign w:val="center"/>
          </w:tcPr>
          <w:p w14:paraId="24C4D22C">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7AD06">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产出指标</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3595A">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质量指标</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884BB">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验收合格率</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450DF">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w:t>
            </w: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BCBF1">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100</w:t>
            </w:r>
          </w:p>
        </w:tc>
        <w:tc>
          <w:tcPr>
            <w:tcW w:w="9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216576">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w:t>
            </w:r>
          </w:p>
        </w:tc>
        <w:tc>
          <w:tcPr>
            <w:tcW w:w="8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5E6B4">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10</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4DDB0">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100</w:t>
            </w:r>
          </w:p>
        </w:tc>
      </w:tr>
      <w:tr w14:paraId="1E90A7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 w:hRule="atLeast"/>
          <w:jc w:val="center"/>
        </w:trPr>
        <w:tc>
          <w:tcPr>
            <w:tcW w:w="597" w:type="dxa"/>
            <w:vMerge w:val="continue"/>
            <w:tcBorders>
              <w:top w:val="single" w:color="000000" w:sz="4" w:space="0"/>
              <w:left w:val="single" w:color="000000" w:sz="4" w:space="0"/>
              <w:bottom w:val="single" w:color="000000" w:sz="4" w:space="0"/>
            </w:tcBorders>
            <w:shd w:val="clear" w:color="auto" w:fill="auto"/>
            <w:vAlign w:val="center"/>
          </w:tcPr>
          <w:p w14:paraId="4E3A9E43">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45CAE">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效益指标</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C8D0F">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社会效益</w:t>
            </w:r>
          </w:p>
          <w:p w14:paraId="55BAF8C3">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指标</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0835C">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统筹全市经济社会发展，优化城乡空间布局</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A9B93">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定性</w:t>
            </w: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FFB7D">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良好</w:t>
            </w:r>
          </w:p>
        </w:tc>
        <w:tc>
          <w:tcPr>
            <w:tcW w:w="9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CCBB61">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级</w:t>
            </w:r>
          </w:p>
        </w:tc>
        <w:tc>
          <w:tcPr>
            <w:tcW w:w="8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AE400">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20</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C87B4">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良好</w:t>
            </w:r>
          </w:p>
        </w:tc>
      </w:tr>
      <w:tr w14:paraId="5F242F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 w:hRule="atLeast"/>
          <w:jc w:val="center"/>
        </w:trPr>
        <w:tc>
          <w:tcPr>
            <w:tcW w:w="597" w:type="dxa"/>
            <w:tcBorders>
              <w:top w:val="single" w:color="000000" w:sz="4" w:space="0"/>
              <w:left w:val="single" w:color="000000" w:sz="4" w:space="0"/>
              <w:bottom w:val="single" w:color="000000" w:sz="4" w:space="0"/>
            </w:tcBorders>
            <w:shd w:val="clear" w:color="auto" w:fill="auto"/>
            <w:vAlign w:val="center"/>
          </w:tcPr>
          <w:p w14:paraId="19D896E7">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38B3C">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满意度指标</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35DCC">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满意度指标</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7EC09">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成果使用人满意度</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1593F">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w:t>
            </w: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7D8A5">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95</w:t>
            </w:r>
          </w:p>
        </w:tc>
        <w:tc>
          <w:tcPr>
            <w:tcW w:w="9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2A4AB9">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w:t>
            </w:r>
          </w:p>
        </w:tc>
        <w:tc>
          <w:tcPr>
            <w:tcW w:w="8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6F40C">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10</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F3D3C">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95</w:t>
            </w:r>
          </w:p>
        </w:tc>
      </w:tr>
      <w:tr w14:paraId="0A5EE3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 w:hRule="atLeast"/>
          <w:jc w:val="center"/>
        </w:trPr>
        <w:tc>
          <w:tcPr>
            <w:tcW w:w="597" w:type="dxa"/>
            <w:tcBorders>
              <w:top w:val="single" w:color="000000" w:sz="4" w:space="0"/>
              <w:left w:val="single" w:color="000000" w:sz="4" w:space="0"/>
              <w:bottom w:val="single" w:color="000000" w:sz="4" w:space="0"/>
            </w:tcBorders>
            <w:shd w:val="clear" w:color="auto" w:fill="auto"/>
            <w:vAlign w:val="center"/>
          </w:tcPr>
          <w:p w14:paraId="1EC5EDFF">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793BE">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成本指标</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E1919">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经济成本指标</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53C80">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预算控制数</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17CCB">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w:t>
            </w: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F27DF">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220</w:t>
            </w:r>
          </w:p>
        </w:tc>
        <w:tc>
          <w:tcPr>
            <w:tcW w:w="9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3D93D4">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万元</w:t>
            </w:r>
          </w:p>
        </w:tc>
        <w:tc>
          <w:tcPr>
            <w:tcW w:w="8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6F714">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20</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BAAEF">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220</w:t>
            </w:r>
          </w:p>
        </w:tc>
      </w:tr>
    </w:tbl>
    <w:p w14:paraId="5C1A92C2">
      <w:pPr>
        <w:pStyle w:val="37"/>
        <w:keepNext w:val="0"/>
        <w:keepLines w:val="0"/>
        <w:pageBreakBefore w:val="0"/>
        <w:widowControl w:val="0"/>
        <w:kinsoku/>
        <w:wordWrap/>
        <w:overflowPunct/>
        <w:topLinePunct w:val="0"/>
        <w:autoSpaceDE/>
        <w:autoSpaceDN/>
        <w:bidi w:val="0"/>
        <w:spacing w:line="600" w:lineRule="exact"/>
        <w:ind w:left="0" w:leftChars="0"/>
        <w:jc w:val="center"/>
        <w:textAlignment w:val="auto"/>
        <w:rPr>
          <w:rFonts w:hint="default" w:ascii="方正小标宋简体" w:hAnsi="方正小标宋简体" w:eastAsia="方正小标宋简体" w:cs="方正小标宋简体"/>
          <w:color w:val="auto"/>
          <w:kern w:val="2"/>
          <w:sz w:val="44"/>
          <w:szCs w:val="44"/>
          <w:highlight w:val="none"/>
          <w:lang w:val="en-US" w:eastAsia="zh-CN"/>
        </w:rPr>
      </w:pPr>
      <w:r>
        <w:rPr>
          <w:rFonts w:hint="eastAsia" w:ascii="方正小标宋简体" w:hAnsi="方正小标宋简体" w:eastAsia="方正小标宋简体" w:cs="方正小标宋简体"/>
          <w:color w:val="auto"/>
          <w:kern w:val="2"/>
          <w:sz w:val="44"/>
          <w:szCs w:val="44"/>
          <w:highlight w:val="none"/>
          <w:lang w:val="en-US" w:eastAsia="zh-CN"/>
        </w:rPr>
        <w:t>广元市自然资源局</w:t>
      </w:r>
    </w:p>
    <w:p w14:paraId="71214E0C">
      <w:pPr>
        <w:pStyle w:val="37"/>
        <w:keepNext w:val="0"/>
        <w:keepLines w:val="0"/>
        <w:pageBreakBefore w:val="0"/>
        <w:widowControl w:val="0"/>
        <w:kinsoku/>
        <w:wordWrap/>
        <w:overflowPunct/>
        <w:topLinePunct w:val="0"/>
        <w:autoSpaceDE/>
        <w:autoSpaceDN/>
        <w:bidi w:val="0"/>
        <w:spacing w:line="600" w:lineRule="exact"/>
        <w:ind w:left="0" w:leftChars="0"/>
        <w:jc w:val="center"/>
        <w:textAlignment w:val="auto"/>
        <w:rPr>
          <w:rFonts w:hint="eastAsia" w:ascii="方正小标宋简体" w:hAnsi="方正小标宋简体" w:eastAsia="方正小标宋简体" w:cs="方正小标宋简体"/>
          <w:color w:val="auto"/>
          <w:kern w:val="2"/>
          <w:sz w:val="44"/>
          <w:szCs w:val="44"/>
          <w:highlight w:val="none"/>
          <w:lang w:val="en-US" w:eastAsia="zh-CN"/>
        </w:rPr>
      </w:pPr>
      <w:r>
        <w:rPr>
          <w:rFonts w:hint="eastAsia" w:ascii="方正小标宋简体" w:hAnsi="方正小标宋简体" w:eastAsia="方正小标宋简体" w:cs="方正小标宋简体"/>
          <w:color w:val="auto"/>
          <w:kern w:val="2"/>
          <w:sz w:val="44"/>
          <w:szCs w:val="44"/>
          <w:highlight w:val="none"/>
          <w:lang w:val="en-US" w:eastAsia="zh-CN"/>
        </w:rPr>
        <w:t>关于广元市城区土地级别与基准地价更新、标定地价制定与地价动态监测专项预算项目绩效评价报告</w:t>
      </w:r>
    </w:p>
    <w:p w14:paraId="3A836BD4">
      <w:pPr>
        <w:pStyle w:val="37"/>
        <w:keepNext w:val="0"/>
        <w:keepLines w:val="0"/>
        <w:pageBreakBefore w:val="0"/>
        <w:widowControl w:val="0"/>
        <w:kinsoku/>
        <w:wordWrap/>
        <w:overflowPunct/>
        <w:topLinePunct w:val="0"/>
        <w:autoSpaceDE/>
        <w:autoSpaceDN/>
        <w:bidi w:val="0"/>
        <w:spacing w:line="600" w:lineRule="exact"/>
        <w:ind w:left="0" w:leftChars="0" w:firstLine="640"/>
        <w:jc w:val="center"/>
        <w:textAlignment w:val="auto"/>
        <w:rPr>
          <w:rFonts w:ascii="宋体" w:hAnsi="宋体"/>
          <w:color w:val="auto"/>
          <w:kern w:val="2"/>
          <w:sz w:val="32"/>
          <w:szCs w:val="32"/>
          <w:highlight w:val="none"/>
        </w:rPr>
      </w:pPr>
    </w:p>
    <w:p w14:paraId="0EA52C24">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黑体" w:hAnsi="宋体" w:eastAsia="黑体" w:cs="Times New Roman"/>
          <w:sz w:val="32"/>
          <w:szCs w:val="32"/>
          <w:highlight w:val="none"/>
          <w:lang w:val="zh-CN" w:eastAsia="zh-CN"/>
        </w:rPr>
      </w:pPr>
      <w:r>
        <w:rPr>
          <w:rFonts w:hint="eastAsia" w:ascii="黑体" w:hAnsi="宋体" w:eastAsia="黑体" w:cs="Times New Roman"/>
          <w:sz w:val="32"/>
          <w:szCs w:val="32"/>
          <w:highlight w:val="none"/>
          <w:lang w:val="zh-CN" w:eastAsia="zh-CN"/>
        </w:rPr>
        <w:t>一、项目概况</w:t>
      </w:r>
    </w:p>
    <w:p w14:paraId="19FBF1CC">
      <w:pPr>
        <w:keepNext w:val="0"/>
        <w:keepLines w:val="0"/>
        <w:pageBreakBefore w:val="0"/>
        <w:widowControl w:val="0"/>
        <w:numPr>
          <w:ilvl w:val="0"/>
          <w:numId w:val="0"/>
        </w:numPr>
        <w:kinsoku/>
        <w:wordWrap/>
        <w:overflowPunct/>
        <w:topLinePunct w:val="0"/>
        <w:autoSpaceDE/>
        <w:autoSpaceDN/>
        <w:bidi w:val="0"/>
        <w:spacing w:line="600" w:lineRule="exact"/>
        <w:ind w:firstLine="643" w:firstLineChars="200"/>
        <w:textAlignment w:val="auto"/>
        <w:rPr>
          <w:rFonts w:hint="eastAsia"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（一）设立背景及基本情况。</w:t>
      </w:r>
    </w:p>
    <w:p w14:paraId="1AF6E80D">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 w:eastAsia="仿宋_GB2312" w:cs="仿宋_GB2312"/>
          <w:color w:val="000000"/>
          <w:kern w:val="0"/>
          <w:sz w:val="32"/>
          <w:szCs w:val="32"/>
        </w:rPr>
      </w:pPr>
      <w:r>
        <w:rPr>
          <w:rFonts w:hint="eastAsia" w:ascii="仿宋_GB2312" w:hAnsi="仿宋" w:eastAsia="仿宋_GB2312" w:cs="仿宋_GB2312"/>
          <w:color w:val="000000"/>
          <w:kern w:val="0"/>
          <w:sz w:val="32"/>
          <w:szCs w:val="32"/>
        </w:rPr>
        <w:t>为促进城乡融合发展，支撑自然资源资产产权制度改革，进一步强化土地资源要素市场化配置，建立自然资源政府公示价格体系、推进自然资源资产分等定级。按照自然资源部安排部署，开展广元市城区土地级别及基准地价更新、标定地价制定与地价动态监测，本次定级东至大石青岩绕城高速、南至南山山脊、京昆高速、西至宝轮镇石羊村、北至嘉陵街道工农村。包含利州区嘉陵、东坝、万源、雪峰、上西、河西工7个街道和宝轮证、大石镇两个建制镇以及广元市经济技术开发区下西坝街道、袁家坝街道、石龙街道和盘龙镇管辖范围，统一执行广元市城区土地级别与基准地价，覆盖范围共计22869公顷。根据《关于部署2020年度自然资源评估评价工作》（川自然资涵【2020】414号）文件要求，该项目已于2021年2月启动，2021年3月9日完成政府采购，中标金额50万元，2022年8月26日通过四川省自然资源厅验收，9月15日对外公布实施，11月15日已在全国基准地价备案系统完成备案。</w:t>
      </w:r>
    </w:p>
    <w:p w14:paraId="0411C875">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ascii="仿宋_GB2312" w:hAnsi="仿宋" w:eastAsia="仿宋_GB2312" w:cs="仿宋_GB2312"/>
          <w:color w:val="000000"/>
          <w:kern w:val="0"/>
          <w:sz w:val="32"/>
          <w:szCs w:val="32"/>
        </w:rPr>
      </w:pPr>
    </w:p>
    <w:p w14:paraId="677EB480">
      <w:pPr>
        <w:keepNext w:val="0"/>
        <w:keepLines w:val="0"/>
        <w:pageBreakBefore w:val="0"/>
        <w:widowControl w:val="0"/>
        <w:kinsoku/>
        <w:wordWrap/>
        <w:overflowPunct/>
        <w:topLinePunct w:val="0"/>
        <w:autoSpaceDE/>
        <w:autoSpaceDN/>
        <w:bidi w:val="0"/>
        <w:adjustRightInd/>
        <w:snapToGrid/>
        <w:spacing w:line="600" w:lineRule="exact"/>
        <w:ind w:left="0" w:firstLine="643" w:firstLineChars="200"/>
        <w:jc w:val="both"/>
        <w:textAlignment w:val="auto"/>
        <w:rPr>
          <w:rFonts w:hint="eastAsia" w:ascii="仿宋_GB2312" w:hAnsi="仿宋" w:eastAsia="仿宋_GB2312" w:cs="仿宋_GB2312"/>
          <w:color w:val="000000"/>
          <w:kern w:val="0"/>
          <w:sz w:val="32"/>
          <w:szCs w:val="32"/>
          <w:lang w:val="en-US" w:eastAsia="zh-CN"/>
        </w:rPr>
      </w:pPr>
      <w:r>
        <w:rPr>
          <w:rFonts w:hint="eastAsia" w:ascii="楷体_GB2312" w:hAnsi="宋体" w:eastAsia="楷体_GB2312" w:cs="Times New Roman"/>
          <w:b/>
          <w:color w:val="auto"/>
          <w:sz w:val="32"/>
          <w:szCs w:val="32"/>
          <w:highlight w:val="none"/>
          <w:u w:val="none"/>
          <w:lang w:val="en-US" w:eastAsia="zh-CN"/>
        </w:rPr>
        <w:t>（二）</w:t>
      </w:r>
      <w:r>
        <w:rPr>
          <w:rFonts w:hint="default" w:ascii="楷体_GB2312" w:hAnsi="宋体" w:eastAsia="楷体_GB2312" w:cs="Times New Roman"/>
          <w:b/>
          <w:color w:val="auto"/>
          <w:sz w:val="32"/>
          <w:szCs w:val="32"/>
          <w:highlight w:val="none"/>
          <w:u w:val="none"/>
          <w:lang w:val="en-US" w:eastAsia="zh-CN"/>
        </w:rPr>
        <w:t>实施目的及支持方向</w:t>
      </w:r>
      <w:r>
        <w:rPr>
          <w:rFonts w:hint="eastAsia" w:ascii="楷体_GB2312" w:hAnsi="宋体" w:eastAsia="楷体_GB2312" w:cs="Times New Roman"/>
          <w:b/>
          <w:color w:val="auto"/>
          <w:sz w:val="32"/>
          <w:szCs w:val="32"/>
          <w:highlight w:val="none"/>
          <w:u w:val="none"/>
          <w:lang w:val="en-US" w:eastAsia="zh-CN"/>
        </w:rPr>
        <w:t>。</w:t>
      </w:r>
      <w:r>
        <w:rPr>
          <w:rFonts w:hint="eastAsia" w:ascii="仿宋_GB2312" w:hAnsi="仿宋" w:eastAsia="仿宋_GB2312" w:cs="仿宋_GB2312"/>
          <w:color w:val="000000"/>
          <w:kern w:val="0"/>
          <w:sz w:val="32"/>
          <w:szCs w:val="32"/>
          <w:lang w:val="en-US" w:eastAsia="zh-CN"/>
        </w:rPr>
        <w:t>我局制度了《财务管理制度》、《专项资金管理制度》、《三重一大制度》《政府采购内控管理制度》等相关制度。我局</w:t>
      </w:r>
      <w:r>
        <w:rPr>
          <w:rFonts w:hint="default" w:ascii="仿宋_GB2312" w:hAnsi="仿宋" w:eastAsia="仿宋_GB2312" w:cs="仿宋_GB2312"/>
          <w:color w:val="000000"/>
          <w:kern w:val="0"/>
          <w:sz w:val="32"/>
          <w:szCs w:val="32"/>
        </w:rPr>
        <w:t>严格按照项目管理有关规定管理专项经费，为保障项目资金安全，确保资金专款专用， 从资金申请、资金使用、会计核算三个环节加强资金管理，在项目资金申请环节，严格按照国库集中支付流程申请财政资金；在资金使用环节，严格遵守相关法律法规规定，严格按照单位财务管理审批流程办理款项支付；在会计核算环节，对本项目资金实行单独核算，确保专款专用</w:t>
      </w:r>
      <w:r>
        <w:rPr>
          <w:rFonts w:hint="eastAsia" w:ascii="仿宋_GB2312" w:hAnsi="仿宋" w:eastAsia="仿宋_GB2312" w:cs="仿宋_GB2312"/>
          <w:color w:val="000000"/>
          <w:kern w:val="0"/>
          <w:sz w:val="32"/>
          <w:szCs w:val="32"/>
          <w:lang w:eastAsia="zh-CN"/>
        </w:rPr>
        <w:t>。</w:t>
      </w:r>
      <w:r>
        <w:rPr>
          <w:rFonts w:hint="eastAsia" w:ascii="仿宋_GB2312" w:hAnsi="仿宋" w:eastAsia="仿宋_GB2312" w:cs="仿宋_GB2312"/>
          <w:color w:val="000000"/>
          <w:kern w:val="0"/>
          <w:sz w:val="32"/>
          <w:szCs w:val="32"/>
          <w:lang w:val="en-US" w:eastAsia="zh-CN"/>
        </w:rPr>
        <w:t>完成工作报告、技术报告、数据成果4份、土地级别与基准地价图、定级因素作用分布图、样点地价分布图各4份、标准宗地、标定区域布设图及专门管理软件。为土地市场建设、土地资产权益保护和土地宏观调控等方面提供重要支撑，提升土地管理的科学化管理。</w:t>
      </w:r>
    </w:p>
    <w:p w14:paraId="43651338">
      <w:pPr>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firstLine="643" w:firstLineChars="200"/>
        <w:contextualSpacing/>
        <w:jc w:val="both"/>
        <w:textAlignment w:val="auto"/>
        <w:rPr>
          <w:rFonts w:hint="eastAsia" w:ascii="楷体_GB2312" w:hAnsi="宋体" w:eastAsia="楷体_GB2312" w:cs="Times New Roman"/>
          <w:b/>
          <w:color w:val="auto"/>
          <w:sz w:val="32"/>
          <w:szCs w:val="32"/>
          <w:highlight w:val="none"/>
          <w:u w:val="none"/>
          <w:lang w:val="zh-CN" w:eastAsia="zh-CN"/>
        </w:rPr>
      </w:pPr>
      <w:r>
        <w:rPr>
          <w:rFonts w:hint="eastAsia" w:ascii="楷体_GB2312" w:hAnsi="宋体" w:eastAsia="楷体_GB2312" w:cs="Times New Roman"/>
          <w:b/>
          <w:color w:val="auto"/>
          <w:sz w:val="32"/>
          <w:szCs w:val="32"/>
          <w:highlight w:val="none"/>
          <w:u w:val="none"/>
          <w:lang w:val="zh-CN" w:eastAsia="zh-CN"/>
        </w:rPr>
        <w:t>（三）</w:t>
      </w:r>
      <w:r>
        <w:rPr>
          <w:rFonts w:hint="default" w:ascii="楷体_GB2312" w:hAnsi="宋体" w:eastAsia="楷体_GB2312" w:cs="Times New Roman"/>
          <w:b/>
          <w:color w:val="auto"/>
          <w:sz w:val="32"/>
          <w:szCs w:val="32"/>
          <w:highlight w:val="none"/>
          <w:u w:val="none"/>
          <w:lang w:val="en-US" w:eastAsia="zh-CN"/>
        </w:rPr>
        <w:t>预算安排及分配管理</w:t>
      </w:r>
      <w:r>
        <w:rPr>
          <w:rFonts w:hint="eastAsia" w:ascii="楷体_GB2312" w:hAnsi="宋体" w:eastAsia="楷体_GB2312" w:cs="Times New Roman"/>
          <w:b/>
          <w:color w:val="auto"/>
          <w:sz w:val="32"/>
          <w:szCs w:val="32"/>
          <w:highlight w:val="none"/>
          <w:u w:val="none"/>
          <w:lang w:val="zh-CN" w:eastAsia="zh-CN"/>
        </w:rPr>
        <w:t>。</w:t>
      </w:r>
    </w:p>
    <w:p w14:paraId="7F7BB372">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 w:eastAsia="仿宋_GB2312" w:cs="仿宋_GB2312"/>
          <w:color w:val="000000"/>
          <w:kern w:val="0"/>
          <w:sz w:val="32"/>
          <w:szCs w:val="32"/>
        </w:rPr>
      </w:pPr>
      <w:r>
        <w:rPr>
          <w:rFonts w:hint="eastAsia" w:ascii="仿宋_GB2312" w:hAnsi="仿宋" w:eastAsia="仿宋_GB2312" w:cs="仿宋_GB2312"/>
          <w:color w:val="000000"/>
          <w:kern w:val="0"/>
          <w:sz w:val="32"/>
          <w:szCs w:val="32"/>
        </w:rPr>
        <w:t>市财政于2023年8月20日下达该项目基金预算指标40万元（广财投[2023]123号，我局按照合同约定于2023年12月支付40万元。我局制度了《财务管理制度》和《专项资金管理制度》和《三重一大制度》，确保项目高效率使用和支付过程中严格执行相关制度，专款专用，无截留，无挪用。</w:t>
      </w:r>
    </w:p>
    <w:p w14:paraId="5475ABF7">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 w:eastAsia="仿宋_GB2312" w:cs="仿宋_GB2312"/>
          <w:color w:val="000000"/>
          <w:kern w:val="0"/>
          <w:sz w:val="32"/>
          <w:szCs w:val="32"/>
        </w:rPr>
      </w:pPr>
    </w:p>
    <w:p w14:paraId="537ED35B">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rPr>
          <w:rFonts w:hint="eastAsia" w:ascii="仿宋_GB2312" w:hAnsi="仿宋" w:eastAsia="仿宋_GB2312" w:cs="仿宋_GB2312"/>
          <w:color w:val="000000"/>
          <w:kern w:val="0"/>
          <w:sz w:val="32"/>
          <w:szCs w:val="32"/>
          <w:lang w:eastAsia="zh-CN"/>
        </w:rPr>
      </w:pPr>
      <w:r>
        <w:rPr>
          <w:rFonts w:hint="eastAsia" w:ascii="楷体_GB2312" w:hAnsi="宋体" w:eastAsia="楷体_GB2312" w:cs="Times New Roman"/>
          <w:b/>
          <w:color w:val="auto"/>
          <w:sz w:val="32"/>
          <w:szCs w:val="32"/>
          <w:highlight w:val="none"/>
          <w:u w:val="none"/>
          <w:lang w:val="zh-CN" w:eastAsia="zh-CN"/>
        </w:rPr>
        <w:t>（四）项目绩效目标设置。</w:t>
      </w:r>
      <w:r>
        <w:rPr>
          <w:rFonts w:hint="eastAsia" w:ascii="仿宋_GB2312" w:hAnsi="仿宋" w:eastAsia="仿宋_GB2312" w:cs="仿宋_GB2312"/>
          <w:color w:val="000000"/>
          <w:kern w:val="0"/>
          <w:sz w:val="32"/>
          <w:szCs w:val="32"/>
        </w:rPr>
        <w:t>绩效目标和绩效指标可量化考核</w:t>
      </w:r>
      <w:r>
        <w:rPr>
          <w:rFonts w:hint="eastAsia" w:ascii="仿宋_GB2312" w:hAnsi="仿宋" w:eastAsia="仿宋_GB2312" w:cs="仿宋_GB2312"/>
          <w:color w:val="000000"/>
          <w:kern w:val="0"/>
          <w:sz w:val="32"/>
          <w:szCs w:val="32"/>
          <w:lang w:eastAsia="zh-CN"/>
        </w:rPr>
        <w:t>，与规划部门的长期规划目标、年度工作目标相一致。绩效指标细化、量化，绩效目标和绩效指标契合政策或项目实质，产出和效果相关联。可对满意度指标进行量化预测，绩效目标具有一定的前瞻性和挑战性，绩效目标和绩效指标相匹配，</w:t>
      </w:r>
      <w:r>
        <w:rPr>
          <w:rFonts w:hint="eastAsia" w:ascii="仿宋_GB2312" w:hAnsi="仿宋" w:eastAsia="仿宋_GB2312" w:cs="仿宋_GB2312"/>
          <w:color w:val="000000"/>
          <w:kern w:val="0"/>
          <w:sz w:val="32"/>
          <w:szCs w:val="32"/>
        </w:rPr>
        <w:t>全面完整，契合项目实质</w:t>
      </w:r>
      <w:r>
        <w:rPr>
          <w:rFonts w:hint="eastAsia" w:ascii="仿宋_GB2312" w:hAnsi="仿宋" w:eastAsia="仿宋_GB2312" w:cs="仿宋_GB2312"/>
          <w:color w:val="000000"/>
          <w:kern w:val="0"/>
          <w:sz w:val="32"/>
          <w:szCs w:val="32"/>
          <w:lang w:eastAsia="zh-CN"/>
        </w:rPr>
        <w:t>。</w:t>
      </w:r>
    </w:p>
    <w:p w14:paraId="26E9255A">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黑体" w:hAnsi="宋体" w:eastAsia="黑体" w:cs="Times New Roman"/>
          <w:sz w:val="32"/>
          <w:szCs w:val="32"/>
          <w:highlight w:val="none"/>
          <w:lang w:val="zh-CN" w:eastAsia="zh-CN"/>
        </w:rPr>
      </w:pPr>
      <w:r>
        <w:rPr>
          <w:rFonts w:hint="eastAsia" w:ascii="黑体" w:hAnsi="宋体" w:eastAsia="黑体" w:cs="Times New Roman"/>
          <w:sz w:val="32"/>
          <w:szCs w:val="32"/>
          <w:highlight w:val="none"/>
          <w:lang w:val="zh-CN" w:eastAsia="zh-CN"/>
        </w:rPr>
        <w:t>二、评价实施</w:t>
      </w:r>
    </w:p>
    <w:p w14:paraId="202D0811">
      <w:pPr>
        <w:keepNext w:val="0"/>
        <w:keepLines w:val="0"/>
        <w:pageBreakBefore w:val="0"/>
        <w:widowControl w:val="0"/>
        <w:kinsoku/>
        <w:wordWrap/>
        <w:overflowPunct/>
        <w:topLinePunct w:val="0"/>
        <w:autoSpaceDE/>
        <w:autoSpaceDN/>
        <w:bidi w:val="0"/>
        <w:spacing w:line="600" w:lineRule="exact"/>
        <w:ind w:firstLine="640"/>
        <w:textAlignment w:val="auto"/>
        <w:outlineLvl w:val="9"/>
        <w:rPr>
          <w:rFonts w:hint="eastAsia" w:ascii="仿宋_GB2312" w:hAnsi="仿宋" w:eastAsia="仿宋_GB2312" w:cs="仿宋_GB2312"/>
          <w:color w:val="000000"/>
          <w:kern w:val="0"/>
          <w:sz w:val="32"/>
          <w:szCs w:val="32"/>
        </w:rPr>
      </w:pPr>
      <w:r>
        <w:rPr>
          <w:rFonts w:hint="eastAsia" w:ascii="楷体_GB2312" w:hAnsi="宋体" w:eastAsia="楷体_GB2312"/>
          <w:b/>
          <w:color w:val="auto"/>
          <w:sz w:val="32"/>
          <w:szCs w:val="32"/>
          <w:highlight w:val="none"/>
          <w:u w:val="none"/>
          <w:lang w:val="zh-CN"/>
        </w:rPr>
        <w:t>（一）评价目的。</w:t>
      </w:r>
      <w:r>
        <w:rPr>
          <w:rFonts w:hint="eastAsia" w:ascii="仿宋_GB2312" w:hAnsi="仿宋" w:eastAsia="仿宋_GB2312" w:cs="仿宋_GB2312"/>
          <w:color w:val="000000"/>
          <w:kern w:val="0"/>
          <w:sz w:val="32"/>
          <w:szCs w:val="32"/>
          <w:lang w:val="en-US" w:eastAsia="zh-CN"/>
        </w:rPr>
        <w:t>通过绩效评价，一是对项目预算及资金使用方案的合理性和有效性进行优化，去除不合理的预算项目。二是详细掌握资金使用情况，提高预算执行力。三是促进预算管理的公开化透明化</w:t>
      </w:r>
      <w:r>
        <w:rPr>
          <w:rFonts w:hint="eastAsia" w:ascii="仿宋_GB2312" w:hAnsi="仿宋" w:eastAsia="仿宋_GB2312" w:cs="仿宋_GB2312"/>
          <w:color w:val="000000"/>
          <w:kern w:val="0"/>
          <w:sz w:val="32"/>
          <w:szCs w:val="32"/>
          <w:lang w:eastAsia="zh-CN"/>
        </w:rPr>
        <w:t>。</w:t>
      </w:r>
    </w:p>
    <w:p w14:paraId="665A8C3A">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643" w:firstLineChars="200"/>
        <w:textAlignment w:val="auto"/>
        <w:outlineLvl w:val="9"/>
        <w:rPr>
          <w:rFonts w:hint="eastAsia" w:ascii="仿宋_GB2312" w:hAnsi="仿宋" w:eastAsia="仿宋_GB2312" w:cs="仿宋_GB2312"/>
          <w:color w:val="000000"/>
          <w:kern w:val="0"/>
          <w:sz w:val="32"/>
          <w:szCs w:val="32"/>
          <w:lang w:val="en-US" w:eastAsia="zh-CN"/>
        </w:rPr>
      </w:pPr>
      <w:r>
        <w:rPr>
          <w:rFonts w:hint="eastAsia" w:ascii="楷体_GB2312" w:hAnsi="宋体" w:eastAsia="楷体_GB2312"/>
          <w:b/>
          <w:color w:val="auto"/>
          <w:sz w:val="32"/>
          <w:szCs w:val="32"/>
          <w:highlight w:val="none"/>
          <w:u w:val="none"/>
          <w:lang w:val="zh-CN"/>
        </w:rPr>
        <w:t>（二）预设问题及评价重点。</w:t>
      </w:r>
      <w:r>
        <w:rPr>
          <w:rFonts w:hint="eastAsia" w:ascii="仿宋_GB2312" w:hAnsi="仿宋" w:eastAsia="仿宋_GB2312" w:cs="仿宋_GB2312"/>
          <w:color w:val="000000"/>
          <w:kern w:val="0"/>
          <w:sz w:val="32"/>
          <w:szCs w:val="32"/>
          <w:lang w:val="en-US" w:eastAsia="zh-CN"/>
        </w:rPr>
        <w:t>按照绩效评价指标体系体系</w:t>
      </w:r>
      <w:r>
        <w:rPr>
          <w:rFonts w:hint="eastAsia" w:ascii="仿宋_GB2312" w:hAnsi="仿宋" w:eastAsia="仿宋_GB2312" w:cs="仿宋_GB2312"/>
          <w:color w:val="000000"/>
          <w:kern w:val="0"/>
          <w:sz w:val="32"/>
          <w:szCs w:val="32"/>
          <w:lang w:val="zh-CN"/>
        </w:rPr>
        <w:t>，</w:t>
      </w:r>
      <w:r>
        <w:rPr>
          <w:rFonts w:hint="eastAsia" w:ascii="仿宋_GB2312" w:hAnsi="仿宋" w:eastAsia="仿宋_GB2312" w:cs="仿宋_GB2312"/>
          <w:color w:val="000000"/>
          <w:kern w:val="0"/>
          <w:sz w:val="32"/>
          <w:szCs w:val="32"/>
          <w:lang w:val="en-US" w:eastAsia="zh-CN"/>
        </w:rPr>
        <w:t>该项目</w:t>
      </w:r>
      <w:r>
        <w:rPr>
          <w:rFonts w:hint="eastAsia" w:ascii="仿宋_GB2312" w:hAnsi="仿宋" w:eastAsia="仿宋_GB2312" w:cs="仿宋_GB2312"/>
          <w:color w:val="000000"/>
          <w:kern w:val="0"/>
          <w:sz w:val="32"/>
          <w:szCs w:val="32"/>
          <w:lang w:eastAsia="zh-CN"/>
        </w:rPr>
        <w:t>经费使用应符合相关财务法规和政策，</w:t>
      </w:r>
      <w:r>
        <w:rPr>
          <w:rFonts w:hint="eastAsia" w:ascii="仿宋_GB2312" w:hAnsi="仿宋" w:eastAsia="仿宋_GB2312" w:cs="仿宋_GB2312"/>
          <w:color w:val="000000"/>
          <w:kern w:val="0"/>
          <w:sz w:val="32"/>
          <w:szCs w:val="32"/>
          <w:lang w:val="en-US" w:eastAsia="zh-CN"/>
        </w:rPr>
        <w:t>按照合同约定和项目进度进行支付，做到专款专用，</w:t>
      </w:r>
      <w:r>
        <w:rPr>
          <w:rFonts w:hint="eastAsia" w:ascii="仿宋_GB2312" w:hAnsi="仿宋" w:eastAsia="仿宋_GB2312" w:cs="仿宋_GB2312"/>
          <w:color w:val="000000"/>
          <w:kern w:val="0"/>
          <w:sz w:val="32"/>
          <w:szCs w:val="32"/>
          <w:lang w:eastAsia="zh-CN"/>
        </w:rPr>
        <w:t>确保资金使用的合法合规，避免违规行为发生。</w:t>
      </w:r>
      <w:r>
        <w:rPr>
          <w:rFonts w:hint="eastAsia" w:ascii="仿宋_GB2312" w:hAnsi="仿宋" w:eastAsia="仿宋_GB2312" w:cs="仿宋_GB2312"/>
          <w:color w:val="000000"/>
          <w:kern w:val="0"/>
          <w:sz w:val="32"/>
          <w:szCs w:val="32"/>
        </w:rPr>
        <w:t>我局按照合同约定于2023年12月支付40万元。</w:t>
      </w:r>
    </w:p>
    <w:p w14:paraId="37BEBB81">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rPr>
          <w:rFonts w:hint="eastAsia" w:ascii="仿宋_GB2312" w:hAnsi="仿宋" w:eastAsia="仿宋_GB2312" w:cs="仿宋_GB2312"/>
          <w:color w:val="000000"/>
          <w:kern w:val="0"/>
          <w:sz w:val="32"/>
          <w:szCs w:val="32"/>
        </w:rPr>
      </w:pPr>
      <w:r>
        <w:rPr>
          <w:rFonts w:hint="eastAsia" w:ascii="楷体_GB2312" w:hAnsi="宋体" w:eastAsia="楷体_GB2312"/>
          <w:b/>
          <w:color w:val="auto"/>
          <w:sz w:val="32"/>
          <w:szCs w:val="32"/>
          <w:highlight w:val="none"/>
          <w:u w:val="none"/>
          <w:lang w:val="zh-CN"/>
        </w:rPr>
        <w:t>（三）评价选点。</w:t>
      </w:r>
      <w:r>
        <w:rPr>
          <w:rFonts w:hint="eastAsia" w:ascii="仿宋_GB2312" w:hAnsi="仿宋" w:eastAsia="仿宋_GB2312" w:cs="仿宋_GB2312"/>
          <w:color w:val="000000"/>
          <w:kern w:val="0"/>
          <w:sz w:val="32"/>
          <w:szCs w:val="32"/>
        </w:rPr>
        <w:t>年末通过数量指标、质量指标及产生的社会效益和政府满意度来自评项目绩效完成情况。</w:t>
      </w:r>
    </w:p>
    <w:p w14:paraId="65495128">
      <w:pPr>
        <w:keepNext w:val="0"/>
        <w:keepLines w:val="0"/>
        <w:pageBreakBefore w:val="0"/>
        <w:widowControl w:val="0"/>
        <w:kinsoku/>
        <w:wordWrap/>
        <w:overflowPunct/>
        <w:topLinePunct w:val="0"/>
        <w:autoSpaceDE/>
        <w:autoSpaceDN/>
        <w:bidi w:val="0"/>
        <w:spacing w:line="600" w:lineRule="exact"/>
        <w:ind w:firstLine="640"/>
        <w:textAlignment w:val="auto"/>
        <w:outlineLvl w:val="9"/>
        <w:rPr>
          <w:rFonts w:hint="eastAsia" w:ascii="仿宋_GB2312" w:hAnsi="仿宋" w:eastAsia="仿宋_GB2312" w:cs="仿宋_GB2312"/>
          <w:color w:val="000000"/>
          <w:kern w:val="0"/>
          <w:sz w:val="32"/>
          <w:szCs w:val="32"/>
          <w:lang w:val="en-US" w:eastAsia="zh-CN"/>
        </w:rPr>
      </w:pPr>
      <w:r>
        <w:rPr>
          <w:rFonts w:hint="eastAsia" w:ascii="楷体_GB2312" w:hAnsi="宋体" w:eastAsia="楷体_GB2312"/>
          <w:b/>
          <w:color w:val="auto"/>
          <w:sz w:val="32"/>
          <w:szCs w:val="32"/>
          <w:highlight w:val="none"/>
          <w:u w:val="none"/>
          <w:lang w:val="zh-CN"/>
        </w:rPr>
        <w:t>（四）评价方法。</w:t>
      </w:r>
      <w:r>
        <w:rPr>
          <w:rFonts w:hint="eastAsia" w:ascii="仿宋_GB2312" w:hAnsi="仿宋" w:eastAsia="仿宋_GB2312" w:cs="仿宋_GB2312"/>
          <w:color w:val="000000"/>
          <w:kern w:val="0"/>
          <w:sz w:val="32"/>
          <w:szCs w:val="32"/>
        </w:rPr>
        <w:t>采用单位自评法</w:t>
      </w:r>
      <w:r>
        <w:rPr>
          <w:rFonts w:hint="eastAsia" w:ascii="仿宋_GB2312" w:hAnsi="仿宋" w:eastAsia="仿宋_GB2312" w:cs="仿宋_GB2312"/>
          <w:color w:val="000000"/>
          <w:kern w:val="0"/>
          <w:sz w:val="32"/>
          <w:szCs w:val="32"/>
          <w:lang w:val="en-US" w:eastAsia="zh-CN"/>
        </w:rPr>
        <w:t>.</w:t>
      </w:r>
    </w:p>
    <w:p w14:paraId="685FE69E">
      <w:pPr>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firstLine="643" w:firstLineChars="200"/>
        <w:contextualSpacing/>
        <w:jc w:val="both"/>
        <w:textAlignment w:val="auto"/>
        <w:rPr>
          <w:rFonts w:hint="eastAsia" w:ascii="仿宋_GB2312"/>
          <w:b w:val="0"/>
          <w:bCs w:val="0"/>
          <w:sz w:val="32"/>
          <w:szCs w:val="32"/>
          <w:highlight w:val="none"/>
          <w:lang w:val="en-US" w:eastAsia="zh-CN"/>
        </w:rPr>
      </w:pPr>
      <w:r>
        <w:rPr>
          <w:rFonts w:hint="eastAsia" w:ascii="楷体_GB2312" w:hAnsi="宋体" w:eastAsia="楷体_GB2312"/>
          <w:b/>
          <w:color w:val="auto"/>
          <w:sz w:val="32"/>
          <w:szCs w:val="32"/>
          <w:highlight w:val="none"/>
          <w:u w:val="none"/>
          <w:lang w:val="zh-CN"/>
        </w:rPr>
        <w:t>（五）评价组织。</w:t>
      </w:r>
      <w:r>
        <w:rPr>
          <w:rFonts w:hint="eastAsia" w:ascii="仿宋_GB2312" w:hAnsi="仿宋" w:eastAsia="仿宋_GB2312" w:cs="仿宋_GB2312"/>
          <w:color w:val="000000"/>
          <w:kern w:val="0"/>
          <w:sz w:val="32"/>
          <w:szCs w:val="32"/>
          <w:lang w:val="en-US" w:eastAsia="zh-CN"/>
        </w:rPr>
        <w:t>按照财政资金“谁使用，谁自评”的原则，我单位在收到</w:t>
      </w:r>
      <w:r>
        <w:rPr>
          <w:rFonts w:hint="eastAsia" w:ascii="仿宋_GB2312" w:hAnsi="仿宋" w:eastAsia="仿宋_GB2312" w:cs="仿宋_GB2312"/>
          <w:color w:val="000000"/>
          <w:kern w:val="0"/>
          <w:sz w:val="32"/>
          <w:szCs w:val="32"/>
          <w:lang w:val="zh-CN"/>
        </w:rPr>
        <w:t>自评工作通知后，立即</w:t>
      </w:r>
      <w:r>
        <w:rPr>
          <w:rFonts w:hint="eastAsia" w:ascii="仿宋_GB2312" w:hAnsi="仿宋" w:eastAsia="仿宋_GB2312" w:cs="仿宋_GB2312"/>
          <w:color w:val="000000"/>
          <w:kern w:val="0"/>
          <w:sz w:val="32"/>
          <w:szCs w:val="32"/>
          <w:lang w:val="en-US" w:eastAsia="zh-CN"/>
        </w:rPr>
        <w:t>落实专人负责</w:t>
      </w:r>
      <w:r>
        <w:rPr>
          <w:rFonts w:hint="eastAsia" w:ascii="仿宋_GB2312" w:hAnsi="仿宋" w:eastAsia="仿宋_GB2312" w:cs="仿宋_GB2312"/>
          <w:color w:val="000000"/>
          <w:kern w:val="0"/>
          <w:sz w:val="32"/>
          <w:szCs w:val="32"/>
          <w:lang w:val="zh-CN"/>
        </w:rPr>
        <w:t>，及时</w:t>
      </w:r>
      <w:r>
        <w:rPr>
          <w:rFonts w:hint="eastAsia" w:ascii="仿宋_GB2312" w:hAnsi="仿宋" w:eastAsia="仿宋_GB2312" w:cs="仿宋_GB2312"/>
          <w:color w:val="000000"/>
          <w:kern w:val="0"/>
          <w:sz w:val="32"/>
          <w:szCs w:val="32"/>
          <w:lang w:val="en-US" w:eastAsia="zh-CN"/>
        </w:rPr>
        <w:t>与相关业务科实协调对接</w:t>
      </w:r>
      <w:r>
        <w:rPr>
          <w:rFonts w:hint="eastAsia" w:ascii="仿宋_GB2312" w:hAnsi="仿宋" w:eastAsia="仿宋_GB2312" w:cs="仿宋_GB2312"/>
          <w:color w:val="000000"/>
          <w:kern w:val="0"/>
          <w:sz w:val="32"/>
          <w:szCs w:val="32"/>
          <w:lang w:val="zh-CN"/>
        </w:rPr>
        <w:t>，对项目概况、评价实施、绩效分析、评价结论、存在主要问题、改进建议等进行综合自评，形成自评结果。</w:t>
      </w:r>
    </w:p>
    <w:p w14:paraId="3B8F6F91">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eastAsia="仿宋_GB2312" w:cs="Times New Roman"/>
          <w:szCs w:val="32"/>
          <w:lang w:val="en-US" w:eastAsia="zh-CN"/>
        </w:rPr>
      </w:pPr>
      <w:r>
        <w:rPr>
          <w:rFonts w:hint="eastAsia" w:ascii="黑体" w:hAnsi="宋体" w:eastAsia="黑体"/>
          <w:color w:val="auto"/>
          <w:sz w:val="32"/>
          <w:szCs w:val="32"/>
          <w:highlight w:val="none"/>
          <w:u w:val="none"/>
        </w:rPr>
        <w:t>三、</w:t>
      </w:r>
      <w:r>
        <w:rPr>
          <w:rFonts w:hint="eastAsia" w:ascii="黑体" w:hAnsi="宋体" w:eastAsia="黑体"/>
          <w:color w:val="auto"/>
          <w:sz w:val="32"/>
          <w:szCs w:val="32"/>
          <w:highlight w:val="none"/>
          <w:u w:val="none"/>
          <w:lang w:eastAsia="zh-CN"/>
        </w:rPr>
        <w:t>绩效分析</w:t>
      </w:r>
      <w:r>
        <w:rPr>
          <w:rFonts w:hint="eastAsia" w:ascii="仿宋_GB2312" w:hAnsi="宋体"/>
          <w:color w:val="auto"/>
          <w:sz w:val="32"/>
          <w:szCs w:val="32"/>
          <w:highlight w:val="none"/>
          <w:u w:val="none"/>
          <w:lang w:val="zh-CN"/>
        </w:rPr>
        <w:tab/>
      </w:r>
    </w:p>
    <w:p w14:paraId="3B925E39">
      <w:pPr>
        <w:keepNext w:val="0"/>
        <w:keepLines w:val="0"/>
        <w:pageBreakBefore w:val="0"/>
        <w:widowControl w:val="0"/>
        <w:kinsoku/>
        <w:wordWrap/>
        <w:overflowPunct/>
        <w:topLinePunct w:val="0"/>
        <w:autoSpaceDE/>
        <w:autoSpaceDN/>
        <w:bidi w:val="0"/>
        <w:adjustRightInd/>
        <w:snapToGrid/>
        <w:spacing w:line="600" w:lineRule="exact"/>
        <w:ind w:firstLine="640"/>
        <w:textAlignment w:val="auto"/>
        <w:outlineLvl w:val="9"/>
        <w:rPr>
          <w:rFonts w:hint="eastAsia" w:ascii="楷体_GB2312" w:hAnsi="宋体" w:eastAsia="楷体_GB2312" w:cs="Times New Roman"/>
          <w:b/>
          <w:color w:val="auto"/>
          <w:sz w:val="32"/>
          <w:szCs w:val="32"/>
          <w:highlight w:val="none"/>
          <w:u w:val="none"/>
          <w:lang w:val="en-US" w:eastAsia="zh-CN"/>
        </w:rPr>
      </w:pPr>
      <w:r>
        <w:rPr>
          <w:rFonts w:hint="eastAsia" w:ascii="楷体_GB2312" w:hAnsi="宋体" w:eastAsia="楷体_GB2312" w:cs="Times New Roman"/>
          <w:b/>
          <w:color w:val="auto"/>
          <w:sz w:val="32"/>
          <w:szCs w:val="32"/>
          <w:highlight w:val="none"/>
          <w:u w:val="none"/>
          <w:lang w:val="zh-CN"/>
        </w:rPr>
        <w:t>（一）</w:t>
      </w:r>
      <w:r>
        <w:rPr>
          <w:rFonts w:hint="eastAsia" w:ascii="楷体_GB2312" w:hAnsi="宋体" w:eastAsia="楷体_GB2312" w:cs="Times New Roman"/>
          <w:b/>
          <w:color w:val="auto"/>
          <w:sz w:val="32"/>
          <w:szCs w:val="32"/>
          <w:highlight w:val="none"/>
          <w:u w:val="none"/>
          <w:lang w:val="en-US" w:eastAsia="zh-CN"/>
        </w:rPr>
        <w:t>通用指标</w:t>
      </w:r>
      <w:r>
        <w:rPr>
          <w:rFonts w:hint="default" w:ascii="楷体_GB2312" w:hAnsi="宋体" w:eastAsia="楷体_GB2312" w:cs="Times New Roman"/>
          <w:b/>
          <w:color w:val="auto"/>
          <w:sz w:val="32"/>
          <w:szCs w:val="32"/>
          <w:highlight w:val="none"/>
          <w:u w:val="none"/>
          <w:lang w:val="zh-CN"/>
        </w:rPr>
        <w:t>绩效分析。</w:t>
      </w:r>
    </w:p>
    <w:p w14:paraId="067F5C97">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 w:eastAsia="仿宋_GB2312" w:cs="仿宋_GB2312"/>
          <w:color w:val="000000"/>
          <w:kern w:val="0"/>
          <w:sz w:val="32"/>
          <w:szCs w:val="32"/>
          <w:lang w:val="zh-CN"/>
        </w:rPr>
      </w:pPr>
      <w:r>
        <w:rPr>
          <w:rFonts w:hint="eastAsia" w:ascii="仿宋_GB2312" w:hAnsi="仿宋" w:eastAsia="仿宋_GB2312" w:cs="仿宋_GB2312"/>
          <w:color w:val="000000"/>
          <w:kern w:val="0"/>
          <w:sz w:val="32"/>
          <w:szCs w:val="32"/>
          <w:lang w:val="en-US" w:eastAsia="zh-CN"/>
        </w:rPr>
        <w:t>1.</w:t>
      </w:r>
      <w:r>
        <w:rPr>
          <w:rFonts w:hint="eastAsia" w:ascii="仿宋_GB2312" w:hAnsi="仿宋" w:eastAsia="仿宋_GB2312" w:cs="仿宋_GB2312"/>
          <w:color w:val="000000"/>
          <w:kern w:val="0"/>
          <w:sz w:val="32"/>
          <w:szCs w:val="32"/>
          <w:lang w:eastAsia="zh-CN"/>
        </w:rPr>
        <w:t>项目决策。</w:t>
      </w:r>
      <w:r>
        <w:rPr>
          <w:rFonts w:hint="eastAsia" w:ascii="仿宋_GB2312" w:hAnsi="仿宋" w:eastAsia="仿宋_GB2312" w:cs="仿宋_GB2312"/>
          <w:color w:val="000000"/>
          <w:kern w:val="0"/>
          <w:sz w:val="32"/>
          <w:szCs w:val="32"/>
          <w:lang w:val="zh-CN"/>
        </w:rPr>
        <w:t>一是贯彻落实中央关于自然资源工作的方针政策和省委、市委决策部署，并按照单位的职能职责，资金预算合规、科学、合理的同时，把预算、绩效和自然资源改革发展工作深度融合。二是履行预算绩效设立审核程序，经集体研究决策后纳入预算。三是细化量化项目绩效目标，编制预算时对科室申报的预算项目进行全面梳理，严把审核关，所有项目必须有明细的资金测算，对审核后的所有项目全部进行入库管理。</w:t>
      </w:r>
    </w:p>
    <w:p w14:paraId="20DFD850">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 w:eastAsia="仿宋_GB2312" w:cs="仿宋_GB2312"/>
          <w:color w:val="000000"/>
          <w:kern w:val="0"/>
          <w:sz w:val="32"/>
          <w:szCs w:val="32"/>
          <w:lang w:val="en-US" w:eastAsia="zh-CN"/>
        </w:rPr>
      </w:pPr>
      <w:r>
        <w:rPr>
          <w:rFonts w:hint="eastAsia" w:ascii="仿宋_GB2312" w:hAnsi="仿宋" w:eastAsia="仿宋_GB2312" w:cs="仿宋_GB2312"/>
          <w:color w:val="000000"/>
          <w:kern w:val="0"/>
          <w:sz w:val="32"/>
          <w:szCs w:val="32"/>
          <w:lang w:val="en-US" w:eastAsia="zh-CN"/>
        </w:rPr>
        <w:t>2.</w:t>
      </w:r>
      <w:r>
        <w:rPr>
          <w:rFonts w:hint="eastAsia" w:ascii="仿宋_GB2312" w:hAnsi="仿宋" w:eastAsia="仿宋_GB2312" w:cs="仿宋_GB2312"/>
          <w:color w:val="000000"/>
          <w:kern w:val="0"/>
          <w:sz w:val="32"/>
          <w:szCs w:val="32"/>
          <w:lang w:eastAsia="zh-CN"/>
        </w:rPr>
        <w:t>项目管理。</w:t>
      </w:r>
      <w:r>
        <w:rPr>
          <w:rFonts w:hint="eastAsia" w:ascii="仿宋_GB2312" w:hAnsi="仿宋" w:eastAsia="仿宋_GB2312" w:cs="仿宋_GB2312"/>
          <w:color w:val="000000"/>
          <w:kern w:val="0"/>
          <w:sz w:val="32"/>
          <w:szCs w:val="32"/>
          <w:lang w:val="en-US" w:eastAsia="zh-CN"/>
        </w:rPr>
        <w:t>一是</w:t>
      </w:r>
      <w:r>
        <w:rPr>
          <w:rFonts w:hint="eastAsia" w:ascii="仿宋_GB2312" w:hAnsi="仿宋" w:eastAsia="仿宋_GB2312" w:cs="仿宋_GB2312"/>
          <w:color w:val="000000"/>
          <w:kern w:val="0"/>
          <w:sz w:val="32"/>
          <w:szCs w:val="32"/>
          <w:lang w:val="zh-CN"/>
        </w:rPr>
        <w:t>履行</w:t>
      </w:r>
      <w:r>
        <w:rPr>
          <w:rFonts w:hint="eastAsia" w:ascii="仿宋_GB2312" w:hAnsi="仿宋" w:eastAsia="仿宋_GB2312" w:cs="仿宋_GB2312"/>
          <w:color w:val="000000"/>
          <w:kern w:val="0"/>
          <w:sz w:val="32"/>
          <w:szCs w:val="32"/>
          <w:lang w:val="en-US" w:eastAsia="zh-CN"/>
        </w:rPr>
        <w:t>项目</w:t>
      </w:r>
      <w:r>
        <w:rPr>
          <w:rFonts w:hint="eastAsia" w:ascii="仿宋_GB2312" w:hAnsi="仿宋" w:eastAsia="仿宋_GB2312" w:cs="仿宋_GB2312"/>
          <w:color w:val="000000"/>
          <w:kern w:val="0"/>
          <w:sz w:val="32"/>
          <w:szCs w:val="32"/>
          <w:lang w:val="zh-CN"/>
        </w:rPr>
        <w:t>预算绩效设立审核程序，经集体研究决策后纳入</w:t>
      </w:r>
      <w:r>
        <w:rPr>
          <w:rFonts w:hint="eastAsia" w:ascii="仿宋_GB2312" w:hAnsi="仿宋" w:eastAsia="仿宋_GB2312" w:cs="仿宋_GB2312"/>
          <w:color w:val="000000"/>
          <w:kern w:val="0"/>
          <w:sz w:val="32"/>
          <w:szCs w:val="32"/>
          <w:lang w:val="en-US" w:eastAsia="zh-CN"/>
        </w:rPr>
        <w:t>基建</w:t>
      </w:r>
      <w:r>
        <w:rPr>
          <w:rFonts w:hint="eastAsia" w:ascii="仿宋_GB2312" w:hAnsi="仿宋" w:eastAsia="仿宋_GB2312" w:cs="仿宋_GB2312"/>
          <w:color w:val="000000"/>
          <w:kern w:val="0"/>
          <w:sz w:val="32"/>
          <w:szCs w:val="32"/>
          <w:lang w:val="zh-CN"/>
        </w:rPr>
        <w:t>预算。</w:t>
      </w:r>
      <w:r>
        <w:rPr>
          <w:rFonts w:hint="eastAsia" w:ascii="仿宋_GB2312" w:hAnsi="仿宋" w:eastAsia="仿宋_GB2312" w:cs="仿宋_GB2312"/>
          <w:color w:val="000000"/>
          <w:kern w:val="0"/>
          <w:sz w:val="32"/>
          <w:szCs w:val="32"/>
          <w:lang w:val="en-US" w:eastAsia="zh-CN"/>
        </w:rPr>
        <w:t>二</w:t>
      </w:r>
      <w:r>
        <w:rPr>
          <w:rFonts w:hint="eastAsia" w:ascii="仿宋_GB2312" w:hAnsi="仿宋" w:eastAsia="仿宋_GB2312" w:cs="仿宋_GB2312"/>
          <w:color w:val="000000"/>
          <w:kern w:val="0"/>
          <w:sz w:val="32"/>
          <w:szCs w:val="32"/>
          <w:lang w:val="zh-CN"/>
        </w:rPr>
        <w:t>是细化量化项目绩效目标，编制预算时对科室申报的预算项目进行全面梳理，严把审核关，项目必须有明细的资金测算，对审核后进行入库管理。</w:t>
      </w:r>
      <w:r>
        <w:rPr>
          <w:rFonts w:hint="eastAsia" w:ascii="仿宋_GB2312" w:hAnsi="仿宋" w:eastAsia="仿宋_GB2312" w:cs="仿宋_GB2312"/>
          <w:color w:val="000000"/>
          <w:kern w:val="0"/>
          <w:sz w:val="32"/>
          <w:szCs w:val="32"/>
          <w:lang w:val="en-US" w:eastAsia="zh-CN"/>
        </w:rPr>
        <w:t>财政下达资金后，我局严格按照《预算法》《项目资金管理办法》及时支付，确保项目按时按质完成。</w:t>
      </w:r>
    </w:p>
    <w:p w14:paraId="240B863B">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 w:eastAsia="仿宋_GB2312" w:cs="仿宋_GB2312"/>
          <w:color w:val="000000"/>
          <w:kern w:val="0"/>
          <w:sz w:val="32"/>
          <w:szCs w:val="32"/>
        </w:rPr>
      </w:pPr>
      <w:r>
        <w:rPr>
          <w:rFonts w:hint="eastAsia" w:ascii="仿宋_GB2312" w:hAnsi="仿宋" w:eastAsia="仿宋_GB2312" w:cs="仿宋_GB2312"/>
          <w:color w:val="000000"/>
          <w:kern w:val="0"/>
          <w:sz w:val="32"/>
          <w:szCs w:val="32"/>
          <w:lang w:val="en-US" w:eastAsia="zh-CN"/>
        </w:rPr>
        <w:t>3.项目实施。</w:t>
      </w:r>
      <w:r>
        <w:rPr>
          <w:rFonts w:hint="eastAsia" w:ascii="仿宋_GB2312" w:hAnsi="仿宋" w:eastAsia="仿宋_GB2312" w:cs="仿宋_GB2312"/>
          <w:color w:val="000000"/>
          <w:kern w:val="0"/>
          <w:sz w:val="32"/>
          <w:szCs w:val="32"/>
        </w:rPr>
        <w:t>我局按照合同约定于2023年12月支付40万元。我局制度了《财务管理制度》和《专项资金管理制度》和《三重一大制度》，确保项目高效率使用和支付过程中严格执行相关制度，专款专用，无截留，无挪用。</w:t>
      </w:r>
    </w:p>
    <w:p w14:paraId="6BA7624F">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 w:eastAsia="仿宋_GB2312" w:cs="仿宋_GB2312"/>
          <w:color w:val="000000"/>
          <w:kern w:val="0"/>
          <w:sz w:val="32"/>
          <w:szCs w:val="32"/>
          <w:lang w:val="en-US" w:eastAsia="zh-CN"/>
        </w:rPr>
      </w:pPr>
      <w:r>
        <w:rPr>
          <w:rFonts w:hint="eastAsia" w:ascii="仿宋_GB2312" w:hAnsi="仿宋" w:eastAsia="仿宋_GB2312" w:cs="仿宋_GB2312"/>
          <w:color w:val="000000"/>
          <w:kern w:val="0"/>
          <w:sz w:val="32"/>
          <w:szCs w:val="32"/>
          <w:lang w:val="en-US" w:eastAsia="zh-CN"/>
        </w:rPr>
        <w:t>4.项目结果。完成工作报告、技术报告、数据成果4份、土地级别与基准地价图、定级因素作用分布图、样点地价分布图各4份、标准宗地、标定区域布设图及专门管理软件。为土地市场建设、土地资产权益保护和土地宏观调控等方面提供重要支撑，提升土地管理的科学化管理。</w:t>
      </w:r>
    </w:p>
    <w:p w14:paraId="3A4A34F1">
      <w:pPr>
        <w:keepNext w:val="0"/>
        <w:keepLines w:val="0"/>
        <w:pageBreakBefore w:val="0"/>
        <w:widowControl w:val="0"/>
        <w:kinsoku/>
        <w:wordWrap/>
        <w:overflowPunct/>
        <w:topLinePunct w:val="0"/>
        <w:autoSpaceDE/>
        <w:autoSpaceDN/>
        <w:bidi w:val="0"/>
        <w:adjustRightInd/>
        <w:snapToGrid/>
        <w:spacing w:line="600" w:lineRule="exact"/>
        <w:ind w:firstLine="640"/>
        <w:textAlignment w:val="auto"/>
        <w:outlineLvl w:val="9"/>
        <w:rPr>
          <w:rFonts w:hint="eastAsia" w:ascii="楷体_GB2312" w:hAnsi="宋体" w:eastAsia="楷体_GB2312" w:cs="Times New Roman"/>
          <w:b/>
          <w:color w:val="auto"/>
          <w:sz w:val="32"/>
          <w:szCs w:val="32"/>
          <w:highlight w:val="none"/>
          <w:u w:val="none"/>
          <w:lang w:val="zh-CN" w:eastAsia="zh-CN"/>
        </w:rPr>
      </w:pPr>
      <w:r>
        <w:rPr>
          <w:rFonts w:hint="eastAsia" w:ascii="楷体_GB2312" w:hAnsi="宋体" w:eastAsia="楷体_GB2312" w:cs="Times New Roman"/>
          <w:b/>
          <w:color w:val="auto"/>
          <w:sz w:val="32"/>
          <w:szCs w:val="32"/>
          <w:highlight w:val="none"/>
          <w:u w:val="none"/>
          <w:lang w:val="zh-CN"/>
        </w:rPr>
        <w:t>（二）</w:t>
      </w:r>
      <w:r>
        <w:rPr>
          <w:rFonts w:hint="eastAsia" w:ascii="楷体_GB2312" w:hAnsi="宋体" w:eastAsia="楷体_GB2312" w:cs="Times New Roman"/>
          <w:b/>
          <w:color w:val="auto"/>
          <w:sz w:val="32"/>
          <w:szCs w:val="32"/>
          <w:highlight w:val="none"/>
          <w:u w:val="none"/>
          <w:lang w:val="en-US" w:eastAsia="zh-CN"/>
        </w:rPr>
        <w:t>专用指标</w:t>
      </w:r>
      <w:r>
        <w:rPr>
          <w:rFonts w:hint="default" w:ascii="楷体_GB2312" w:hAnsi="宋体" w:eastAsia="楷体_GB2312" w:cs="Times New Roman"/>
          <w:b/>
          <w:color w:val="auto"/>
          <w:sz w:val="32"/>
          <w:szCs w:val="32"/>
          <w:highlight w:val="none"/>
          <w:u w:val="none"/>
          <w:lang w:val="zh-CN"/>
        </w:rPr>
        <w:t>绩效分析</w:t>
      </w:r>
      <w:r>
        <w:rPr>
          <w:rFonts w:hint="eastAsia" w:ascii="楷体_GB2312" w:hAnsi="宋体" w:eastAsia="楷体_GB2312" w:cs="Times New Roman"/>
          <w:b/>
          <w:color w:val="auto"/>
          <w:sz w:val="32"/>
          <w:szCs w:val="32"/>
          <w:highlight w:val="none"/>
          <w:u w:val="none"/>
          <w:lang w:val="zh-CN" w:eastAsia="zh-CN"/>
        </w:rPr>
        <w:t>。</w:t>
      </w:r>
    </w:p>
    <w:p w14:paraId="222657E1">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 w:eastAsia="仿宋_GB2312" w:cs="仿宋_GB2312"/>
          <w:color w:val="000000"/>
          <w:kern w:val="0"/>
          <w:sz w:val="32"/>
          <w:szCs w:val="32"/>
          <w:lang w:val="en-US" w:eastAsia="zh-CN"/>
        </w:rPr>
      </w:pPr>
      <w:r>
        <w:rPr>
          <w:rFonts w:hint="eastAsia" w:ascii="仿宋_GB2312" w:hAnsi="仿宋" w:eastAsia="仿宋_GB2312" w:cs="仿宋_GB2312"/>
          <w:color w:val="000000"/>
          <w:kern w:val="0"/>
          <w:sz w:val="32"/>
          <w:szCs w:val="32"/>
          <w:lang w:val="en-US" w:eastAsia="zh-CN"/>
        </w:rPr>
        <w:t>1.产业发展。该项目是市委市政府支持重点项目。</w:t>
      </w:r>
      <w:r>
        <w:rPr>
          <w:rFonts w:hint="eastAsia" w:ascii="仿宋_GB2312" w:hAnsi="仿宋" w:eastAsia="仿宋_GB2312" w:cs="仿宋_GB2312"/>
          <w:color w:val="000000"/>
          <w:kern w:val="0"/>
          <w:sz w:val="32"/>
          <w:szCs w:val="32"/>
        </w:rPr>
        <w:t>为促进城乡融合发展，支撑自然资源资产产权制度改革，进一步强化土地资源要素市场化配置，建立自然资源政府公示价格体系、推进自然资源资产分等定级。</w:t>
      </w:r>
      <w:r>
        <w:rPr>
          <w:rFonts w:hint="eastAsia" w:ascii="仿宋_GB2312" w:hAnsi="仿宋" w:eastAsia="仿宋_GB2312" w:cs="仿宋_GB2312"/>
          <w:color w:val="000000"/>
          <w:kern w:val="0"/>
          <w:sz w:val="32"/>
          <w:szCs w:val="32"/>
          <w:lang w:val="en-US" w:eastAsia="zh-CN"/>
        </w:rPr>
        <w:t>为土地市场建设、土地资产权益保护和土地宏观调控等方面提供重要支撑，提升土地管理的科学化管理。</w:t>
      </w:r>
    </w:p>
    <w:p w14:paraId="238DE647">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 w:eastAsia="仿宋_GB2312" w:cs="仿宋_GB2312"/>
          <w:color w:val="000000"/>
          <w:kern w:val="0"/>
          <w:sz w:val="32"/>
          <w:szCs w:val="32"/>
          <w:lang w:val="en-US" w:eastAsia="zh-CN"/>
        </w:rPr>
      </w:pPr>
      <w:r>
        <w:rPr>
          <w:rFonts w:hint="eastAsia" w:ascii="仿宋_GB2312" w:hAnsi="仿宋" w:eastAsia="仿宋_GB2312" w:cs="仿宋_GB2312"/>
          <w:color w:val="000000"/>
          <w:kern w:val="0"/>
          <w:sz w:val="32"/>
          <w:szCs w:val="32"/>
          <w:lang w:val="en-US" w:eastAsia="zh-CN"/>
        </w:rPr>
        <w:t>2.</w:t>
      </w:r>
      <w:r>
        <w:rPr>
          <w:rFonts w:hint="eastAsia" w:ascii="仿宋_GB2312" w:hAnsi="仿宋" w:eastAsia="仿宋_GB2312" w:cs="仿宋_GB2312"/>
          <w:color w:val="000000"/>
          <w:kern w:val="0"/>
          <w:sz w:val="32"/>
          <w:szCs w:val="32"/>
          <w:lang w:val="zh-CN" w:eastAsia="zh-CN"/>
        </w:rPr>
        <w:t>行政运转。</w:t>
      </w:r>
      <w:r>
        <w:rPr>
          <w:rFonts w:hint="eastAsia" w:ascii="仿宋_GB2312" w:hAnsi="仿宋" w:eastAsia="仿宋_GB2312" w:cs="仿宋_GB2312"/>
          <w:color w:val="000000"/>
          <w:kern w:val="0"/>
          <w:sz w:val="32"/>
          <w:szCs w:val="32"/>
          <w:lang w:val="en-US" w:eastAsia="zh-CN"/>
        </w:rPr>
        <w:t>本</w:t>
      </w:r>
      <w:r>
        <w:rPr>
          <w:rFonts w:hint="eastAsia" w:ascii="仿宋_GB2312" w:hAnsi="仿宋" w:eastAsia="仿宋_GB2312" w:cs="仿宋_GB2312"/>
          <w:color w:val="000000"/>
          <w:kern w:val="0"/>
          <w:sz w:val="32"/>
          <w:szCs w:val="32"/>
          <w:lang w:val="zh-CN"/>
        </w:rPr>
        <w:t>单位财务管理制度健全，严格执行财务管理制度，账务处理及时，会计核算规范。</w:t>
      </w:r>
    </w:p>
    <w:p w14:paraId="6C97CD23">
      <w:pPr>
        <w:keepNext w:val="0"/>
        <w:keepLines w:val="0"/>
        <w:pageBreakBefore w:val="0"/>
        <w:widowControl w:val="0"/>
        <w:kinsoku/>
        <w:wordWrap/>
        <w:overflowPunct/>
        <w:topLinePunct w:val="0"/>
        <w:autoSpaceDE/>
        <w:autoSpaceDN/>
        <w:bidi w:val="0"/>
        <w:adjustRightInd/>
        <w:snapToGrid/>
        <w:spacing w:line="600" w:lineRule="exact"/>
        <w:ind w:firstLine="640"/>
        <w:textAlignment w:val="auto"/>
        <w:outlineLvl w:val="9"/>
        <w:rPr>
          <w:rFonts w:hint="default" w:ascii="楷体_GB2312" w:hAnsi="宋体" w:eastAsia="楷体_GB2312" w:cs="Times New Roman"/>
          <w:b/>
          <w:color w:val="auto"/>
          <w:sz w:val="32"/>
          <w:szCs w:val="32"/>
          <w:highlight w:val="none"/>
          <w:u w:val="none"/>
          <w:lang w:val="zh-CN"/>
        </w:rPr>
      </w:pPr>
      <w:r>
        <w:rPr>
          <w:rFonts w:hint="eastAsia" w:ascii="楷体_GB2312" w:hAnsi="宋体" w:eastAsia="楷体_GB2312" w:cs="Times New Roman"/>
          <w:b/>
          <w:color w:val="auto"/>
          <w:sz w:val="32"/>
          <w:szCs w:val="32"/>
          <w:highlight w:val="none"/>
          <w:u w:val="none"/>
          <w:lang w:val="zh-CN"/>
        </w:rPr>
        <w:t>（三）</w:t>
      </w:r>
      <w:r>
        <w:rPr>
          <w:rFonts w:hint="eastAsia" w:ascii="楷体_GB2312" w:hAnsi="宋体" w:eastAsia="楷体_GB2312" w:cs="Times New Roman"/>
          <w:b/>
          <w:color w:val="auto"/>
          <w:sz w:val="32"/>
          <w:szCs w:val="32"/>
          <w:highlight w:val="none"/>
          <w:u w:val="none"/>
          <w:lang w:val="en-US" w:eastAsia="zh-CN"/>
        </w:rPr>
        <w:t>个性指标</w:t>
      </w:r>
      <w:r>
        <w:rPr>
          <w:rFonts w:hint="default" w:ascii="楷体_GB2312" w:hAnsi="宋体" w:eastAsia="楷体_GB2312" w:cs="Times New Roman"/>
          <w:b/>
          <w:color w:val="auto"/>
          <w:sz w:val="32"/>
          <w:szCs w:val="32"/>
          <w:highlight w:val="none"/>
          <w:u w:val="none"/>
          <w:lang w:val="zh-CN"/>
        </w:rPr>
        <w:t>绩效分析。</w:t>
      </w:r>
    </w:p>
    <w:p w14:paraId="7F92E4BC">
      <w:pPr>
        <w:pStyle w:val="7"/>
        <w:keepNext w:val="0"/>
        <w:keepLines w:val="0"/>
        <w:pageBreakBefore w:val="0"/>
        <w:widowControl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default" w:ascii="楷体_GB2312" w:hAnsi="楷体_GB2312" w:eastAsia="楷体_GB2312" w:cs="楷体_GB2312"/>
          <w:color w:val="auto"/>
          <w:kern w:val="2"/>
          <w:position w:val="0"/>
          <w:sz w:val="32"/>
          <w:szCs w:val="32"/>
          <w:lang w:val="en-US" w:eastAsia="zh-CN" w:bidi="ar-SA"/>
        </w:rPr>
      </w:pPr>
      <w:r>
        <w:rPr>
          <w:rFonts w:hint="eastAsia" w:ascii="仿宋_GB2312" w:hAnsi="仿宋" w:eastAsia="仿宋_GB2312" w:cs="仿宋_GB2312"/>
          <w:color w:val="000000"/>
          <w:kern w:val="0"/>
          <w:sz w:val="32"/>
          <w:szCs w:val="32"/>
          <w:lang w:val="en-US" w:eastAsia="zh-CN" w:bidi="ar-SA"/>
        </w:rPr>
        <w:t>完成工作报告、技术报告、数据成果4份、土地级别与基准地价图、定级因素作用分布图、样点地价分布图各4份、标准宗地、标定区域布设图及专门管理软件。</w:t>
      </w:r>
    </w:p>
    <w:p w14:paraId="2ACD6049">
      <w:pPr>
        <w:pStyle w:val="7"/>
        <w:keepNext w:val="0"/>
        <w:keepLines w:val="0"/>
        <w:pageBreakBefore w:val="0"/>
        <w:widowControl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olor w:val="auto"/>
          <w:sz w:val="32"/>
          <w:szCs w:val="32"/>
          <w:highlight w:val="none"/>
          <w:u w:val="none"/>
        </w:rPr>
      </w:pPr>
      <w:r>
        <w:rPr>
          <w:rFonts w:hint="eastAsia" w:ascii="黑体" w:hAnsi="宋体" w:eastAsia="黑体"/>
          <w:color w:val="auto"/>
          <w:sz w:val="32"/>
          <w:szCs w:val="32"/>
          <w:highlight w:val="none"/>
          <w:u w:val="none"/>
          <w:lang w:eastAsia="zh-CN"/>
        </w:rPr>
        <w:t>四</w:t>
      </w:r>
      <w:r>
        <w:rPr>
          <w:rFonts w:hint="eastAsia" w:ascii="黑体" w:hAnsi="宋体" w:eastAsia="黑体"/>
          <w:color w:val="auto"/>
          <w:sz w:val="32"/>
          <w:szCs w:val="32"/>
          <w:highlight w:val="none"/>
          <w:u w:val="none"/>
        </w:rPr>
        <w:t>、评价结论</w:t>
      </w:r>
    </w:p>
    <w:p w14:paraId="6273A4FB">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 w:eastAsia="仿宋_GB2312" w:cs="仿宋_GB2312"/>
          <w:color w:val="000000"/>
          <w:kern w:val="0"/>
          <w:sz w:val="32"/>
          <w:szCs w:val="32"/>
        </w:rPr>
      </w:pPr>
      <w:r>
        <w:rPr>
          <w:rFonts w:hint="eastAsia" w:ascii="仿宋_GB2312" w:hAnsi="仿宋" w:eastAsia="仿宋_GB2312" w:cs="仿宋_GB2312"/>
          <w:color w:val="000000"/>
          <w:kern w:val="0"/>
          <w:sz w:val="32"/>
          <w:szCs w:val="32"/>
        </w:rPr>
        <w:t>按照《</w:t>
      </w:r>
      <w:r>
        <w:rPr>
          <w:rFonts w:hint="eastAsia" w:ascii="仿宋_GB2312" w:hAnsi="仿宋" w:eastAsia="仿宋_GB2312" w:cs="仿宋_GB2312"/>
          <w:color w:val="000000"/>
          <w:kern w:val="0"/>
          <w:sz w:val="32"/>
          <w:szCs w:val="32"/>
          <w:lang w:val="en-US" w:eastAsia="zh-CN"/>
        </w:rPr>
        <w:t>专项预算项目</w:t>
      </w:r>
      <w:r>
        <w:rPr>
          <w:rFonts w:hint="eastAsia" w:ascii="仿宋_GB2312" w:hAnsi="仿宋" w:eastAsia="仿宋_GB2312" w:cs="仿宋_GB2312"/>
          <w:color w:val="000000"/>
          <w:kern w:val="0"/>
          <w:sz w:val="32"/>
          <w:szCs w:val="32"/>
        </w:rPr>
        <w:t>绩效评价指标体系》，自评得分</w:t>
      </w:r>
      <w:r>
        <w:rPr>
          <w:rFonts w:hint="eastAsia" w:ascii="仿宋_GB2312" w:hAnsi="仿宋" w:eastAsia="仿宋_GB2312" w:cs="仿宋_GB2312"/>
          <w:color w:val="000000"/>
          <w:kern w:val="0"/>
          <w:sz w:val="32"/>
          <w:szCs w:val="32"/>
          <w:lang w:val="en-US" w:eastAsia="zh-CN"/>
        </w:rPr>
        <w:t>100</w:t>
      </w:r>
      <w:r>
        <w:rPr>
          <w:rFonts w:hint="eastAsia" w:ascii="仿宋_GB2312" w:hAnsi="仿宋" w:eastAsia="仿宋_GB2312" w:cs="仿宋_GB2312"/>
          <w:color w:val="000000"/>
          <w:kern w:val="0"/>
          <w:sz w:val="32"/>
          <w:szCs w:val="32"/>
        </w:rPr>
        <w:t>分。</w:t>
      </w:r>
      <w:r>
        <w:rPr>
          <w:rFonts w:hint="eastAsia" w:ascii="仿宋_GB2312" w:hAnsi="仿宋" w:eastAsia="仿宋_GB2312" w:cs="仿宋_GB2312"/>
          <w:color w:val="000000"/>
          <w:kern w:val="0"/>
          <w:sz w:val="32"/>
          <w:szCs w:val="32"/>
          <w:lang w:val="en-US" w:eastAsia="zh-CN"/>
        </w:rPr>
        <w:t>我</w:t>
      </w:r>
      <w:r>
        <w:rPr>
          <w:rFonts w:hint="eastAsia" w:ascii="仿宋_GB2312" w:hAnsi="仿宋" w:eastAsia="仿宋_GB2312" w:cs="仿宋_GB2312"/>
          <w:color w:val="000000"/>
          <w:kern w:val="0"/>
          <w:sz w:val="32"/>
          <w:szCs w:val="32"/>
        </w:rPr>
        <w:t>局严格执行财经纪律、法规和各项规章制度，加强财务管理，规范会计核算，资金高效运行。项目决策科学，依据充分，项目管理规范；绩效执行进度达到预期；项目完成效果好，实施后达到了预期目的。</w:t>
      </w:r>
    </w:p>
    <w:p w14:paraId="5D0F073E">
      <w:pPr>
        <w:pStyle w:val="7"/>
        <w:keepNext w:val="0"/>
        <w:keepLines w:val="0"/>
        <w:pageBreakBefore w:val="0"/>
        <w:widowControl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s="Times New Roman"/>
          <w:color w:val="auto"/>
          <w:sz w:val="32"/>
          <w:szCs w:val="32"/>
          <w:highlight w:val="none"/>
          <w:u w:val="none"/>
          <w:lang w:eastAsia="zh-CN"/>
        </w:rPr>
      </w:pPr>
      <w:r>
        <w:rPr>
          <w:rFonts w:hint="eastAsia" w:ascii="黑体" w:hAnsi="宋体" w:cs="Times New Roman"/>
          <w:color w:val="auto"/>
          <w:sz w:val="32"/>
          <w:szCs w:val="32"/>
          <w:highlight w:val="none"/>
          <w:u w:val="none"/>
          <w:lang w:eastAsia="zh-CN"/>
        </w:rPr>
        <w:t>五、</w:t>
      </w:r>
      <w:r>
        <w:rPr>
          <w:rFonts w:hint="eastAsia" w:ascii="黑体" w:hAnsi="宋体" w:eastAsia="黑体" w:cs="Times New Roman"/>
          <w:color w:val="auto"/>
          <w:sz w:val="32"/>
          <w:szCs w:val="32"/>
          <w:highlight w:val="none"/>
          <w:u w:val="none"/>
          <w:lang w:eastAsia="zh-CN"/>
        </w:rPr>
        <w:t>存在主要问题</w:t>
      </w:r>
    </w:p>
    <w:p w14:paraId="48A74212">
      <w:pPr>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firstLine="640" w:firstLineChars="200"/>
        <w:contextualSpacing/>
        <w:jc w:val="both"/>
        <w:textAlignment w:val="auto"/>
        <w:rPr>
          <w:rFonts w:hint="eastAsia" w:ascii="仿宋_GB2312" w:hAnsi="仿宋_GB2312" w:cs="仿宋_GB2312"/>
          <w:color w:val="auto"/>
          <w:kern w:val="0"/>
          <w:sz w:val="32"/>
          <w:szCs w:val="32"/>
          <w:highlight w:val="none"/>
          <w:u w:val="none"/>
          <w:shd w:val="clear" w:color="auto" w:fill="FFFFFF"/>
          <w:lang w:val="zh-CN" w:eastAsia="zh-CN"/>
        </w:rPr>
      </w:pPr>
      <w:r>
        <w:rPr>
          <w:rFonts w:hint="eastAsia" w:ascii="仿宋_GB2312" w:hAnsi="仿宋_GB2312" w:eastAsia="仿宋_GB2312" w:cs="仿宋_GB2312"/>
          <w:color w:val="auto"/>
          <w:kern w:val="0"/>
          <w:sz w:val="32"/>
          <w:szCs w:val="32"/>
          <w:highlight w:val="none"/>
          <w:u w:val="none"/>
          <w:shd w:val="clear" w:color="auto" w:fill="FFFFFF"/>
          <w:lang w:val="zh-CN" w:eastAsia="zh-CN"/>
        </w:rPr>
        <w:t xml:space="preserve"> </w:t>
      </w:r>
      <w:r>
        <w:rPr>
          <w:rFonts w:hint="eastAsia" w:ascii="仿宋_GB2312" w:hAnsi="仿宋_GB2312" w:cs="仿宋_GB2312"/>
          <w:color w:val="auto"/>
          <w:kern w:val="0"/>
          <w:sz w:val="32"/>
          <w:szCs w:val="32"/>
          <w:highlight w:val="none"/>
          <w:u w:val="none"/>
          <w:shd w:val="clear" w:color="auto" w:fill="FFFFFF"/>
          <w:lang w:val="en-US" w:eastAsia="zh-CN"/>
        </w:rPr>
        <w:t>无</w:t>
      </w:r>
      <w:r>
        <w:rPr>
          <w:rFonts w:hint="eastAsia" w:ascii="仿宋_GB2312" w:hAnsi="仿宋_GB2312" w:cs="仿宋_GB2312"/>
          <w:color w:val="auto"/>
          <w:kern w:val="0"/>
          <w:sz w:val="32"/>
          <w:szCs w:val="32"/>
          <w:highlight w:val="none"/>
          <w:u w:val="none"/>
          <w:shd w:val="clear" w:color="auto" w:fill="FFFFFF"/>
          <w:lang w:val="zh-CN" w:eastAsia="zh-CN"/>
        </w:rPr>
        <w:t>。</w:t>
      </w:r>
    </w:p>
    <w:p w14:paraId="359322A2">
      <w:pPr>
        <w:pStyle w:val="7"/>
        <w:keepNext w:val="0"/>
        <w:keepLines w:val="0"/>
        <w:pageBreakBefore w:val="0"/>
        <w:widowControl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s="Times New Roman"/>
          <w:color w:val="auto"/>
          <w:kern w:val="0"/>
          <w:position w:val="3"/>
          <w:sz w:val="32"/>
          <w:szCs w:val="32"/>
          <w:highlight w:val="none"/>
          <w:u w:val="none"/>
          <w:lang w:val="zh-CN" w:eastAsia="zh-CN" w:bidi="ar-SA"/>
        </w:rPr>
      </w:pPr>
      <w:r>
        <w:rPr>
          <w:rFonts w:hint="eastAsia" w:ascii="黑体" w:hAnsi="宋体" w:eastAsia="黑体" w:cs="Times New Roman"/>
          <w:color w:val="auto"/>
          <w:kern w:val="0"/>
          <w:position w:val="3"/>
          <w:sz w:val="32"/>
          <w:szCs w:val="32"/>
          <w:highlight w:val="none"/>
          <w:u w:val="none"/>
          <w:lang w:val="zh-CN" w:eastAsia="zh-CN" w:bidi="ar-SA"/>
        </w:rPr>
        <w:t>六、改进建议</w:t>
      </w:r>
    </w:p>
    <w:p w14:paraId="7181B720">
      <w:pPr>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firstLine="640" w:firstLineChars="200"/>
        <w:contextualSpacing/>
        <w:jc w:val="both"/>
        <w:textAlignment w:val="auto"/>
        <w:rPr>
          <w:rFonts w:hint="eastAsia" w:ascii="仿宋_GB2312" w:hAnsi="仿宋_GB2312" w:cs="仿宋_GB2312"/>
          <w:color w:val="auto"/>
          <w:kern w:val="0"/>
          <w:sz w:val="32"/>
          <w:szCs w:val="32"/>
          <w:highlight w:val="none"/>
          <w:u w:val="none"/>
          <w:shd w:val="clear" w:color="auto" w:fill="FFFFFF"/>
          <w:lang w:val="zh-CN" w:eastAsia="zh-CN"/>
        </w:rPr>
      </w:pPr>
      <w:r>
        <w:rPr>
          <w:rFonts w:hint="eastAsia" w:ascii="仿宋_GB2312" w:hAnsi="仿宋_GB2312" w:eastAsia="仿宋_GB2312" w:cs="仿宋_GB2312"/>
          <w:color w:val="auto"/>
          <w:kern w:val="0"/>
          <w:sz w:val="32"/>
          <w:szCs w:val="32"/>
          <w:highlight w:val="none"/>
          <w:u w:val="none"/>
          <w:shd w:val="clear" w:color="auto" w:fill="FFFFFF"/>
          <w:lang w:val="zh-CN" w:eastAsia="zh-CN"/>
        </w:rPr>
        <w:t xml:space="preserve"> </w:t>
      </w:r>
      <w:r>
        <w:rPr>
          <w:rFonts w:hint="eastAsia" w:ascii="仿宋_GB2312" w:hAnsi="仿宋_GB2312" w:cs="仿宋_GB2312"/>
          <w:color w:val="auto"/>
          <w:kern w:val="0"/>
          <w:sz w:val="32"/>
          <w:szCs w:val="32"/>
          <w:highlight w:val="none"/>
          <w:u w:val="none"/>
          <w:shd w:val="clear" w:color="auto" w:fill="FFFFFF"/>
          <w:lang w:val="en-US" w:eastAsia="zh-CN"/>
        </w:rPr>
        <w:t>无</w:t>
      </w:r>
      <w:r>
        <w:rPr>
          <w:rFonts w:hint="eastAsia" w:ascii="仿宋_GB2312" w:hAnsi="仿宋_GB2312" w:cs="仿宋_GB2312"/>
          <w:color w:val="auto"/>
          <w:kern w:val="0"/>
          <w:sz w:val="32"/>
          <w:szCs w:val="32"/>
          <w:highlight w:val="none"/>
          <w:u w:val="none"/>
          <w:shd w:val="clear" w:color="auto" w:fill="FFFFFF"/>
          <w:lang w:val="zh-CN" w:eastAsia="zh-CN"/>
        </w:rPr>
        <w:t>。</w:t>
      </w:r>
    </w:p>
    <w:p w14:paraId="05D6D952">
      <w:pPr>
        <w:keepNext w:val="0"/>
        <w:keepLines w:val="0"/>
        <w:pageBreakBefore w:val="0"/>
        <w:widowControl w:val="0"/>
        <w:tabs>
          <w:tab w:val="left" w:pos="1911"/>
        </w:tabs>
        <w:kinsoku/>
        <w:wordWrap/>
        <w:overflowPunct/>
        <w:topLinePunct w:val="0"/>
        <w:autoSpaceDE/>
        <w:autoSpaceDN/>
        <w:bidi w:val="0"/>
        <w:spacing w:line="600" w:lineRule="exact"/>
        <w:jc w:val="left"/>
        <w:textAlignment w:val="auto"/>
        <w:rPr>
          <w:rFonts w:hint="eastAsia" w:ascii="仿宋_GB2312" w:hAnsi="仿宋_GB2312" w:eastAsia="仿宋_GB2312" w:cs="仿宋_GB2312"/>
          <w:b w:val="0"/>
          <w:bCs w:val="0"/>
          <w:kern w:val="0"/>
          <w:position w:val="0"/>
          <w:sz w:val="32"/>
          <w:szCs w:val="32"/>
          <w:highlight w:val="none"/>
          <w:lang w:val="en" w:eastAsia="zh-CN" w:bidi="ar-SA"/>
        </w:rPr>
      </w:pPr>
    </w:p>
    <w:p w14:paraId="55FF9087">
      <w:pPr>
        <w:keepNext w:val="0"/>
        <w:keepLines w:val="0"/>
        <w:pageBreakBefore w:val="0"/>
        <w:widowControl w:val="0"/>
        <w:kinsoku/>
        <w:wordWrap/>
        <w:overflowPunct/>
        <w:topLinePunct w:val="0"/>
        <w:autoSpaceDE/>
        <w:autoSpaceDN/>
        <w:bidi w:val="0"/>
        <w:adjustRightInd/>
        <w:snapToGrid w:val="0"/>
        <w:spacing w:line="600" w:lineRule="exact"/>
        <w:ind w:left="0" w:leftChars="0" w:firstLine="420" w:firstLineChars="200"/>
        <w:textAlignment w:val="auto"/>
        <w:outlineLvl w:val="9"/>
        <w:rPr>
          <w:rFonts w:hint="eastAsia" w:ascii="Times New Roman" w:hAnsi="Times New Roman" w:cs="Times New Roman"/>
          <w:color w:val="000000"/>
          <w:kern w:val="0"/>
          <w:szCs w:val="32"/>
          <w:highlight w:val="none"/>
          <w:shd w:val="clear" w:color="auto" w:fill="FFFFFF"/>
          <w:lang w:val="zh-CN" w:eastAsia="zh-CN"/>
        </w:rPr>
      </w:pPr>
    </w:p>
    <w:p w14:paraId="5298EF55">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 w:eastAsia="仿宋_GB2312" w:cs="仿宋_GB2312"/>
          <w:color w:val="000000"/>
          <w:kern w:val="0"/>
          <w:sz w:val="32"/>
          <w:szCs w:val="32"/>
          <w:lang w:val="en-US" w:eastAsia="zh-CN"/>
        </w:rPr>
      </w:pPr>
      <w:r>
        <w:rPr>
          <w:rFonts w:hint="eastAsia" w:ascii="仿宋_GB2312" w:hAnsi="仿宋" w:eastAsia="仿宋_GB2312" w:cs="仿宋_GB2312"/>
          <w:color w:val="000000"/>
          <w:kern w:val="0"/>
          <w:sz w:val="32"/>
          <w:szCs w:val="32"/>
          <w:lang w:val="en-US" w:eastAsia="zh-CN"/>
        </w:rPr>
        <w:t>附表：1.项目资金分配涉及所有点位自评得分情况表</w:t>
      </w:r>
    </w:p>
    <w:p w14:paraId="29DD06C8">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 w:eastAsia="仿宋_GB2312" w:cs="仿宋_GB2312"/>
          <w:color w:val="000000"/>
          <w:kern w:val="0"/>
          <w:sz w:val="32"/>
          <w:szCs w:val="32"/>
          <w:lang w:val="en-US" w:eastAsia="zh-CN"/>
        </w:rPr>
      </w:pPr>
      <w:r>
        <w:rPr>
          <w:rFonts w:hint="eastAsia" w:ascii="仿宋_GB2312" w:hAnsi="仿宋" w:eastAsia="仿宋_GB2312" w:cs="仿宋_GB2312"/>
          <w:color w:val="000000"/>
          <w:kern w:val="0"/>
          <w:sz w:val="32"/>
          <w:szCs w:val="32"/>
          <w:lang w:val="en-US" w:eastAsia="zh-CN"/>
        </w:rPr>
        <w:t>专项预算项目绩效目标完成情况自评表</w:t>
      </w:r>
    </w:p>
    <w:p w14:paraId="2A8CF7DB">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default" w:ascii="仿宋_GB2312" w:hAnsi="仿宋" w:eastAsia="仿宋_GB2312" w:cs="仿宋_GB2312"/>
          <w:color w:val="000000"/>
          <w:kern w:val="0"/>
          <w:sz w:val="32"/>
          <w:szCs w:val="32"/>
          <w:lang w:val="en-US" w:eastAsia="zh-CN"/>
        </w:rPr>
      </w:pPr>
    </w:p>
    <w:p w14:paraId="1F79F945">
      <w:pPr>
        <w:pStyle w:val="2"/>
        <w:keepNext w:val="0"/>
        <w:keepLines w:val="0"/>
        <w:pageBreakBefore w:val="0"/>
        <w:widowControl w:val="0"/>
        <w:kinsoku/>
        <w:wordWrap/>
        <w:overflowPunct/>
        <w:topLinePunct w:val="0"/>
        <w:autoSpaceDE/>
        <w:autoSpaceDN/>
        <w:bidi w:val="0"/>
        <w:spacing w:line="600" w:lineRule="exact"/>
        <w:textAlignment w:val="auto"/>
        <w:rPr>
          <w:rFonts w:hint="default"/>
          <w:lang w:val="en-US" w:eastAsia="zh-CN"/>
        </w:rPr>
      </w:pPr>
    </w:p>
    <w:p w14:paraId="02FBAA37">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 w:eastAsia="仿宋_GB2312" w:cs="仿宋_GB2312"/>
          <w:color w:val="000000"/>
          <w:kern w:val="0"/>
          <w:sz w:val="32"/>
          <w:szCs w:val="32"/>
          <w:lang w:val="en-US" w:eastAsia="zh-CN"/>
        </w:rPr>
      </w:pPr>
      <w:r>
        <w:rPr>
          <w:rFonts w:hint="eastAsia" w:ascii="仿宋_GB2312" w:hAnsi="仿宋" w:eastAsia="仿宋_GB2312" w:cs="仿宋_GB2312"/>
          <w:color w:val="000000"/>
          <w:kern w:val="0"/>
          <w:sz w:val="32"/>
          <w:szCs w:val="32"/>
          <w:lang w:val="en-US" w:eastAsia="zh-CN"/>
        </w:rPr>
        <w:t xml:space="preserve">                   广元市自然资源局</w:t>
      </w:r>
    </w:p>
    <w:p w14:paraId="71C902A5">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default" w:ascii="仿宋_GB2312" w:hAnsi="仿宋" w:eastAsia="仿宋_GB2312" w:cs="仿宋_GB2312"/>
          <w:color w:val="000000"/>
          <w:kern w:val="0"/>
          <w:sz w:val="32"/>
          <w:szCs w:val="32"/>
          <w:lang w:val="en-US" w:eastAsia="zh-CN"/>
        </w:rPr>
      </w:pPr>
      <w:r>
        <w:rPr>
          <w:rFonts w:hint="eastAsia" w:ascii="仿宋_GB2312" w:hAnsi="仿宋" w:eastAsia="仿宋_GB2312" w:cs="仿宋_GB2312"/>
          <w:color w:val="000000"/>
          <w:kern w:val="0"/>
          <w:sz w:val="32"/>
          <w:szCs w:val="32"/>
          <w:lang w:val="en-US" w:eastAsia="zh-CN"/>
        </w:rPr>
        <w:t xml:space="preserve">                   2024年8月4日</w:t>
      </w:r>
    </w:p>
    <w:p w14:paraId="696B498E">
      <w:pPr>
        <w:keepNext w:val="0"/>
        <w:keepLines w:val="0"/>
        <w:pageBreakBefore w:val="0"/>
        <w:kinsoku/>
        <w:wordWrap/>
        <w:overflowPunct/>
        <w:topLinePunct w:val="0"/>
        <w:autoSpaceDE/>
        <w:autoSpaceDN/>
        <w:bidi w:val="0"/>
        <w:adjustRightInd/>
        <w:snapToGrid w:val="0"/>
        <w:spacing w:line="578" w:lineRule="exact"/>
        <w:ind w:left="0" w:leftChars="0" w:firstLine="420" w:firstLineChars="200"/>
        <w:textAlignment w:val="auto"/>
        <w:outlineLvl w:val="9"/>
        <w:rPr>
          <w:rFonts w:hint="eastAsia" w:ascii="Times New Roman" w:hAnsi="Times New Roman" w:cs="Times New Roman"/>
          <w:color w:val="000000"/>
          <w:kern w:val="0"/>
          <w:szCs w:val="32"/>
          <w:highlight w:val="none"/>
          <w:shd w:val="clear" w:color="auto" w:fill="FFFFFF"/>
          <w:lang w:val="zh-CN" w:eastAsia="zh-CN"/>
        </w:rPr>
      </w:pPr>
      <w:r>
        <w:rPr>
          <w:rFonts w:hint="eastAsia" w:ascii="Times New Roman" w:hAnsi="Times New Roman" w:cs="Times New Roman"/>
          <w:color w:val="000000"/>
          <w:kern w:val="0"/>
          <w:szCs w:val="32"/>
          <w:highlight w:val="none"/>
          <w:shd w:val="clear" w:color="auto" w:fill="FFFFFF"/>
          <w:lang w:val="zh-CN" w:eastAsia="zh-CN"/>
        </w:rPr>
        <w:br w:type="page"/>
      </w:r>
    </w:p>
    <w:p w14:paraId="30B279D3">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contextualSpacing/>
        <w:jc w:val="left"/>
        <w:textAlignment w:val="auto"/>
        <w:rPr>
          <w:rFonts w:hint="eastAsia" w:ascii="黑体" w:hAnsi="黑体" w:eastAsia="黑体" w:cs="黑体"/>
          <w:b w:val="0"/>
          <w:bCs w:val="0"/>
          <w:color w:val="auto"/>
          <w:kern w:val="0"/>
          <w:sz w:val="32"/>
          <w:szCs w:val="32"/>
          <w:highlight w:val="none"/>
          <w:u w:val="none"/>
          <w:shd w:val="clear" w:color="auto" w:fill="FFFFFF"/>
          <w:lang w:val="zh-CN" w:eastAsia="zh-CN"/>
        </w:rPr>
      </w:pPr>
      <w:r>
        <w:rPr>
          <w:rFonts w:hint="eastAsia" w:ascii="黑体" w:hAnsi="黑体" w:eastAsia="黑体" w:cs="黑体"/>
          <w:b w:val="0"/>
          <w:bCs w:val="0"/>
          <w:color w:val="auto"/>
          <w:kern w:val="0"/>
          <w:sz w:val="32"/>
          <w:szCs w:val="32"/>
          <w:highlight w:val="none"/>
          <w:u w:val="none"/>
          <w:shd w:val="clear" w:color="auto" w:fill="FFFFFF"/>
          <w:lang w:val="zh-CN" w:eastAsia="zh-CN"/>
        </w:rPr>
        <w:t>附表</w:t>
      </w:r>
      <w:r>
        <w:rPr>
          <w:rFonts w:hint="eastAsia" w:ascii="黑体" w:hAnsi="黑体" w:eastAsia="黑体" w:cs="黑体"/>
          <w:b w:val="0"/>
          <w:bCs w:val="0"/>
          <w:color w:val="auto"/>
          <w:kern w:val="0"/>
          <w:sz w:val="32"/>
          <w:szCs w:val="32"/>
          <w:highlight w:val="none"/>
          <w:u w:val="none"/>
          <w:shd w:val="clear" w:color="auto" w:fill="FFFFFF"/>
          <w:lang w:val="en-US" w:eastAsia="zh-CN"/>
        </w:rPr>
        <w:t>1</w:t>
      </w:r>
    </w:p>
    <w:p w14:paraId="57765E11">
      <w:pPr>
        <w:keepNext w:val="0"/>
        <w:keepLines w:val="0"/>
        <w:pageBreakBefore w:val="0"/>
        <w:kinsoku/>
        <w:wordWrap/>
        <w:overflowPunct/>
        <w:topLinePunct w:val="0"/>
        <w:autoSpaceDE/>
        <w:autoSpaceDN/>
        <w:bidi w:val="0"/>
        <w:spacing w:line="578" w:lineRule="exact"/>
        <w:ind w:left="0" w:leftChars="0"/>
        <w:jc w:val="center"/>
        <w:textAlignment w:val="auto"/>
        <w:rPr>
          <w:rFonts w:hint="eastAsia" w:ascii="方正小标宋_GBK" w:hAnsi="方正小标宋_GBK" w:eastAsia="方正小标宋_GBK" w:cs="方正小标宋_GBK"/>
          <w:b w:val="0"/>
          <w:bCs w:val="0"/>
          <w:color w:val="auto"/>
          <w:sz w:val="40"/>
          <w:szCs w:val="40"/>
          <w:highlight w:val="none"/>
          <w:u w:val="none"/>
          <w:lang w:val="en-US" w:eastAsia="zh-CN"/>
        </w:rPr>
      </w:pPr>
      <w:r>
        <w:rPr>
          <w:rFonts w:hint="eastAsia" w:ascii="方正小标宋_GBK" w:hAnsi="方正小标宋_GBK" w:eastAsia="方正小标宋_GBK" w:cs="方正小标宋_GBK"/>
          <w:b w:val="0"/>
          <w:bCs w:val="0"/>
          <w:color w:val="auto"/>
          <w:sz w:val="40"/>
          <w:szCs w:val="40"/>
          <w:highlight w:val="none"/>
          <w:u w:val="none"/>
          <w:lang w:val="en-US" w:eastAsia="zh-CN"/>
        </w:rPr>
        <w:t>项目资金分配涉及所有点位自评得分情况表</w:t>
      </w:r>
    </w:p>
    <w:tbl>
      <w:tblPr>
        <w:tblStyle w:val="18"/>
        <w:tblW w:w="88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3"/>
        <w:gridCol w:w="5020"/>
        <w:gridCol w:w="210"/>
        <w:gridCol w:w="1474"/>
        <w:gridCol w:w="993"/>
      </w:tblGrid>
      <w:tr w14:paraId="1D32E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25440606">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序号</w:t>
            </w:r>
          </w:p>
        </w:tc>
        <w:tc>
          <w:tcPr>
            <w:tcW w:w="5230" w:type="dxa"/>
            <w:gridSpan w:val="2"/>
            <w:vAlign w:val="top"/>
          </w:tcPr>
          <w:p w14:paraId="1E4F3F58">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项目资金末端分配点位</w:t>
            </w:r>
          </w:p>
        </w:tc>
        <w:tc>
          <w:tcPr>
            <w:tcW w:w="1474" w:type="dxa"/>
            <w:vAlign w:val="top"/>
          </w:tcPr>
          <w:p w14:paraId="15C3017E">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 w:eastAsia="zh-CN"/>
              </w:rPr>
              <w:t>自评得分（百分制）</w:t>
            </w:r>
          </w:p>
        </w:tc>
        <w:tc>
          <w:tcPr>
            <w:tcW w:w="993" w:type="dxa"/>
            <w:vAlign w:val="top"/>
          </w:tcPr>
          <w:p w14:paraId="4850F9D5">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备注</w:t>
            </w:r>
          </w:p>
        </w:tc>
      </w:tr>
      <w:tr w14:paraId="58974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4E8171E9">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1</w:t>
            </w:r>
          </w:p>
        </w:tc>
        <w:tc>
          <w:tcPr>
            <w:tcW w:w="5020" w:type="dxa"/>
            <w:vAlign w:val="top"/>
          </w:tcPr>
          <w:p w14:paraId="24144D56">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四川诚信房地产土地资产评估有限公司</w:t>
            </w:r>
          </w:p>
        </w:tc>
        <w:tc>
          <w:tcPr>
            <w:tcW w:w="1684" w:type="dxa"/>
            <w:gridSpan w:val="2"/>
            <w:vAlign w:val="top"/>
          </w:tcPr>
          <w:p w14:paraId="7BE1A314">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100</w:t>
            </w:r>
          </w:p>
        </w:tc>
        <w:tc>
          <w:tcPr>
            <w:tcW w:w="993" w:type="dxa"/>
            <w:vAlign w:val="top"/>
          </w:tcPr>
          <w:p w14:paraId="25FF85CC">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r>
      <w:tr w14:paraId="1BC11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3B7C0650">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2</w:t>
            </w:r>
          </w:p>
        </w:tc>
        <w:tc>
          <w:tcPr>
            <w:tcW w:w="5020" w:type="dxa"/>
            <w:vAlign w:val="top"/>
          </w:tcPr>
          <w:p w14:paraId="71B24FE9">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p>
        </w:tc>
        <w:tc>
          <w:tcPr>
            <w:tcW w:w="1684" w:type="dxa"/>
            <w:gridSpan w:val="2"/>
            <w:vAlign w:val="top"/>
          </w:tcPr>
          <w:p w14:paraId="68E89BDB">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p>
        </w:tc>
        <w:tc>
          <w:tcPr>
            <w:tcW w:w="993" w:type="dxa"/>
            <w:vAlign w:val="top"/>
          </w:tcPr>
          <w:p w14:paraId="6576E6A7">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r>
      <w:tr w14:paraId="4E31A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0BE3224F">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3</w:t>
            </w:r>
          </w:p>
        </w:tc>
        <w:tc>
          <w:tcPr>
            <w:tcW w:w="5020" w:type="dxa"/>
            <w:vAlign w:val="top"/>
          </w:tcPr>
          <w:p w14:paraId="1E493E7D">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 w:eastAsia="zh-CN"/>
              </w:rPr>
            </w:pPr>
          </w:p>
        </w:tc>
        <w:tc>
          <w:tcPr>
            <w:tcW w:w="1684" w:type="dxa"/>
            <w:gridSpan w:val="2"/>
            <w:vAlign w:val="top"/>
          </w:tcPr>
          <w:p w14:paraId="4B29F148">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 w:eastAsia="zh-CN"/>
              </w:rPr>
            </w:pPr>
          </w:p>
        </w:tc>
        <w:tc>
          <w:tcPr>
            <w:tcW w:w="993" w:type="dxa"/>
            <w:vAlign w:val="top"/>
          </w:tcPr>
          <w:p w14:paraId="2F1B6D2D">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r>
      <w:tr w14:paraId="75DB2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03A6F540">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4</w:t>
            </w:r>
          </w:p>
        </w:tc>
        <w:tc>
          <w:tcPr>
            <w:tcW w:w="5020" w:type="dxa"/>
            <w:vAlign w:val="top"/>
          </w:tcPr>
          <w:p w14:paraId="06ABE766">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 w:eastAsia="zh-CN"/>
              </w:rPr>
            </w:pPr>
          </w:p>
        </w:tc>
        <w:tc>
          <w:tcPr>
            <w:tcW w:w="1684" w:type="dxa"/>
            <w:gridSpan w:val="2"/>
            <w:vAlign w:val="top"/>
          </w:tcPr>
          <w:p w14:paraId="528AB76C">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 w:eastAsia="zh-CN"/>
              </w:rPr>
            </w:pPr>
          </w:p>
        </w:tc>
        <w:tc>
          <w:tcPr>
            <w:tcW w:w="993" w:type="dxa"/>
            <w:vAlign w:val="top"/>
          </w:tcPr>
          <w:p w14:paraId="5FB7E715">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r>
      <w:tr w14:paraId="4C2A2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0FA7B742">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5</w:t>
            </w:r>
          </w:p>
        </w:tc>
        <w:tc>
          <w:tcPr>
            <w:tcW w:w="5020" w:type="dxa"/>
            <w:vAlign w:val="top"/>
          </w:tcPr>
          <w:p w14:paraId="1B9AD056">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 w:eastAsia="zh-CN"/>
              </w:rPr>
            </w:pPr>
          </w:p>
        </w:tc>
        <w:tc>
          <w:tcPr>
            <w:tcW w:w="1684" w:type="dxa"/>
            <w:gridSpan w:val="2"/>
            <w:vAlign w:val="top"/>
          </w:tcPr>
          <w:p w14:paraId="3415B499">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 w:eastAsia="zh-CN"/>
              </w:rPr>
            </w:pPr>
          </w:p>
        </w:tc>
        <w:tc>
          <w:tcPr>
            <w:tcW w:w="993" w:type="dxa"/>
            <w:vAlign w:val="top"/>
          </w:tcPr>
          <w:p w14:paraId="3A1ABBF8">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r>
      <w:tr w14:paraId="6EBFE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0344AADA">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6</w:t>
            </w:r>
          </w:p>
        </w:tc>
        <w:tc>
          <w:tcPr>
            <w:tcW w:w="5020" w:type="dxa"/>
            <w:vAlign w:val="top"/>
          </w:tcPr>
          <w:p w14:paraId="3CA0D59A">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 w:eastAsia="zh-CN"/>
              </w:rPr>
            </w:pPr>
          </w:p>
        </w:tc>
        <w:tc>
          <w:tcPr>
            <w:tcW w:w="1684" w:type="dxa"/>
            <w:gridSpan w:val="2"/>
            <w:vAlign w:val="top"/>
          </w:tcPr>
          <w:p w14:paraId="1E460EA4">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 w:eastAsia="zh-CN"/>
              </w:rPr>
            </w:pPr>
          </w:p>
        </w:tc>
        <w:tc>
          <w:tcPr>
            <w:tcW w:w="993" w:type="dxa"/>
            <w:vAlign w:val="top"/>
          </w:tcPr>
          <w:p w14:paraId="44495482">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r>
      <w:tr w14:paraId="292D9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59F891C2">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7</w:t>
            </w:r>
          </w:p>
        </w:tc>
        <w:tc>
          <w:tcPr>
            <w:tcW w:w="5020" w:type="dxa"/>
            <w:vAlign w:val="top"/>
          </w:tcPr>
          <w:p w14:paraId="5A56324D">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 w:eastAsia="zh-CN"/>
              </w:rPr>
            </w:pPr>
          </w:p>
        </w:tc>
        <w:tc>
          <w:tcPr>
            <w:tcW w:w="1684" w:type="dxa"/>
            <w:gridSpan w:val="2"/>
            <w:vAlign w:val="top"/>
          </w:tcPr>
          <w:p w14:paraId="47C3C930">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 w:eastAsia="zh-CN"/>
              </w:rPr>
            </w:pPr>
          </w:p>
        </w:tc>
        <w:tc>
          <w:tcPr>
            <w:tcW w:w="993" w:type="dxa"/>
            <w:vAlign w:val="top"/>
          </w:tcPr>
          <w:p w14:paraId="6D1935DD">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r>
      <w:tr w14:paraId="0BEF1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7CB20E83">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8</w:t>
            </w:r>
          </w:p>
        </w:tc>
        <w:tc>
          <w:tcPr>
            <w:tcW w:w="5020" w:type="dxa"/>
            <w:vAlign w:val="top"/>
          </w:tcPr>
          <w:p w14:paraId="10792E13">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 w:eastAsia="zh-CN"/>
              </w:rPr>
            </w:pPr>
          </w:p>
        </w:tc>
        <w:tc>
          <w:tcPr>
            <w:tcW w:w="1684" w:type="dxa"/>
            <w:gridSpan w:val="2"/>
            <w:vAlign w:val="top"/>
          </w:tcPr>
          <w:p w14:paraId="29CF9819">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 w:eastAsia="zh-CN"/>
              </w:rPr>
            </w:pPr>
          </w:p>
        </w:tc>
        <w:tc>
          <w:tcPr>
            <w:tcW w:w="993" w:type="dxa"/>
            <w:vAlign w:val="top"/>
          </w:tcPr>
          <w:p w14:paraId="6FA24009">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r>
      <w:tr w14:paraId="38419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3C862411">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w:t>
            </w:r>
          </w:p>
        </w:tc>
        <w:tc>
          <w:tcPr>
            <w:tcW w:w="5020" w:type="dxa"/>
            <w:vAlign w:val="top"/>
          </w:tcPr>
          <w:p w14:paraId="4BB9D3D2">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 w:eastAsia="zh-CN"/>
              </w:rPr>
            </w:pPr>
          </w:p>
        </w:tc>
        <w:tc>
          <w:tcPr>
            <w:tcW w:w="1684" w:type="dxa"/>
            <w:gridSpan w:val="2"/>
            <w:vAlign w:val="top"/>
          </w:tcPr>
          <w:p w14:paraId="0C48F110">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 w:eastAsia="zh-CN"/>
              </w:rPr>
            </w:pPr>
          </w:p>
        </w:tc>
        <w:tc>
          <w:tcPr>
            <w:tcW w:w="993" w:type="dxa"/>
            <w:vAlign w:val="top"/>
          </w:tcPr>
          <w:p w14:paraId="0F42BD64">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r>
    </w:tbl>
    <w:p w14:paraId="77168288">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备注：1.项目资金末端分配点位包括市本级、县（区）、市级部门下属单位及一次性单位等。</w:t>
      </w:r>
    </w:p>
    <w:p w14:paraId="340475BE">
      <w:pPr>
        <w:keepNext w:val="0"/>
        <w:keepLines w:val="0"/>
        <w:pageBreakBefore w:val="0"/>
        <w:widowControl w:val="0"/>
        <w:kinsoku/>
        <w:wordWrap/>
        <w:overflowPunct/>
        <w:topLinePunct w:val="0"/>
        <w:autoSpaceDE/>
        <w:autoSpaceDN/>
        <w:bidi w:val="0"/>
        <w:adjustRightInd/>
        <w:snapToGrid/>
        <w:spacing w:line="400" w:lineRule="exact"/>
        <w:ind w:left="0" w:leftChars="0" w:firstLine="720" w:firstLineChars="300"/>
        <w:jc w:val="left"/>
        <w:textAlignment w:val="auto"/>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2.自评得分（百分制）从高到低划分为优、良、中、差四个档次，各个档次数量占比分别为20%、20%、55%、5%，且不同档次间得分分值应体现差异化，同档次得分分值相同的比例不超过该档次总数量的10%。</w:t>
      </w:r>
    </w:p>
    <w:p w14:paraId="168E096C">
      <w:pPr>
        <w:rPr>
          <w:rFonts w:hint="eastAsia" w:ascii="Times New Roman" w:hAnsi="Times New Roman" w:eastAsia="仿宋_GB2312" w:cs="Times New Roman"/>
          <w:kern w:val="2"/>
          <w:sz w:val="32"/>
          <w:szCs w:val="24"/>
          <w:highlight w:val="none"/>
          <w:lang w:val="en-US" w:eastAsia="zh-CN" w:bidi="ar-SA"/>
        </w:rPr>
      </w:pPr>
      <w:r>
        <w:rPr>
          <w:rFonts w:hint="eastAsia" w:ascii="Times New Roman" w:hAnsi="Times New Roman" w:eastAsia="仿宋_GB2312" w:cs="Times New Roman"/>
          <w:kern w:val="2"/>
          <w:sz w:val="32"/>
          <w:szCs w:val="24"/>
          <w:highlight w:val="none"/>
          <w:lang w:val="en-US" w:eastAsia="zh-CN" w:bidi="ar-SA"/>
        </w:rPr>
        <w:br w:type="page"/>
      </w:r>
    </w:p>
    <w:p w14:paraId="7A46760E">
      <w:pPr>
        <w:pStyle w:val="16"/>
        <w:keepNext w:val="0"/>
        <w:keepLines w:val="0"/>
        <w:pageBreakBefore w:val="0"/>
        <w:kinsoku/>
        <w:wordWrap/>
        <w:overflowPunct/>
        <w:topLinePunct w:val="0"/>
        <w:autoSpaceDE/>
        <w:autoSpaceDN/>
        <w:bidi w:val="0"/>
        <w:spacing w:after="0" w:line="578" w:lineRule="exact"/>
        <w:ind w:left="0" w:leftChars="0" w:firstLine="0" w:firstLineChars="0"/>
        <w:rPr>
          <w:rFonts w:hint="default" w:ascii="Times New Roman" w:hAnsi="Times New Roman" w:eastAsia="黑体" w:cs="Times New Roman"/>
          <w:kern w:val="2"/>
          <w:sz w:val="32"/>
          <w:szCs w:val="24"/>
          <w:highlight w:val="none"/>
          <w:lang w:val="en-US" w:eastAsia="zh-CN" w:bidi="ar-SA"/>
        </w:rPr>
      </w:pPr>
      <w:r>
        <w:rPr>
          <w:rFonts w:hint="default" w:ascii="Times New Roman" w:hAnsi="Times New Roman" w:eastAsia="黑体" w:cs="Times New Roman"/>
          <w:kern w:val="2"/>
          <w:sz w:val="32"/>
          <w:szCs w:val="24"/>
          <w:highlight w:val="none"/>
          <w:lang w:val="en-US" w:eastAsia="zh-CN" w:bidi="ar-SA"/>
        </w:rPr>
        <w:t>附表2</w:t>
      </w:r>
    </w:p>
    <w:p w14:paraId="1499E6B9">
      <w:pPr>
        <w:pStyle w:val="16"/>
        <w:keepNext w:val="0"/>
        <w:keepLines w:val="0"/>
        <w:pageBreakBefore w:val="0"/>
        <w:kinsoku/>
        <w:wordWrap/>
        <w:overflowPunct/>
        <w:topLinePunct w:val="0"/>
        <w:autoSpaceDE/>
        <w:autoSpaceDN/>
        <w:bidi w:val="0"/>
        <w:spacing w:after="0" w:line="578" w:lineRule="exact"/>
        <w:ind w:left="0" w:leftChars="0" w:firstLine="0" w:firstLineChars="0"/>
        <w:jc w:val="center"/>
        <w:rPr>
          <w:rFonts w:hint="eastAsia" w:ascii="方正小标宋_GBK" w:hAnsi="方正小标宋_GBK" w:eastAsia="方正小标宋_GBK" w:cs="方正小标宋_GBK"/>
          <w:kern w:val="2"/>
          <w:sz w:val="44"/>
          <w:szCs w:val="44"/>
          <w:highlight w:val="none"/>
          <w:lang w:val="en-US" w:eastAsia="zh-CN" w:bidi="ar-SA"/>
        </w:rPr>
      </w:pPr>
      <w:r>
        <w:rPr>
          <w:rFonts w:hint="eastAsia" w:ascii="方正小标宋_GBK" w:hAnsi="方正小标宋_GBK" w:eastAsia="方正小标宋_GBK" w:cs="方正小标宋_GBK"/>
          <w:b w:val="0"/>
          <w:bCs w:val="0"/>
          <w:color w:val="auto"/>
          <w:sz w:val="44"/>
          <w:szCs w:val="44"/>
          <w:highlight w:val="none"/>
          <w:u w:val="none"/>
          <w:vertAlign w:val="baseline"/>
          <w:lang w:val="en-US" w:eastAsia="zh-CN"/>
        </w:rPr>
        <w:t>专项预算项目绩效目标完成情况自评表</w:t>
      </w:r>
    </w:p>
    <w:tbl>
      <w:tblPr>
        <w:tblStyle w:val="17"/>
        <w:tblW w:w="917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584"/>
        <w:gridCol w:w="970"/>
        <w:gridCol w:w="1121"/>
        <w:gridCol w:w="1178"/>
        <w:gridCol w:w="1011"/>
        <w:gridCol w:w="871"/>
        <w:gridCol w:w="383"/>
        <w:gridCol w:w="568"/>
        <w:gridCol w:w="841"/>
        <w:gridCol w:w="1652"/>
      </w:tblGrid>
      <w:tr w14:paraId="61D832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40" w:hRule="atLeast"/>
          <w:jc w:val="center"/>
        </w:trPr>
        <w:tc>
          <w:tcPr>
            <w:tcW w:w="385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1336C01">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项目名称</w:t>
            </w:r>
          </w:p>
        </w:tc>
        <w:tc>
          <w:tcPr>
            <w:tcW w:w="532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0FE3CC9">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广元市城区土地级别与基准地价更新、标定地价制定与地价动态监测项目</w:t>
            </w:r>
          </w:p>
        </w:tc>
      </w:tr>
      <w:tr w14:paraId="29A722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40" w:hRule="atLeast"/>
          <w:jc w:val="center"/>
        </w:trPr>
        <w:tc>
          <w:tcPr>
            <w:tcW w:w="385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8D70B99">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预算单位</w:t>
            </w:r>
          </w:p>
        </w:tc>
        <w:tc>
          <w:tcPr>
            <w:tcW w:w="532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94A2DDC">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广元市自然资源局</w:t>
            </w:r>
          </w:p>
        </w:tc>
      </w:tr>
      <w:tr w14:paraId="313EDD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40" w:hRule="atLeast"/>
          <w:jc w:val="center"/>
        </w:trPr>
        <w:tc>
          <w:tcPr>
            <w:tcW w:w="385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B5328E4">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项目类型</w:t>
            </w:r>
          </w:p>
        </w:tc>
        <w:tc>
          <w:tcPr>
            <w:tcW w:w="532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5C6C82C">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专项预算项目</w:t>
            </w:r>
          </w:p>
        </w:tc>
      </w:tr>
      <w:tr w14:paraId="63D5E2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40" w:hRule="atLeast"/>
          <w:jc w:val="center"/>
        </w:trPr>
        <w:tc>
          <w:tcPr>
            <w:tcW w:w="5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893328">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项目 概况</w:t>
            </w:r>
          </w:p>
        </w:tc>
        <w:tc>
          <w:tcPr>
            <w:tcW w:w="326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4FE348E">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中长期规划（名称、文号，仅指</w:t>
            </w:r>
          </w:p>
          <w:p w14:paraId="092B7E96">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常年项目）</w:t>
            </w:r>
          </w:p>
        </w:tc>
        <w:tc>
          <w:tcPr>
            <w:tcW w:w="532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070EF11">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w:t>
            </w:r>
          </w:p>
        </w:tc>
      </w:tr>
      <w:tr w14:paraId="1A6D97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40" w:hRule="atLeast"/>
          <w:jc w:val="center"/>
        </w:trPr>
        <w:tc>
          <w:tcPr>
            <w:tcW w:w="5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0333B4">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326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7503F72">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资金管理办法（名称、文号）</w:t>
            </w:r>
          </w:p>
        </w:tc>
        <w:tc>
          <w:tcPr>
            <w:tcW w:w="532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E3BB8C3">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广元市自然资源局财务管理制度</w:t>
            </w:r>
          </w:p>
        </w:tc>
      </w:tr>
      <w:tr w14:paraId="2678C8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40" w:hRule="atLeast"/>
          <w:jc w:val="center"/>
        </w:trPr>
        <w:tc>
          <w:tcPr>
            <w:tcW w:w="5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319019">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326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D84048E">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绩效分配方式</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6FA08">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default" w:ascii="仿宋_GB2312" w:hAnsi="仿宋_GB2312" w:eastAsia="仿宋_GB2312" w:cs="仿宋_GB2312"/>
                <w:b w:val="0"/>
                <w:bCs w:val="0"/>
                <w:color w:val="auto"/>
                <w:sz w:val="24"/>
                <w:szCs w:val="24"/>
                <w:highlight w:val="none"/>
                <w:u w:val="none"/>
                <w:vertAlign w:val="baseline"/>
                <w:lang w:val="en-US" w:eastAsia="zh-CN"/>
              </w:rPr>
              <w:sym w:font="Wingdings 2" w:char="00A3"/>
            </w:r>
            <w:r>
              <w:rPr>
                <w:rFonts w:hint="eastAsia" w:ascii="仿宋_GB2312" w:hAnsi="仿宋_GB2312" w:eastAsia="仿宋_GB2312" w:cs="仿宋_GB2312"/>
                <w:b w:val="0"/>
                <w:bCs w:val="0"/>
                <w:color w:val="auto"/>
                <w:sz w:val="24"/>
                <w:szCs w:val="24"/>
                <w:highlight w:val="none"/>
                <w:u w:val="none"/>
                <w:vertAlign w:val="baseline"/>
                <w:lang w:val="en-US" w:eastAsia="zh-CN"/>
              </w:rPr>
              <w:t>因素法</w:t>
            </w:r>
          </w:p>
        </w:tc>
        <w:tc>
          <w:tcPr>
            <w:tcW w:w="182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C4E7242">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default" w:ascii="仿宋_GB2312" w:hAnsi="仿宋_GB2312" w:eastAsia="仿宋_GB2312" w:cs="仿宋_GB2312"/>
                <w:b w:val="0"/>
                <w:bCs w:val="0"/>
                <w:color w:val="auto"/>
                <w:sz w:val="24"/>
                <w:szCs w:val="24"/>
                <w:highlight w:val="none"/>
                <w:u w:val="none"/>
                <w:vertAlign w:val="baseline"/>
                <w:lang w:val="en-US" w:eastAsia="zh-CN"/>
              </w:rPr>
              <w:sym w:font="Wingdings 2" w:char="0052"/>
            </w:r>
            <w:r>
              <w:rPr>
                <w:rFonts w:hint="default" w:ascii="仿宋_GB2312" w:hAnsi="仿宋_GB2312" w:eastAsia="仿宋_GB2312" w:cs="仿宋_GB2312"/>
                <w:b w:val="0"/>
                <w:bCs w:val="0"/>
                <w:color w:val="auto"/>
                <w:sz w:val="24"/>
                <w:szCs w:val="24"/>
                <w:highlight w:val="none"/>
                <w:u w:val="none"/>
                <w:vertAlign w:val="baseline"/>
                <w:lang w:val="en-US" w:eastAsia="zh-CN"/>
              </w:rPr>
              <w:t>项目法</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7CE14">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default" w:ascii="仿宋_GB2312" w:hAnsi="仿宋_GB2312" w:eastAsia="仿宋_GB2312" w:cs="仿宋_GB2312"/>
                <w:b w:val="0"/>
                <w:bCs w:val="0"/>
                <w:color w:val="auto"/>
                <w:sz w:val="24"/>
                <w:szCs w:val="24"/>
                <w:highlight w:val="none"/>
                <w:u w:val="none"/>
                <w:vertAlign w:val="baseline"/>
                <w:lang w:val="en-US" w:eastAsia="zh-CN"/>
              </w:rPr>
              <w:sym w:font="Wingdings 2" w:char="00A3"/>
            </w:r>
            <w:r>
              <w:rPr>
                <w:rFonts w:hint="eastAsia" w:ascii="仿宋_GB2312" w:hAnsi="仿宋_GB2312" w:eastAsia="仿宋_GB2312" w:cs="仿宋_GB2312"/>
                <w:b w:val="0"/>
                <w:bCs w:val="0"/>
                <w:color w:val="auto"/>
                <w:sz w:val="24"/>
                <w:szCs w:val="24"/>
                <w:highlight w:val="none"/>
                <w:u w:val="none"/>
                <w:vertAlign w:val="baseline"/>
                <w:lang w:val="en-US" w:eastAsia="zh-CN"/>
              </w:rPr>
              <w:t>据实据效</w:t>
            </w:r>
          </w:p>
        </w:tc>
        <w:tc>
          <w:tcPr>
            <w:tcW w:w="16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23BBB">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default" w:ascii="仿宋_GB2312" w:hAnsi="仿宋_GB2312" w:eastAsia="仿宋_GB2312" w:cs="仿宋_GB2312"/>
                <w:b w:val="0"/>
                <w:bCs w:val="0"/>
                <w:color w:val="auto"/>
                <w:sz w:val="24"/>
                <w:szCs w:val="24"/>
                <w:highlight w:val="none"/>
                <w:u w:val="none"/>
                <w:vertAlign w:val="baseline"/>
                <w:lang w:val="en-US" w:eastAsia="zh-CN"/>
              </w:rPr>
              <w:t>£</w:t>
            </w:r>
            <w:r>
              <w:rPr>
                <w:rFonts w:hint="eastAsia" w:ascii="仿宋_GB2312" w:hAnsi="仿宋_GB2312" w:eastAsia="仿宋_GB2312" w:cs="仿宋_GB2312"/>
                <w:b w:val="0"/>
                <w:bCs w:val="0"/>
                <w:color w:val="auto"/>
                <w:sz w:val="24"/>
                <w:szCs w:val="24"/>
                <w:highlight w:val="none"/>
                <w:u w:val="none"/>
                <w:vertAlign w:val="baseline"/>
                <w:lang w:val="en-US" w:eastAsia="zh-CN"/>
              </w:rPr>
              <w:t>因素法与项目法相结合</w:t>
            </w:r>
          </w:p>
        </w:tc>
      </w:tr>
      <w:tr w14:paraId="2B0432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40" w:hRule="atLeast"/>
          <w:jc w:val="center"/>
        </w:trPr>
        <w:tc>
          <w:tcPr>
            <w:tcW w:w="5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A6251B">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326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34623F9">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立项依据</w:t>
            </w:r>
          </w:p>
        </w:tc>
        <w:tc>
          <w:tcPr>
            <w:tcW w:w="532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B9DEB0B">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《关于部署2020年度自然资源评估评价工作》（川自然资涵【2020】414号）</w:t>
            </w:r>
          </w:p>
        </w:tc>
      </w:tr>
      <w:tr w14:paraId="5D7198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40" w:hRule="atLeast"/>
          <w:jc w:val="center"/>
        </w:trPr>
        <w:tc>
          <w:tcPr>
            <w:tcW w:w="5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D489ED">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326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DBD4930">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使用范围</w:t>
            </w:r>
          </w:p>
        </w:tc>
        <w:tc>
          <w:tcPr>
            <w:tcW w:w="532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A1903E0">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委托业务费</w:t>
            </w:r>
          </w:p>
        </w:tc>
      </w:tr>
      <w:tr w14:paraId="07B946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40" w:hRule="atLeast"/>
          <w:jc w:val="center"/>
        </w:trPr>
        <w:tc>
          <w:tcPr>
            <w:tcW w:w="5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3AC858">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326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98A5960">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申报（补助）条件</w:t>
            </w:r>
          </w:p>
        </w:tc>
        <w:tc>
          <w:tcPr>
            <w:tcW w:w="532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6A6DBFF">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r>
      <w:tr w14:paraId="4BA277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40" w:hRule="atLeast"/>
          <w:jc w:val="center"/>
        </w:trPr>
        <w:tc>
          <w:tcPr>
            <w:tcW w:w="5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36D708">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326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408463E">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项目起止年限</w:t>
            </w:r>
          </w:p>
        </w:tc>
        <w:tc>
          <w:tcPr>
            <w:tcW w:w="532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CF6D28B">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2023-2023</w:t>
            </w:r>
          </w:p>
        </w:tc>
      </w:tr>
      <w:tr w14:paraId="36A9A4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40" w:hRule="atLeast"/>
          <w:jc w:val="center"/>
        </w:trPr>
        <w:tc>
          <w:tcPr>
            <w:tcW w:w="1554"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5B39FB2">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项目资金</w:t>
            </w:r>
          </w:p>
          <w:p w14:paraId="2DFB35AB">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（万元）</w:t>
            </w:r>
          </w:p>
        </w:tc>
        <w:tc>
          <w:tcPr>
            <w:tcW w:w="22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F4222A">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 xml:space="preserve">  年度资金总额：</w:t>
            </w:r>
          </w:p>
        </w:tc>
        <w:tc>
          <w:tcPr>
            <w:tcW w:w="532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E80CEB3">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40</w:t>
            </w:r>
          </w:p>
        </w:tc>
      </w:tr>
      <w:tr w14:paraId="772844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40" w:hRule="atLeast"/>
          <w:jc w:val="center"/>
        </w:trPr>
        <w:tc>
          <w:tcPr>
            <w:tcW w:w="155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821478">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22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6A1E0A8">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 xml:space="preserve">      其中：财政拨款</w:t>
            </w:r>
          </w:p>
        </w:tc>
        <w:tc>
          <w:tcPr>
            <w:tcW w:w="532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32D982F">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40</w:t>
            </w:r>
          </w:p>
        </w:tc>
      </w:tr>
      <w:tr w14:paraId="639D50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40" w:hRule="atLeast"/>
          <w:jc w:val="center"/>
        </w:trPr>
        <w:tc>
          <w:tcPr>
            <w:tcW w:w="155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A564D6">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22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AF915F">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 xml:space="preserve">            其他资金</w:t>
            </w:r>
          </w:p>
        </w:tc>
        <w:tc>
          <w:tcPr>
            <w:tcW w:w="532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A2EDCDD">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r>
      <w:tr w14:paraId="63A026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40" w:hRule="atLeast"/>
          <w:jc w:val="center"/>
        </w:trPr>
        <w:tc>
          <w:tcPr>
            <w:tcW w:w="5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16A1CB">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总体 目标</w:t>
            </w:r>
          </w:p>
        </w:tc>
        <w:tc>
          <w:tcPr>
            <w:tcW w:w="8595"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7442A3D">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年度目标</w:t>
            </w:r>
          </w:p>
        </w:tc>
      </w:tr>
      <w:tr w14:paraId="1C71E2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40" w:hRule="atLeast"/>
          <w:jc w:val="center"/>
        </w:trPr>
        <w:tc>
          <w:tcPr>
            <w:tcW w:w="5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C8DA0F">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8595"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7D70D34">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完成工作报告、技术报告、数据成果4份、土地级别与基准地价图、定级因素作用分布图、样点地价分布图各4份、标准宗地、标定区域布设图及专门管理软件。2022年8月26日通过四川省自然资源厅验收，9月15日对外公布实施，11月15日已在全国基准地价备案系统完成备案。</w:t>
            </w:r>
          </w:p>
        </w:tc>
      </w:tr>
      <w:tr w14:paraId="13C56E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40" w:hRule="atLeast"/>
          <w:jc w:val="center"/>
        </w:trPr>
        <w:tc>
          <w:tcPr>
            <w:tcW w:w="584" w:type="dxa"/>
            <w:vMerge w:val="restart"/>
            <w:tcBorders>
              <w:top w:val="single" w:color="000000" w:sz="4" w:space="0"/>
              <w:left w:val="single" w:color="000000" w:sz="4" w:space="0"/>
              <w:bottom w:val="single" w:color="000000" w:sz="4" w:space="0"/>
            </w:tcBorders>
            <w:shd w:val="clear" w:color="auto" w:fill="auto"/>
            <w:vAlign w:val="center"/>
          </w:tcPr>
          <w:p w14:paraId="46A83ACE">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绩效 指标</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407BD">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一级指标</w:t>
            </w:r>
          </w:p>
        </w:tc>
        <w:tc>
          <w:tcPr>
            <w:tcW w:w="1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3C734">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二级指标</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717DE">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三级指标</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6BD12">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指标性质</w:t>
            </w:r>
          </w:p>
        </w:tc>
        <w:tc>
          <w:tcPr>
            <w:tcW w:w="125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96FB60">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指标值</w:t>
            </w:r>
          </w:p>
        </w:tc>
        <w:tc>
          <w:tcPr>
            <w:tcW w:w="5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8D516">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度量单位</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3902E">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权重</w:t>
            </w:r>
          </w:p>
        </w:tc>
        <w:tc>
          <w:tcPr>
            <w:tcW w:w="16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48E0E">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实际完成指标值</w:t>
            </w:r>
          </w:p>
        </w:tc>
      </w:tr>
      <w:tr w14:paraId="22B779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40" w:hRule="atLeast"/>
          <w:jc w:val="center"/>
        </w:trPr>
        <w:tc>
          <w:tcPr>
            <w:tcW w:w="584" w:type="dxa"/>
            <w:vMerge w:val="continue"/>
            <w:tcBorders>
              <w:top w:val="single" w:color="000000" w:sz="4" w:space="0"/>
              <w:left w:val="single" w:color="000000" w:sz="4" w:space="0"/>
              <w:bottom w:val="single" w:color="000000" w:sz="4" w:space="0"/>
            </w:tcBorders>
            <w:shd w:val="clear" w:color="auto" w:fill="auto"/>
            <w:vAlign w:val="center"/>
          </w:tcPr>
          <w:p w14:paraId="6672C784">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153C1">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产出指标</w:t>
            </w:r>
          </w:p>
        </w:tc>
        <w:tc>
          <w:tcPr>
            <w:tcW w:w="1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D6982">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数量指标</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2E7DB">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工作报告、技术报告、数据成果</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1C29E">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E1671">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4</w:t>
            </w:r>
          </w:p>
        </w:tc>
        <w:tc>
          <w:tcPr>
            <w:tcW w:w="9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9A847B">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份</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E77C9">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20</w:t>
            </w:r>
          </w:p>
        </w:tc>
        <w:tc>
          <w:tcPr>
            <w:tcW w:w="16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A39F7">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15</w:t>
            </w:r>
          </w:p>
        </w:tc>
      </w:tr>
      <w:tr w14:paraId="149BA3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40" w:hRule="atLeast"/>
          <w:jc w:val="center"/>
        </w:trPr>
        <w:tc>
          <w:tcPr>
            <w:tcW w:w="584" w:type="dxa"/>
            <w:vMerge w:val="continue"/>
            <w:tcBorders>
              <w:top w:val="single" w:color="000000" w:sz="4" w:space="0"/>
              <w:left w:val="single" w:color="000000" w:sz="4" w:space="0"/>
              <w:bottom w:val="single" w:color="000000" w:sz="4" w:space="0"/>
            </w:tcBorders>
            <w:shd w:val="clear" w:color="auto" w:fill="auto"/>
            <w:vAlign w:val="center"/>
          </w:tcPr>
          <w:p w14:paraId="0D030289">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97D83">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产出指标</w:t>
            </w:r>
          </w:p>
        </w:tc>
        <w:tc>
          <w:tcPr>
            <w:tcW w:w="1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DF67E">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数量指标</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E5573">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标准宗地、标定区域布设图及专门管理软件</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B81E0">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1352A">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4</w:t>
            </w:r>
          </w:p>
        </w:tc>
        <w:tc>
          <w:tcPr>
            <w:tcW w:w="9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743EE7">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份</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A7F96">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10</w:t>
            </w:r>
          </w:p>
        </w:tc>
        <w:tc>
          <w:tcPr>
            <w:tcW w:w="16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36EE1">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1</w:t>
            </w:r>
          </w:p>
        </w:tc>
      </w:tr>
      <w:tr w14:paraId="635D0A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40" w:hRule="atLeast"/>
          <w:jc w:val="center"/>
        </w:trPr>
        <w:tc>
          <w:tcPr>
            <w:tcW w:w="584" w:type="dxa"/>
            <w:vMerge w:val="continue"/>
            <w:tcBorders>
              <w:top w:val="single" w:color="000000" w:sz="4" w:space="0"/>
              <w:left w:val="single" w:color="000000" w:sz="4" w:space="0"/>
              <w:bottom w:val="single" w:color="000000" w:sz="4" w:space="0"/>
            </w:tcBorders>
            <w:shd w:val="clear" w:color="auto" w:fill="auto"/>
            <w:vAlign w:val="center"/>
          </w:tcPr>
          <w:p w14:paraId="49DA1D66">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5AB1E">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产出指标</w:t>
            </w:r>
          </w:p>
        </w:tc>
        <w:tc>
          <w:tcPr>
            <w:tcW w:w="1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F7F73">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质量指标</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43A9A">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验收合格率</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5A397">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A41FB">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100</w:t>
            </w:r>
          </w:p>
        </w:tc>
        <w:tc>
          <w:tcPr>
            <w:tcW w:w="9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7B7B81">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B77F5">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10</w:t>
            </w:r>
          </w:p>
        </w:tc>
        <w:tc>
          <w:tcPr>
            <w:tcW w:w="16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49A58">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100</w:t>
            </w:r>
          </w:p>
        </w:tc>
      </w:tr>
      <w:tr w14:paraId="736600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40" w:hRule="atLeast"/>
          <w:jc w:val="center"/>
        </w:trPr>
        <w:tc>
          <w:tcPr>
            <w:tcW w:w="584" w:type="dxa"/>
            <w:vMerge w:val="continue"/>
            <w:tcBorders>
              <w:top w:val="single" w:color="000000" w:sz="4" w:space="0"/>
              <w:left w:val="single" w:color="000000" w:sz="4" w:space="0"/>
              <w:bottom w:val="single" w:color="000000" w:sz="4" w:space="0"/>
            </w:tcBorders>
            <w:shd w:val="clear" w:color="auto" w:fill="auto"/>
            <w:vAlign w:val="center"/>
          </w:tcPr>
          <w:p w14:paraId="22F4417D">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47F36">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产出指标</w:t>
            </w:r>
          </w:p>
        </w:tc>
        <w:tc>
          <w:tcPr>
            <w:tcW w:w="1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CE6E2">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时效指标</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26453">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完成时间</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34B33">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3619D">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1</w:t>
            </w:r>
          </w:p>
        </w:tc>
        <w:tc>
          <w:tcPr>
            <w:tcW w:w="9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4625B5">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年</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5FB16">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10</w:t>
            </w:r>
          </w:p>
        </w:tc>
        <w:tc>
          <w:tcPr>
            <w:tcW w:w="16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10FA4">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r>
      <w:tr w14:paraId="1B5106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40" w:hRule="atLeast"/>
          <w:jc w:val="center"/>
        </w:trPr>
        <w:tc>
          <w:tcPr>
            <w:tcW w:w="584" w:type="dxa"/>
            <w:vMerge w:val="continue"/>
            <w:tcBorders>
              <w:top w:val="single" w:color="000000" w:sz="4" w:space="0"/>
              <w:left w:val="single" w:color="000000" w:sz="4" w:space="0"/>
              <w:bottom w:val="single" w:color="000000" w:sz="4" w:space="0"/>
            </w:tcBorders>
            <w:shd w:val="clear" w:color="auto" w:fill="auto"/>
            <w:vAlign w:val="center"/>
          </w:tcPr>
          <w:p w14:paraId="262B5230">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31AF5">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效益指标</w:t>
            </w:r>
          </w:p>
        </w:tc>
        <w:tc>
          <w:tcPr>
            <w:tcW w:w="1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B54A0">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社会效益</w:t>
            </w:r>
          </w:p>
          <w:p w14:paraId="7FD8861A">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指标</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65324">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促进城乡融合发展，支撑自然资源资产产权制度改革</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5B1BF">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定性</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F1A75">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良好</w:t>
            </w:r>
          </w:p>
        </w:tc>
        <w:tc>
          <w:tcPr>
            <w:tcW w:w="9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240C97">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级</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19FF9">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20</w:t>
            </w:r>
          </w:p>
        </w:tc>
        <w:tc>
          <w:tcPr>
            <w:tcW w:w="16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A7E5E">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良好</w:t>
            </w:r>
          </w:p>
        </w:tc>
      </w:tr>
      <w:tr w14:paraId="67FC8D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40" w:hRule="atLeast"/>
          <w:jc w:val="center"/>
        </w:trPr>
        <w:tc>
          <w:tcPr>
            <w:tcW w:w="584" w:type="dxa"/>
            <w:tcBorders>
              <w:top w:val="single" w:color="000000" w:sz="4" w:space="0"/>
              <w:left w:val="single" w:color="000000" w:sz="4" w:space="0"/>
              <w:bottom w:val="single" w:color="000000" w:sz="4" w:space="0"/>
            </w:tcBorders>
            <w:shd w:val="clear" w:color="auto" w:fill="auto"/>
            <w:vAlign w:val="center"/>
          </w:tcPr>
          <w:p w14:paraId="04C82393">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865CF">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满意度指标</w:t>
            </w:r>
          </w:p>
        </w:tc>
        <w:tc>
          <w:tcPr>
            <w:tcW w:w="1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0F6FC">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满意度指标</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8FB01">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成上级部门满意度</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328F9">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FDA06">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95</w:t>
            </w:r>
          </w:p>
        </w:tc>
        <w:tc>
          <w:tcPr>
            <w:tcW w:w="9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E3A52B">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D32E9">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10</w:t>
            </w:r>
          </w:p>
        </w:tc>
        <w:tc>
          <w:tcPr>
            <w:tcW w:w="16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EC3D0">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95</w:t>
            </w:r>
          </w:p>
        </w:tc>
      </w:tr>
      <w:tr w14:paraId="7B9A6B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40" w:hRule="atLeast"/>
          <w:jc w:val="center"/>
        </w:trPr>
        <w:tc>
          <w:tcPr>
            <w:tcW w:w="584" w:type="dxa"/>
            <w:tcBorders>
              <w:top w:val="single" w:color="000000" w:sz="4" w:space="0"/>
              <w:left w:val="single" w:color="000000" w:sz="4" w:space="0"/>
              <w:bottom w:val="single" w:color="000000" w:sz="4" w:space="0"/>
            </w:tcBorders>
            <w:shd w:val="clear" w:color="auto" w:fill="auto"/>
            <w:vAlign w:val="center"/>
          </w:tcPr>
          <w:p w14:paraId="006A0BDD">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7D2EA">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成本指标</w:t>
            </w:r>
          </w:p>
        </w:tc>
        <w:tc>
          <w:tcPr>
            <w:tcW w:w="1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E5F63">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经济成本指标</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16035">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预算控制数</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31F85">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92337">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40</w:t>
            </w:r>
          </w:p>
        </w:tc>
        <w:tc>
          <w:tcPr>
            <w:tcW w:w="9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946C24">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万元</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2AF25">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20</w:t>
            </w:r>
          </w:p>
        </w:tc>
        <w:tc>
          <w:tcPr>
            <w:tcW w:w="16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ACB15">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40</w:t>
            </w:r>
          </w:p>
        </w:tc>
      </w:tr>
    </w:tbl>
    <w:p w14:paraId="5011DBED">
      <w:pPr>
        <w:pStyle w:val="16"/>
        <w:keepNext w:val="0"/>
        <w:keepLines w:val="0"/>
        <w:pageBreakBefore w:val="0"/>
        <w:kinsoku/>
        <w:wordWrap/>
        <w:overflowPunct/>
        <w:topLinePunct w:val="0"/>
        <w:autoSpaceDE/>
        <w:autoSpaceDN/>
        <w:bidi w:val="0"/>
        <w:spacing w:after="0" w:line="578" w:lineRule="exact"/>
        <w:ind w:left="0" w:leftChars="0"/>
        <w:rPr>
          <w:rFonts w:hint="default" w:ascii="黑体" w:hAnsi="黑体" w:eastAsia="黑体" w:cs="黑体"/>
          <w:sz w:val="24"/>
          <w:szCs w:val="24"/>
          <w:highlight w:val="none"/>
          <w:lang w:val="en-US" w:eastAsia="zh-CN"/>
        </w:rPr>
      </w:pPr>
    </w:p>
    <w:p w14:paraId="232204CD">
      <w:pPr>
        <w:rPr>
          <w:rFonts w:hint="default" w:ascii="黑体" w:hAnsi="黑体" w:eastAsia="黑体" w:cs="黑体"/>
          <w:sz w:val="24"/>
          <w:szCs w:val="24"/>
          <w:highlight w:val="none"/>
          <w:lang w:val="en-US" w:eastAsia="zh-CN"/>
        </w:rPr>
      </w:pPr>
      <w:r>
        <w:rPr>
          <w:rFonts w:hint="default" w:ascii="黑体" w:hAnsi="黑体" w:eastAsia="黑体" w:cs="黑体"/>
          <w:sz w:val="24"/>
          <w:szCs w:val="24"/>
          <w:highlight w:val="none"/>
          <w:lang w:val="en-US" w:eastAsia="zh-CN"/>
        </w:rPr>
        <w:br w:type="page"/>
      </w:r>
    </w:p>
    <w:p w14:paraId="455A9CD2">
      <w:pPr>
        <w:pStyle w:val="37"/>
        <w:keepNext w:val="0"/>
        <w:keepLines w:val="0"/>
        <w:pageBreakBefore w:val="0"/>
        <w:widowControl w:val="0"/>
        <w:kinsoku/>
        <w:wordWrap/>
        <w:overflowPunct/>
        <w:topLinePunct w:val="0"/>
        <w:autoSpaceDE/>
        <w:autoSpaceDN/>
        <w:bidi w:val="0"/>
        <w:spacing w:line="578" w:lineRule="exact"/>
        <w:ind w:left="0" w:leftChars="0"/>
        <w:jc w:val="center"/>
        <w:textAlignment w:val="auto"/>
        <w:rPr>
          <w:rFonts w:hint="default" w:ascii="方正小标宋简体" w:hAnsi="方正小标宋简体" w:eastAsia="方正小标宋简体" w:cs="方正小标宋简体"/>
          <w:color w:val="auto"/>
          <w:kern w:val="2"/>
          <w:sz w:val="44"/>
          <w:szCs w:val="44"/>
          <w:highlight w:val="none"/>
          <w:lang w:val="en-US" w:eastAsia="zh-CN"/>
        </w:rPr>
      </w:pPr>
      <w:r>
        <w:rPr>
          <w:rFonts w:hint="eastAsia" w:ascii="方正小标宋简体" w:hAnsi="方正小标宋简体" w:eastAsia="方正小标宋简体" w:cs="方正小标宋简体"/>
          <w:color w:val="auto"/>
          <w:kern w:val="2"/>
          <w:sz w:val="44"/>
          <w:szCs w:val="44"/>
          <w:highlight w:val="none"/>
          <w:lang w:val="en-US" w:eastAsia="zh-CN"/>
        </w:rPr>
        <w:t>广元市自然资源局</w:t>
      </w:r>
    </w:p>
    <w:p w14:paraId="495BC9F8">
      <w:pPr>
        <w:pStyle w:val="37"/>
        <w:keepNext w:val="0"/>
        <w:keepLines w:val="0"/>
        <w:pageBreakBefore w:val="0"/>
        <w:widowControl w:val="0"/>
        <w:kinsoku/>
        <w:wordWrap/>
        <w:overflowPunct/>
        <w:topLinePunct w:val="0"/>
        <w:autoSpaceDE/>
        <w:autoSpaceDN/>
        <w:bidi w:val="0"/>
        <w:spacing w:line="578" w:lineRule="exact"/>
        <w:ind w:left="0" w:leftChars="0"/>
        <w:jc w:val="center"/>
        <w:textAlignment w:val="auto"/>
        <w:rPr>
          <w:rFonts w:hint="eastAsia" w:ascii="方正小标宋简体" w:hAnsi="方正小标宋简体" w:eastAsia="方正小标宋简体" w:cs="方正小标宋简体"/>
          <w:color w:val="auto"/>
          <w:kern w:val="2"/>
          <w:sz w:val="44"/>
          <w:szCs w:val="44"/>
          <w:highlight w:val="none"/>
          <w:lang w:val="en-US" w:eastAsia="zh-CN"/>
        </w:rPr>
      </w:pPr>
      <w:r>
        <w:rPr>
          <w:rFonts w:hint="eastAsia" w:ascii="方正小标宋简体" w:hAnsi="方正小标宋简体" w:eastAsia="方正小标宋简体" w:cs="方正小标宋简体"/>
          <w:color w:val="auto"/>
          <w:kern w:val="2"/>
          <w:sz w:val="44"/>
          <w:szCs w:val="44"/>
          <w:highlight w:val="none"/>
          <w:lang w:val="en-US" w:eastAsia="zh-CN"/>
        </w:rPr>
        <w:t>关于解缴广元市利州区2023年第5批次建设用地被征地农民社保资金预存款专项预算项目绩效评价报告</w:t>
      </w:r>
    </w:p>
    <w:p w14:paraId="2472BE85">
      <w:pPr>
        <w:pStyle w:val="37"/>
        <w:keepNext w:val="0"/>
        <w:keepLines w:val="0"/>
        <w:pageBreakBefore w:val="0"/>
        <w:widowControl w:val="0"/>
        <w:kinsoku/>
        <w:wordWrap/>
        <w:overflowPunct/>
        <w:topLinePunct w:val="0"/>
        <w:autoSpaceDE/>
        <w:autoSpaceDN/>
        <w:bidi w:val="0"/>
        <w:spacing w:line="578" w:lineRule="exact"/>
        <w:ind w:left="0" w:leftChars="0" w:firstLine="640"/>
        <w:jc w:val="center"/>
        <w:textAlignment w:val="auto"/>
        <w:rPr>
          <w:rFonts w:ascii="宋体" w:hAnsi="宋体"/>
          <w:color w:val="auto"/>
          <w:kern w:val="2"/>
          <w:sz w:val="32"/>
          <w:szCs w:val="32"/>
          <w:highlight w:val="none"/>
        </w:rPr>
      </w:pPr>
    </w:p>
    <w:p w14:paraId="2237A32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黑体" w:hAnsi="宋体" w:eastAsia="黑体" w:cs="Times New Roman"/>
          <w:sz w:val="32"/>
          <w:szCs w:val="32"/>
          <w:highlight w:val="none"/>
          <w:lang w:val="zh-CN" w:eastAsia="zh-CN"/>
        </w:rPr>
      </w:pPr>
      <w:r>
        <w:rPr>
          <w:rFonts w:hint="eastAsia" w:ascii="黑体" w:hAnsi="宋体" w:eastAsia="黑体" w:cs="Times New Roman"/>
          <w:sz w:val="32"/>
          <w:szCs w:val="32"/>
          <w:highlight w:val="none"/>
          <w:lang w:val="zh-CN" w:eastAsia="zh-CN"/>
        </w:rPr>
        <w:t>一、项目概况</w:t>
      </w:r>
    </w:p>
    <w:p w14:paraId="38CBE03F">
      <w:pPr>
        <w:numPr>
          <w:ilvl w:val="0"/>
          <w:numId w:val="0"/>
        </w:numPr>
        <w:spacing w:line="580" w:lineRule="exact"/>
        <w:ind w:firstLine="643" w:firstLineChars="200"/>
        <w:rPr>
          <w:rFonts w:hint="eastAsia"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（一）设立背景及基本情况。</w:t>
      </w:r>
    </w:p>
    <w:p w14:paraId="1C2E3872">
      <w:pPr>
        <w:adjustRightInd w:val="0"/>
        <w:snapToGrid w:val="0"/>
        <w:spacing w:line="520" w:lineRule="exact"/>
        <w:ind w:firstLine="640" w:firstLineChars="200"/>
        <w:rPr>
          <w:rFonts w:hint="eastAsia" w:ascii="仿宋_GB2312" w:hAnsi="宋体" w:eastAsia="仿宋_GB2312" w:cs="Times New Roman"/>
          <w:sz w:val="32"/>
          <w:szCs w:val="32"/>
        </w:rPr>
      </w:pPr>
      <w:r>
        <w:rPr>
          <w:rFonts w:hint="eastAsia" w:ascii="仿宋_GB2312" w:hAnsi="宋体" w:eastAsia="仿宋_GB2312" w:cs="Times New Roman"/>
          <w:sz w:val="32"/>
          <w:szCs w:val="32"/>
        </w:rPr>
        <w:t>广元市利州区2023年第5批次建设用地，涉及大稻坝经营性用地、雪峰小学周边经营性用地、莲花片区经营性用地等市级经营性用地已纳入《广元市市本级2023年度经营性土地储备计划及土地储备资金需求计划》及《广元市2023年度市本级及县区国有建设用地供应计划》。根据利州区社会保险事务中心提供并经市人力资源和社会保障局复核的《广元市利州区2023年第3批次建设用地被征地农民养老保障资金核算表》，该批次建设用地报征需缴纳的社保资金预存款为6257.279184万元。</w:t>
      </w:r>
    </w:p>
    <w:p w14:paraId="0FD62055">
      <w:pPr>
        <w:keepNext w:val="0"/>
        <w:keepLines w:val="0"/>
        <w:pageBreakBefore w:val="0"/>
        <w:widowControl w:val="0"/>
        <w:kinsoku/>
        <w:wordWrap/>
        <w:overflowPunct/>
        <w:topLinePunct w:val="0"/>
        <w:autoSpaceDE/>
        <w:autoSpaceDN/>
        <w:bidi w:val="0"/>
        <w:adjustRightInd/>
        <w:snapToGrid/>
        <w:spacing w:line="576" w:lineRule="exact"/>
        <w:ind w:left="0" w:firstLine="643" w:firstLineChars="200"/>
        <w:jc w:val="both"/>
        <w:textAlignment w:val="auto"/>
        <w:rPr>
          <w:rFonts w:hint="eastAsia" w:ascii="仿宋_GB2312" w:hAnsi="宋体" w:eastAsia="仿宋_GB2312" w:cs="Times New Roman"/>
          <w:sz w:val="32"/>
          <w:szCs w:val="32"/>
          <w:lang w:val="en-US" w:eastAsia="zh-CN"/>
        </w:rPr>
      </w:pPr>
      <w:r>
        <w:rPr>
          <w:rFonts w:hint="eastAsia" w:ascii="楷体_GB2312" w:hAnsi="宋体" w:eastAsia="楷体_GB2312" w:cs="Times New Roman"/>
          <w:b/>
          <w:color w:val="auto"/>
          <w:sz w:val="32"/>
          <w:szCs w:val="32"/>
          <w:highlight w:val="none"/>
          <w:u w:val="none"/>
          <w:lang w:val="en-US" w:eastAsia="zh-CN"/>
        </w:rPr>
        <w:t>（二）</w:t>
      </w:r>
      <w:r>
        <w:rPr>
          <w:rFonts w:hint="default" w:ascii="楷体_GB2312" w:hAnsi="宋体" w:eastAsia="楷体_GB2312" w:cs="Times New Roman"/>
          <w:b/>
          <w:color w:val="auto"/>
          <w:sz w:val="32"/>
          <w:szCs w:val="32"/>
          <w:highlight w:val="none"/>
          <w:u w:val="none"/>
          <w:lang w:val="en-US" w:eastAsia="zh-CN"/>
        </w:rPr>
        <w:t>实施目的及支持方向</w:t>
      </w:r>
      <w:r>
        <w:rPr>
          <w:rFonts w:hint="eastAsia" w:ascii="楷体_GB2312" w:hAnsi="宋体" w:eastAsia="楷体_GB2312" w:cs="Times New Roman"/>
          <w:b/>
          <w:color w:val="auto"/>
          <w:sz w:val="32"/>
          <w:szCs w:val="32"/>
          <w:highlight w:val="none"/>
          <w:u w:val="none"/>
          <w:lang w:val="en-US" w:eastAsia="zh-CN"/>
        </w:rPr>
        <w:t>。</w:t>
      </w:r>
      <w:r>
        <w:rPr>
          <w:rFonts w:hint="eastAsia" w:ascii="仿宋_GB2312" w:hAnsi="宋体" w:eastAsia="仿宋_GB2312" w:cs="Times New Roman"/>
          <w:sz w:val="32"/>
          <w:szCs w:val="32"/>
          <w:lang w:val="en-US" w:eastAsia="zh-CN"/>
        </w:rPr>
        <w:t>我局制度了《财务管理制度》、《专项资金管理制度》、《三重一大制度》《政府采购内控管理制度》等相关制度。我局</w:t>
      </w:r>
      <w:r>
        <w:rPr>
          <w:rFonts w:hint="default" w:ascii="仿宋_GB2312" w:hAnsi="宋体" w:eastAsia="仿宋_GB2312" w:cs="Times New Roman"/>
          <w:sz w:val="32"/>
          <w:szCs w:val="32"/>
        </w:rPr>
        <w:t>严格按照项目管理有关规定管理专项经费，为保障项目资金安全，确保资金专款专用， 从资金申请、资金使用、会计核算三个环节加强资金管理，在项目资金申请环节，严格按照国库集中支付流程申请财政资金；在资金使用环节，严格遵守相关法律法规规定，严格按照单位财务管理审批流程办理款项支付；在会计核算环节，对本项目资金实行单独核算，确保专款专用</w:t>
      </w:r>
      <w:r>
        <w:rPr>
          <w:rFonts w:hint="eastAsia" w:ascii="仿宋_GB2312" w:hAnsi="宋体" w:eastAsia="仿宋_GB2312" w:cs="Times New Roman"/>
          <w:sz w:val="32"/>
          <w:szCs w:val="32"/>
          <w:lang w:eastAsia="zh-CN"/>
        </w:rPr>
        <w:t>。</w:t>
      </w:r>
      <w:r>
        <w:rPr>
          <w:rFonts w:hint="eastAsia" w:ascii="仿宋_GB2312" w:hAnsi="宋体" w:eastAsia="仿宋_GB2312" w:cs="Times New Roman"/>
          <w:sz w:val="32"/>
          <w:szCs w:val="32"/>
          <w:lang w:val="en-US" w:eastAsia="zh-CN"/>
        </w:rPr>
        <w:t>完成广元市莲花片区、雪峰小学周边、莲花片区经营性用地转建设用地13.714公顷报征手续，确保建设项目用地的合法性，促进我市的经济建设。</w:t>
      </w:r>
    </w:p>
    <w:p w14:paraId="2E5E0608">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3" w:firstLineChars="200"/>
        <w:contextualSpacing/>
        <w:jc w:val="both"/>
        <w:textAlignment w:val="auto"/>
        <w:rPr>
          <w:rFonts w:hint="eastAsia" w:ascii="楷体_GB2312" w:hAnsi="宋体" w:eastAsia="楷体_GB2312" w:cs="Times New Roman"/>
          <w:b/>
          <w:color w:val="auto"/>
          <w:sz w:val="32"/>
          <w:szCs w:val="32"/>
          <w:highlight w:val="none"/>
          <w:u w:val="none"/>
          <w:lang w:val="zh-CN" w:eastAsia="zh-CN"/>
        </w:rPr>
      </w:pPr>
      <w:r>
        <w:rPr>
          <w:rFonts w:hint="eastAsia" w:ascii="楷体_GB2312" w:hAnsi="宋体" w:eastAsia="楷体_GB2312" w:cs="Times New Roman"/>
          <w:b/>
          <w:color w:val="auto"/>
          <w:sz w:val="32"/>
          <w:szCs w:val="32"/>
          <w:highlight w:val="none"/>
          <w:u w:val="none"/>
          <w:lang w:val="zh-CN" w:eastAsia="zh-CN"/>
        </w:rPr>
        <w:t>（三）</w:t>
      </w:r>
      <w:r>
        <w:rPr>
          <w:rFonts w:hint="default" w:ascii="楷体_GB2312" w:hAnsi="宋体" w:eastAsia="楷体_GB2312" w:cs="Times New Roman"/>
          <w:b/>
          <w:color w:val="auto"/>
          <w:sz w:val="32"/>
          <w:szCs w:val="32"/>
          <w:highlight w:val="none"/>
          <w:u w:val="none"/>
          <w:lang w:val="en-US" w:eastAsia="zh-CN"/>
        </w:rPr>
        <w:t>预算安排及分配管理</w:t>
      </w:r>
      <w:r>
        <w:rPr>
          <w:rFonts w:hint="eastAsia" w:ascii="楷体_GB2312" w:hAnsi="宋体" w:eastAsia="楷体_GB2312" w:cs="Times New Roman"/>
          <w:b/>
          <w:color w:val="auto"/>
          <w:sz w:val="32"/>
          <w:szCs w:val="32"/>
          <w:highlight w:val="none"/>
          <w:u w:val="none"/>
          <w:lang w:val="zh-CN" w:eastAsia="zh-CN"/>
        </w:rPr>
        <w:t>。</w:t>
      </w:r>
    </w:p>
    <w:p w14:paraId="6DCA661D">
      <w:pPr>
        <w:adjustRightInd w:val="0"/>
        <w:snapToGrid w:val="0"/>
        <w:spacing w:line="520" w:lineRule="exact"/>
        <w:ind w:firstLine="640" w:firstLineChars="200"/>
        <w:rPr>
          <w:rFonts w:hint="eastAsia" w:ascii="仿宋_GB2312" w:hAnsi="宋体" w:eastAsia="仿宋_GB2312" w:cs="Times New Roman"/>
          <w:sz w:val="32"/>
          <w:szCs w:val="32"/>
        </w:rPr>
      </w:pPr>
      <w:r>
        <w:rPr>
          <w:rFonts w:hint="eastAsia" w:ascii="仿宋_GB2312" w:hAnsi="宋体" w:eastAsia="仿宋_GB2312" w:cs="Times New Roman"/>
          <w:sz w:val="32"/>
          <w:szCs w:val="32"/>
        </w:rPr>
        <w:t>市财政于2023年12月6日下达该项目资金6257.279184万元，我局于</w:t>
      </w:r>
      <w:r>
        <w:rPr>
          <w:rFonts w:hint="eastAsia" w:ascii="仿宋_GB2312" w:hAnsi="宋体" w:eastAsia="仿宋_GB2312" w:cs="Times New Roman"/>
          <w:sz w:val="32"/>
          <w:szCs w:val="32"/>
          <w:lang w:val="en-US" w:eastAsia="zh-CN"/>
        </w:rPr>
        <w:t>2023年</w:t>
      </w:r>
      <w:r>
        <w:rPr>
          <w:rFonts w:hint="eastAsia" w:ascii="仿宋_GB2312" w:hAnsi="宋体" w:eastAsia="仿宋_GB2312" w:cs="Times New Roman"/>
          <w:sz w:val="32"/>
          <w:szCs w:val="32"/>
        </w:rPr>
        <w:t>12月</w:t>
      </w:r>
      <w:r>
        <w:rPr>
          <w:rFonts w:hint="eastAsia" w:ascii="仿宋_GB2312" w:hAnsi="宋体" w:eastAsia="仿宋_GB2312" w:cs="Times New Roman"/>
          <w:sz w:val="32"/>
          <w:szCs w:val="32"/>
          <w:lang w:val="en-US" w:eastAsia="zh-CN"/>
        </w:rPr>
        <w:t>将该款项</w:t>
      </w:r>
      <w:r>
        <w:rPr>
          <w:rFonts w:hint="eastAsia" w:ascii="仿宋_GB2312" w:hAnsi="宋体" w:eastAsia="仿宋_GB2312" w:cs="Times New Roman"/>
          <w:sz w:val="32"/>
          <w:szCs w:val="32"/>
        </w:rPr>
        <w:t>缴入财政专户。我局制</w:t>
      </w:r>
      <w:r>
        <w:rPr>
          <w:rFonts w:hint="eastAsia" w:ascii="仿宋_GB2312" w:hAnsi="宋体" w:eastAsia="仿宋_GB2312" w:cs="Times New Roman"/>
          <w:sz w:val="32"/>
          <w:szCs w:val="32"/>
          <w:lang w:val="en-US" w:eastAsia="zh-CN"/>
        </w:rPr>
        <w:t>定</w:t>
      </w:r>
      <w:r>
        <w:rPr>
          <w:rFonts w:hint="eastAsia" w:ascii="仿宋_GB2312" w:hAnsi="宋体" w:eastAsia="仿宋_GB2312" w:cs="Times New Roman"/>
          <w:sz w:val="32"/>
          <w:szCs w:val="32"/>
        </w:rPr>
        <w:t>了《财务管理制度》和《专项资金管理制度》和《三重一大制度》，确保项目高效率使用和支付过程中严格执行相关制度，专款专用，无截留，无挪用。</w:t>
      </w:r>
    </w:p>
    <w:p w14:paraId="6BE70B69">
      <w:pPr>
        <w:keepNext w:val="0"/>
        <w:keepLines w:val="0"/>
        <w:pageBreakBefore w:val="0"/>
        <w:widowControl w:val="0"/>
        <w:kinsoku/>
        <w:wordWrap/>
        <w:overflowPunct/>
        <w:topLinePunct w:val="0"/>
        <w:autoSpaceDE/>
        <w:autoSpaceDN/>
        <w:bidi w:val="0"/>
        <w:adjustRightInd w:val="0"/>
        <w:snapToGrid w:val="0"/>
        <w:spacing w:line="576" w:lineRule="exact"/>
        <w:ind w:firstLine="643" w:firstLineChars="200"/>
        <w:textAlignment w:val="auto"/>
        <w:rPr>
          <w:rFonts w:hint="eastAsia" w:ascii="仿宋_GB2312" w:hAnsi="宋体" w:eastAsia="仿宋_GB2312" w:cs="Times New Roman"/>
          <w:sz w:val="32"/>
          <w:szCs w:val="32"/>
          <w:lang w:eastAsia="zh-CN"/>
        </w:rPr>
      </w:pPr>
      <w:r>
        <w:rPr>
          <w:rFonts w:hint="eastAsia" w:ascii="楷体_GB2312" w:hAnsi="宋体" w:eastAsia="楷体_GB2312" w:cs="Times New Roman"/>
          <w:b/>
          <w:color w:val="auto"/>
          <w:sz w:val="32"/>
          <w:szCs w:val="32"/>
          <w:highlight w:val="none"/>
          <w:u w:val="none"/>
          <w:lang w:val="zh-CN" w:eastAsia="zh-CN"/>
        </w:rPr>
        <w:t>（四）项目绩效目标设置。</w:t>
      </w:r>
      <w:r>
        <w:rPr>
          <w:rFonts w:hint="eastAsia" w:ascii="仿宋_GB2312" w:hAnsi="宋体" w:eastAsia="仿宋_GB2312" w:cs="Times New Roman"/>
          <w:sz w:val="32"/>
          <w:szCs w:val="32"/>
        </w:rPr>
        <w:t>绩效目标和绩效指标可量化考核</w:t>
      </w:r>
      <w:r>
        <w:rPr>
          <w:rFonts w:hint="eastAsia" w:ascii="仿宋_GB2312" w:hAnsi="宋体" w:eastAsia="仿宋_GB2312" w:cs="Times New Roman"/>
          <w:sz w:val="32"/>
          <w:szCs w:val="32"/>
          <w:lang w:eastAsia="zh-CN"/>
        </w:rPr>
        <w:t>，年度工作目标相一致。绩效指标细化、量化，绩效目标和绩效指标契合政策或项目实质，产出和效果相关联。可对满意度指标进行量化预测，绩效目标具有一定的前瞻性和挑战性，绩效目标和绩效指标相匹配，</w:t>
      </w:r>
      <w:r>
        <w:rPr>
          <w:rFonts w:hint="eastAsia" w:ascii="仿宋_GB2312" w:hAnsi="宋体" w:eastAsia="仿宋_GB2312" w:cs="Times New Roman"/>
          <w:sz w:val="32"/>
          <w:szCs w:val="32"/>
        </w:rPr>
        <w:t>全面完整，契合项目实质</w:t>
      </w:r>
      <w:r>
        <w:rPr>
          <w:rFonts w:hint="eastAsia" w:ascii="仿宋_GB2312" w:hAnsi="宋体" w:eastAsia="仿宋_GB2312" w:cs="Times New Roman"/>
          <w:sz w:val="32"/>
          <w:szCs w:val="32"/>
          <w:lang w:eastAsia="zh-CN"/>
        </w:rPr>
        <w:t>。</w:t>
      </w:r>
    </w:p>
    <w:p w14:paraId="6E1001F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黑体" w:hAnsi="宋体" w:eastAsia="黑体" w:cs="Times New Roman"/>
          <w:sz w:val="32"/>
          <w:szCs w:val="32"/>
          <w:highlight w:val="none"/>
          <w:lang w:val="zh-CN" w:eastAsia="zh-CN"/>
        </w:rPr>
      </w:pPr>
      <w:r>
        <w:rPr>
          <w:rFonts w:hint="eastAsia" w:ascii="黑体" w:hAnsi="宋体" w:eastAsia="黑体" w:cs="Times New Roman"/>
          <w:sz w:val="32"/>
          <w:szCs w:val="32"/>
          <w:highlight w:val="none"/>
          <w:lang w:val="zh-CN" w:eastAsia="zh-CN"/>
        </w:rPr>
        <w:t>二、评价实施</w:t>
      </w:r>
    </w:p>
    <w:p w14:paraId="572B6AB1">
      <w:pPr>
        <w:keepNext w:val="0"/>
        <w:keepLines w:val="0"/>
        <w:pageBreakBefore w:val="0"/>
        <w:widowControl w:val="0"/>
        <w:kinsoku/>
        <w:wordWrap/>
        <w:overflowPunct/>
        <w:topLinePunct w:val="0"/>
        <w:autoSpaceDE/>
        <w:autoSpaceDN/>
        <w:bidi w:val="0"/>
        <w:spacing w:line="578" w:lineRule="exact"/>
        <w:ind w:firstLine="640"/>
        <w:textAlignment w:val="auto"/>
        <w:outlineLvl w:val="9"/>
        <w:rPr>
          <w:rFonts w:hint="eastAsia" w:ascii="仿宋_GB2312" w:hAnsi="宋体" w:eastAsia="仿宋_GB2312" w:cs="Times New Roman"/>
          <w:sz w:val="32"/>
          <w:szCs w:val="32"/>
        </w:rPr>
      </w:pPr>
      <w:r>
        <w:rPr>
          <w:rFonts w:hint="eastAsia" w:ascii="楷体_GB2312" w:hAnsi="宋体" w:eastAsia="楷体_GB2312"/>
          <w:b/>
          <w:color w:val="auto"/>
          <w:sz w:val="32"/>
          <w:szCs w:val="32"/>
          <w:highlight w:val="none"/>
          <w:u w:val="none"/>
          <w:lang w:val="zh-CN"/>
        </w:rPr>
        <w:t>（一）评价目的。</w:t>
      </w:r>
      <w:r>
        <w:rPr>
          <w:rFonts w:hint="eastAsia" w:ascii="仿宋_GB2312" w:hAnsi="宋体" w:eastAsia="仿宋_GB2312" w:cs="Times New Roman"/>
          <w:sz w:val="32"/>
          <w:szCs w:val="32"/>
          <w:lang w:val="en-US" w:eastAsia="zh-CN"/>
        </w:rPr>
        <w:t>通过绩效评价，一是对项目预算及资金使用方案的合理性和有效性进行优化，去除不合理的预算项目。二是详细掌握资金使用情况，提高预算执行力。三是促进预算管理的公开化透明化</w:t>
      </w:r>
      <w:r>
        <w:rPr>
          <w:rFonts w:hint="eastAsia" w:ascii="仿宋_GB2312" w:hAnsi="宋体" w:eastAsia="仿宋_GB2312" w:cs="Times New Roman"/>
          <w:sz w:val="32"/>
          <w:szCs w:val="32"/>
          <w:lang w:eastAsia="zh-CN"/>
        </w:rPr>
        <w:t>。</w:t>
      </w:r>
    </w:p>
    <w:p w14:paraId="04AFF85C">
      <w:pPr>
        <w:keepNext w:val="0"/>
        <w:keepLines w:val="0"/>
        <w:pageBreakBefore w:val="0"/>
        <w:widowControl w:val="0"/>
        <w:kinsoku/>
        <w:wordWrap/>
        <w:overflowPunct/>
        <w:topLinePunct w:val="0"/>
        <w:autoSpaceDE/>
        <w:autoSpaceDN/>
        <w:bidi w:val="0"/>
        <w:adjustRightInd w:val="0"/>
        <w:snapToGrid w:val="0"/>
        <w:spacing w:line="578" w:lineRule="exact"/>
        <w:ind w:left="0" w:leftChars="0" w:firstLine="643" w:firstLineChars="200"/>
        <w:textAlignment w:val="auto"/>
        <w:outlineLvl w:val="9"/>
        <w:rPr>
          <w:rFonts w:hint="eastAsia" w:ascii="仿宋_GB2312" w:hAnsi="宋体" w:eastAsia="仿宋_GB2312" w:cs="Times New Roman"/>
          <w:sz w:val="32"/>
          <w:szCs w:val="32"/>
          <w:lang w:val="en-US" w:eastAsia="zh-CN"/>
        </w:rPr>
      </w:pPr>
      <w:r>
        <w:rPr>
          <w:rFonts w:hint="eastAsia" w:ascii="楷体_GB2312" w:hAnsi="宋体" w:eastAsia="楷体_GB2312"/>
          <w:b/>
          <w:color w:val="auto"/>
          <w:sz w:val="32"/>
          <w:szCs w:val="32"/>
          <w:highlight w:val="none"/>
          <w:u w:val="none"/>
          <w:lang w:val="zh-CN"/>
        </w:rPr>
        <w:t>（二）预设问题及评价重点。</w:t>
      </w:r>
      <w:r>
        <w:rPr>
          <w:rFonts w:hint="eastAsia" w:ascii="仿宋_GB2312" w:hAnsi="宋体" w:eastAsia="仿宋_GB2312" w:cs="Times New Roman"/>
          <w:sz w:val="32"/>
          <w:szCs w:val="32"/>
          <w:lang w:val="en-US" w:eastAsia="zh-CN"/>
        </w:rPr>
        <w:t>按照绩效评价指标体系体系</w:t>
      </w:r>
      <w:r>
        <w:rPr>
          <w:rFonts w:hint="eastAsia" w:ascii="仿宋_GB2312" w:hAnsi="宋体" w:eastAsia="仿宋_GB2312" w:cs="Times New Roman"/>
          <w:sz w:val="32"/>
          <w:szCs w:val="32"/>
          <w:lang w:val="zh-CN"/>
        </w:rPr>
        <w:t>，</w:t>
      </w:r>
      <w:r>
        <w:rPr>
          <w:rFonts w:hint="eastAsia" w:ascii="仿宋_GB2312" w:hAnsi="宋体" w:eastAsia="仿宋_GB2312" w:cs="Times New Roman"/>
          <w:sz w:val="32"/>
          <w:szCs w:val="32"/>
          <w:lang w:val="en-US" w:eastAsia="zh-CN"/>
        </w:rPr>
        <w:t>该项目</w:t>
      </w:r>
      <w:r>
        <w:rPr>
          <w:rFonts w:hint="eastAsia" w:ascii="仿宋_GB2312" w:hAnsi="宋体" w:eastAsia="仿宋_GB2312" w:cs="Times New Roman"/>
          <w:sz w:val="32"/>
          <w:szCs w:val="32"/>
          <w:lang w:eastAsia="zh-CN"/>
        </w:rPr>
        <w:t>经费使用应符合相关财务法规和政策，</w:t>
      </w:r>
      <w:r>
        <w:rPr>
          <w:rFonts w:hint="eastAsia" w:ascii="仿宋_GB2312" w:hAnsi="宋体" w:eastAsia="仿宋_GB2312" w:cs="Times New Roman"/>
          <w:sz w:val="32"/>
          <w:szCs w:val="32"/>
          <w:lang w:val="en-US" w:eastAsia="zh-CN"/>
        </w:rPr>
        <w:t>按照合同约定和项目进度进行支付，做到专款专用，</w:t>
      </w:r>
      <w:r>
        <w:rPr>
          <w:rFonts w:hint="eastAsia" w:ascii="仿宋_GB2312" w:hAnsi="宋体" w:eastAsia="仿宋_GB2312" w:cs="Times New Roman"/>
          <w:sz w:val="32"/>
          <w:szCs w:val="32"/>
          <w:lang w:eastAsia="zh-CN"/>
        </w:rPr>
        <w:t>确保资金使用的合法合规，避免违规行为发生。</w:t>
      </w:r>
      <w:r>
        <w:rPr>
          <w:rFonts w:hint="eastAsia" w:ascii="仿宋_GB2312" w:hAnsi="宋体" w:eastAsia="仿宋_GB2312" w:cs="Times New Roman"/>
          <w:sz w:val="32"/>
          <w:szCs w:val="32"/>
        </w:rPr>
        <w:t>我局</w:t>
      </w:r>
      <w:r>
        <w:rPr>
          <w:rFonts w:hint="eastAsia" w:ascii="仿宋_GB2312" w:hAnsi="宋体" w:eastAsia="仿宋_GB2312" w:cs="Times New Roman"/>
          <w:sz w:val="32"/>
          <w:szCs w:val="32"/>
          <w:lang w:val="en-US" w:eastAsia="zh-CN"/>
        </w:rPr>
        <w:t>于2023年</w:t>
      </w:r>
      <w:r>
        <w:rPr>
          <w:rFonts w:hint="eastAsia" w:ascii="仿宋_GB2312" w:hAnsi="宋体" w:eastAsia="仿宋_GB2312" w:cs="Times New Roman"/>
          <w:sz w:val="32"/>
          <w:szCs w:val="32"/>
        </w:rPr>
        <w:t>12月缴入财政专户6257.279184万元。</w:t>
      </w:r>
    </w:p>
    <w:p w14:paraId="786C2EB0">
      <w:pPr>
        <w:adjustRightInd w:val="0"/>
        <w:snapToGrid w:val="0"/>
        <w:spacing w:line="580" w:lineRule="exact"/>
        <w:ind w:firstLine="643" w:firstLineChars="200"/>
        <w:rPr>
          <w:rFonts w:ascii="仿宋_GB2312" w:hAnsi="宋体"/>
          <w:sz w:val="32"/>
          <w:szCs w:val="32"/>
        </w:rPr>
      </w:pPr>
      <w:r>
        <w:rPr>
          <w:rFonts w:hint="eastAsia" w:ascii="楷体_GB2312" w:hAnsi="宋体" w:eastAsia="楷体_GB2312"/>
          <w:b/>
          <w:color w:val="auto"/>
          <w:sz w:val="32"/>
          <w:szCs w:val="32"/>
          <w:highlight w:val="none"/>
          <w:u w:val="none"/>
          <w:lang w:val="zh-CN"/>
        </w:rPr>
        <w:t>（三）评价选点。</w:t>
      </w:r>
      <w:r>
        <w:rPr>
          <w:rFonts w:hint="eastAsia" w:ascii="仿宋_GB2312" w:hAnsi="宋体" w:eastAsia="仿宋_GB2312" w:cs="Times New Roman"/>
          <w:sz w:val="32"/>
          <w:szCs w:val="32"/>
        </w:rPr>
        <w:t>年末通过数量指标、质量指标及产生的社会效益和政府满意度来自评项目绩效完成情况。</w:t>
      </w:r>
    </w:p>
    <w:p w14:paraId="5A837741">
      <w:pPr>
        <w:keepNext w:val="0"/>
        <w:keepLines w:val="0"/>
        <w:pageBreakBefore w:val="0"/>
        <w:widowControl w:val="0"/>
        <w:kinsoku/>
        <w:wordWrap/>
        <w:overflowPunct/>
        <w:topLinePunct w:val="0"/>
        <w:autoSpaceDE/>
        <w:autoSpaceDN/>
        <w:bidi w:val="0"/>
        <w:spacing w:line="578" w:lineRule="exact"/>
        <w:ind w:firstLine="640"/>
        <w:textAlignment w:val="auto"/>
        <w:outlineLvl w:val="9"/>
        <w:rPr>
          <w:rFonts w:hint="eastAsia" w:ascii="仿宋_GB2312" w:hAnsi="宋体" w:eastAsia="仿宋_GB2312" w:cs="Times New Roman"/>
          <w:sz w:val="32"/>
          <w:szCs w:val="32"/>
          <w:lang w:val="en-US" w:eastAsia="zh-CN"/>
        </w:rPr>
      </w:pPr>
      <w:r>
        <w:rPr>
          <w:rFonts w:hint="eastAsia" w:ascii="楷体_GB2312" w:hAnsi="宋体" w:eastAsia="楷体_GB2312"/>
          <w:b/>
          <w:color w:val="auto"/>
          <w:sz w:val="32"/>
          <w:szCs w:val="32"/>
          <w:highlight w:val="none"/>
          <w:u w:val="none"/>
          <w:lang w:val="zh-CN"/>
        </w:rPr>
        <w:t>（四）评价方法。</w:t>
      </w:r>
      <w:r>
        <w:rPr>
          <w:rFonts w:hint="eastAsia" w:ascii="仿宋_GB2312" w:hAnsi="宋体" w:eastAsia="仿宋_GB2312" w:cs="Times New Roman"/>
          <w:sz w:val="32"/>
          <w:szCs w:val="32"/>
        </w:rPr>
        <w:t>采用单位自评法</w:t>
      </w:r>
      <w:r>
        <w:rPr>
          <w:rFonts w:hint="eastAsia" w:ascii="仿宋_GB2312" w:hAnsi="宋体" w:eastAsia="仿宋_GB2312" w:cs="Times New Roman"/>
          <w:sz w:val="32"/>
          <w:szCs w:val="32"/>
          <w:lang w:val="en-US" w:eastAsia="zh-CN"/>
        </w:rPr>
        <w:t>.</w:t>
      </w:r>
    </w:p>
    <w:p w14:paraId="568CDA28">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3" w:firstLineChars="200"/>
        <w:contextualSpacing/>
        <w:jc w:val="both"/>
        <w:textAlignment w:val="auto"/>
        <w:rPr>
          <w:rFonts w:hint="eastAsia" w:ascii="仿宋_GB2312"/>
          <w:b w:val="0"/>
          <w:bCs w:val="0"/>
          <w:sz w:val="32"/>
          <w:szCs w:val="32"/>
          <w:highlight w:val="none"/>
          <w:lang w:val="en-US" w:eastAsia="zh-CN"/>
        </w:rPr>
      </w:pPr>
      <w:r>
        <w:rPr>
          <w:rFonts w:hint="eastAsia" w:ascii="楷体_GB2312" w:hAnsi="宋体" w:eastAsia="楷体_GB2312"/>
          <w:b/>
          <w:color w:val="auto"/>
          <w:sz w:val="32"/>
          <w:szCs w:val="32"/>
          <w:highlight w:val="none"/>
          <w:u w:val="none"/>
          <w:lang w:val="zh-CN"/>
        </w:rPr>
        <w:t>（五）评价组织。</w:t>
      </w:r>
      <w:r>
        <w:rPr>
          <w:rFonts w:hint="eastAsia" w:ascii="仿宋_GB2312" w:hAnsi="宋体" w:eastAsia="仿宋_GB2312" w:cs="Times New Roman"/>
          <w:sz w:val="32"/>
          <w:szCs w:val="32"/>
          <w:lang w:val="en-US" w:eastAsia="zh-CN"/>
        </w:rPr>
        <w:t>按照财政资金“谁使用，谁自评”的原则，我单位在收到</w:t>
      </w:r>
      <w:r>
        <w:rPr>
          <w:rFonts w:hint="eastAsia" w:ascii="仿宋_GB2312" w:hAnsi="宋体" w:eastAsia="仿宋_GB2312" w:cs="Times New Roman"/>
          <w:sz w:val="32"/>
          <w:szCs w:val="32"/>
          <w:lang w:val="zh-CN"/>
        </w:rPr>
        <w:t>自评工作通知后，立即</w:t>
      </w:r>
      <w:r>
        <w:rPr>
          <w:rFonts w:hint="eastAsia" w:ascii="仿宋_GB2312" w:hAnsi="宋体" w:eastAsia="仿宋_GB2312" w:cs="Times New Roman"/>
          <w:sz w:val="32"/>
          <w:szCs w:val="32"/>
          <w:lang w:val="en-US" w:eastAsia="zh-CN"/>
        </w:rPr>
        <w:t>落实专人负责</w:t>
      </w:r>
      <w:r>
        <w:rPr>
          <w:rFonts w:hint="eastAsia" w:ascii="仿宋_GB2312" w:hAnsi="宋体" w:eastAsia="仿宋_GB2312" w:cs="Times New Roman"/>
          <w:sz w:val="32"/>
          <w:szCs w:val="32"/>
          <w:lang w:val="zh-CN"/>
        </w:rPr>
        <w:t>，及时</w:t>
      </w:r>
      <w:r>
        <w:rPr>
          <w:rFonts w:hint="eastAsia" w:ascii="仿宋_GB2312" w:hAnsi="宋体" w:eastAsia="仿宋_GB2312" w:cs="Times New Roman"/>
          <w:sz w:val="32"/>
          <w:szCs w:val="32"/>
          <w:lang w:val="en-US" w:eastAsia="zh-CN"/>
        </w:rPr>
        <w:t>与相关业务科实协调对接</w:t>
      </w:r>
      <w:r>
        <w:rPr>
          <w:rFonts w:hint="eastAsia" w:ascii="仿宋_GB2312" w:hAnsi="宋体" w:eastAsia="仿宋_GB2312" w:cs="Times New Roman"/>
          <w:sz w:val="32"/>
          <w:szCs w:val="32"/>
          <w:lang w:val="zh-CN"/>
        </w:rPr>
        <w:t>，对项目概况、评价实施、绩效分析、评价结论、存在主要问题、改进建议等进行综合自评，形成自评结果。</w:t>
      </w:r>
    </w:p>
    <w:p w14:paraId="70858F56">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eastAsia" w:eastAsia="仿宋_GB2312" w:cs="Times New Roman"/>
          <w:szCs w:val="32"/>
          <w:lang w:val="en-US" w:eastAsia="zh-CN"/>
        </w:rPr>
      </w:pPr>
      <w:r>
        <w:rPr>
          <w:rFonts w:hint="eastAsia" w:ascii="黑体" w:hAnsi="宋体" w:eastAsia="黑体"/>
          <w:color w:val="auto"/>
          <w:sz w:val="32"/>
          <w:szCs w:val="32"/>
          <w:highlight w:val="none"/>
          <w:u w:val="none"/>
        </w:rPr>
        <w:t>三、</w:t>
      </w:r>
      <w:r>
        <w:rPr>
          <w:rFonts w:hint="eastAsia" w:ascii="黑体" w:hAnsi="宋体" w:eastAsia="黑体"/>
          <w:color w:val="auto"/>
          <w:sz w:val="32"/>
          <w:szCs w:val="32"/>
          <w:highlight w:val="none"/>
          <w:u w:val="none"/>
          <w:lang w:eastAsia="zh-CN"/>
        </w:rPr>
        <w:t>绩效分析</w:t>
      </w:r>
      <w:r>
        <w:rPr>
          <w:rFonts w:hint="eastAsia" w:ascii="仿宋_GB2312" w:hAnsi="宋体"/>
          <w:color w:val="auto"/>
          <w:sz w:val="32"/>
          <w:szCs w:val="32"/>
          <w:highlight w:val="none"/>
          <w:u w:val="none"/>
          <w:lang w:val="zh-CN"/>
        </w:rPr>
        <w:tab/>
      </w:r>
    </w:p>
    <w:p w14:paraId="2D60ACEF">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楷体_GB2312" w:hAnsi="宋体" w:eastAsia="楷体_GB2312" w:cs="Times New Roman"/>
          <w:b/>
          <w:color w:val="auto"/>
          <w:sz w:val="32"/>
          <w:szCs w:val="32"/>
          <w:highlight w:val="none"/>
          <w:u w:val="none"/>
          <w:lang w:val="en-US" w:eastAsia="zh-CN"/>
        </w:rPr>
      </w:pPr>
      <w:r>
        <w:rPr>
          <w:rFonts w:hint="eastAsia" w:ascii="楷体_GB2312" w:hAnsi="宋体" w:eastAsia="楷体_GB2312" w:cs="Times New Roman"/>
          <w:b/>
          <w:color w:val="auto"/>
          <w:sz w:val="32"/>
          <w:szCs w:val="32"/>
          <w:highlight w:val="none"/>
          <w:u w:val="none"/>
          <w:lang w:val="zh-CN"/>
        </w:rPr>
        <w:t>（一）</w:t>
      </w:r>
      <w:r>
        <w:rPr>
          <w:rFonts w:hint="eastAsia" w:ascii="楷体_GB2312" w:hAnsi="宋体" w:eastAsia="楷体_GB2312" w:cs="Times New Roman"/>
          <w:b/>
          <w:color w:val="auto"/>
          <w:sz w:val="32"/>
          <w:szCs w:val="32"/>
          <w:highlight w:val="none"/>
          <w:u w:val="none"/>
          <w:lang w:val="en-US" w:eastAsia="zh-CN"/>
        </w:rPr>
        <w:t>通用指标</w:t>
      </w:r>
      <w:r>
        <w:rPr>
          <w:rFonts w:hint="default" w:ascii="楷体_GB2312" w:hAnsi="宋体" w:eastAsia="楷体_GB2312" w:cs="Times New Roman"/>
          <w:b/>
          <w:color w:val="auto"/>
          <w:sz w:val="32"/>
          <w:szCs w:val="32"/>
          <w:highlight w:val="none"/>
          <w:u w:val="none"/>
          <w:lang w:val="zh-CN"/>
        </w:rPr>
        <w:t>绩效分析。</w:t>
      </w:r>
    </w:p>
    <w:p w14:paraId="3025F1E8">
      <w:pPr>
        <w:adjustRightInd w:val="0"/>
        <w:snapToGrid w:val="0"/>
        <w:spacing w:line="520" w:lineRule="exact"/>
        <w:ind w:firstLine="640" w:firstLineChars="200"/>
        <w:rPr>
          <w:rFonts w:hint="eastAsia" w:ascii="仿宋_GB2312" w:hAnsi="宋体" w:eastAsia="仿宋_GB2312" w:cs="Times New Roman"/>
          <w:sz w:val="32"/>
          <w:szCs w:val="32"/>
          <w:lang w:val="zh-CN"/>
        </w:rPr>
      </w:pPr>
      <w:r>
        <w:rPr>
          <w:rFonts w:hint="eastAsia" w:ascii="仿宋_GB2312" w:hAnsi="宋体" w:eastAsia="仿宋_GB2312" w:cs="Times New Roman"/>
          <w:sz w:val="32"/>
          <w:szCs w:val="32"/>
          <w:lang w:val="en-US" w:eastAsia="zh-CN"/>
        </w:rPr>
        <w:t>1.</w:t>
      </w:r>
      <w:r>
        <w:rPr>
          <w:rFonts w:hint="eastAsia" w:ascii="仿宋_GB2312" w:hAnsi="宋体" w:eastAsia="仿宋_GB2312" w:cs="Times New Roman"/>
          <w:sz w:val="32"/>
          <w:szCs w:val="32"/>
          <w:lang w:eastAsia="zh-CN"/>
        </w:rPr>
        <w:t>项目决策。</w:t>
      </w:r>
      <w:r>
        <w:rPr>
          <w:rFonts w:hint="eastAsia" w:ascii="仿宋_GB2312" w:hAnsi="宋体" w:eastAsia="仿宋_GB2312" w:cs="Times New Roman"/>
          <w:sz w:val="32"/>
          <w:szCs w:val="32"/>
          <w:lang w:val="zh-CN"/>
        </w:rPr>
        <w:t>一是贯彻落实中央关于自然资源工作的方针政策和省委、市委决策部署，并按照单位的职能职责，资金预算合规、科学、合理的同时，把预算、绩效和自然资源改革发展工作深度融合。二是履行预算绩效设立审核程序，经集体研究决策后纳入预算。三是细化量化项目绩效目标，编制预算时对科室申报的预算项目进行全面梳理，严把审核关，所有项目必须有明细的资金测算，对审核后的所有项目全部进行入库管理。</w:t>
      </w:r>
    </w:p>
    <w:p w14:paraId="61347364">
      <w:pPr>
        <w:adjustRightInd w:val="0"/>
        <w:snapToGrid w:val="0"/>
        <w:spacing w:line="520" w:lineRule="exact"/>
        <w:ind w:firstLine="640" w:firstLineChars="200"/>
        <w:rPr>
          <w:rFonts w:hint="eastAsia" w:ascii="仿宋_GB2312" w:hAnsi="宋体" w:eastAsia="仿宋_GB2312" w:cs="Times New Roman"/>
          <w:sz w:val="32"/>
          <w:szCs w:val="32"/>
          <w:lang w:val="en-US" w:eastAsia="zh-CN"/>
        </w:rPr>
      </w:pPr>
      <w:r>
        <w:rPr>
          <w:rFonts w:hint="eastAsia" w:ascii="仿宋_GB2312" w:hAnsi="宋体" w:eastAsia="仿宋_GB2312" w:cs="Times New Roman"/>
          <w:sz w:val="32"/>
          <w:szCs w:val="32"/>
          <w:lang w:val="en-US" w:eastAsia="zh-CN"/>
        </w:rPr>
        <w:t>2.</w:t>
      </w:r>
      <w:r>
        <w:rPr>
          <w:rFonts w:hint="eastAsia" w:ascii="仿宋_GB2312" w:hAnsi="宋体" w:eastAsia="仿宋_GB2312" w:cs="Times New Roman"/>
          <w:sz w:val="32"/>
          <w:szCs w:val="32"/>
          <w:lang w:eastAsia="zh-CN"/>
        </w:rPr>
        <w:t>项目管理。</w:t>
      </w:r>
      <w:r>
        <w:rPr>
          <w:rFonts w:hint="eastAsia" w:ascii="仿宋_GB2312" w:hAnsi="宋体" w:eastAsia="仿宋_GB2312" w:cs="Times New Roman"/>
          <w:sz w:val="32"/>
          <w:szCs w:val="32"/>
          <w:lang w:val="en-US" w:eastAsia="zh-CN"/>
        </w:rPr>
        <w:t>一是</w:t>
      </w:r>
      <w:r>
        <w:rPr>
          <w:rFonts w:hint="eastAsia" w:ascii="仿宋_GB2312" w:hAnsi="宋体" w:eastAsia="仿宋_GB2312" w:cs="Times New Roman"/>
          <w:sz w:val="32"/>
          <w:szCs w:val="32"/>
          <w:lang w:val="zh-CN"/>
        </w:rPr>
        <w:t>履行</w:t>
      </w:r>
      <w:r>
        <w:rPr>
          <w:rFonts w:hint="eastAsia" w:ascii="仿宋_GB2312" w:hAnsi="宋体" w:eastAsia="仿宋_GB2312" w:cs="Times New Roman"/>
          <w:sz w:val="32"/>
          <w:szCs w:val="32"/>
          <w:lang w:val="en-US" w:eastAsia="zh-CN"/>
        </w:rPr>
        <w:t>项目</w:t>
      </w:r>
      <w:r>
        <w:rPr>
          <w:rFonts w:hint="eastAsia" w:ascii="仿宋_GB2312" w:hAnsi="宋体" w:eastAsia="仿宋_GB2312" w:cs="Times New Roman"/>
          <w:sz w:val="32"/>
          <w:szCs w:val="32"/>
          <w:lang w:val="zh-CN"/>
        </w:rPr>
        <w:t>预算绩效设立审核程序，经集体研究决策后纳入</w:t>
      </w:r>
      <w:r>
        <w:rPr>
          <w:rFonts w:hint="eastAsia" w:ascii="仿宋_GB2312" w:hAnsi="宋体" w:eastAsia="仿宋_GB2312" w:cs="Times New Roman"/>
          <w:sz w:val="32"/>
          <w:szCs w:val="32"/>
          <w:lang w:val="en-US" w:eastAsia="zh-CN"/>
        </w:rPr>
        <w:t>基建</w:t>
      </w:r>
      <w:r>
        <w:rPr>
          <w:rFonts w:hint="eastAsia" w:ascii="仿宋_GB2312" w:hAnsi="宋体" w:eastAsia="仿宋_GB2312" w:cs="Times New Roman"/>
          <w:sz w:val="32"/>
          <w:szCs w:val="32"/>
          <w:lang w:val="zh-CN"/>
        </w:rPr>
        <w:t>预算。</w:t>
      </w:r>
      <w:r>
        <w:rPr>
          <w:rFonts w:hint="eastAsia" w:ascii="仿宋_GB2312" w:hAnsi="宋体" w:eastAsia="仿宋_GB2312" w:cs="Times New Roman"/>
          <w:sz w:val="32"/>
          <w:szCs w:val="32"/>
          <w:lang w:val="en-US" w:eastAsia="zh-CN"/>
        </w:rPr>
        <w:t>二</w:t>
      </w:r>
      <w:r>
        <w:rPr>
          <w:rFonts w:hint="eastAsia" w:ascii="仿宋_GB2312" w:hAnsi="宋体" w:eastAsia="仿宋_GB2312" w:cs="Times New Roman"/>
          <w:sz w:val="32"/>
          <w:szCs w:val="32"/>
          <w:lang w:val="zh-CN"/>
        </w:rPr>
        <w:t>是细化量化项目绩效目标，编制预算时对科室申报的预算项目进行全面梳理，严把审核关，项目必须有明细的资金测算，对审核后进行入库管理。</w:t>
      </w:r>
      <w:r>
        <w:rPr>
          <w:rFonts w:hint="eastAsia" w:ascii="仿宋_GB2312" w:hAnsi="宋体" w:eastAsia="仿宋_GB2312" w:cs="Times New Roman"/>
          <w:sz w:val="32"/>
          <w:szCs w:val="32"/>
          <w:lang w:val="en-US" w:eastAsia="zh-CN"/>
        </w:rPr>
        <w:t>财政下达资金后，我局严格按照《预算法》《项目资金管理办法》及时支付，确保项目按时按质完成。</w:t>
      </w:r>
    </w:p>
    <w:p w14:paraId="182F4789">
      <w:pPr>
        <w:adjustRightInd w:val="0"/>
        <w:snapToGrid w:val="0"/>
        <w:spacing w:line="520" w:lineRule="exact"/>
        <w:ind w:firstLine="640" w:firstLineChars="200"/>
        <w:rPr>
          <w:rFonts w:hint="eastAsia" w:ascii="仿宋_GB2312" w:hAnsi="宋体" w:eastAsia="仿宋_GB2312" w:cs="Times New Roman"/>
          <w:sz w:val="32"/>
          <w:szCs w:val="32"/>
        </w:rPr>
      </w:pPr>
      <w:r>
        <w:rPr>
          <w:rFonts w:hint="eastAsia" w:ascii="仿宋_GB2312" w:hAnsi="宋体" w:eastAsia="仿宋_GB2312" w:cs="Times New Roman"/>
          <w:sz w:val="32"/>
          <w:szCs w:val="32"/>
          <w:lang w:val="en-US" w:eastAsia="zh-CN"/>
        </w:rPr>
        <w:t>3.项目实施。</w:t>
      </w:r>
      <w:r>
        <w:rPr>
          <w:rFonts w:hint="eastAsia" w:ascii="仿宋_GB2312" w:hAnsi="宋体" w:eastAsia="仿宋_GB2312" w:cs="Times New Roman"/>
          <w:sz w:val="32"/>
          <w:szCs w:val="32"/>
        </w:rPr>
        <w:t>我局</w:t>
      </w:r>
      <w:r>
        <w:rPr>
          <w:rFonts w:hint="eastAsia" w:ascii="仿宋_GB2312" w:hAnsi="宋体" w:eastAsia="仿宋_GB2312" w:cs="Times New Roman"/>
          <w:sz w:val="32"/>
          <w:szCs w:val="32"/>
          <w:lang w:val="en-US" w:eastAsia="zh-CN"/>
        </w:rPr>
        <w:t>于2023年</w:t>
      </w:r>
      <w:r>
        <w:rPr>
          <w:rFonts w:hint="eastAsia" w:ascii="仿宋_GB2312" w:hAnsi="宋体" w:eastAsia="仿宋_GB2312" w:cs="Times New Roman"/>
          <w:sz w:val="32"/>
          <w:szCs w:val="32"/>
        </w:rPr>
        <w:t>12月缴入财政专户6257.279184万元</w:t>
      </w:r>
      <w:r>
        <w:rPr>
          <w:rFonts w:hint="eastAsia" w:ascii="仿宋_GB2312" w:hAnsi="宋体" w:eastAsia="仿宋_GB2312" w:cs="Times New Roman"/>
          <w:sz w:val="32"/>
          <w:szCs w:val="32"/>
          <w:lang w:eastAsia="zh-CN"/>
        </w:rPr>
        <w:t>，</w:t>
      </w:r>
      <w:r>
        <w:rPr>
          <w:rFonts w:hint="eastAsia" w:ascii="仿宋_GB2312" w:hAnsi="宋体" w:eastAsia="仿宋_GB2312" w:cs="Times New Roman"/>
          <w:sz w:val="32"/>
          <w:szCs w:val="32"/>
          <w:lang w:val="en-US" w:eastAsia="zh-CN"/>
        </w:rPr>
        <w:t>预算执行率100%。</w:t>
      </w:r>
      <w:r>
        <w:rPr>
          <w:rFonts w:hint="eastAsia" w:ascii="仿宋_GB2312" w:hAnsi="宋体" w:eastAsia="仿宋_GB2312" w:cs="Times New Roman"/>
          <w:sz w:val="32"/>
          <w:szCs w:val="32"/>
        </w:rPr>
        <w:t>我局制</w:t>
      </w:r>
      <w:r>
        <w:rPr>
          <w:rFonts w:hint="eastAsia" w:ascii="仿宋_GB2312" w:hAnsi="宋体" w:eastAsia="仿宋_GB2312" w:cs="Times New Roman"/>
          <w:sz w:val="32"/>
          <w:szCs w:val="32"/>
          <w:lang w:val="en-US" w:eastAsia="zh-CN"/>
        </w:rPr>
        <w:t>定</w:t>
      </w:r>
      <w:r>
        <w:rPr>
          <w:rFonts w:hint="eastAsia" w:ascii="仿宋_GB2312" w:hAnsi="宋体" w:eastAsia="仿宋_GB2312" w:cs="Times New Roman"/>
          <w:sz w:val="32"/>
          <w:szCs w:val="32"/>
        </w:rPr>
        <w:t>了《财务管理制度》和《专项资金管理制度》和《三重一大制度》，确保项目高效率使用和支付过程中严格执行相关制度，专款专用，无截留，无挪用。</w:t>
      </w:r>
    </w:p>
    <w:p w14:paraId="35627655">
      <w:pPr>
        <w:adjustRightInd w:val="0"/>
        <w:snapToGrid w:val="0"/>
        <w:spacing w:line="520" w:lineRule="exact"/>
        <w:ind w:firstLine="640" w:firstLineChars="200"/>
        <w:rPr>
          <w:rFonts w:hint="eastAsia" w:ascii="仿宋_GB2312" w:hAnsi="宋体" w:eastAsia="仿宋_GB2312" w:cs="Times New Roman"/>
          <w:sz w:val="32"/>
          <w:szCs w:val="32"/>
          <w:lang w:val="en-US" w:eastAsia="zh-CN"/>
        </w:rPr>
      </w:pPr>
      <w:r>
        <w:rPr>
          <w:rFonts w:hint="eastAsia" w:ascii="仿宋_GB2312" w:hAnsi="宋体" w:eastAsia="仿宋_GB2312" w:cs="Times New Roman"/>
          <w:sz w:val="32"/>
          <w:szCs w:val="32"/>
          <w:lang w:val="en-US" w:eastAsia="zh-CN"/>
        </w:rPr>
        <w:t>4.项目结果。完成广元市利州区2023年第5批次建设用地被征地的报征手续，确保建设项目用地的合法性，促进我市的经济建设。</w:t>
      </w:r>
    </w:p>
    <w:p w14:paraId="0D234CC4">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楷体_GB2312" w:hAnsi="宋体" w:eastAsia="楷体_GB2312" w:cs="Times New Roman"/>
          <w:b/>
          <w:color w:val="auto"/>
          <w:sz w:val="32"/>
          <w:szCs w:val="32"/>
          <w:highlight w:val="none"/>
          <w:u w:val="none"/>
          <w:lang w:val="zh-CN" w:eastAsia="zh-CN"/>
        </w:rPr>
      </w:pPr>
      <w:r>
        <w:rPr>
          <w:rFonts w:hint="eastAsia" w:ascii="楷体_GB2312" w:hAnsi="宋体" w:eastAsia="楷体_GB2312" w:cs="Times New Roman"/>
          <w:b/>
          <w:color w:val="auto"/>
          <w:sz w:val="32"/>
          <w:szCs w:val="32"/>
          <w:highlight w:val="none"/>
          <w:u w:val="none"/>
          <w:lang w:val="zh-CN"/>
        </w:rPr>
        <w:t>（二）</w:t>
      </w:r>
      <w:r>
        <w:rPr>
          <w:rFonts w:hint="eastAsia" w:ascii="楷体_GB2312" w:hAnsi="宋体" w:eastAsia="楷体_GB2312" w:cs="Times New Roman"/>
          <w:b/>
          <w:color w:val="auto"/>
          <w:sz w:val="32"/>
          <w:szCs w:val="32"/>
          <w:highlight w:val="none"/>
          <w:u w:val="none"/>
          <w:lang w:val="en-US" w:eastAsia="zh-CN"/>
        </w:rPr>
        <w:t>专用指标</w:t>
      </w:r>
      <w:r>
        <w:rPr>
          <w:rFonts w:hint="default" w:ascii="楷体_GB2312" w:hAnsi="宋体" w:eastAsia="楷体_GB2312" w:cs="Times New Roman"/>
          <w:b/>
          <w:color w:val="auto"/>
          <w:sz w:val="32"/>
          <w:szCs w:val="32"/>
          <w:highlight w:val="none"/>
          <w:u w:val="none"/>
          <w:lang w:val="zh-CN"/>
        </w:rPr>
        <w:t>绩效分析</w:t>
      </w:r>
      <w:r>
        <w:rPr>
          <w:rFonts w:hint="eastAsia" w:ascii="楷体_GB2312" w:hAnsi="宋体" w:eastAsia="楷体_GB2312" w:cs="Times New Roman"/>
          <w:b/>
          <w:color w:val="auto"/>
          <w:sz w:val="32"/>
          <w:szCs w:val="32"/>
          <w:highlight w:val="none"/>
          <w:u w:val="none"/>
          <w:lang w:val="zh-CN" w:eastAsia="zh-CN"/>
        </w:rPr>
        <w:t>。</w:t>
      </w:r>
    </w:p>
    <w:p w14:paraId="7AFC0F43">
      <w:pPr>
        <w:adjustRightInd w:val="0"/>
        <w:snapToGrid w:val="0"/>
        <w:spacing w:line="520" w:lineRule="exact"/>
        <w:ind w:firstLine="640" w:firstLineChars="200"/>
        <w:rPr>
          <w:rFonts w:hint="eastAsia" w:ascii="仿宋_GB2312" w:hAnsi="宋体" w:eastAsia="仿宋_GB2312" w:cs="Times New Roman"/>
          <w:sz w:val="32"/>
          <w:szCs w:val="32"/>
          <w:lang w:val="en-US" w:eastAsia="zh-CN"/>
        </w:rPr>
      </w:pPr>
      <w:r>
        <w:rPr>
          <w:rFonts w:hint="eastAsia" w:ascii="仿宋_GB2312" w:hAnsi="宋体" w:eastAsia="仿宋_GB2312" w:cs="Times New Roman"/>
          <w:sz w:val="32"/>
          <w:szCs w:val="32"/>
          <w:lang w:val="en-US" w:eastAsia="zh-CN"/>
        </w:rPr>
        <w:t>1.产业发展。该项目是市委市政府支持重点项目。</w:t>
      </w:r>
      <w:r>
        <w:rPr>
          <w:rFonts w:hint="eastAsia" w:ascii="仿宋_GB2312" w:hAnsi="宋体" w:eastAsia="仿宋_GB2312" w:cs="Times New Roman"/>
          <w:sz w:val="32"/>
          <w:szCs w:val="32"/>
        </w:rPr>
        <w:t>广元市利州区2023年第5批次建设用地，涉及大稻坝经营性用地、雪峰小学周边经营性用地、莲花片区经营性用地等市级经营性用地已纳入《广元市市本级2023年度经营性土地储备计划及土地储备资金需求计划》及《广元市2023年度市本级及县区国有建设用地供应计划》。</w:t>
      </w:r>
      <w:r>
        <w:rPr>
          <w:rFonts w:hint="eastAsia" w:ascii="仿宋_GB2312" w:hAnsi="宋体" w:eastAsia="仿宋_GB2312" w:cs="Times New Roman"/>
          <w:sz w:val="32"/>
          <w:szCs w:val="32"/>
          <w:lang w:val="en-US" w:eastAsia="zh-CN"/>
        </w:rPr>
        <w:t>完成广元市莲花片区、雪峰小学周边、莲花片区经营性用地转建设用地13.714公顷报征手续，确保建设项目用地的合法性，增加了政府收益，促进我市的经济发展。</w:t>
      </w:r>
    </w:p>
    <w:p w14:paraId="4E752BB3">
      <w:pPr>
        <w:adjustRightInd w:val="0"/>
        <w:snapToGrid w:val="0"/>
        <w:spacing w:line="520" w:lineRule="exact"/>
        <w:ind w:firstLine="640" w:firstLineChars="200"/>
        <w:rPr>
          <w:rFonts w:hint="eastAsia" w:ascii="仿宋_GB2312" w:hAnsi="宋体" w:eastAsia="仿宋_GB2312" w:cs="Times New Roman"/>
          <w:sz w:val="32"/>
          <w:szCs w:val="32"/>
          <w:lang w:val="en-US" w:eastAsia="zh-CN"/>
        </w:rPr>
      </w:pPr>
      <w:r>
        <w:rPr>
          <w:rFonts w:hint="eastAsia" w:ascii="仿宋_GB2312" w:hAnsi="宋体" w:eastAsia="仿宋_GB2312" w:cs="Times New Roman"/>
          <w:sz w:val="32"/>
          <w:szCs w:val="32"/>
          <w:lang w:val="en-US" w:eastAsia="zh-CN"/>
        </w:rPr>
        <w:t>2.</w:t>
      </w:r>
      <w:r>
        <w:rPr>
          <w:rFonts w:hint="eastAsia" w:ascii="仿宋_GB2312" w:hAnsi="宋体" w:eastAsia="仿宋_GB2312" w:cs="Times New Roman"/>
          <w:sz w:val="32"/>
          <w:szCs w:val="32"/>
          <w:lang w:val="zh-CN" w:eastAsia="zh-CN"/>
        </w:rPr>
        <w:t>行政运转。</w:t>
      </w:r>
      <w:r>
        <w:rPr>
          <w:rFonts w:hint="eastAsia" w:ascii="仿宋_GB2312" w:hAnsi="宋体" w:eastAsia="仿宋_GB2312" w:cs="Times New Roman"/>
          <w:sz w:val="32"/>
          <w:szCs w:val="32"/>
          <w:lang w:val="en-US" w:eastAsia="zh-CN"/>
        </w:rPr>
        <w:t>本</w:t>
      </w:r>
      <w:r>
        <w:rPr>
          <w:rFonts w:hint="eastAsia" w:ascii="仿宋_GB2312" w:hAnsi="宋体" w:eastAsia="仿宋_GB2312" w:cs="Times New Roman"/>
          <w:sz w:val="32"/>
          <w:szCs w:val="32"/>
          <w:lang w:val="zh-CN"/>
        </w:rPr>
        <w:t>单位财务管理制度健全，严格执行财务管理制度，账务处理及时，会计核算规范。</w:t>
      </w:r>
    </w:p>
    <w:p w14:paraId="20E2E513">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default" w:ascii="楷体_GB2312" w:hAnsi="宋体" w:eastAsia="楷体_GB2312" w:cs="Times New Roman"/>
          <w:b/>
          <w:color w:val="auto"/>
          <w:sz w:val="32"/>
          <w:szCs w:val="32"/>
          <w:highlight w:val="none"/>
          <w:u w:val="none"/>
          <w:lang w:val="zh-CN"/>
        </w:rPr>
      </w:pPr>
      <w:r>
        <w:rPr>
          <w:rFonts w:hint="eastAsia" w:ascii="楷体_GB2312" w:hAnsi="宋体" w:eastAsia="楷体_GB2312" w:cs="Times New Roman"/>
          <w:b/>
          <w:color w:val="auto"/>
          <w:sz w:val="32"/>
          <w:szCs w:val="32"/>
          <w:highlight w:val="none"/>
          <w:u w:val="none"/>
          <w:lang w:val="zh-CN"/>
        </w:rPr>
        <w:t>（三）</w:t>
      </w:r>
      <w:r>
        <w:rPr>
          <w:rFonts w:hint="eastAsia" w:ascii="楷体_GB2312" w:hAnsi="宋体" w:eastAsia="楷体_GB2312" w:cs="Times New Roman"/>
          <w:b/>
          <w:color w:val="auto"/>
          <w:sz w:val="32"/>
          <w:szCs w:val="32"/>
          <w:highlight w:val="none"/>
          <w:u w:val="none"/>
          <w:lang w:val="en-US" w:eastAsia="zh-CN"/>
        </w:rPr>
        <w:t>个性指标</w:t>
      </w:r>
      <w:r>
        <w:rPr>
          <w:rFonts w:hint="default" w:ascii="楷体_GB2312" w:hAnsi="宋体" w:eastAsia="楷体_GB2312" w:cs="Times New Roman"/>
          <w:b/>
          <w:color w:val="auto"/>
          <w:sz w:val="32"/>
          <w:szCs w:val="32"/>
          <w:highlight w:val="none"/>
          <w:u w:val="none"/>
          <w:lang w:val="zh-CN"/>
        </w:rPr>
        <w:t>绩效分析。</w:t>
      </w:r>
    </w:p>
    <w:p w14:paraId="4F9D3E0B">
      <w:pPr>
        <w:pStyle w:val="7"/>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仿宋_GB2312" w:hAnsi="宋体" w:eastAsia="仿宋_GB2312" w:cs="Times New Roman"/>
          <w:kern w:val="2"/>
          <w:sz w:val="32"/>
          <w:szCs w:val="32"/>
          <w:lang w:val="en-US" w:eastAsia="zh-CN" w:bidi="ar-SA"/>
        </w:rPr>
      </w:pPr>
      <w:r>
        <w:rPr>
          <w:rFonts w:hint="eastAsia" w:ascii="仿宋_GB2312" w:hAnsi="宋体" w:eastAsia="仿宋_GB2312" w:cs="Times New Roman"/>
          <w:kern w:val="2"/>
          <w:sz w:val="32"/>
          <w:szCs w:val="32"/>
          <w:lang w:val="en-US" w:eastAsia="zh-CN" w:bidi="ar-SA"/>
        </w:rPr>
        <w:t>完成广元市莲花片区、雪峰小学周边、莲花片区经营性用地转建设用地13.714公顷报征手续，确保建设项目用地的合法性</w:t>
      </w:r>
      <w:r>
        <w:rPr>
          <w:rFonts w:hint="eastAsia" w:ascii="楷体_GB2312" w:hAnsi="楷体_GB2312" w:eastAsia="楷体_GB2312" w:cs="楷体_GB2312"/>
          <w:color w:val="auto"/>
          <w:kern w:val="2"/>
          <w:position w:val="0"/>
          <w:sz w:val="32"/>
          <w:szCs w:val="32"/>
          <w:lang w:val="en-US" w:eastAsia="zh-CN" w:bidi="ar-SA"/>
        </w:rPr>
        <w:t>，</w:t>
      </w:r>
      <w:r>
        <w:rPr>
          <w:rFonts w:hint="eastAsia" w:ascii="仿宋_GB2312" w:hAnsi="宋体" w:eastAsia="仿宋_GB2312" w:cs="Times New Roman"/>
          <w:kern w:val="2"/>
          <w:sz w:val="32"/>
          <w:szCs w:val="32"/>
          <w:lang w:val="en-US" w:eastAsia="zh-CN" w:bidi="ar-SA"/>
        </w:rPr>
        <w:t>增加政府收益，促进我市的经济发展。</w:t>
      </w:r>
    </w:p>
    <w:p w14:paraId="3974E117">
      <w:pPr>
        <w:pStyle w:val="7"/>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olor w:val="auto"/>
          <w:sz w:val="32"/>
          <w:szCs w:val="32"/>
          <w:highlight w:val="none"/>
          <w:u w:val="none"/>
        </w:rPr>
      </w:pPr>
      <w:r>
        <w:rPr>
          <w:rFonts w:hint="eastAsia" w:ascii="黑体" w:hAnsi="宋体" w:eastAsia="黑体"/>
          <w:color w:val="auto"/>
          <w:sz w:val="32"/>
          <w:szCs w:val="32"/>
          <w:highlight w:val="none"/>
          <w:u w:val="none"/>
          <w:lang w:eastAsia="zh-CN"/>
        </w:rPr>
        <w:t>四</w:t>
      </w:r>
      <w:r>
        <w:rPr>
          <w:rFonts w:hint="eastAsia" w:ascii="黑体" w:hAnsi="宋体" w:eastAsia="黑体"/>
          <w:color w:val="auto"/>
          <w:sz w:val="32"/>
          <w:szCs w:val="32"/>
          <w:highlight w:val="none"/>
          <w:u w:val="none"/>
        </w:rPr>
        <w:t>、评价结论</w:t>
      </w:r>
    </w:p>
    <w:p w14:paraId="0B37EB91">
      <w:pPr>
        <w:adjustRightInd w:val="0"/>
        <w:snapToGrid w:val="0"/>
        <w:spacing w:line="520" w:lineRule="exact"/>
        <w:ind w:firstLine="640" w:firstLineChars="200"/>
        <w:rPr>
          <w:rFonts w:hint="eastAsia" w:ascii="仿宋_GB2312" w:hAnsi="宋体" w:eastAsia="仿宋_GB2312" w:cs="Times New Roman"/>
          <w:sz w:val="32"/>
          <w:szCs w:val="32"/>
        </w:rPr>
      </w:pPr>
      <w:r>
        <w:rPr>
          <w:rFonts w:hint="eastAsia" w:ascii="仿宋_GB2312" w:hAnsi="宋体" w:eastAsia="仿宋_GB2312" w:cs="Times New Roman"/>
          <w:sz w:val="32"/>
          <w:szCs w:val="32"/>
        </w:rPr>
        <w:t>按照《</w:t>
      </w:r>
      <w:r>
        <w:rPr>
          <w:rFonts w:hint="eastAsia" w:ascii="仿宋_GB2312" w:hAnsi="宋体" w:eastAsia="仿宋_GB2312" w:cs="Times New Roman"/>
          <w:sz w:val="32"/>
          <w:szCs w:val="32"/>
          <w:lang w:val="en-US" w:eastAsia="zh-CN"/>
        </w:rPr>
        <w:t>专项预算项目</w:t>
      </w:r>
      <w:r>
        <w:rPr>
          <w:rFonts w:hint="eastAsia" w:ascii="仿宋_GB2312" w:hAnsi="宋体" w:eastAsia="仿宋_GB2312" w:cs="Times New Roman"/>
          <w:sz w:val="32"/>
          <w:szCs w:val="32"/>
        </w:rPr>
        <w:t>绩效评价指标体系》，自评得分</w:t>
      </w:r>
      <w:r>
        <w:rPr>
          <w:rFonts w:hint="eastAsia" w:ascii="仿宋_GB2312" w:hAnsi="宋体" w:eastAsia="仿宋_GB2312" w:cs="Times New Roman"/>
          <w:sz w:val="32"/>
          <w:szCs w:val="32"/>
          <w:lang w:val="en-US" w:eastAsia="zh-CN"/>
        </w:rPr>
        <w:t>100</w:t>
      </w:r>
      <w:r>
        <w:rPr>
          <w:rFonts w:hint="eastAsia" w:ascii="仿宋_GB2312" w:hAnsi="宋体" w:eastAsia="仿宋_GB2312" w:cs="Times New Roman"/>
          <w:sz w:val="32"/>
          <w:szCs w:val="32"/>
        </w:rPr>
        <w:t>分。</w:t>
      </w:r>
      <w:r>
        <w:rPr>
          <w:rFonts w:hint="eastAsia" w:ascii="仿宋_GB2312" w:hAnsi="宋体" w:eastAsia="仿宋_GB2312" w:cs="Times New Roman"/>
          <w:sz w:val="32"/>
          <w:szCs w:val="32"/>
          <w:lang w:val="en-US" w:eastAsia="zh-CN"/>
        </w:rPr>
        <w:t>我</w:t>
      </w:r>
      <w:r>
        <w:rPr>
          <w:rFonts w:hint="eastAsia" w:ascii="仿宋_GB2312" w:hAnsi="宋体" w:eastAsia="仿宋_GB2312" w:cs="Times New Roman"/>
          <w:sz w:val="32"/>
          <w:szCs w:val="32"/>
        </w:rPr>
        <w:t>局严格执行财经纪律、法规和各项规章制度，加强财务管理，规范会计核算，资金高效运行。项目决策科学，依据充分，项目管理规范；绩效执行进度达到预期；项目完成效果好，实施后达到了预期目的。</w:t>
      </w:r>
    </w:p>
    <w:p w14:paraId="2A6A1FBB">
      <w:pPr>
        <w:pStyle w:val="7"/>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s="Times New Roman"/>
          <w:color w:val="auto"/>
          <w:sz w:val="32"/>
          <w:szCs w:val="32"/>
          <w:highlight w:val="none"/>
          <w:u w:val="none"/>
          <w:lang w:eastAsia="zh-CN"/>
        </w:rPr>
      </w:pPr>
      <w:r>
        <w:rPr>
          <w:rFonts w:hint="eastAsia" w:ascii="黑体" w:hAnsi="宋体" w:cs="Times New Roman"/>
          <w:color w:val="auto"/>
          <w:sz w:val="32"/>
          <w:szCs w:val="32"/>
          <w:highlight w:val="none"/>
          <w:u w:val="none"/>
          <w:lang w:eastAsia="zh-CN"/>
        </w:rPr>
        <w:t>五、</w:t>
      </w:r>
      <w:r>
        <w:rPr>
          <w:rFonts w:hint="eastAsia" w:ascii="黑体" w:hAnsi="宋体" w:eastAsia="黑体" w:cs="Times New Roman"/>
          <w:color w:val="auto"/>
          <w:sz w:val="32"/>
          <w:szCs w:val="32"/>
          <w:highlight w:val="none"/>
          <w:u w:val="none"/>
          <w:lang w:eastAsia="zh-CN"/>
        </w:rPr>
        <w:t>存在主要问题</w:t>
      </w:r>
    </w:p>
    <w:p w14:paraId="2B56FE62">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both"/>
        <w:textAlignment w:val="auto"/>
        <w:rPr>
          <w:rFonts w:hint="eastAsia" w:ascii="仿宋_GB2312" w:hAnsi="仿宋_GB2312" w:cs="仿宋_GB2312"/>
          <w:color w:val="auto"/>
          <w:kern w:val="0"/>
          <w:sz w:val="32"/>
          <w:szCs w:val="32"/>
          <w:highlight w:val="none"/>
          <w:u w:val="none"/>
          <w:shd w:val="clear" w:color="auto" w:fill="FFFFFF"/>
          <w:lang w:val="zh-CN" w:eastAsia="zh-CN"/>
        </w:rPr>
      </w:pPr>
      <w:r>
        <w:rPr>
          <w:rFonts w:hint="eastAsia" w:ascii="仿宋_GB2312" w:hAnsi="仿宋_GB2312" w:eastAsia="仿宋_GB2312" w:cs="仿宋_GB2312"/>
          <w:color w:val="auto"/>
          <w:kern w:val="0"/>
          <w:sz w:val="32"/>
          <w:szCs w:val="32"/>
          <w:highlight w:val="none"/>
          <w:u w:val="none"/>
          <w:shd w:val="clear" w:color="auto" w:fill="FFFFFF"/>
          <w:lang w:val="zh-CN" w:eastAsia="zh-CN"/>
        </w:rPr>
        <w:t xml:space="preserve"> </w:t>
      </w:r>
      <w:r>
        <w:rPr>
          <w:rFonts w:hint="eastAsia" w:ascii="仿宋_GB2312" w:hAnsi="仿宋_GB2312" w:cs="仿宋_GB2312"/>
          <w:color w:val="auto"/>
          <w:kern w:val="0"/>
          <w:sz w:val="32"/>
          <w:szCs w:val="32"/>
          <w:highlight w:val="none"/>
          <w:u w:val="none"/>
          <w:shd w:val="clear" w:color="auto" w:fill="FFFFFF"/>
          <w:lang w:val="en-US" w:eastAsia="zh-CN"/>
        </w:rPr>
        <w:t>无</w:t>
      </w:r>
      <w:r>
        <w:rPr>
          <w:rFonts w:hint="eastAsia" w:ascii="仿宋_GB2312" w:hAnsi="仿宋_GB2312" w:cs="仿宋_GB2312"/>
          <w:color w:val="auto"/>
          <w:kern w:val="0"/>
          <w:sz w:val="32"/>
          <w:szCs w:val="32"/>
          <w:highlight w:val="none"/>
          <w:u w:val="none"/>
          <w:shd w:val="clear" w:color="auto" w:fill="FFFFFF"/>
          <w:lang w:val="zh-CN" w:eastAsia="zh-CN"/>
        </w:rPr>
        <w:t>。</w:t>
      </w:r>
    </w:p>
    <w:p w14:paraId="2FCB839B">
      <w:pPr>
        <w:pStyle w:val="7"/>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s="Times New Roman"/>
          <w:color w:val="auto"/>
          <w:kern w:val="0"/>
          <w:position w:val="3"/>
          <w:sz w:val="32"/>
          <w:szCs w:val="32"/>
          <w:highlight w:val="none"/>
          <w:u w:val="none"/>
          <w:lang w:val="zh-CN" w:eastAsia="zh-CN" w:bidi="ar-SA"/>
        </w:rPr>
      </w:pPr>
      <w:r>
        <w:rPr>
          <w:rFonts w:hint="eastAsia" w:ascii="黑体" w:hAnsi="宋体" w:eastAsia="黑体" w:cs="Times New Roman"/>
          <w:color w:val="auto"/>
          <w:kern w:val="0"/>
          <w:position w:val="3"/>
          <w:sz w:val="32"/>
          <w:szCs w:val="32"/>
          <w:highlight w:val="none"/>
          <w:u w:val="none"/>
          <w:lang w:val="zh-CN" w:eastAsia="zh-CN" w:bidi="ar-SA"/>
        </w:rPr>
        <w:t>六、改进建议</w:t>
      </w:r>
    </w:p>
    <w:p w14:paraId="4818CCE0">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both"/>
        <w:textAlignment w:val="auto"/>
        <w:rPr>
          <w:rFonts w:hint="eastAsia" w:ascii="仿宋_GB2312" w:hAnsi="仿宋_GB2312" w:cs="仿宋_GB2312"/>
          <w:color w:val="auto"/>
          <w:kern w:val="0"/>
          <w:sz w:val="32"/>
          <w:szCs w:val="32"/>
          <w:highlight w:val="none"/>
          <w:u w:val="none"/>
          <w:shd w:val="clear" w:color="auto" w:fill="FFFFFF"/>
          <w:lang w:val="zh-CN" w:eastAsia="zh-CN"/>
        </w:rPr>
      </w:pPr>
      <w:r>
        <w:rPr>
          <w:rFonts w:hint="eastAsia" w:ascii="仿宋_GB2312" w:hAnsi="仿宋_GB2312" w:eastAsia="仿宋_GB2312" w:cs="仿宋_GB2312"/>
          <w:color w:val="auto"/>
          <w:kern w:val="0"/>
          <w:sz w:val="32"/>
          <w:szCs w:val="32"/>
          <w:highlight w:val="none"/>
          <w:u w:val="none"/>
          <w:shd w:val="clear" w:color="auto" w:fill="FFFFFF"/>
          <w:lang w:val="zh-CN" w:eastAsia="zh-CN"/>
        </w:rPr>
        <w:t xml:space="preserve"> </w:t>
      </w:r>
      <w:r>
        <w:rPr>
          <w:rFonts w:hint="eastAsia" w:ascii="仿宋_GB2312" w:hAnsi="仿宋_GB2312" w:cs="仿宋_GB2312"/>
          <w:color w:val="auto"/>
          <w:kern w:val="0"/>
          <w:sz w:val="32"/>
          <w:szCs w:val="32"/>
          <w:highlight w:val="none"/>
          <w:u w:val="none"/>
          <w:shd w:val="clear" w:color="auto" w:fill="FFFFFF"/>
          <w:lang w:val="en-US" w:eastAsia="zh-CN"/>
        </w:rPr>
        <w:t>无</w:t>
      </w:r>
      <w:r>
        <w:rPr>
          <w:rFonts w:hint="eastAsia" w:ascii="仿宋_GB2312" w:hAnsi="仿宋_GB2312" w:cs="仿宋_GB2312"/>
          <w:color w:val="auto"/>
          <w:kern w:val="0"/>
          <w:sz w:val="32"/>
          <w:szCs w:val="32"/>
          <w:highlight w:val="none"/>
          <w:u w:val="none"/>
          <w:shd w:val="clear" w:color="auto" w:fill="FFFFFF"/>
          <w:lang w:val="zh-CN" w:eastAsia="zh-CN"/>
        </w:rPr>
        <w:t>。</w:t>
      </w:r>
    </w:p>
    <w:p w14:paraId="3E06B9B5">
      <w:pPr>
        <w:keepNext w:val="0"/>
        <w:keepLines w:val="0"/>
        <w:pageBreakBefore w:val="0"/>
        <w:kinsoku/>
        <w:wordWrap/>
        <w:overflowPunct/>
        <w:topLinePunct w:val="0"/>
        <w:autoSpaceDE/>
        <w:autoSpaceDN/>
        <w:bidi w:val="0"/>
        <w:adjustRightInd/>
        <w:snapToGrid w:val="0"/>
        <w:spacing w:line="578" w:lineRule="exact"/>
        <w:ind w:left="0" w:leftChars="0" w:firstLine="420" w:firstLineChars="200"/>
        <w:textAlignment w:val="auto"/>
        <w:outlineLvl w:val="9"/>
        <w:rPr>
          <w:rFonts w:hint="eastAsia" w:ascii="Times New Roman" w:hAnsi="Times New Roman" w:cs="Times New Roman"/>
          <w:color w:val="000000"/>
          <w:kern w:val="0"/>
          <w:szCs w:val="32"/>
          <w:highlight w:val="none"/>
          <w:shd w:val="clear" w:color="auto" w:fill="FFFFFF"/>
          <w:lang w:val="zh-CN" w:eastAsia="zh-CN"/>
        </w:rPr>
      </w:pPr>
    </w:p>
    <w:p w14:paraId="1586B2D6">
      <w:pPr>
        <w:adjustRightInd w:val="0"/>
        <w:snapToGrid w:val="0"/>
        <w:spacing w:line="520" w:lineRule="exact"/>
        <w:ind w:firstLine="640" w:firstLineChars="200"/>
        <w:rPr>
          <w:rFonts w:hint="eastAsia" w:ascii="仿宋_GB2312" w:hAnsi="宋体" w:eastAsia="仿宋_GB2312" w:cs="Times New Roman"/>
          <w:sz w:val="32"/>
          <w:szCs w:val="32"/>
          <w:lang w:val="en-US" w:eastAsia="zh-CN"/>
        </w:rPr>
      </w:pPr>
      <w:r>
        <w:rPr>
          <w:rFonts w:hint="eastAsia" w:ascii="仿宋_GB2312" w:hAnsi="宋体" w:eastAsia="仿宋_GB2312" w:cs="Times New Roman"/>
          <w:sz w:val="32"/>
          <w:szCs w:val="32"/>
          <w:lang w:val="en-US" w:eastAsia="zh-CN"/>
        </w:rPr>
        <w:t>附表：1.项目资金分配涉及所有点位自评得分情况表</w:t>
      </w:r>
    </w:p>
    <w:p w14:paraId="2BAD1BFC">
      <w:pPr>
        <w:adjustRightInd w:val="0"/>
        <w:snapToGrid w:val="0"/>
        <w:spacing w:line="520" w:lineRule="exact"/>
        <w:ind w:firstLine="1920" w:firstLineChars="600"/>
        <w:rPr>
          <w:rFonts w:hint="eastAsia" w:ascii="仿宋_GB2312" w:hAnsi="宋体" w:eastAsia="仿宋_GB2312" w:cs="Times New Roman"/>
          <w:sz w:val="32"/>
          <w:szCs w:val="32"/>
          <w:lang w:val="en-US" w:eastAsia="zh-CN"/>
        </w:rPr>
      </w:pPr>
      <w:r>
        <w:rPr>
          <w:rFonts w:hint="eastAsia" w:ascii="仿宋_GB2312" w:hAnsi="宋体" w:eastAsia="仿宋_GB2312" w:cs="Times New Roman"/>
          <w:sz w:val="32"/>
          <w:szCs w:val="32"/>
          <w:lang w:val="en-US" w:eastAsia="zh-CN"/>
        </w:rPr>
        <w:t>专项预算项目绩效目标完成情况自评表</w:t>
      </w:r>
    </w:p>
    <w:p w14:paraId="7EF0F2FC">
      <w:pPr>
        <w:adjustRightInd w:val="0"/>
        <w:snapToGrid w:val="0"/>
        <w:spacing w:line="520" w:lineRule="exact"/>
        <w:ind w:firstLine="640" w:firstLineChars="200"/>
        <w:rPr>
          <w:rFonts w:hint="default" w:ascii="仿宋_GB2312" w:hAnsi="宋体" w:eastAsia="仿宋_GB2312" w:cs="Times New Roman"/>
          <w:sz w:val="32"/>
          <w:szCs w:val="32"/>
          <w:lang w:val="en-US" w:eastAsia="zh-CN"/>
        </w:rPr>
      </w:pPr>
    </w:p>
    <w:p w14:paraId="414510AB">
      <w:pPr>
        <w:pStyle w:val="2"/>
        <w:rPr>
          <w:rFonts w:hint="default"/>
          <w:lang w:val="en-US" w:eastAsia="zh-CN"/>
        </w:rPr>
      </w:pPr>
    </w:p>
    <w:p w14:paraId="3CEBEAAE">
      <w:pPr>
        <w:adjustRightInd w:val="0"/>
        <w:snapToGrid w:val="0"/>
        <w:spacing w:line="520" w:lineRule="exact"/>
        <w:ind w:firstLine="640" w:firstLineChars="200"/>
        <w:rPr>
          <w:rFonts w:hint="eastAsia" w:ascii="仿宋_GB2312" w:hAnsi="宋体" w:eastAsia="仿宋_GB2312" w:cs="Times New Roman"/>
          <w:sz w:val="32"/>
          <w:szCs w:val="32"/>
          <w:lang w:val="en-US" w:eastAsia="zh-CN"/>
        </w:rPr>
      </w:pPr>
      <w:r>
        <w:rPr>
          <w:rFonts w:hint="eastAsia" w:ascii="仿宋_GB2312" w:hAnsi="宋体" w:eastAsia="仿宋_GB2312" w:cs="Times New Roman"/>
          <w:sz w:val="32"/>
          <w:szCs w:val="32"/>
          <w:lang w:val="en-US" w:eastAsia="zh-CN"/>
        </w:rPr>
        <w:t xml:space="preserve">                   广元市自然资源局</w:t>
      </w:r>
    </w:p>
    <w:p w14:paraId="29231466">
      <w:pPr>
        <w:adjustRightInd w:val="0"/>
        <w:snapToGrid w:val="0"/>
        <w:spacing w:line="520" w:lineRule="exact"/>
        <w:ind w:firstLine="640" w:firstLineChars="200"/>
        <w:rPr>
          <w:rFonts w:hint="default" w:ascii="仿宋_GB2312" w:hAnsi="宋体" w:eastAsia="仿宋_GB2312" w:cs="Times New Roman"/>
          <w:sz w:val="32"/>
          <w:szCs w:val="32"/>
          <w:lang w:val="en-US" w:eastAsia="zh-CN"/>
        </w:rPr>
      </w:pPr>
      <w:r>
        <w:rPr>
          <w:rFonts w:hint="eastAsia" w:ascii="仿宋_GB2312" w:hAnsi="宋体" w:eastAsia="仿宋_GB2312" w:cs="Times New Roman"/>
          <w:sz w:val="32"/>
          <w:szCs w:val="32"/>
          <w:lang w:val="en-US" w:eastAsia="zh-CN"/>
        </w:rPr>
        <w:t xml:space="preserve">                   2024年8月4日</w:t>
      </w:r>
    </w:p>
    <w:p w14:paraId="79FC9229">
      <w:pPr>
        <w:keepNext w:val="0"/>
        <w:keepLines w:val="0"/>
        <w:pageBreakBefore w:val="0"/>
        <w:kinsoku/>
        <w:wordWrap/>
        <w:overflowPunct/>
        <w:topLinePunct w:val="0"/>
        <w:autoSpaceDE/>
        <w:autoSpaceDN/>
        <w:bidi w:val="0"/>
        <w:adjustRightInd/>
        <w:snapToGrid w:val="0"/>
        <w:spacing w:line="578" w:lineRule="exact"/>
        <w:ind w:left="0" w:leftChars="0" w:firstLine="420" w:firstLineChars="200"/>
        <w:textAlignment w:val="auto"/>
        <w:outlineLvl w:val="9"/>
        <w:rPr>
          <w:rFonts w:hint="eastAsia" w:ascii="Times New Roman" w:hAnsi="Times New Roman" w:cs="Times New Roman"/>
          <w:color w:val="000000"/>
          <w:kern w:val="0"/>
          <w:szCs w:val="32"/>
          <w:highlight w:val="none"/>
          <w:shd w:val="clear" w:color="auto" w:fill="FFFFFF"/>
          <w:lang w:val="zh-CN" w:eastAsia="zh-CN"/>
        </w:rPr>
      </w:pPr>
      <w:r>
        <w:rPr>
          <w:rFonts w:hint="eastAsia" w:ascii="Times New Roman" w:hAnsi="Times New Roman" w:cs="Times New Roman"/>
          <w:color w:val="000000"/>
          <w:kern w:val="0"/>
          <w:szCs w:val="32"/>
          <w:highlight w:val="none"/>
          <w:shd w:val="clear" w:color="auto" w:fill="FFFFFF"/>
          <w:lang w:val="zh-CN" w:eastAsia="zh-CN"/>
        </w:rPr>
        <w:br w:type="page"/>
      </w:r>
    </w:p>
    <w:p w14:paraId="0C959CF3">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contextualSpacing/>
        <w:jc w:val="left"/>
        <w:textAlignment w:val="auto"/>
        <w:rPr>
          <w:rFonts w:hint="eastAsia" w:ascii="黑体" w:hAnsi="黑体" w:eastAsia="黑体" w:cs="黑体"/>
          <w:b w:val="0"/>
          <w:bCs w:val="0"/>
          <w:color w:val="auto"/>
          <w:kern w:val="0"/>
          <w:sz w:val="32"/>
          <w:szCs w:val="32"/>
          <w:highlight w:val="none"/>
          <w:u w:val="none"/>
          <w:shd w:val="clear" w:color="auto" w:fill="FFFFFF"/>
          <w:lang w:val="zh-CN" w:eastAsia="zh-CN"/>
        </w:rPr>
      </w:pPr>
      <w:r>
        <w:rPr>
          <w:rFonts w:hint="eastAsia" w:ascii="黑体" w:hAnsi="黑体" w:eastAsia="黑体" w:cs="黑体"/>
          <w:b w:val="0"/>
          <w:bCs w:val="0"/>
          <w:color w:val="auto"/>
          <w:kern w:val="0"/>
          <w:sz w:val="32"/>
          <w:szCs w:val="32"/>
          <w:highlight w:val="none"/>
          <w:u w:val="none"/>
          <w:shd w:val="clear" w:color="auto" w:fill="FFFFFF"/>
          <w:lang w:val="zh-CN" w:eastAsia="zh-CN"/>
        </w:rPr>
        <w:t>附表</w:t>
      </w:r>
      <w:r>
        <w:rPr>
          <w:rFonts w:hint="eastAsia" w:ascii="黑体" w:hAnsi="黑体" w:eastAsia="黑体" w:cs="黑体"/>
          <w:b w:val="0"/>
          <w:bCs w:val="0"/>
          <w:color w:val="auto"/>
          <w:kern w:val="0"/>
          <w:sz w:val="32"/>
          <w:szCs w:val="32"/>
          <w:highlight w:val="none"/>
          <w:u w:val="none"/>
          <w:shd w:val="clear" w:color="auto" w:fill="FFFFFF"/>
          <w:lang w:val="en-US" w:eastAsia="zh-CN"/>
        </w:rPr>
        <w:t>1</w:t>
      </w:r>
    </w:p>
    <w:p w14:paraId="520EE463">
      <w:pPr>
        <w:keepNext w:val="0"/>
        <w:keepLines w:val="0"/>
        <w:pageBreakBefore w:val="0"/>
        <w:kinsoku/>
        <w:wordWrap/>
        <w:overflowPunct/>
        <w:topLinePunct w:val="0"/>
        <w:autoSpaceDE/>
        <w:autoSpaceDN/>
        <w:bidi w:val="0"/>
        <w:spacing w:line="578" w:lineRule="exact"/>
        <w:ind w:left="0" w:leftChars="0"/>
        <w:jc w:val="center"/>
        <w:textAlignment w:val="auto"/>
        <w:rPr>
          <w:rFonts w:hint="eastAsia" w:ascii="方正小标宋_GBK" w:hAnsi="方正小标宋_GBK" w:eastAsia="方正小标宋_GBK" w:cs="方正小标宋_GBK"/>
          <w:b w:val="0"/>
          <w:bCs w:val="0"/>
          <w:color w:val="auto"/>
          <w:sz w:val="40"/>
          <w:szCs w:val="40"/>
          <w:highlight w:val="none"/>
          <w:u w:val="none"/>
          <w:lang w:val="en-US" w:eastAsia="zh-CN"/>
        </w:rPr>
      </w:pPr>
      <w:r>
        <w:rPr>
          <w:rFonts w:hint="eastAsia" w:ascii="方正小标宋_GBK" w:hAnsi="方正小标宋_GBK" w:eastAsia="方正小标宋_GBK" w:cs="方正小标宋_GBK"/>
          <w:b w:val="0"/>
          <w:bCs w:val="0"/>
          <w:color w:val="auto"/>
          <w:sz w:val="40"/>
          <w:szCs w:val="40"/>
          <w:highlight w:val="none"/>
          <w:u w:val="none"/>
          <w:lang w:val="en-US" w:eastAsia="zh-CN"/>
        </w:rPr>
        <w:t>项目资金分配涉及所有点位自评得分情况表</w:t>
      </w:r>
    </w:p>
    <w:tbl>
      <w:tblPr>
        <w:tblStyle w:val="18"/>
        <w:tblW w:w="88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3"/>
        <w:gridCol w:w="5020"/>
        <w:gridCol w:w="210"/>
        <w:gridCol w:w="1474"/>
        <w:gridCol w:w="993"/>
      </w:tblGrid>
      <w:tr w14:paraId="6BB83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7586247E">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序号</w:t>
            </w:r>
          </w:p>
        </w:tc>
        <w:tc>
          <w:tcPr>
            <w:tcW w:w="5230" w:type="dxa"/>
            <w:gridSpan w:val="2"/>
            <w:vAlign w:val="top"/>
          </w:tcPr>
          <w:p w14:paraId="0702841C">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项目资金末端分配点位</w:t>
            </w:r>
          </w:p>
        </w:tc>
        <w:tc>
          <w:tcPr>
            <w:tcW w:w="1474" w:type="dxa"/>
            <w:vAlign w:val="top"/>
          </w:tcPr>
          <w:p w14:paraId="07C1D170">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 w:eastAsia="zh-CN"/>
              </w:rPr>
              <w:t>自评得分（百分制）</w:t>
            </w:r>
          </w:p>
        </w:tc>
        <w:tc>
          <w:tcPr>
            <w:tcW w:w="993" w:type="dxa"/>
            <w:vAlign w:val="top"/>
          </w:tcPr>
          <w:p w14:paraId="6D733503">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备注</w:t>
            </w:r>
          </w:p>
        </w:tc>
      </w:tr>
      <w:tr w14:paraId="36623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5DBE3A2C">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1</w:t>
            </w:r>
          </w:p>
        </w:tc>
        <w:tc>
          <w:tcPr>
            <w:tcW w:w="5020" w:type="dxa"/>
            <w:vAlign w:val="top"/>
          </w:tcPr>
          <w:p w14:paraId="2A6DB62E">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市财政局</w:t>
            </w:r>
          </w:p>
        </w:tc>
        <w:tc>
          <w:tcPr>
            <w:tcW w:w="1684" w:type="dxa"/>
            <w:gridSpan w:val="2"/>
            <w:vAlign w:val="top"/>
          </w:tcPr>
          <w:p w14:paraId="69E8AB45">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100</w:t>
            </w:r>
          </w:p>
        </w:tc>
        <w:tc>
          <w:tcPr>
            <w:tcW w:w="993" w:type="dxa"/>
            <w:vAlign w:val="top"/>
          </w:tcPr>
          <w:p w14:paraId="648CB6E7">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r>
      <w:tr w14:paraId="2585D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0BF2AA89">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2</w:t>
            </w:r>
          </w:p>
        </w:tc>
        <w:tc>
          <w:tcPr>
            <w:tcW w:w="5020" w:type="dxa"/>
            <w:vAlign w:val="top"/>
          </w:tcPr>
          <w:p w14:paraId="5EB06B4B">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p>
        </w:tc>
        <w:tc>
          <w:tcPr>
            <w:tcW w:w="1684" w:type="dxa"/>
            <w:gridSpan w:val="2"/>
            <w:vAlign w:val="top"/>
          </w:tcPr>
          <w:p w14:paraId="42A17E89">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p>
        </w:tc>
        <w:tc>
          <w:tcPr>
            <w:tcW w:w="993" w:type="dxa"/>
            <w:vAlign w:val="top"/>
          </w:tcPr>
          <w:p w14:paraId="0CF85702">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r>
      <w:tr w14:paraId="62CB1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7175D0FD">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3</w:t>
            </w:r>
          </w:p>
        </w:tc>
        <w:tc>
          <w:tcPr>
            <w:tcW w:w="5020" w:type="dxa"/>
            <w:vAlign w:val="top"/>
          </w:tcPr>
          <w:p w14:paraId="6ECD69F1">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 w:eastAsia="zh-CN"/>
              </w:rPr>
            </w:pPr>
          </w:p>
        </w:tc>
        <w:tc>
          <w:tcPr>
            <w:tcW w:w="1684" w:type="dxa"/>
            <w:gridSpan w:val="2"/>
            <w:vAlign w:val="top"/>
          </w:tcPr>
          <w:p w14:paraId="393D78CF">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 w:eastAsia="zh-CN"/>
              </w:rPr>
            </w:pPr>
          </w:p>
        </w:tc>
        <w:tc>
          <w:tcPr>
            <w:tcW w:w="993" w:type="dxa"/>
            <w:vAlign w:val="top"/>
          </w:tcPr>
          <w:p w14:paraId="07786F48">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r>
      <w:tr w14:paraId="009F8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2EBB23D5">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4</w:t>
            </w:r>
          </w:p>
        </w:tc>
        <w:tc>
          <w:tcPr>
            <w:tcW w:w="5020" w:type="dxa"/>
            <w:vAlign w:val="top"/>
          </w:tcPr>
          <w:p w14:paraId="6F01D2BB">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 w:eastAsia="zh-CN"/>
              </w:rPr>
            </w:pPr>
          </w:p>
        </w:tc>
        <w:tc>
          <w:tcPr>
            <w:tcW w:w="1684" w:type="dxa"/>
            <w:gridSpan w:val="2"/>
            <w:vAlign w:val="top"/>
          </w:tcPr>
          <w:p w14:paraId="22E7F19E">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 w:eastAsia="zh-CN"/>
              </w:rPr>
            </w:pPr>
          </w:p>
        </w:tc>
        <w:tc>
          <w:tcPr>
            <w:tcW w:w="993" w:type="dxa"/>
            <w:vAlign w:val="top"/>
          </w:tcPr>
          <w:p w14:paraId="7C8B1EC6">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r>
      <w:tr w14:paraId="66402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30AE19E1">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5</w:t>
            </w:r>
          </w:p>
        </w:tc>
        <w:tc>
          <w:tcPr>
            <w:tcW w:w="5020" w:type="dxa"/>
            <w:vAlign w:val="top"/>
          </w:tcPr>
          <w:p w14:paraId="71C3FB5E">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 w:eastAsia="zh-CN"/>
              </w:rPr>
            </w:pPr>
          </w:p>
        </w:tc>
        <w:tc>
          <w:tcPr>
            <w:tcW w:w="1684" w:type="dxa"/>
            <w:gridSpan w:val="2"/>
            <w:vAlign w:val="top"/>
          </w:tcPr>
          <w:p w14:paraId="5C172251">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 w:eastAsia="zh-CN"/>
              </w:rPr>
            </w:pPr>
          </w:p>
        </w:tc>
        <w:tc>
          <w:tcPr>
            <w:tcW w:w="993" w:type="dxa"/>
            <w:vAlign w:val="top"/>
          </w:tcPr>
          <w:p w14:paraId="0C32C34A">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r>
      <w:tr w14:paraId="0F74B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6A6AAFEB">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6</w:t>
            </w:r>
          </w:p>
        </w:tc>
        <w:tc>
          <w:tcPr>
            <w:tcW w:w="5020" w:type="dxa"/>
            <w:vAlign w:val="top"/>
          </w:tcPr>
          <w:p w14:paraId="7C3B05B2">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 w:eastAsia="zh-CN"/>
              </w:rPr>
            </w:pPr>
          </w:p>
        </w:tc>
        <w:tc>
          <w:tcPr>
            <w:tcW w:w="1684" w:type="dxa"/>
            <w:gridSpan w:val="2"/>
            <w:vAlign w:val="top"/>
          </w:tcPr>
          <w:p w14:paraId="0B27CE07">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 w:eastAsia="zh-CN"/>
              </w:rPr>
            </w:pPr>
          </w:p>
        </w:tc>
        <w:tc>
          <w:tcPr>
            <w:tcW w:w="993" w:type="dxa"/>
            <w:vAlign w:val="top"/>
          </w:tcPr>
          <w:p w14:paraId="792CB3F2">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r>
      <w:tr w14:paraId="22824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46449E49">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7</w:t>
            </w:r>
          </w:p>
        </w:tc>
        <w:tc>
          <w:tcPr>
            <w:tcW w:w="5020" w:type="dxa"/>
            <w:vAlign w:val="top"/>
          </w:tcPr>
          <w:p w14:paraId="56852DD3">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 w:eastAsia="zh-CN"/>
              </w:rPr>
            </w:pPr>
          </w:p>
        </w:tc>
        <w:tc>
          <w:tcPr>
            <w:tcW w:w="1684" w:type="dxa"/>
            <w:gridSpan w:val="2"/>
            <w:vAlign w:val="top"/>
          </w:tcPr>
          <w:p w14:paraId="0EDF1F0B">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 w:eastAsia="zh-CN"/>
              </w:rPr>
            </w:pPr>
          </w:p>
        </w:tc>
        <w:tc>
          <w:tcPr>
            <w:tcW w:w="993" w:type="dxa"/>
            <w:vAlign w:val="top"/>
          </w:tcPr>
          <w:p w14:paraId="3B472E54">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r>
      <w:tr w14:paraId="02027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6B6ECCC2">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8</w:t>
            </w:r>
          </w:p>
        </w:tc>
        <w:tc>
          <w:tcPr>
            <w:tcW w:w="5020" w:type="dxa"/>
            <w:vAlign w:val="top"/>
          </w:tcPr>
          <w:p w14:paraId="02C91541">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 w:eastAsia="zh-CN"/>
              </w:rPr>
            </w:pPr>
          </w:p>
        </w:tc>
        <w:tc>
          <w:tcPr>
            <w:tcW w:w="1684" w:type="dxa"/>
            <w:gridSpan w:val="2"/>
            <w:vAlign w:val="top"/>
          </w:tcPr>
          <w:p w14:paraId="5884BCB6">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 w:eastAsia="zh-CN"/>
              </w:rPr>
            </w:pPr>
          </w:p>
        </w:tc>
        <w:tc>
          <w:tcPr>
            <w:tcW w:w="993" w:type="dxa"/>
            <w:vAlign w:val="top"/>
          </w:tcPr>
          <w:p w14:paraId="74286CF2">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r>
      <w:tr w14:paraId="4DBBE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07F10E1D">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w:t>
            </w:r>
          </w:p>
        </w:tc>
        <w:tc>
          <w:tcPr>
            <w:tcW w:w="5020" w:type="dxa"/>
            <w:vAlign w:val="top"/>
          </w:tcPr>
          <w:p w14:paraId="090931F3">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 w:eastAsia="zh-CN"/>
              </w:rPr>
            </w:pPr>
          </w:p>
        </w:tc>
        <w:tc>
          <w:tcPr>
            <w:tcW w:w="1684" w:type="dxa"/>
            <w:gridSpan w:val="2"/>
            <w:vAlign w:val="top"/>
          </w:tcPr>
          <w:p w14:paraId="56A0D130">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 w:eastAsia="zh-CN"/>
              </w:rPr>
            </w:pPr>
          </w:p>
        </w:tc>
        <w:tc>
          <w:tcPr>
            <w:tcW w:w="993" w:type="dxa"/>
            <w:vAlign w:val="top"/>
          </w:tcPr>
          <w:p w14:paraId="56C2F3DE">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r>
    </w:tbl>
    <w:p w14:paraId="42785812">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备注：1.项目资金末端分配点位包括市本级、县（区）、市级部门下属单位及一次性单位等。</w:t>
      </w:r>
    </w:p>
    <w:p w14:paraId="29DBE248">
      <w:pPr>
        <w:keepNext w:val="0"/>
        <w:keepLines w:val="0"/>
        <w:pageBreakBefore w:val="0"/>
        <w:widowControl w:val="0"/>
        <w:kinsoku/>
        <w:wordWrap/>
        <w:overflowPunct/>
        <w:topLinePunct w:val="0"/>
        <w:autoSpaceDE/>
        <w:autoSpaceDN/>
        <w:bidi w:val="0"/>
        <w:adjustRightInd/>
        <w:snapToGrid/>
        <w:spacing w:line="400" w:lineRule="exact"/>
        <w:ind w:left="0" w:leftChars="0" w:firstLine="720" w:firstLineChars="300"/>
        <w:jc w:val="left"/>
        <w:textAlignment w:val="auto"/>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2.自评得分（百分制）从高到低划分为优、良、中、差四个档次，各个档次数量占比分别为20%、20%、55%、5%，且不同档次间得分分值应体现差异化，同档次得分分值相同的比例不超过该档次总数量的10%。</w:t>
      </w:r>
    </w:p>
    <w:p w14:paraId="25143DAD">
      <w:pPr>
        <w:rPr>
          <w:rFonts w:hint="eastAsia" w:ascii="Times New Roman" w:hAnsi="Times New Roman" w:eastAsia="仿宋_GB2312" w:cs="Times New Roman"/>
          <w:kern w:val="2"/>
          <w:sz w:val="32"/>
          <w:szCs w:val="24"/>
          <w:highlight w:val="none"/>
          <w:lang w:val="en-US" w:eastAsia="zh-CN" w:bidi="ar-SA"/>
        </w:rPr>
      </w:pPr>
      <w:r>
        <w:rPr>
          <w:rFonts w:hint="eastAsia" w:ascii="Times New Roman" w:hAnsi="Times New Roman" w:eastAsia="仿宋_GB2312" w:cs="Times New Roman"/>
          <w:kern w:val="2"/>
          <w:sz w:val="32"/>
          <w:szCs w:val="24"/>
          <w:highlight w:val="none"/>
          <w:lang w:val="en-US" w:eastAsia="zh-CN" w:bidi="ar-SA"/>
        </w:rPr>
        <w:br w:type="page"/>
      </w:r>
    </w:p>
    <w:p w14:paraId="0E86C1B7">
      <w:pPr>
        <w:pStyle w:val="16"/>
        <w:keepNext w:val="0"/>
        <w:keepLines w:val="0"/>
        <w:pageBreakBefore w:val="0"/>
        <w:kinsoku/>
        <w:wordWrap/>
        <w:overflowPunct/>
        <w:topLinePunct w:val="0"/>
        <w:autoSpaceDE/>
        <w:autoSpaceDN/>
        <w:bidi w:val="0"/>
        <w:spacing w:after="0" w:line="578" w:lineRule="exact"/>
        <w:ind w:left="0" w:leftChars="0" w:firstLine="0" w:firstLineChars="0"/>
        <w:rPr>
          <w:rFonts w:hint="default" w:ascii="Times New Roman" w:hAnsi="Times New Roman" w:eastAsia="黑体" w:cs="Times New Roman"/>
          <w:kern w:val="2"/>
          <w:sz w:val="32"/>
          <w:szCs w:val="24"/>
          <w:highlight w:val="none"/>
          <w:lang w:val="en-US" w:eastAsia="zh-CN" w:bidi="ar-SA"/>
        </w:rPr>
      </w:pPr>
      <w:r>
        <w:rPr>
          <w:rFonts w:hint="default" w:ascii="Times New Roman" w:hAnsi="Times New Roman" w:eastAsia="黑体" w:cs="Times New Roman"/>
          <w:kern w:val="2"/>
          <w:sz w:val="32"/>
          <w:szCs w:val="24"/>
          <w:highlight w:val="none"/>
          <w:lang w:val="en-US" w:eastAsia="zh-CN" w:bidi="ar-SA"/>
        </w:rPr>
        <w:t>附表2</w:t>
      </w:r>
    </w:p>
    <w:p w14:paraId="0384014A">
      <w:pPr>
        <w:keepNext w:val="0"/>
        <w:keepLines w:val="0"/>
        <w:pageBreakBefore w:val="0"/>
        <w:kinsoku/>
        <w:wordWrap/>
        <w:overflowPunct/>
        <w:topLinePunct w:val="0"/>
        <w:autoSpaceDE/>
        <w:autoSpaceDN/>
        <w:bidi w:val="0"/>
        <w:spacing w:line="578" w:lineRule="exact"/>
        <w:ind w:left="0" w:leftChars="0"/>
        <w:jc w:val="center"/>
        <w:textAlignment w:val="auto"/>
        <w:rPr>
          <w:rFonts w:hint="default" w:ascii="方正小标宋_GBK" w:hAnsi="方正小标宋_GBK" w:eastAsia="方正小标宋_GBK" w:cs="方正小标宋_GBK"/>
          <w:b w:val="0"/>
          <w:bCs w:val="0"/>
          <w:color w:val="auto"/>
          <w:sz w:val="40"/>
          <w:szCs w:val="40"/>
          <w:highlight w:val="none"/>
          <w:u w:val="none"/>
          <w:lang w:val="en-US" w:eastAsia="zh-CN"/>
        </w:rPr>
      </w:pPr>
      <w:r>
        <w:rPr>
          <w:rFonts w:hint="eastAsia" w:ascii="方正小标宋_GBK" w:hAnsi="方正小标宋_GBK" w:eastAsia="方正小标宋_GBK" w:cs="方正小标宋_GBK"/>
          <w:b w:val="0"/>
          <w:bCs w:val="0"/>
          <w:color w:val="auto"/>
          <w:sz w:val="40"/>
          <w:szCs w:val="40"/>
          <w:highlight w:val="none"/>
          <w:u w:val="none"/>
          <w:lang w:val="en-US" w:eastAsia="zh-CN"/>
        </w:rPr>
        <w:t>专项预算项目绩效目标完成情况自评表</w:t>
      </w:r>
    </w:p>
    <w:tbl>
      <w:tblPr>
        <w:tblStyle w:val="17"/>
        <w:tblW w:w="893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568"/>
        <w:gridCol w:w="945"/>
        <w:gridCol w:w="1091"/>
        <w:gridCol w:w="1147"/>
        <w:gridCol w:w="984"/>
        <w:gridCol w:w="848"/>
        <w:gridCol w:w="373"/>
        <w:gridCol w:w="553"/>
        <w:gridCol w:w="819"/>
        <w:gridCol w:w="1611"/>
      </w:tblGrid>
      <w:tr w14:paraId="39F5A8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50" w:hRule="atLeast"/>
          <w:jc w:val="center"/>
        </w:trPr>
        <w:tc>
          <w:tcPr>
            <w:tcW w:w="375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FA0A94A">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项目名称</w:t>
            </w:r>
          </w:p>
        </w:tc>
        <w:tc>
          <w:tcPr>
            <w:tcW w:w="5188"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BA6A137">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解缴广元市利州区2023年第5批次建设用地被征地农民社保资金预存款</w:t>
            </w:r>
          </w:p>
        </w:tc>
      </w:tr>
      <w:tr w14:paraId="04A038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3" w:hRule="atLeast"/>
          <w:jc w:val="center"/>
        </w:trPr>
        <w:tc>
          <w:tcPr>
            <w:tcW w:w="375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F37F8A2">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预算单位</w:t>
            </w:r>
          </w:p>
        </w:tc>
        <w:tc>
          <w:tcPr>
            <w:tcW w:w="5188"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85C6DD9">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广元市自然资源局</w:t>
            </w:r>
          </w:p>
        </w:tc>
      </w:tr>
      <w:tr w14:paraId="7E221F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3" w:hRule="atLeast"/>
          <w:jc w:val="center"/>
        </w:trPr>
        <w:tc>
          <w:tcPr>
            <w:tcW w:w="375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B6CA55A">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项目类型</w:t>
            </w:r>
          </w:p>
        </w:tc>
        <w:tc>
          <w:tcPr>
            <w:tcW w:w="5188"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E5C7AAD">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专项预算项目</w:t>
            </w:r>
          </w:p>
        </w:tc>
      </w:tr>
      <w:tr w14:paraId="51F29D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50" w:hRule="atLeast"/>
          <w:jc w:val="center"/>
        </w:trPr>
        <w:tc>
          <w:tcPr>
            <w:tcW w:w="5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A5B1284">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项目 概况</w:t>
            </w:r>
          </w:p>
        </w:tc>
        <w:tc>
          <w:tcPr>
            <w:tcW w:w="318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B3A87B1">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中长期规划（名称、文号，仅指</w:t>
            </w:r>
          </w:p>
          <w:p w14:paraId="197B24CF">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常年项目）</w:t>
            </w:r>
          </w:p>
        </w:tc>
        <w:tc>
          <w:tcPr>
            <w:tcW w:w="5188"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7F60B65">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w:t>
            </w:r>
          </w:p>
        </w:tc>
      </w:tr>
      <w:tr w14:paraId="0E69AE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83" w:hRule="atLeast"/>
          <w:jc w:val="center"/>
        </w:trPr>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B46F49">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318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607AF88">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资金管理办法（名称、文号）</w:t>
            </w:r>
          </w:p>
        </w:tc>
        <w:tc>
          <w:tcPr>
            <w:tcW w:w="5188"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A0B9FE7">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广元市自然资源局财务管理制度</w:t>
            </w:r>
          </w:p>
        </w:tc>
      </w:tr>
      <w:tr w14:paraId="71AE7D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50" w:hRule="atLeast"/>
          <w:jc w:val="center"/>
        </w:trPr>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7A9604">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318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EBEF900">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绩效分配方式</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3B18B">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default" w:ascii="仿宋_GB2312" w:hAnsi="仿宋_GB2312" w:eastAsia="仿宋_GB2312" w:cs="仿宋_GB2312"/>
                <w:b w:val="0"/>
                <w:bCs w:val="0"/>
                <w:color w:val="auto"/>
                <w:sz w:val="24"/>
                <w:szCs w:val="24"/>
                <w:highlight w:val="none"/>
                <w:u w:val="none"/>
                <w:vertAlign w:val="baseline"/>
                <w:lang w:val="en-US" w:eastAsia="zh-CN"/>
              </w:rPr>
              <w:sym w:font="Wingdings 2" w:char="00A3"/>
            </w:r>
            <w:r>
              <w:rPr>
                <w:rFonts w:hint="eastAsia" w:ascii="仿宋_GB2312" w:hAnsi="仿宋_GB2312" w:eastAsia="仿宋_GB2312" w:cs="仿宋_GB2312"/>
                <w:b w:val="0"/>
                <w:bCs w:val="0"/>
                <w:color w:val="auto"/>
                <w:sz w:val="24"/>
                <w:szCs w:val="24"/>
                <w:highlight w:val="none"/>
                <w:u w:val="none"/>
                <w:vertAlign w:val="baseline"/>
                <w:lang w:val="en-US" w:eastAsia="zh-CN"/>
              </w:rPr>
              <w:t>因素法</w:t>
            </w:r>
          </w:p>
        </w:tc>
        <w:tc>
          <w:tcPr>
            <w:tcW w:w="17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6C3D723">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default" w:ascii="仿宋_GB2312" w:hAnsi="仿宋_GB2312" w:eastAsia="仿宋_GB2312" w:cs="仿宋_GB2312"/>
                <w:b w:val="0"/>
                <w:bCs w:val="0"/>
                <w:color w:val="auto"/>
                <w:sz w:val="24"/>
                <w:szCs w:val="24"/>
                <w:highlight w:val="none"/>
                <w:u w:val="none"/>
                <w:vertAlign w:val="baseline"/>
                <w:lang w:val="en-US" w:eastAsia="zh-CN"/>
              </w:rPr>
              <w:sym w:font="Wingdings 2" w:char="0052"/>
            </w:r>
            <w:r>
              <w:rPr>
                <w:rFonts w:hint="default" w:ascii="仿宋_GB2312" w:hAnsi="仿宋_GB2312" w:eastAsia="仿宋_GB2312" w:cs="仿宋_GB2312"/>
                <w:b w:val="0"/>
                <w:bCs w:val="0"/>
                <w:color w:val="auto"/>
                <w:sz w:val="24"/>
                <w:szCs w:val="24"/>
                <w:highlight w:val="none"/>
                <w:u w:val="none"/>
                <w:vertAlign w:val="baseline"/>
                <w:lang w:val="en-US" w:eastAsia="zh-CN"/>
              </w:rPr>
              <w:t>项目法</w:t>
            </w: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DE768">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default" w:ascii="仿宋_GB2312" w:hAnsi="仿宋_GB2312" w:eastAsia="仿宋_GB2312" w:cs="仿宋_GB2312"/>
                <w:b w:val="0"/>
                <w:bCs w:val="0"/>
                <w:color w:val="auto"/>
                <w:sz w:val="24"/>
                <w:szCs w:val="24"/>
                <w:highlight w:val="none"/>
                <w:u w:val="none"/>
                <w:vertAlign w:val="baseline"/>
                <w:lang w:val="en-US" w:eastAsia="zh-CN"/>
              </w:rPr>
              <w:sym w:font="Wingdings 2" w:char="00A3"/>
            </w:r>
            <w:r>
              <w:rPr>
                <w:rFonts w:hint="eastAsia" w:ascii="仿宋_GB2312" w:hAnsi="仿宋_GB2312" w:eastAsia="仿宋_GB2312" w:cs="仿宋_GB2312"/>
                <w:b w:val="0"/>
                <w:bCs w:val="0"/>
                <w:color w:val="auto"/>
                <w:sz w:val="24"/>
                <w:szCs w:val="24"/>
                <w:highlight w:val="none"/>
                <w:u w:val="none"/>
                <w:vertAlign w:val="baseline"/>
                <w:lang w:val="en-US" w:eastAsia="zh-CN"/>
              </w:rPr>
              <w:t>据实据效</w:t>
            </w:r>
          </w:p>
        </w:tc>
        <w:tc>
          <w:tcPr>
            <w:tcW w:w="1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48894">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default" w:ascii="仿宋_GB2312" w:hAnsi="仿宋_GB2312" w:eastAsia="仿宋_GB2312" w:cs="仿宋_GB2312"/>
                <w:b w:val="0"/>
                <w:bCs w:val="0"/>
                <w:color w:val="auto"/>
                <w:sz w:val="24"/>
                <w:szCs w:val="24"/>
                <w:highlight w:val="none"/>
                <w:u w:val="none"/>
                <w:vertAlign w:val="baseline"/>
                <w:lang w:val="en-US" w:eastAsia="zh-CN"/>
              </w:rPr>
              <w:t>£</w:t>
            </w:r>
            <w:r>
              <w:rPr>
                <w:rFonts w:hint="eastAsia" w:ascii="仿宋_GB2312" w:hAnsi="仿宋_GB2312" w:eastAsia="仿宋_GB2312" w:cs="仿宋_GB2312"/>
                <w:b w:val="0"/>
                <w:bCs w:val="0"/>
                <w:color w:val="auto"/>
                <w:sz w:val="24"/>
                <w:szCs w:val="24"/>
                <w:highlight w:val="none"/>
                <w:u w:val="none"/>
                <w:vertAlign w:val="baseline"/>
                <w:lang w:val="en-US" w:eastAsia="zh-CN"/>
              </w:rPr>
              <w:t>因素法与项目法相结合</w:t>
            </w:r>
          </w:p>
        </w:tc>
      </w:tr>
      <w:tr w14:paraId="73B639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1570" w:hRule="atLeast"/>
          <w:jc w:val="center"/>
        </w:trPr>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B4D686">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318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52AD41E">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立项依据</w:t>
            </w:r>
          </w:p>
        </w:tc>
        <w:tc>
          <w:tcPr>
            <w:tcW w:w="5188"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76A9BAC">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广元市利州区2023年第5批次建设用地，涉及大稻坝经营性用地、雪峰小学周边经营性用地、莲花片区经营性用地等市级经营性用地已纳入《广元市市本级2023年度经营性土地储备计划及土地储备资金需求计划》及《广元市2023年度市本级及县区国有建设用地供应计划》</w:t>
            </w:r>
          </w:p>
        </w:tc>
      </w:tr>
      <w:tr w14:paraId="4747ED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3" w:hRule="atLeast"/>
          <w:jc w:val="center"/>
        </w:trPr>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0938E5">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318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397238C">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使用范围</w:t>
            </w:r>
          </w:p>
        </w:tc>
        <w:tc>
          <w:tcPr>
            <w:tcW w:w="5188"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6B4A42B">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补助被征地农民支出</w:t>
            </w:r>
          </w:p>
        </w:tc>
      </w:tr>
      <w:tr w14:paraId="1EB6F0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3" w:hRule="atLeast"/>
          <w:jc w:val="center"/>
        </w:trPr>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EB2DFF">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318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12CC7F9">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申报（补助）条件</w:t>
            </w:r>
          </w:p>
        </w:tc>
        <w:tc>
          <w:tcPr>
            <w:tcW w:w="5188"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04F9BA1">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r>
      <w:tr w14:paraId="6D11E8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3" w:hRule="atLeast"/>
          <w:jc w:val="center"/>
        </w:trPr>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01ADC5">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318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A162482">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项目起止年限</w:t>
            </w:r>
          </w:p>
        </w:tc>
        <w:tc>
          <w:tcPr>
            <w:tcW w:w="5188"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C1DB319">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2023-2023</w:t>
            </w:r>
          </w:p>
        </w:tc>
      </w:tr>
      <w:tr w14:paraId="636CA6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83" w:hRule="atLeast"/>
          <w:jc w:val="center"/>
        </w:trPr>
        <w:tc>
          <w:tcPr>
            <w:tcW w:w="1513"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EA5E33">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项目资金</w:t>
            </w:r>
          </w:p>
          <w:p w14:paraId="170360CD">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（万元）</w:t>
            </w:r>
          </w:p>
        </w:tc>
        <w:tc>
          <w:tcPr>
            <w:tcW w:w="22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20B84F">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 xml:space="preserve">  年度资金总额：</w:t>
            </w:r>
          </w:p>
        </w:tc>
        <w:tc>
          <w:tcPr>
            <w:tcW w:w="5188"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96CDFF4">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6257.28</w:t>
            </w:r>
          </w:p>
        </w:tc>
      </w:tr>
      <w:tr w14:paraId="1F7BF2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3" w:hRule="atLeast"/>
          <w:jc w:val="center"/>
        </w:trPr>
        <w:tc>
          <w:tcPr>
            <w:tcW w:w="151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FDFDD5">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22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243C42">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 xml:space="preserve">      其中：财政拨款</w:t>
            </w:r>
          </w:p>
        </w:tc>
        <w:tc>
          <w:tcPr>
            <w:tcW w:w="5188"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7027F0C">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6257.28</w:t>
            </w:r>
          </w:p>
        </w:tc>
      </w:tr>
      <w:tr w14:paraId="0E5E7D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50" w:hRule="atLeast"/>
          <w:jc w:val="center"/>
        </w:trPr>
        <w:tc>
          <w:tcPr>
            <w:tcW w:w="151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B27A49">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22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9B4181">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 xml:space="preserve">            其他资金</w:t>
            </w:r>
          </w:p>
        </w:tc>
        <w:tc>
          <w:tcPr>
            <w:tcW w:w="5188"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A3D1D8B">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r>
      <w:tr w14:paraId="5FCEE3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83" w:hRule="atLeast"/>
          <w:jc w:val="center"/>
        </w:trPr>
        <w:tc>
          <w:tcPr>
            <w:tcW w:w="5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A45817">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总体 目标</w:t>
            </w:r>
          </w:p>
        </w:tc>
        <w:tc>
          <w:tcPr>
            <w:tcW w:w="8371"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E2EE177">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年度目标</w:t>
            </w:r>
          </w:p>
        </w:tc>
      </w:tr>
      <w:tr w14:paraId="4C1802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50" w:hRule="atLeast"/>
          <w:jc w:val="center"/>
        </w:trPr>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E27447">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8371"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C34C592">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完成广元市莲花片区、雪峰小学周边、莲花片区经营性用地转建设用地13.714公顷报征手续，确保建设项目用地的合法性，促进我市的经济建设。</w:t>
            </w:r>
          </w:p>
        </w:tc>
      </w:tr>
      <w:tr w14:paraId="7A4F44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50" w:hRule="atLeast"/>
          <w:jc w:val="center"/>
        </w:trPr>
        <w:tc>
          <w:tcPr>
            <w:tcW w:w="568" w:type="dxa"/>
            <w:vMerge w:val="restart"/>
            <w:tcBorders>
              <w:top w:val="single" w:color="000000" w:sz="4" w:space="0"/>
              <w:left w:val="single" w:color="000000" w:sz="4" w:space="0"/>
              <w:bottom w:val="single" w:color="000000" w:sz="4" w:space="0"/>
            </w:tcBorders>
            <w:shd w:val="clear" w:color="auto" w:fill="auto"/>
            <w:vAlign w:val="center"/>
          </w:tcPr>
          <w:p w14:paraId="76F266A9">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绩效 指标</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4B2B9">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一级指标</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2F33C">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二级指标</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BE3E0">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三级指标</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9FD58">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指标性质</w:t>
            </w:r>
          </w:p>
        </w:tc>
        <w:tc>
          <w:tcPr>
            <w:tcW w:w="12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283417">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指标值</w:t>
            </w:r>
          </w:p>
        </w:tc>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53CB0">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度量单位</w:t>
            </w: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1B308">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权重</w:t>
            </w:r>
          </w:p>
        </w:tc>
        <w:tc>
          <w:tcPr>
            <w:tcW w:w="1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0CABE">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实际完成指标值</w:t>
            </w:r>
          </w:p>
        </w:tc>
      </w:tr>
      <w:tr w14:paraId="491554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05" w:hRule="atLeast"/>
          <w:jc w:val="center"/>
        </w:trPr>
        <w:tc>
          <w:tcPr>
            <w:tcW w:w="568" w:type="dxa"/>
            <w:vMerge w:val="continue"/>
            <w:tcBorders>
              <w:top w:val="single" w:color="000000" w:sz="4" w:space="0"/>
              <w:left w:val="single" w:color="000000" w:sz="4" w:space="0"/>
              <w:bottom w:val="single" w:color="000000" w:sz="4" w:space="0"/>
            </w:tcBorders>
            <w:shd w:val="clear" w:color="auto" w:fill="auto"/>
            <w:vAlign w:val="center"/>
          </w:tcPr>
          <w:p w14:paraId="40BC7FAE">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B3F39">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产出指标</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55844">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数量指标</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BF92B">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莲花片区经营性用地面积</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D11AD">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8A1E2">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2.9429</w:t>
            </w:r>
          </w:p>
        </w:tc>
        <w:tc>
          <w:tcPr>
            <w:tcW w:w="9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F3BFCB">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公顷</w:t>
            </w: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92782">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20</w:t>
            </w:r>
          </w:p>
        </w:tc>
        <w:tc>
          <w:tcPr>
            <w:tcW w:w="1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28018">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2.9429</w:t>
            </w:r>
          </w:p>
        </w:tc>
      </w:tr>
      <w:tr w14:paraId="0B9B66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060" w:hRule="atLeast"/>
          <w:jc w:val="center"/>
        </w:trPr>
        <w:tc>
          <w:tcPr>
            <w:tcW w:w="568" w:type="dxa"/>
            <w:vMerge w:val="continue"/>
            <w:tcBorders>
              <w:top w:val="single" w:color="000000" w:sz="4" w:space="0"/>
              <w:left w:val="single" w:color="000000" w:sz="4" w:space="0"/>
              <w:bottom w:val="single" w:color="000000" w:sz="4" w:space="0"/>
            </w:tcBorders>
            <w:shd w:val="clear" w:color="auto" w:fill="auto"/>
            <w:vAlign w:val="center"/>
          </w:tcPr>
          <w:p w14:paraId="3A5E5172">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06B49">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产出指标</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E2C4C">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数量指标</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3405F">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雪峰小学周边经营性用地面积</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2C06D">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B5457">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10.7711</w:t>
            </w:r>
          </w:p>
        </w:tc>
        <w:tc>
          <w:tcPr>
            <w:tcW w:w="9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27F72A">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公顷</w:t>
            </w: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CB804">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10</w:t>
            </w:r>
          </w:p>
        </w:tc>
        <w:tc>
          <w:tcPr>
            <w:tcW w:w="1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984F5">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10.7711</w:t>
            </w:r>
          </w:p>
        </w:tc>
      </w:tr>
      <w:tr w14:paraId="396FED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50" w:hRule="atLeast"/>
          <w:jc w:val="center"/>
        </w:trPr>
        <w:tc>
          <w:tcPr>
            <w:tcW w:w="568" w:type="dxa"/>
            <w:vMerge w:val="continue"/>
            <w:tcBorders>
              <w:top w:val="single" w:color="000000" w:sz="4" w:space="0"/>
              <w:left w:val="single" w:color="000000" w:sz="4" w:space="0"/>
              <w:bottom w:val="single" w:color="000000" w:sz="4" w:space="0"/>
            </w:tcBorders>
            <w:shd w:val="clear" w:color="auto" w:fill="auto"/>
            <w:vAlign w:val="center"/>
          </w:tcPr>
          <w:p w14:paraId="2DB5A47D">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842A6">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产出指标</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F09E7">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质量指标</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7FD93">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审查合格率</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957D6">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379A6">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100</w:t>
            </w:r>
          </w:p>
        </w:tc>
        <w:tc>
          <w:tcPr>
            <w:tcW w:w="9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D538AA">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w:t>
            </w: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81997">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10</w:t>
            </w:r>
          </w:p>
        </w:tc>
        <w:tc>
          <w:tcPr>
            <w:tcW w:w="1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70A6C">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100</w:t>
            </w:r>
          </w:p>
        </w:tc>
      </w:tr>
      <w:tr w14:paraId="176F27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50" w:hRule="atLeast"/>
          <w:jc w:val="center"/>
        </w:trPr>
        <w:tc>
          <w:tcPr>
            <w:tcW w:w="568" w:type="dxa"/>
            <w:vMerge w:val="continue"/>
            <w:tcBorders>
              <w:top w:val="single" w:color="000000" w:sz="4" w:space="0"/>
              <w:left w:val="single" w:color="000000" w:sz="4" w:space="0"/>
              <w:bottom w:val="single" w:color="000000" w:sz="4" w:space="0"/>
            </w:tcBorders>
            <w:shd w:val="clear" w:color="auto" w:fill="auto"/>
            <w:vAlign w:val="center"/>
          </w:tcPr>
          <w:p w14:paraId="1E8D7A14">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86C34">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产出指标</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14DC5">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时效指标</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11EE5">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完成时间</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FA86E">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D7DCC">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3</w:t>
            </w:r>
          </w:p>
        </w:tc>
        <w:tc>
          <w:tcPr>
            <w:tcW w:w="9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EF873B">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月</w:t>
            </w: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C484A">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10</w:t>
            </w:r>
          </w:p>
        </w:tc>
        <w:tc>
          <w:tcPr>
            <w:tcW w:w="1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37D55">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3</w:t>
            </w:r>
          </w:p>
        </w:tc>
      </w:tr>
      <w:tr w14:paraId="0B9DCF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1570" w:hRule="atLeast"/>
          <w:jc w:val="center"/>
        </w:trPr>
        <w:tc>
          <w:tcPr>
            <w:tcW w:w="568" w:type="dxa"/>
            <w:vMerge w:val="continue"/>
            <w:tcBorders>
              <w:top w:val="single" w:color="000000" w:sz="4" w:space="0"/>
              <w:left w:val="single" w:color="000000" w:sz="4" w:space="0"/>
              <w:bottom w:val="single" w:color="000000" w:sz="4" w:space="0"/>
            </w:tcBorders>
            <w:shd w:val="clear" w:color="auto" w:fill="auto"/>
            <w:vAlign w:val="center"/>
          </w:tcPr>
          <w:p w14:paraId="0537A22B">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7F204">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效益指标</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BB540">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社会效益</w:t>
            </w:r>
          </w:p>
          <w:p w14:paraId="7ACE0374">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指标</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0C35F">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保障项目合法用地，全力推进项目建设，促进我市经济建设</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66737">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定性</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48EB0">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优良</w:t>
            </w:r>
          </w:p>
        </w:tc>
        <w:tc>
          <w:tcPr>
            <w:tcW w:w="9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42B0D3">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级</w:t>
            </w: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1CBEC">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20</w:t>
            </w:r>
          </w:p>
        </w:tc>
        <w:tc>
          <w:tcPr>
            <w:tcW w:w="1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D6D10">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优</w:t>
            </w:r>
          </w:p>
        </w:tc>
      </w:tr>
      <w:tr w14:paraId="47F1F2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50" w:hRule="atLeast"/>
          <w:jc w:val="center"/>
        </w:trPr>
        <w:tc>
          <w:tcPr>
            <w:tcW w:w="568" w:type="dxa"/>
            <w:tcBorders>
              <w:top w:val="single" w:color="000000" w:sz="4" w:space="0"/>
              <w:left w:val="single" w:color="000000" w:sz="4" w:space="0"/>
              <w:bottom w:val="single" w:color="000000" w:sz="4" w:space="0"/>
            </w:tcBorders>
            <w:shd w:val="clear" w:color="auto" w:fill="auto"/>
            <w:vAlign w:val="center"/>
          </w:tcPr>
          <w:p w14:paraId="0B3E92AA">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07F48">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满意度指标</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2A72C">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满意度指标</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21B4C">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被征地农民满意度</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5EB9F">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7005F">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95</w:t>
            </w:r>
          </w:p>
        </w:tc>
        <w:tc>
          <w:tcPr>
            <w:tcW w:w="9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6C9EF1">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w:t>
            </w: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A9104">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10</w:t>
            </w:r>
          </w:p>
        </w:tc>
        <w:tc>
          <w:tcPr>
            <w:tcW w:w="1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E5DD3">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95</w:t>
            </w:r>
          </w:p>
        </w:tc>
      </w:tr>
      <w:tr w14:paraId="6F848E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64" w:hRule="atLeast"/>
          <w:jc w:val="center"/>
        </w:trPr>
        <w:tc>
          <w:tcPr>
            <w:tcW w:w="568" w:type="dxa"/>
            <w:tcBorders>
              <w:top w:val="single" w:color="000000" w:sz="4" w:space="0"/>
              <w:left w:val="single" w:color="000000" w:sz="4" w:space="0"/>
              <w:bottom w:val="single" w:color="000000" w:sz="4" w:space="0"/>
            </w:tcBorders>
            <w:shd w:val="clear" w:color="auto" w:fill="auto"/>
            <w:vAlign w:val="center"/>
          </w:tcPr>
          <w:p w14:paraId="221FA988">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E7D52">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成本指标</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52BB8">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经济成本指标</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7AD8F">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预算控制数</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6A00C">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874FF">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6257.28</w:t>
            </w:r>
          </w:p>
        </w:tc>
        <w:tc>
          <w:tcPr>
            <w:tcW w:w="9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B4261C">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万元</w:t>
            </w: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8A08E">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20</w:t>
            </w:r>
          </w:p>
        </w:tc>
        <w:tc>
          <w:tcPr>
            <w:tcW w:w="1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5B3C6">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6257.28</w:t>
            </w:r>
          </w:p>
        </w:tc>
      </w:tr>
    </w:tbl>
    <w:p w14:paraId="54ACE028">
      <w:pPr>
        <w:pStyle w:val="16"/>
        <w:keepNext w:val="0"/>
        <w:keepLines w:val="0"/>
        <w:pageBreakBefore w:val="0"/>
        <w:kinsoku/>
        <w:wordWrap/>
        <w:overflowPunct/>
        <w:topLinePunct w:val="0"/>
        <w:autoSpaceDE/>
        <w:autoSpaceDN/>
        <w:bidi w:val="0"/>
        <w:spacing w:after="0" w:line="578" w:lineRule="exact"/>
        <w:ind w:left="0" w:leftChars="0"/>
        <w:rPr>
          <w:rFonts w:hint="default" w:ascii="黑体" w:hAnsi="黑体" w:eastAsia="黑体" w:cs="黑体"/>
          <w:sz w:val="24"/>
          <w:szCs w:val="24"/>
          <w:highlight w:val="none"/>
          <w:lang w:val="en-US" w:eastAsia="zh-CN"/>
        </w:rPr>
      </w:pPr>
    </w:p>
    <w:p w14:paraId="13A2A0E6">
      <w:pPr>
        <w:rPr>
          <w:rFonts w:hint="default" w:ascii="黑体" w:hAnsi="黑体" w:eastAsia="黑体" w:cs="黑体"/>
          <w:sz w:val="24"/>
          <w:szCs w:val="24"/>
          <w:highlight w:val="none"/>
          <w:lang w:val="en-US" w:eastAsia="zh-CN"/>
        </w:rPr>
      </w:pPr>
      <w:r>
        <w:rPr>
          <w:rFonts w:hint="default" w:ascii="黑体" w:hAnsi="黑体" w:eastAsia="黑体" w:cs="黑体"/>
          <w:sz w:val="24"/>
          <w:szCs w:val="24"/>
          <w:highlight w:val="none"/>
          <w:lang w:val="en-US" w:eastAsia="zh-CN"/>
        </w:rPr>
        <w:br w:type="page"/>
      </w:r>
    </w:p>
    <w:p w14:paraId="36B833E2">
      <w:pPr>
        <w:pStyle w:val="37"/>
        <w:keepNext w:val="0"/>
        <w:keepLines w:val="0"/>
        <w:pageBreakBefore w:val="0"/>
        <w:widowControl w:val="0"/>
        <w:kinsoku/>
        <w:wordWrap/>
        <w:overflowPunct/>
        <w:topLinePunct w:val="0"/>
        <w:autoSpaceDE/>
        <w:autoSpaceDN/>
        <w:bidi w:val="0"/>
        <w:spacing w:line="578" w:lineRule="exact"/>
        <w:ind w:left="0" w:leftChars="0"/>
        <w:jc w:val="center"/>
        <w:textAlignment w:val="auto"/>
        <w:rPr>
          <w:rFonts w:hint="default" w:ascii="方正小标宋简体" w:hAnsi="方正小标宋简体" w:eastAsia="方正小标宋简体" w:cs="方正小标宋简体"/>
          <w:color w:val="auto"/>
          <w:kern w:val="2"/>
          <w:sz w:val="44"/>
          <w:szCs w:val="44"/>
          <w:highlight w:val="none"/>
          <w:lang w:val="en-US" w:eastAsia="zh-CN"/>
        </w:rPr>
      </w:pPr>
      <w:r>
        <w:rPr>
          <w:rFonts w:hint="eastAsia" w:ascii="方正小标宋简体" w:hAnsi="方正小标宋简体" w:eastAsia="方正小标宋简体" w:cs="方正小标宋简体"/>
          <w:color w:val="auto"/>
          <w:kern w:val="2"/>
          <w:sz w:val="44"/>
          <w:szCs w:val="44"/>
          <w:highlight w:val="none"/>
          <w:lang w:val="en-US" w:eastAsia="zh-CN"/>
        </w:rPr>
        <w:t>广元市自然资源局</w:t>
      </w:r>
    </w:p>
    <w:p w14:paraId="55455B0F">
      <w:pPr>
        <w:pStyle w:val="37"/>
        <w:keepNext w:val="0"/>
        <w:keepLines w:val="0"/>
        <w:pageBreakBefore w:val="0"/>
        <w:widowControl w:val="0"/>
        <w:kinsoku/>
        <w:wordWrap/>
        <w:overflowPunct/>
        <w:topLinePunct w:val="0"/>
        <w:autoSpaceDE/>
        <w:autoSpaceDN/>
        <w:bidi w:val="0"/>
        <w:spacing w:line="578" w:lineRule="exact"/>
        <w:ind w:left="0" w:leftChars="0"/>
        <w:jc w:val="center"/>
        <w:textAlignment w:val="auto"/>
        <w:rPr>
          <w:rFonts w:hint="eastAsia" w:ascii="方正小标宋简体" w:hAnsi="方正小标宋简体" w:eastAsia="方正小标宋简体" w:cs="方正小标宋简体"/>
          <w:color w:val="auto"/>
          <w:kern w:val="2"/>
          <w:sz w:val="44"/>
          <w:szCs w:val="44"/>
          <w:highlight w:val="none"/>
          <w:lang w:val="en-US" w:eastAsia="zh-CN"/>
        </w:rPr>
      </w:pPr>
      <w:r>
        <w:rPr>
          <w:rFonts w:hint="eastAsia" w:ascii="方正小标宋简体" w:hAnsi="方正小标宋简体" w:eastAsia="方正小标宋简体" w:cs="方正小标宋简体"/>
          <w:color w:val="auto"/>
          <w:kern w:val="2"/>
          <w:sz w:val="44"/>
          <w:szCs w:val="44"/>
          <w:highlight w:val="none"/>
          <w:lang w:val="en-US" w:eastAsia="zh-CN"/>
        </w:rPr>
        <w:t>关于2023年度广元市市本级自然资源技术辅助性服务专项预算项目绩效评价报告</w:t>
      </w:r>
    </w:p>
    <w:p w14:paraId="1BCE1214">
      <w:pPr>
        <w:pStyle w:val="37"/>
        <w:keepNext w:val="0"/>
        <w:keepLines w:val="0"/>
        <w:pageBreakBefore w:val="0"/>
        <w:widowControl w:val="0"/>
        <w:kinsoku/>
        <w:wordWrap/>
        <w:overflowPunct/>
        <w:topLinePunct w:val="0"/>
        <w:autoSpaceDE/>
        <w:autoSpaceDN/>
        <w:bidi w:val="0"/>
        <w:spacing w:line="578" w:lineRule="exact"/>
        <w:ind w:left="0" w:leftChars="0" w:firstLine="640"/>
        <w:jc w:val="center"/>
        <w:textAlignment w:val="auto"/>
        <w:rPr>
          <w:rFonts w:ascii="宋体" w:hAnsi="宋体"/>
          <w:color w:val="auto"/>
          <w:kern w:val="2"/>
          <w:sz w:val="32"/>
          <w:szCs w:val="32"/>
          <w:highlight w:val="none"/>
        </w:rPr>
      </w:pPr>
    </w:p>
    <w:p w14:paraId="60FA5EF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黑体" w:hAnsi="宋体" w:eastAsia="黑体" w:cs="Times New Roman"/>
          <w:sz w:val="32"/>
          <w:szCs w:val="32"/>
          <w:highlight w:val="none"/>
          <w:lang w:val="zh-CN" w:eastAsia="zh-CN"/>
        </w:rPr>
      </w:pPr>
      <w:r>
        <w:rPr>
          <w:rFonts w:hint="eastAsia" w:ascii="黑体" w:hAnsi="宋体" w:eastAsia="黑体" w:cs="Times New Roman"/>
          <w:sz w:val="32"/>
          <w:szCs w:val="32"/>
          <w:highlight w:val="none"/>
          <w:lang w:val="zh-CN" w:eastAsia="zh-CN"/>
        </w:rPr>
        <w:t>一、项目概况</w:t>
      </w:r>
    </w:p>
    <w:p w14:paraId="6EB246B8">
      <w:pPr>
        <w:numPr>
          <w:ilvl w:val="0"/>
          <w:numId w:val="0"/>
        </w:numPr>
        <w:spacing w:line="580" w:lineRule="exact"/>
        <w:ind w:firstLine="643" w:firstLineChars="200"/>
        <w:rPr>
          <w:rFonts w:hint="eastAsia"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（一）设立背景及基本情况。</w:t>
      </w:r>
    </w:p>
    <w:p w14:paraId="2F93FDC3">
      <w:pPr>
        <w:adjustRightInd w:val="0"/>
        <w:snapToGrid w:val="0"/>
        <w:spacing w:line="520" w:lineRule="exact"/>
        <w:ind w:firstLine="640" w:firstLineChars="200"/>
        <w:rPr>
          <w:rFonts w:hint="default" w:ascii="仿宋_GB2312" w:hAnsi="宋体" w:eastAsia="仿宋_GB2312" w:cs="Times New Roman"/>
          <w:sz w:val="32"/>
          <w:szCs w:val="32"/>
          <w:lang w:val="en-US" w:eastAsia="zh-CN"/>
        </w:rPr>
      </w:pPr>
      <w:r>
        <w:rPr>
          <w:rFonts w:hint="eastAsia" w:ascii="仿宋_GB2312" w:hAnsi="宋体" w:eastAsia="仿宋_GB2312" w:cs="Times New Roman"/>
          <w:sz w:val="32"/>
          <w:szCs w:val="32"/>
          <w:lang w:val="en-US" w:eastAsia="zh-CN"/>
        </w:rPr>
        <w:t>为加强政府购买服务预算管理，促进转变政府职能，改善公共服务供给，优化资源配置，提高政府资金使用效益，按照《广元市政府购买服务预算管理暂行办法》对于现由公益二类事业单位承担并且适宜社会力量提供的服务事项，需转为通过政府购买服务方式提供，同时按照“费随事转”原则，将相关经费由事业单位调整至主管部门用于政府购买服务的规定。我局将原直接委托局属事业单位承担的自然资源技术辅助性工作统一纳入政府购买服务进行统一采购。为保障我局2023年度市本级自然资源管理各项工作顺利开展，年初我局将各科室、单位直接委托地籍事务中心承接的完成土地报征和临时用地技术审查；城乡建设用地增减挂钩试点项目核查及整改核实；卫片执法图斑核实；综合执法案件查办；在建与生产矿山生态修复“双随机一公开”核查；历史遗留废弃生态修复项目“回头看”核查和项目验收核查；历史遗留废弃矿山未治理图斑核查；综合动态监测图斑市级核查；年度变更调查图斑市级核查；经营性用地技术服务等15个技术辅助性工作统一纳入采购，采购金额328.61万元。</w:t>
      </w:r>
    </w:p>
    <w:p w14:paraId="019E9B62">
      <w:pPr>
        <w:keepNext w:val="0"/>
        <w:keepLines w:val="0"/>
        <w:pageBreakBefore w:val="0"/>
        <w:widowControl w:val="0"/>
        <w:kinsoku/>
        <w:wordWrap/>
        <w:overflowPunct/>
        <w:topLinePunct w:val="0"/>
        <w:autoSpaceDE/>
        <w:autoSpaceDN/>
        <w:bidi w:val="0"/>
        <w:adjustRightInd/>
        <w:snapToGrid/>
        <w:spacing w:line="576" w:lineRule="exact"/>
        <w:ind w:left="0" w:firstLine="643" w:firstLineChars="200"/>
        <w:jc w:val="both"/>
        <w:textAlignment w:val="auto"/>
        <w:rPr>
          <w:rFonts w:hint="eastAsia" w:ascii="仿宋_GB2312" w:hAnsi="宋体" w:eastAsia="仿宋_GB2312" w:cs="Times New Roman"/>
          <w:sz w:val="32"/>
          <w:szCs w:val="32"/>
          <w:lang w:val="en-US" w:eastAsia="zh-CN"/>
        </w:rPr>
      </w:pPr>
      <w:r>
        <w:rPr>
          <w:rFonts w:hint="eastAsia" w:ascii="楷体_GB2312" w:hAnsi="宋体" w:eastAsia="楷体_GB2312" w:cs="Times New Roman"/>
          <w:b/>
          <w:color w:val="auto"/>
          <w:sz w:val="32"/>
          <w:szCs w:val="32"/>
          <w:highlight w:val="none"/>
          <w:u w:val="none"/>
          <w:lang w:val="en-US" w:eastAsia="zh-CN"/>
        </w:rPr>
        <w:t>（二）</w:t>
      </w:r>
      <w:r>
        <w:rPr>
          <w:rFonts w:hint="default" w:ascii="楷体_GB2312" w:hAnsi="宋体" w:eastAsia="楷体_GB2312" w:cs="Times New Roman"/>
          <w:b/>
          <w:color w:val="auto"/>
          <w:sz w:val="32"/>
          <w:szCs w:val="32"/>
          <w:highlight w:val="none"/>
          <w:u w:val="none"/>
          <w:lang w:val="en-US" w:eastAsia="zh-CN"/>
        </w:rPr>
        <w:t>实施目的及支持方向</w:t>
      </w:r>
      <w:r>
        <w:rPr>
          <w:rFonts w:hint="eastAsia" w:ascii="楷体_GB2312" w:hAnsi="宋体" w:eastAsia="楷体_GB2312" w:cs="Times New Roman"/>
          <w:b/>
          <w:color w:val="auto"/>
          <w:sz w:val="32"/>
          <w:szCs w:val="32"/>
          <w:highlight w:val="none"/>
          <w:u w:val="none"/>
          <w:lang w:val="en-US" w:eastAsia="zh-CN"/>
        </w:rPr>
        <w:t>。</w:t>
      </w:r>
      <w:r>
        <w:rPr>
          <w:rFonts w:hint="eastAsia" w:ascii="仿宋_GB2312" w:hAnsi="仿宋_GB2312" w:cs="仿宋_GB2312"/>
          <w:b w:val="0"/>
          <w:bCs w:val="0"/>
          <w:sz w:val="30"/>
          <w:szCs w:val="30"/>
          <w:lang w:val="en-US" w:eastAsia="zh-CN"/>
        </w:rPr>
        <w:t>我局制度了《财务管理制度》、</w:t>
      </w:r>
      <w:r>
        <w:rPr>
          <w:rFonts w:hint="eastAsia" w:ascii="仿宋_GB2312" w:hAnsi="宋体" w:eastAsia="仿宋_GB2312" w:cs="Times New Roman"/>
          <w:sz w:val="32"/>
          <w:szCs w:val="32"/>
          <w:lang w:val="en-US" w:eastAsia="zh-CN"/>
        </w:rPr>
        <w:t>《专项资金管理制度》、《三重一大制度》《政府采购内控管理制度》等相关制度。我局</w:t>
      </w:r>
      <w:r>
        <w:rPr>
          <w:rFonts w:hint="default" w:ascii="仿宋_GB2312" w:hAnsi="宋体" w:eastAsia="仿宋_GB2312" w:cs="Times New Roman"/>
          <w:sz w:val="32"/>
          <w:szCs w:val="32"/>
        </w:rPr>
        <w:t>严格按照项目管理有关规定管理专项经费，为保障项目资金安全，确保资金专款专用， 从资金申请、资金使用、会计核算三个环节加强资金管理，在项目资金申请环节，严格按照国库集中支付流程申请财政资金；在资金使用环节，严格遵守相关法律法规规定，严格按照单位财务管理审批流程办理款项支付；在会计核算环节，对本项目资金实行单独核算，确保专款专用</w:t>
      </w:r>
      <w:r>
        <w:rPr>
          <w:rFonts w:hint="eastAsia" w:ascii="仿宋_GB2312" w:hAnsi="宋体" w:eastAsia="仿宋_GB2312" w:cs="Times New Roman"/>
          <w:sz w:val="32"/>
          <w:szCs w:val="32"/>
          <w:lang w:eastAsia="zh-CN"/>
        </w:rPr>
        <w:t>。</w:t>
      </w:r>
      <w:r>
        <w:rPr>
          <w:rFonts w:hint="eastAsia" w:ascii="仿宋_GB2312" w:hAnsi="宋体" w:eastAsia="仿宋_GB2312" w:cs="Times New Roman"/>
          <w:sz w:val="32"/>
          <w:szCs w:val="32"/>
          <w:lang w:val="en-US" w:eastAsia="zh-CN"/>
        </w:rPr>
        <w:t>完成土地报征和临时用地技术审查2000亩；城乡建设用地增减挂钩试点项目核查及整改核实15000亩；卫片执法图斑核实10000个；综合执法案件查办10个；在建与生产矿山生态修复“双随机一公开”核查160个；历史遗留废弃生态修复项目“回头看”核查和项目验收核查231个；历史遗留废弃矿山未治理图斑核查99个；综合动态监测图斑市级核查150000个；年度变更调查图斑市级核查240000个；经营性用地技术服务1800亩。</w:t>
      </w:r>
    </w:p>
    <w:p w14:paraId="13848312">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3" w:firstLineChars="200"/>
        <w:contextualSpacing/>
        <w:jc w:val="both"/>
        <w:textAlignment w:val="auto"/>
        <w:rPr>
          <w:rFonts w:hint="eastAsia" w:ascii="楷体_GB2312" w:hAnsi="宋体" w:eastAsia="楷体_GB2312" w:cs="Times New Roman"/>
          <w:b/>
          <w:color w:val="auto"/>
          <w:sz w:val="32"/>
          <w:szCs w:val="32"/>
          <w:highlight w:val="none"/>
          <w:u w:val="none"/>
          <w:lang w:val="zh-CN" w:eastAsia="zh-CN"/>
        </w:rPr>
      </w:pPr>
      <w:r>
        <w:rPr>
          <w:rFonts w:hint="eastAsia" w:ascii="楷体_GB2312" w:hAnsi="宋体" w:eastAsia="楷体_GB2312" w:cs="Times New Roman"/>
          <w:b/>
          <w:color w:val="auto"/>
          <w:sz w:val="32"/>
          <w:szCs w:val="32"/>
          <w:highlight w:val="none"/>
          <w:u w:val="none"/>
          <w:lang w:val="zh-CN" w:eastAsia="zh-CN"/>
        </w:rPr>
        <w:t>（三）</w:t>
      </w:r>
      <w:r>
        <w:rPr>
          <w:rFonts w:hint="default" w:ascii="楷体_GB2312" w:hAnsi="宋体" w:eastAsia="楷体_GB2312" w:cs="Times New Roman"/>
          <w:b/>
          <w:color w:val="auto"/>
          <w:sz w:val="32"/>
          <w:szCs w:val="32"/>
          <w:highlight w:val="none"/>
          <w:u w:val="none"/>
          <w:lang w:val="en-US" w:eastAsia="zh-CN"/>
        </w:rPr>
        <w:t>预算安排及分配管理</w:t>
      </w:r>
      <w:r>
        <w:rPr>
          <w:rFonts w:hint="eastAsia" w:ascii="楷体_GB2312" w:hAnsi="宋体" w:eastAsia="楷体_GB2312" w:cs="Times New Roman"/>
          <w:b/>
          <w:color w:val="auto"/>
          <w:sz w:val="32"/>
          <w:szCs w:val="32"/>
          <w:highlight w:val="none"/>
          <w:u w:val="none"/>
          <w:lang w:val="zh-CN" w:eastAsia="zh-CN"/>
        </w:rPr>
        <w:t>。</w:t>
      </w:r>
    </w:p>
    <w:p w14:paraId="1FA046FD">
      <w:pPr>
        <w:adjustRightInd w:val="0"/>
        <w:snapToGrid w:val="0"/>
        <w:spacing w:line="520" w:lineRule="exact"/>
        <w:ind w:firstLine="640" w:firstLineChars="200"/>
        <w:rPr>
          <w:rFonts w:hint="eastAsia" w:ascii="仿宋_GB2312" w:hAnsi="宋体" w:eastAsia="仿宋_GB2312" w:cs="Times New Roman"/>
          <w:sz w:val="32"/>
          <w:szCs w:val="32"/>
        </w:rPr>
      </w:pPr>
      <w:r>
        <w:rPr>
          <w:rFonts w:hint="eastAsia" w:ascii="仿宋_GB2312" w:hAnsi="宋体" w:eastAsia="仿宋_GB2312" w:cs="Times New Roman"/>
          <w:sz w:val="32"/>
          <w:szCs w:val="32"/>
        </w:rPr>
        <w:t>市财政与2023年12月下达该项目指标指标328.61万元（广财投[2023]134号，我局</w:t>
      </w:r>
      <w:r>
        <w:rPr>
          <w:rFonts w:hint="eastAsia" w:ascii="仿宋_GB2312" w:hAnsi="宋体" w:eastAsia="仿宋_GB2312" w:cs="Times New Roman"/>
          <w:sz w:val="32"/>
          <w:szCs w:val="32"/>
          <w:lang w:val="en-US" w:eastAsia="zh-CN"/>
        </w:rPr>
        <w:t>于2023年</w:t>
      </w:r>
      <w:r>
        <w:rPr>
          <w:rFonts w:hint="eastAsia" w:ascii="仿宋_GB2312" w:hAnsi="宋体" w:eastAsia="仿宋_GB2312" w:cs="Times New Roman"/>
          <w:sz w:val="32"/>
          <w:szCs w:val="32"/>
        </w:rPr>
        <w:t>12月支付市地籍事务中心辅助性技术服务费328.61万元。我局制度了《财务管理制度》和《专项资金管理制度》和《三重一大制度》，确保项目高效率使用和支付过程中严格执行相关制度，专款专用，无截留，无挪用。</w:t>
      </w:r>
    </w:p>
    <w:p w14:paraId="4C0940D9">
      <w:pPr>
        <w:keepNext w:val="0"/>
        <w:keepLines w:val="0"/>
        <w:pageBreakBefore w:val="0"/>
        <w:widowControl w:val="0"/>
        <w:kinsoku/>
        <w:wordWrap/>
        <w:overflowPunct/>
        <w:topLinePunct w:val="0"/>
        <w:autoSpaceDE/>
        <w:autoSpaceDN/>
        <w:bidi w:val="0"/>
        <w:adjustRightInd w:val="0"/>
        <w:snapToGrid w:val="0"/>
        <w:spacing w:line="576" w:lineRule="exact"/>
        <w:ind w:firstLine="643" w:firstLineChars="200"/>
        <w:textAlignment w:val="auto"/>
        <w:rPr>
          <w:rFonts w:hint="eastAsia" w:ascii="仿宋_GB2312" w:hAnsi="宋体" w:eastAsia="仿宋_GB2312" w:cs="Times New Roman"/>
          <w:sz w:val="32"/>
          <w:szCs w:val="32"/>
          <w:lang w:eastAsia="zh-CN"/>
        </w:rPr>
      </w:pPr>
      <w:r>
        <w:rPr>
          <w:rFonts w:hint="eastAsia" w:ascii="楷体_GB2312" w:hAnsi="宋体" w:eastAsia="楷体_GB2312" w:cs="Times New Roman"/>
          <w:b/>
          <w:color w:val="auto"/>
          <w:sz w:val="32"/>
          <w:szCs w:val="32"/>
          <w:highlight w:val="none"/>
          <w:u w:val="none"/>
          <w:lang w:val="zh-CN" w:eastAsia="zh-CN"/>
        </w:rPr>
        <w:t>（四）项目绩效目标设置。</w:t>
      </w:r>
      <w:r>
        <w:rPr>
          <w:rFonts w:hint="eastAsia" w:ascii="仿宋_GB2312" w:hAnsi="宋体" w:eastAsia="仿宋_GB2312" w:cs="Times New Roman"/>
          <w:sz w:val="32"/>
          <w:szCs w:val="32"/>
        </w:rPr>
        <w:t>绩效目标和绩效指标可量化考核</w:t>
      </w:r>
      <w:r>
        <w:rPr>
          <w:rFonts w:hint="eastAsia" w:ascii="仿宋_GB2312" w:hAnsi="宋体" w:eastAsia="仿宋_GB2312" w:cs="Times New Roman"/>
          <w:sz w:val="32"/>
          <w:szCs w:val="32"/>
          <w:lang w:eastAsia="zh-CN"/>
        </w:rPr>
        <w:t>，年度工作目标相一致。绩效指标细化、量化，绩效目标和绩效指标契合政策或项目实质，产出和效果相关联。可对满意度指标进行量化预测，绩效目标具有一定的前瞻性和挑战性。</w:t>
      </w:r>
    </w:p>
    <w:p w14:paraId="6065CF9E">
      <w:pPr>
        <w:adjustRightInd w:val="0"/>
        <w:snapToGrid w:val="0"/>
        <w:spacing w:line="52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rPr>
        <w:t>二、</w:t>
      </w:r>
      <w:r>
        <w:rPr>
          <w:rFonts w:hint="eastAsia" w:ascii="黑体" w:hAnsi="黑体" w:eastAsia="黑体" w:cs="黑体"/>
          <w:sz w:val="32"/>
          <w:szCs w:val="32"/>
          <w:lang w:eastAsia="zh-CN"/>
        </w:rPr>
        <w:t>评价实施</w:t>
      </w:r>
    </w:p>
    <w:p w14:paraId="2E2A99B5">
      <w:pPr>
        <w:keepNext w:val="0"/>
        <w:keepLines w:val="0"/>
        <w:pageBreakBefore w:val="0"/>
        <w:widowControl w:val="0"/>
        <w:kinsoku/>
        <w:wordWrap/>
        <w:overflowPunct/>
        <w:topLinePunct w:val="0"/>
        <w:autoSpaceDE/>
        <w:autoSpaceDN/>
        <w:bidi w:val="0"/>
        <w:spacing w:line="578" w:lineRule="exact"/>
        <w:ind w:firstLine="640"/>
        <w:textAlignment w:val="auto"/>
        <w:outlineLvl w:val="9"/>
        <w:rPr>
          <w:rFonts w:hint="eastAsia" w:ascii="仿宋_GB2312" w:hAnsi="宋体" w:eastAsia="仿宋_GB2312" w:cs="Times New Roman"/>
          <w:sz w:val="32"/>
          <w:szCs w:val="32"/>
          <w:lang w:eastAsia="zh-CN"/>
        </w:rPr>
      </w:pPr>
      <w:r>
        <w:rPr>
          <w:rFonts w:hint="eastAsia" w:ascii="楷体_GB2312" w:hAnsi="宋体" w:eastAsia="楷体_GB2312"/>
          <w:b/>
          <w:color w:val="auto"/>
          <w:sz w:val="32"/>
          <w:szCs w:val="32"/>
          <w:highlight w:val="none"/>
          <w:u w:val="none"/>
          <w:lang w:val="zh-CN"/>
        </w:rPr>
        <w:t>（一）评价目的。</w:t>
      </w:r>
      <w:r>
        <w:rPr>
          <w:rFonts w:hint="eastAsia" w:ascii="仿宋_GB2312" w:hAnsi="宋体" w:eastAsia="仿宋_GB2312" w:cs="Times New Roman"/>
          <w:sz w:val="32"/>
          <w:szCs w:val="32"/>
          <w:lang w:val="en-US" w:eastAsia="zh-CN"/>
        </w:rPr>
        <w:t>通过绩效评价，一是对项目预算及资金使用方案的合理性和有效性进行优化，去除不合理的预算项目。二是详细掌握资金使用情况，提高预算执行力。三是促进预算管理的公开化透明化</w:t>
      </w:r>
      <w:r>
        <w:rPr>
          <w:rFonts w:hint="eastAsia" w:ascii="仿宋_GB2312" w:hAnsi="宋体" w:eastAsia="仿宋_GB2312" w:cs="Times New Roman"/>
          <w:sz w:val="32"/>
          <w:szCs w:val="32"/>
          <w:lang w:eastAsia="zh-CN"/>
        </w:rPr>
        <w:t>。</w:t>
      </w:r>
    </w:p>
    <w:p w14:paraId="39287BEA">
      <w:pPr>
        <w:keepNext w:val="0"/>
        <w:keepLines w:val="0"/>
        <w:pageBreakBefore w:val="0"/>
        <w:widowControl w:val="0"/>
        <w:kinsoku/>
        <w:wordWrap/>
        <w:overflowPunct/>
        <w:topLinePunct w:val="0"/>
        <w:autoSpaceDE/>
        <w:autoSpaceDN/>
        <w:bidi w:val="0"/>
        <w:adjustRightInd w:val="0"/>
        <w:snapToGrid w:val="0"/>
        <w:spacing w:line="578" w:lineRule="exact"/>
        <w:ind w:left="0" w:leftChars="0" w:firstLine="643" w:firstLineChars="200"/>
        <w:textAlignment w:val="auto"/>
        <w:outlineLvl w:val="9"/>
        <w:rPr>
          <w:rFonts w:hint="eastAsia" w:ascii="仿宋_GB2312" w:hAnsi="宋体" w:eastAsia="仿宋_GB2312" w:cs="Times New Roman"/>
          <w:sz w:val="32"/>
          <w:szCs w:val="32"/>
          <w:lang w:val="en-US" w:eastAsia="zh-CN"/>
        </w:rPr>
      </w:pPr>
      <w:r>
        <w:rPr>
          <w:rFonts w:hint="eastAsia" w:ascii="楷体_GB2312" w:hAnsi="宋体" w:eastAsia="楷体_GB2312"/>
          <w:b/>
          <w:color w:val="auto"/>
          <w:sz w:val="32"/>
          <w:szCs w:val="32"/>
          <w:highlight w:val="none"/>
          <w:u w:val="none"/>
          <w:lang w:val="zh-CN"/>
        </w:rPr>
        <w:t>（二）预设问题及评价重点。</w:t>
      </w:r>
      <w:r>
        <w:rPr>
          <w:rFonts w:hint="eastAsia" w:ascii="仿宋_GB2312" w:hAnsi="宋体" w:eastAsia="仿宋_GB2312" w:cs="Times New Roman"/>
          <w:sz w:val="32"/>
          <w:szCs w:val="32"/>
          <w:lang w:val="en-US" w:eastAsia="zh-CN"/>
        </w:rPr>
        <w:t>按照绩效评价指标体系体系</w:t>
      </w:r>
      <w:r>
        <w:rPr>
          <w:rFonts w:hint="eastAsia" w:ascii="仿宋_GB2312" w:hAnsi="宋体" w:eastAsia="仿宋_GB2312" w:cs="Times New Roman"/>
          <w:sz w:val="32"/>
          <w:szCs w:val="32"/>
          <w:lang w:val="zh-CN" w:eastAsia="zh-CN"/>
        </w:rPr>
        <w:t>，</w:t>
      </w:r>
      <w:r>
        <w:rPr>
          <w:rFonts w:hint="eastAsia" w:ascii="仿宋_GB2312" w:hAnsi="宋体" w:eastAsia="仿宋_GB2312" w:cs="Times New Roman"/>
          <w:sz w:val="32"/>
          <w:szCs w:val="32"/>
          <w:lang w:val="en-US" w:eastAsia="zh-CN"/>
        </w:rPr>
        <w:t>该项目</w:t>
      </w:r>
      <w:r>
        <w:rPr>
          <w:rFonts w:hint="eastAsia" w:ascii="仿宋_GB2312" w:hAnsi="宋体" w:eastAsia="仿宋_GB2312" w:cs="Times New Roman"/>
          <w:sz w:val="32"/>
          <w:szCs w:val="32"/>
          <w:lang w:eastAsia="zh-CN"/>
        </w:rPr>
        <w:t>经费使用应符合相关财务法规和政策，</w:t>
      </w:r>
      <w:r>
        <w:rPr>
          <w:rFonts w:hint="eastAsia" w:ascii="仿宋_GB2312" w:hAnsi="宋体" w:eastAsia="仿宋_GB2312" w:cs="Times New Roman"/>
          <w:sz w:val="32"/>
          <w:szCs w:val="32"/>
          <w:lang w:val="en-US" w:eastAsia="zh-CN"/>
        </w:rPr>
        <w:t>按照合同约定和项目进度进行支付，做到专款专用，</w:t>
      </w:r>
      <w:r>
        <w:rPr>
          <w:rFonts w:hint="eastAsia" w:ascii="仿宋_GB2312" w:hAnsi="宋体" w:eastAsia="仿宋_GB2312" w:cs="Times New Roman"/>
          <w:sz w:val="32"/>
          <w:szCs w:val="32"/>
          <w:lang w:eastAsia="zh-CN"/>
        </w:rPr>
        <w:t>确保资金使用的合法合规，避免违规行为发生。</w:t>
      </w:r>
      <w:r>
        <w:rPr>
          <w:rFonts w:hint="eastAsia" w:ascii="仿宋_GB2312" w:hAnsi="宋体" w:eastAsia="仿宋_GB2312" w:cs="Times New Roman"/>
          <w:sz w:val="32"/>
          <w:szCs w:val="32"/>
          <w:lang w:val="en-US" w:eastAsia="zh-CN"/>
        </w:rPr>
        <w:t>按照合同约定我局于2023年12月支付市地籍事务中心辅助性技术服务费328.61万元。</w:t>
      </w:r>
    </w:p>
    <w:p w14:paraId="08E6F704">
      <w:pPr>
        <w:adjustRightInd w:val="0"/>
        <w:snapToGrid w:val="0"/>
        <w:spacing w:line="580" w:lineRule="exact"/>
        <w:ind w:firstLine="643" w:firstLineChars="200"/>
        <w:rPr>
          <w:rFonts w:ascii="仿宋_GB2312" w:hAnsi="宋体"/>
          <w:sz w:val="32"/>
          <w:szCs w:val="32"/>
        </w:rPr>
      </w:pPr>
      <w:r>
        <w:rPr>
          <w:rFonts w:hint="eastAsia" w:ascii="楷体_GB2312" w:hAnsi="宋体" w:eastAsia="楷体_GB2312"/>
          <w:b/>
          <w:color w:val="auto"/>
          <w:sz w:val="32"/>
          <w:szCs w:val="32"/>
          <w:highlight w:val="none"/>
          <w:u w:val="none"/>
          <w:lang w:val="zh-CN"/>
        </w:rPr>
        <w:t>（三）评价选点。</w:t>
      </w:r>
      <w:r>
        <w:rPr>
          <w:rFonts w:hint="eastAsia" w:ascii="仿宋_GB2312" w:hAnsi="宋体" w:eastAsia="仿宋_GB2312" w:cs="Times New Roman"/>
          <w:sz w:val="32"/>
          <w:szCs w:val="32"/>
          <w:lang w:eastAsia="zh-CN"/>
        </w:rPr>
        <w:t>年末通过数量指标、质量指标及产生的社会效益和政府满意度来自评项目绩效完成情况</w:t>
      </w:r>
      <w:r>
        <w:rPr>
          <w:rFonts w:ascii="仿宋_GB2312" w:hAnsi="仿宋_GB2312"/>
          <w:sz w:val="32"/>
          <w:szCs w:val="32"/>
        </w:rPr>
        <w:t>。</w:t>
      </w:r>
    </w:p>
    <w:p w14:paraId="2B3E82DE">
      <w:pPr>
        <w:keepNext w:val="0"/>
        <w:keepLines w:val="0"/>
        <w:pageBreakBefore w:val="0"/>
        <w:widowControl w:val="0"/>
        <w:kinsoku/>
        <w:wordWrap/>
        <w:overflowPunct/>
        <w:topLinePunct w:val="0"/>
        <w:autoSpaceDE/>
        <w:autoSpaceDN/>
        <w:bidi w:val="0"/>
        <w:spacing w:line="578" w:lineRule="exact"/>
        <w:ind w:firstLine="640"/>
        <w:textAlignment w:val="auto"/>
        <w:outlineLvl w:val="9"/>
        <w:rPr>
          <w:rFonts w:hint="eastAsia" w:cs="Times New Roman"/>
          <w:szCs w:val="32"/>
          <w:lang w:val="en-US" w:eastAsia="zh-CN"/>
        </w:rPr>
      </w:pPr>
      <w:r>
        <w:rPr>
          <w:rFonts w:hint="eastAsia" w:ascii="楷体_GB2312" w:hAnsi="宋体" w:eastAsia="楷体_GB2312"/>
          <w:b/>
          <w:color w:val="auto"/>
          <w:sz w:val="32"/>
          <w:szCs w:val="32"/>
          <w:highlight w:val="none"/>
          <w:u w:val="none"/>
          <w:lang w:val="zh-CN"/>
        </w:rPr>
        <w:t>（四）评价方法。</w:t>
      </w:r>
      <w:r>
        <w:rPr>
          <w:rFonts w:hint="eastAsia" w:ascii="仿宋_GB2312" w:hAnsi="宋体" w:eastAsia="仿宋_GB2312" w:cs="Times New Roman"/>
          <w:sz w:val="32"/>
          <w:szCs w:val="32"/>
          <w:lang w:eastAsia="zh-CN"/>
        </w:rPr>
        <w:t>采用单位自评法</w:t>
      </w:r>
      <w:r>
        <w:rPr>
          <w:rFonts w:hint="eastAsia" w:ascii="仿宋_GB2312" w:hAnsi="宋体" w:eastAsia="仿宋_GB2312" w:cs="Times New Roman"/>
          <w:sz w:val="32"/>
          <w:szCs w:val="32"/>
          <w:lang w:val="en-US" w:eastAsia="zh-CN"/>
        </w:rPr>
        <w:t>.</w:t>
      </w:r>
    </w:p>
    <w:p w14:paraId="291206B1">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3" w:firstLineChars="200"/>
        <w:contextualSpacing/>
        <w:jc w:val="both"/>
        <w:textAlignment w:val="auto"/>
        <w:rPr>
          <w:rFonts w:hint="eastAsia" w:ascii="仿宋_GB2312" w:hAnsi="宋体" w:eastAsia="仿宋_GB2312" w:cs="Times New Roman"/>
          <w:sz w:val="32"/>
          <w:szCs w:val="32"/>
          <w:lang w:val="en-US" w:eastAsia="zh-CN"/>
        </w:rPr>
      </w:pPr>
      <w:r>
        <w:rPr>
          <w:rFonts w:hint="eastAsia" w:ascii="楷体_GB2312" w:hAnsi="宋体" w:eastAsia="楷体_GB2312"/>
          <w:b/>
          <w:color w:val="auto"/>
          <w:sz w:val="32"/>
          <w:szCs w:val="32"/>
          <w:highlight w:val="none"/>
          <w:u w:val="none"/>
          <w:lang w:val="zh-CN"/>
        </w:rPr>
        <w:t>（五）评价组织。</w:t>
      </w:r>
      <w:r>
        <w:rPr>
          <w:rFonts w:hint="eastAsia" w:ascii="仿宋_GB2312" w:hAnsi="宋体" w:eastAsia="仿宋_GB2312" w:cs="Times New Roman"/>
          <w:sz w:val="32"/>
          <w:szCs w:val="32"/>
          <w:lang w:val="en-US" w:eastAsia="zh-CN"/>
        </w:rPr>
        <w:t>按照财政资金“谁使用，谁自评”的原则，我单位在收到</w:t>
      </w:r>
      <w:r>
        <w:rPr>
          <w:rFonts w:hint="eastAsia" w:ascii="仿宋_GB2312" w:hAnsi="宋体" w:eastAsia="仿宋_GB2312" w:cs="Times New Roman"/>
          <w:sz w:val="32"/>
          <w:szCs w:val="32"/>
          <w:lang w:val="zh-CN" w:eastAsia="zh-CN"/>
        </w:rPr>
        <w:t>自评工作通知后，立即</w:t>
      </w:r>
      <w:r>
        <w:rPr>
          <w:rFonts w:hint="eastAsia" w:ascii="仿宋_GB2312" w:hAnsi="宋体" w:eastAsia="仿宋_GB2312" w:cs="Times New Roman"/>
          <w:sz w:val="32"/>
          <w:szCs w:val="32"/>
          <w:lang w:val="en-US" w:eastAsia="zh-CN"/>
        </w:rPr>
        <w:t>落实专人负责</w:t>
      </w:r>
      <w:r>
        <w:rPr>
          <w:rFonts w:hint="eastAsia" w:ascii="仿宋_GB2312" w:hAnsi="宋体" w:eastAsia="仿宋_GB2312" w:cs="Times New Roman"/>
          <w:sz w:val="32"/>
          <w:szCs w:val="32"/>
          <w:lang w:val="zh-CN" w:eastAsia="zh-CN"/>
        </w:rPr>
        <w:t>，及时</w:t>
      </w:r>
      <w:r>
        <w:rPr>
          <w:rFonts w:hint="eastAsia" w:ascii="仿宋_GB2312" w:hAnsi="宋体" w:eastAsia="仿宋_GB2312" w:cs="Times New Roman"/>
          <w:sz w:val="32"/>
          <w:szCs w:val="32"/>
          <w:lang w:val="en-US" w:eastAsia="zh-CN"/>
        </w:rPr>
        <w:t>与相关业务科实协调对接</w:t>
      </w:r>
      <w:r>
        <w:rPr>
          <w:rFonts w:hint="eastAsia" w:ascii="仿宋_GB2312" w:hAnsi="宋体" w:eastAsia="仿宋_GB2312" w:cs="Times New Roman"/>
          <w:sz w:val="32"/>
          <w:szCs w:val="32"/>
          <w:lang w:val="zh-CN" w:eastAsia="zh-CN"/>
        </w:rPr>
        <w:t>，对项目概况、评价实施、绩效分析、评价结论、存在主要问题、改进建议等进行综合自评，形成自评结果。</w:t>
      </w:r>
    </w:p>
    <w:p w14:paraId="571C014A">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eastAsia" w:eastAsia="仿宋_GB2312" w:cs="Times New Roman"/>
          <w:szCs w:val="32"/>
          <w:lang w:val="en-US" w:eastAsia="zh-CN"/>
        </w:rPr>
      </w:pPr>
      <w:r>
        <w:rPr>
          <w:rFonts w:hint="eastAsia" w:ascii="黑体" w:hAnsi="宋体" w:eastAsia="黑体"/>
          <w:color w:val="auto"/>
          <w:sz w:val="32"/>
          <w:szCs w:val="32"/>
          <w:highlight w:val="none"/>
          <w:u w:val="none"/>
        </w:rPr>
        <w:t>三、</w:t>
      </w:r>
      <w:r>
        <w:rPr>
          <w:rFonts w:hint="eastAsia" w:ascii="黑体" w:hAnsi="宋体" w:eastAsia="黑体"/>
          <w:color w:val="auto"/>
          <w:sz w:val="32"/>
          <w:szCs w:val="32"/>
          <w:highlight w:val="none"/>
          <w:u w:val="none"/>
          <w:lang w:eastAsia="zh-CN"/>
        </w:rPr>
        <w:t>绩效分析</w:t>
      </w:r>
      <w:r>
        <w:rPr>
          <w:rFonts w:hint="eastAsia" w:ascii="仿宋_GB2312" w:hAnsi="宋体"/>
          <w:color w:val="auto"/>
          <w:sz w:val="32"/>
          <w:szCs w:val="32"/>
          <w:highlight w:val="none"/>
          <w:u w:val="none"/>
          <w:lang w:val="zh-CN"/>
        </w:rPr>
        <w:tab/>
      </w:r>
    </w:p>
    <w:p w14:paraId="353B46AE">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楷体_GB2312" w:hAnsi="宋体" w:eastAsia="楷体_GB2312" w:cs="Times New Roman"/>
          <w:b/>
          <w:color w:val="auto"/>
          <w:sz w:val="32"/>
          <w:szCs w:val="32"/>
          <w:highlight w:val="none"/>
          <w:u w:val="none"/>
          <w:lang w:val="en-US" w:eastAsia="zh-CN"/>
        </w:rPr>
      </w:pPr>
      <w:r>
        <w:rPr>
          <w:rFonts w:hint="eastAsia" w:ascii="楷体_GB2312" w:hAnsi="宋体" w:eastAsia="楷体_GB2312" w:cs="Times New Roman"/>
          <w:b/>
          <w:color w:val="auto"/>
          <w:sz w:val="32"/>
          <w:szCs w:val="32"/>
          <w:highlight w:val="none"/>
          <w:u w:val="none"/>
          <w:lang w:val="zh-CN"/>
        </w:rPr>
        <w:t>（一）</w:t>
      </w:r>
      <w:r>
        <w:rPr>
          <w:rFonts w:hint="eastAsia" w:ascii="楷体_GB2312" w:hAnsi="宋体" w:eastAsia="楷体_GB2312" w:cs="Times New Roman"/>
          <w:b/>
          <w:color w:val="auto"/>
          <w:sz w:val="32"/>
          <w:szCs w:val="32"/>
          <w:highlight w:val="none"/>
          <w:u w:val="none"/>
          <w:lang w:val="en-US" w:eastAsia="zh-CN"/>
        </w:rPr>
        <w:t>通用指标</w:t>
      </w:r>
      <w:r>
        <w:rPr>
          <w:rFonts w:hint="default" w:ascii="楷体_GB2312" w:hAnsi="宋体" w:eastAsia="楷体_GB2312" w:cs="Times New Roman"/>
          <w:b/>
          <w:color w:val="auto"/>
          <w:sz w:val="32"/>
          <w:szCs w:val="32"/>
          <w:highlight w:val="none"/>
          <w:u w:val="none"/>
          <w:lang w:val="zh-CN"/>
        </w:rPr>
        <w:t>绩效分析。</w:t>
      </w:r>
    </w:p>
    <w:p w14:paraId="22DEFD74">
      <w:pPr>
        <w:keepNext w:val="0"/>
        <w:keepLines w:val="0"/>
        <w:pageBreakBefore w:val="0"/>
        <w:widowControl w:val="0"/>
        <w:kinsoku/>
        <w:wordWrap/>
        <w:overflowPunct/>
        <w:topLinePunct w:val="0"/>
        <w:autoSpaceDE/>
        <w:autoSpaceDN/>
        <w:bidi w:val="0"/>
        <w:adjustRightInd w:val="0"/>
        <w:snapToGrid w:val="0"/>
        <w:spacing w:line="576" w:lineRule="exact"/>
        <w:ind w:firstLine="420" w:firstLineChars="200"/>
        <w:textAlignment w:val="auto"/>
        <w:rPr>
          <w:rFonts w:hint="eastAsia" w:ascii="仿宋_GB2312" w:hAnsi="宋体" w:eastAsia="仿宋_GB2312" w:cs="Times New Roman"/>
          <w:sz w:val="32"/>
          <w:szCs w:val="32"/>
          <w:lang w:val="zh-CN" w:eastAsia="zh-CN"/>
        </w:rPr>
      </w:pPr>
      <w:r>
        <w:rPr>
          <w:rFonts w:hint="eastAsia" w:ascii="楷体_GB2312" w:hAnsi="楷体_GB2312" w:eastAsia="楷体_GB2312" w:cs="楷体_GB2312"/>
          <w:color w:val="auto"/>
          <w:szCs w:val="32"/>
          <w:lang w:val="en-US" w:eastAsia="zh-CN"/>
        </w:rPr>
        <w:t>1.</w:t>
      </w:r>
      <w:r>
        <w:rPr>
          <w:rFonts w:hint="eastAsia" w:ascii="楷体_GB2312" w:hAnsi="楷体_GB2312" w:eastAsia="楷体_GB2312" w:cs="楷体_GB2312"/>
          <w:color w:val="auto"/>
          <w:szCs w:val="32"/>
          <w:lang w:eastAsia="zh-CN"/>
        </w:rPr>
        <w:t>项目决策。</w:t>
      </w:r>
      <w:r>
        <w:rPr>
          <w:rFonts w:hint="eastAsia" w:ascii="仿宋_GB2312" w:hAnsi="仿宋_GB2312" w:eastAsia="仿宋_GB2312" w:cs="仿宋_GB2312"/>
          <w:b w:val="0"/>
          <w:bCs/>
          <w:sz w:val="32"/>
          <w:szCs w:val="32"/>
          <w:lang w:val="zh-CN"/>
        </w:rPr>
        <w:t>一是贯彻落实中央关于自然资源工作的方针政策和</w:t>
      </w:r>
      <w:r>
        <w:rPr>
          <w:rFonts w:hint="eastAsia" w:ascii="仿宋_GB2312" w:hAnsi="宋体" w:eastAsia="仿宋_GB2312" w:cs="Times New Roman"/>
          <w:sz w:val="32"/>
          <w:szCs w:val="32"/>
          <w:lang w:val="zh-CN" w:eastAsia="zh-CN"/>
        </w:rPr>
        <w:t>省委、市委决策部署，并按照单位的职能职责，资金预算合规、科学、合理的同时，把预算、绩效和自然资源改革发展工作深度融合。二是履行预算绩效设立审核程序，经集体研究决策后纳入预算。三是细化量化项目绩效目标，编制预算时对科室申报的预算项目进行全面梳理，严把审核关，所有项目必须有明细的资金测算，对审核后的所有项目全部进行入库管理。</w:t>
      </w:r>
    </w:p>
    <w:p w14:paraId="58EA7883">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textAlignment w:val="auto"/>
        <w:rPr>
          <w:rFonts w:hint="eastAsia" w:ascii="仿宋_GB2312" w:hAnsi="宋体" w:eastAsia="仿宋_GB2312" w:cs="Times New Roman"/>
          <w:sz w:val="32"/>
          <w:szCs w:val="32"/>
          <w:lang w:val="en-US" w:eastAsia="zh-CN"/>
        </w:rPr>
      </w:pPr>
      <w:r>
        <w:rPr>
          <w:rFonts w:hint="eastAsia" w:ascii="仿宋_GB2312" w:hAnsi="宋体" w:eastAsia="仿宋_GB2312" w:cs="Times New Roman"/>
          <w:sz w:val="32"/>
          <w:szCs w:val="32"/>
          <w:lang w:val="en-US" w:eastAsia="zh-CN"/>
        </w:rPr>
        <w:t>2.</w:t>
      </w:r>
      <w:r>
        <w:rPr>
          <w:rFonts w:hint="eastAsia" w:ascii="仿宋_GB2312" w:hAnsi="宋体" w:eastAsia="仿宋_GB2312" w:cs="Times New Roman"/>
          <w:sz w:val="32"/>
          <w:szCs w:val="32"/>
          <w:lang w:eastAsia="zh-CN"/>
        </w:rPr>
        <w:t>项目管理。</w:t>
      </w:r>
      <w:r>
        <w:rPr>
          <w:rFonts w:hint="eastAsia" w:ascii="仿宋_GB2312" w:hAnsi="宋体" w:eastAsia="仿宋_GB2312" w:cs="Times New Roman"/>
          <w:sz w:val="32"/>
          <w:szCs w:val="32"/>
          <w:lang w:val="en-US" w:eastAsia="zh-CN"/>
        </w:rPr>
        <w:t>一是</w:t>
      </w:r>
      <w:r>
        <w:rPr>
          <w:rFonts w:hint="eastAsia" w:ascii="仿宋_GB2312" w:hAnsi="宋体" w:eastAsia="仿宋_GB2312" w:cs="Times New Roman"/>
          <w:sz w:val="32"/>
          <w:szCs w:val="32"/>
          <w:lang w:val="zh-CN" w:eastAsia="zh-CN"/>
        </w:rPr>
        <w:t>履行</w:t>
      </w:r>
      <w:r>
        <w:rPr>
          <w:rFonts w:hint="eastAsia" w:ascii="仿宋_GB2312" w:hAnsi="宋体" w:eastAsia="仿宋_GB2312" w:cs="Times New Roman"/>
          <w:sz w:val="32"/>
          <w:szCs w:val="32"/>
          <w:lang w:val="en-US" w:eastAsia="zh-CN"/>
        </w:rPr>
        <w:t>项目</w:t>
      </w:r>
      <w:r>
        <w:rPr>
          <w:rFonts w:hint="eastAsia" w:ascii="仿宋_GB2312" w:hAnsi="宋体" w:eastAsia="仿宋_GB2312" w:cs="Times New Roman"/>
          <w:sz w:val="32"/>
          <w:szCs w:val="32"/>
          <w:lang w:val="zh-CN" w:eastAsia="zh-CN"/>
        </w:rPr>
        <w:t>预算绩效设立审核程序，经集体研究决策后纳入</w:t>
      </w:r>
      <w:r>
        <w:rPr>
          <w:rFonts w:hint="eastAsia" w:ascii="仿宋_GB2312" w:hAnsi="宋体" w:eastAsia="仿宋_GB2312" w:cs="Times New Roman"/>
          <w:sz w:val="32"/>
          <w:szCs w:val="32"/>
          <w:lang w:val="en-US" w:eastAsia="zh-CN"/>
        </w:rPr>
        <w:t>基建</w:t>
      </w:r>
      <w:r>
        <w:rPr>
          <w:rFonts w:hint="eastAsia" w:ascii="仿宋_GB2312" w:hAnsi="宋体" w:eastAsia="仿宋_GB2312" w:cs="Times New Roman"/>
          <w:sz w:val="32"/>
          <w:szCs w:val="32"/>
          <w:lang w:val="zh-CN" w:eastAsia="zh-CN"/>
        </w:rPr>
        <w:t>预算。</w:t>
      </w:r>
      <w:r>
        <w:rPr>
          <w:rFonts w:hint="eastAsia" w:ascii="仿宋_GB2312" w:hAnsi="宋体" w:eastAsia="仿宋_GB2312" w:cs="Times New Roman"/>
          <w:sz w:val="32"/>
          <w:szCs w:val="32"/>
          <w:lang w:val="en-US" w:eastAsia="zh-CN"/>
        </w:rPr>
        <w:t>二</w:t>
      </w:r>
      <w:r>
        <w:rPr>
          <w:rFonts w:hint="eastAsia" w:ascii="仿宋_GB2312" w:hAnsi="宋体" w:eastAsia="仿宋_GB2312" w:cs="Times New Roman"/>
          <w:sz w:val="32"/>
          <w:szCs w:val="32"/>
          <w:lang w:val="zh-CN" w:eastAsia="zh-CN"/>
        </w:rPr>
        <w:t>是细化量化项目绩效目标，编制预算时对科室申报的预算项目进行全面梳理，严把审核关，项目必须有明细的资金测算，对审核后进行入库管理。</w:t>
      </w:r>
      <w:r>
        <w:rPr>
          <w:rFonts w:hint="eastAsia" w:ascii="仿宋_GB2312" w:hAnsi="宋体" w:eastAsia="仿宋_GB2312" w:cs="Times New Roman"/>
          <w:sz w:val="32"/>
          <w:szCs w:val="32"/>
          <w:lang w:eastAsia="zh-CN"/>
        </w:rPr>
        <w:t>项目决策科学，依据充分，项目管理规范；绩效执行进度达到预期；项目完成效果好，实施后达到了预期目的。</w:t>
      </w:r>
      <w:r>
        <w:rPr>
          <w:rFonts w:hint="eastAsia" w:ascii="仿宋_GB2312" w:hAnsi="宋体" w:eastAsia="仿宋_GB2312" w:cs="Times New Roman"/>
          <w:sz w:val="32"/>
          <w:szCs w:val="32"/>
          <w:lang w:val="en-US" w:eastAsia="zh-CN"/>
        </w:rPr>
        <w:t>财政下达资金后，我局严格按照《预算法》《项目资金管理办法》及时支付，确保项目按时按质完成。</w:t>
      </w:r>
    </w:p>
    <w:p w14:paraId="4DBC64DE">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textAlignment w:val="auto"/>
        <w:rPr>
          <w:rFonts w:hint="eastAsia" w:ascii="仿宋_GB2312" w:hAnsi="宋体" w:eastAsia="仿宋_GB2312" w:cs="Times New Roman"/>
          <w:sz w:val="32"/>
          <w:szCs w:val="32"/>
          <w:lang w:eastAsia="zh-CN"/>
        </w:rPr>
      </w:pPr>
      <w:r>
        <w:rPr>
          <w:rFonts w:hint="eastAsia" w:ascii="仿宋_GB2312" w:hAnsi="宋体" w:eastAsia="仿宋_GB2312" w:cs="Times New Roman"/>
          <w:sz w:val="32"/>
          <w:szCs w:val="32"/>
          <w:lang w:val="en-US" w:eastAsia="zh-CN"/>
        </w:rPr>
        <w:t>3.项目实施。按照合同约定我局于2023年12月支付市地籍事务中心辅助性技术服务费328.61万元，预算执行率100%。资金使用过程中严格按照</w:t>
      </w:r>
      <w:r>
        <w:rPr>
          <w:rFonts w:hint="eastAsia" w:ascii="仿宋_GB2312" w:hAnsi="宋体" w:eastAsia="仿宋_GB2312" w:cs="Times New Roman"/>
          <w:sz w:val="32"/>
          <w:szCs w:val="32"/>
          <w:lang w:eastAsia="zh-CN"/>
        </w:rPr>
        <w:t>我局制</w:t>
      </w:r>
      <w:r>
        <w:rPr>
          <w:rFonts w:hint="eastAsia" w:ascii="仿宋_GB2312" w:hAnsi="宋体" w:eastAsia="仿宋_GB2312" w:cs="Times New Roman"/>
          <w:sz w:val="32"/>
          <w:szCs w:val="32"/>
          <w:lang w:val="en-US" w:eastAsia="zh-CN"/>
        </w:rPr>
        <w:t>定的</w:t>
      </w:r>
      <w:r>
        <w:rPr>
          <w:rFonts w:hint="eastAsia" w:ascii="仿宋_GB2312" w:hAnsi="宋体" w:eastAsia="仿宋_GB2312" w:cs="Times New Roman"/>
          <w:sz w:val="32"/>
          <w:szCs w:val="32"/>
          <w:lang w:eastAsia="zh-CN"/>
        </w:rPr>
        <w:t>《财务管理制度》《专项资金管理制度》《三重一大制度》，确保项目</w:t>
      </w:r>
      <w:r>
        <w:rPr>
          <w:rFonts w:hint="eastAsia" w:ascii="仿宋_GB2312" w:hAnsi="宋体" w:eastAsia="仿宋_GB2312" w:cs="Times New Roman"/>
          <w:sz w:val="32"/>
          <w:szCs w:val="32"/>
          <w:lang w:val="en-US" w:eastAsia="zh-CN"/>
        </w:rPr>
        <w:t>资金</w:t>
      </w:r>
      <w:r>
        <w:rPr>
          <w:rFonts w:hint="eastAsia" w:ascii="仿宋_GB2312" w:hAnsi="宋体" w:eastAsia="仿宋_GB2312" w:cs="Times New Roman"/>
          <w:sz w:val="32"/>
          <w:szCs w:val="32"/>
          <w:lang w:eastAsia="zh-CN"/>
        </w:rPr>
        <w:t>高效率使用，</w:t>
      </w:r>
      <w:r>
        <w:rPr>
          <w:rFonts w:hint="eastAsia" w:ascii="仿宋_GB2312" w:hAnsi="宋体" w:eastAsia="仿宋_GB2312" w:cs="Times New Roman"/>
          <w:sz w:val="32"/>
          <w:szCs w:val="32"/>
          <w:lang w:val="en-US" w:eastAsia="zh-CN"/>
        </w:rPr>
        <w:t>做到</w:t>
      </w:r>
      <w:r>
        <w:rPr>
          <w:rFonts w:hint="eastAsia" w:ascii="仿宋_GB2312" w:hAnsi="宋体" w:eastAsia="仿宋_GB2312" w:cs="Times New Roman"/>
          <w:sz w:val="32"/>
          <w:szCs w:val="32"/>
          <w:lang w:eastAsia="zh-CN"/>
        </w:rPr>
        <w:t>专款专用，无截留，无挪用。</w:t>
      </w:r>
    </w:p>
    <w:p w14:paraId="3B84BF15">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textAlignment w:val="auto"/>
        <w:rPr>
          <w:rFonts w:hint="eastAsia" w:ascii="仿宋_GB2312" w:hAnsi="宋体" w:eastAsia="仿宋_GB2312" w:cs="Times New Roman"/>
          <w:sz w:val="32"/>
          <w:szCs w:val="32"/>
          <w:lang w:val="en-US" w:eastAsia="zh-CN"/>
        </w:rPr>
      </w:pPr>
      <w:r>
        <w:rPr>
          <w:rFonts w:hint="eastAsia" w:ascii="仿宋_GB2312" w:hAnsi="宋体" w:eastAsia="仿宋_GB2312" w:cs="Times New Roman"/>
          <w:sz w:val="32"/>
          <w:szCs w:val="32"/>
          <w:lang w:val="en-US" w:eastAsia="zh-CN"/>
        </w:rPr>
        <w:t>4.项目结果。完成土地报征和临时用地技术审查2000亩；城乡建设用地增减挂钩试点项目核查及整改核实15000亩；卫片执法图斑核实10000个；综合执法案件查办10个；在建与生产矿山生态修复“双随机一公开”核查160个；历史遗留废弃生态修复项目“回头看”核查和项目验收核查231个；历史遗留废弃矿山未治理图斑核查99个；综合动态监测图斑市级核查150000个；年度变更调查图斑市级核查240000个；经营性用地技术服务1800亩。促进广元自然资源工作的高效开展。</w:t>
      </w:r>
    </w:p>
    <w:p w14:paraId="01F83384">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楷体_GB2312" w:hAnsi="宋体" w:eastAsia="楷体_GB2312" w:cs="Times New Roman"/>
          <w:b/>
          <w:color w:val="auto"/>
          <w:sz w:val="32"/>
          <w:szCs w:val="32"/>
          <w:highlight w:val="none"/>
          <w:u w:val="none"/>
          <w:lang w:val="zh-CN" w:eastAsia="zh-CN"/>
        </w:rPr>
      </w:pPr>
      <w:r>
        <w:rPr>
          <w:rFonts w:hint="eastAsia" w:ascii="楷体_GB2312" w:hAnsi="宋体" w:eastAsia="楷体_GB2312" w:cs="Times New Roman"/>
          <w:b/>
          <w:color w:val="auto"/>
          <w:sz w:val="32"/>
          <w:szCs w:val="32"/>
          <w:highlight w:val="none"/>
          <w:u w:val="none"/>
          <w:lang w:val="zh-CN"/>
        </w:rPr>
        <w:t>（二）</w:t>
      </w:r>
      <w:r>
        <w:rPr>
          <w:rFonts w:hint="eastAsia" w:ascii="楷体_GB2312" w:hAnsi="宋体" w:eastAsia="楷体_GB2312" w:cs="Times New Roman"/>
          <w:b/>
          <w:color w:val="auto"/>
          <w:sz w:val="32"/>
          <w:szCs w:val="32"/>
          <w:highlight w:val="none"/>
          <w:u w:val="none"/>
          <w:lang w:val="en-US" w:eastAsia="zh-CN"/>
        </w:rPr>
        <w:t>专用指标</w:t>
      </w:r>
      <w:r>
        <w:rPr>
          <w:rFonts w:hint="default" w:ascii="楷体_GB2312" w:hAnsi="宋体" w:eastAsia="楷体_GB2312" w:cs="Times New Roman"/>
          <w:b/>
          <w:color w:val="auto"/>
          <w:sz w:val="32"/>
          <w:szCs w:val="32"/>
          <w:highlight w:val="none"/>
          <w:u w:val="none"/>
          <w:lang w:val="zh-CN"/>
        </w:rPr>
        <w:t>绩效分析</w:t>
      </w:r>
      <w:r>
        <w:rPr>
          <w:rFonts w:hint="eastAsia" w:ascii="楷体_GB2312" w:hAnsi="宋体" w:eastAsia="楷体_GB2312" w:cs="Times New Roman"/>
          <w:b/>
          <w:color w:val="auto"/>
          <w:sz w:val="32"/>
          <w:szCs w:val="32"/>
          <w:highlight w:val="none"/>
          <w:u w:val="none"/>
          <w:lang w:val="zh-CN" w:eastAsia="zh-CN"/>
        </w:rPr>
        <w:t>。</w:t>
      </w:r>
    </w:p>
    <w:p w14:paraId="50A1DB89">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textAlignment w:val="auto"/>
        <w:rPr>
          <w:rFonts w:hint="eastAsia" w:ascii="仿宋_GB2312" w:hAnsi="宋体" w:eastAsia="仿宋_GB2312" w:cs="Times New Roman"/>
          <w:sz w:val="32"/>
          <w:szCs w:val="32"/>
          <w:lang w:val="en-US" w:eastAsia="zh-CN"/>
        </w:rPr>
      </w:pPr>
      <w:r>
        <w:rPr>
          <w:rFonts w:hint="eastAsia" w:ascii="仿宋_GB2312" w:hAnsi="宋体" w:eastAsia="仿宋_GB2312" w:cs="Times New Roman"/>
          <w:sz w:val="32"/>
          <w:szCs w:val="32"/>
          <w:lang w:val="en-US" w:eastAsia="zh-CN"/>
        </w:rPr>
        <w:t>1.产业发展。该项目是市委市政府支持重点项目。加强政府购买服务预算管理，促进转变政府职能，改善公共服务供给，优化资源配置，提高政府资金使用效益。促进广元自然资源工作的高效开展。</w:t>
      </w:r>
    </w:p>
    <w:p w14:paraId="0893681D">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textAlignment w:val="auto"/>
        <w:rPr>
          <w:rFonts w:hint="eastAsia" w:ascii="仿宋_GB2312" w:hAnsi="宋体" w:eastAsia="仿宋_GB2312" w:cs="Times New Roman"/>
          <w:sz w:val="32"/>
          <w:szCs w:val="32"/>
          <w:lang w:val="en-US" w:eastAsia="zh-CN"/>
        </w:rPr>
      </w:pPr>
      <w:r>
        <w:rPr>
          <w:rFonts w:hint="eastAsia" w:ascii="仿宋_GB2312" w:hAnsi="宋体" w:eastAsia="仿宋_GB2312" w:cs="Times New Roman"/>
          <w:sz w:val="32"/>
          <w:szCs w:val="32"/>
          <w:lang w:val="en-US" w:eastAsia="zh-CN"/>
        </w:rPr>
        <w:t>2.</w:t>
      </w:r>
      <w:r>
        <w:rPr>
          <w:rFonts w:hint="eastAsia" w:ascii="仿宋_GB2312" w:hAnsi="宋体" w:eastAsia="仿宋_GB2312" w:cs="Times New Roman"/>
          <w:sz w:val="32"/>
          <w:szCs w:val="32"/>
          <w:lang w:val="zh-CN" w:eastAsia="zh-CN"/>
        </w:rPr>
        <w:t>行政运转。</w:t>
      </w:r>
      <w:r>
        <w:rPr>
          <w:rFonts w:hint="eastAsia" w:ascii="仿宋_GB2312" w:hAnsi="宋体" w:eastAsia="仿宋_GB2312" w:cs="Times New Roman"/>
          <w:sz w:val="32"/>
          <w:szCs w:val="32"/>
          <w:lang w:val="en-US" w:eastAsia="zh-CN"/>
        </w:rPr>
        <w:t>本</w:t>
      </w:r>
      <w:r>
        <w:rPr>
          <w:rFonts w:hint="eastAsia" w:ascii="仿宋_GB2312" w:hAnsi="宋体" w:eastAsia="仿宋_GB2312" w:cs="Times New Roman"/>
          <w:sz w:val="32"/>
          <w:szCs w:val="32"/>
          <w:lang w:val="zh-CN" w:eastAsia="zh-CN"/>
        </w:rPr>
        <w:t>单位财务管理制度健全，严格执行财务管理制度，账务处理及时，会计核算规范。</w:t>
      </w:r>
    </w:p>
    <w:p w14:paraId="507BF851">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default" w:ascii="楷体_GB2312" w:hAnsi="宋体" w:eastAsia="楷体_GB2312" w:cs="Times New Roman"/>
          <w:b/>
          <w:color w:val="auto"/>
          <w:sz w:val="32"/>
          <w:szCs w:val="32"/>
          <w:highlight w:val="none"/>
          <w:u w:val="none"/>
          <w:lang w:val="zh-CN"/>
        </w:rPr>
      </w:pPr>
      <w:r>
        <w:rPr>
          <w:rFonts w:hint="eastAsia" w:ascii="楷体_GB2312" w:hAnsi="宋体" w:eastAsia="楷体_GB2312" w:cs="Times New Roman"/>
          <w:b/>
          <w:color w:val="auto"/>
          <w:sz w:val="32"/>
          <w:szCs w:val="32"/>
          <w:highlight w:val="none"/>
          <w:u w:val="none"/>
          <w:lang w:val="zh-CN"/>
        </w:rPr>
        <w:t>（三）</w:t>
      </w:r>
      <w:r>
        <w:rPr>
          <w:rFonts w:hint="eastAsia" w:ascii="楷体_GB2312" w:hAnsi="宋体" w:eastAsia="楷体_GB2312" w:cs="Times New Roman"/>
          <w:b/>
          <w:color w:val="auto"/>
          <w:sz w:val="32"/>
          <w:szCs w:val="32"/>
          <w:highlight w:val="none"/>
          <w:u w:val="none"/>
          <w:lang w:val="en-US" w:eastAsia="zh-CN"/>
        </w:rPr>
        <w:t>个性指标</w:t>
      </w:r>
      <w:r>
        <w:rPr>
          <w:rFonts w:hint="default" w:ascii="楷体_GB2312" w:hAnsi="宋体" w:eastAsia="楷体_GB2312" w:cs="Times New Roman"/>
          <w:b/>
          <w:color w:val="auto"/>
          <w:sz w:val="32"/>
          <w:szCs w:val="32"/>
          <w:highlight w:val="none"/>
          <w:u w:val="none"/>
          <w:lang w:val="zh-CN"/>
        </w:rPr>
        <w:t>绩效分析。</w:t>
      </w:r>
    </w:p>
    <w:p w14:paraId="5877BF22">
      <w:pPr>
        <w:pStyle w:val="7"/>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仿宋_GB2312" w:hAnsi="宋体" w:eastAsia="仿宋_GB2312" w:cs="Times New Roman"/>
          <w:kern w:val="2"/>
          <w:sz w:val="32"/>
          <w:szCs w:val="32"/>
          <w:lang w:val="en-US" w:eastAsia="zh-CN" w:bidi="ar-SA"/>
        </w:rPr>
      </w:pPr>
      <w:r>
        <w:rPr>
          <w:rFonts w:hint="eastAsia" w:ascii="仿宋_GB2312" w:hAnsi="宋体" w:eastAsia="仿宋_GB2312" w:cs="Times New Roman"/>
          <w:kern w:val="2"/>
          <w:sz w:val="32"/>
          <w:szCs w:val="32"/>
          <w:lang w:val="en-US" w:eastAsia="zh-CN" w:bidi="ar-SA"/>
        </w:rPr>
        <w:t>完成土地报征和临时用地技术审查2000亩；城乡建设用地增减挂钩试点项目核查及整改核实15000亩；卫片执法图斑核实10000个；综合执法案件查办10个；在建与生产矿山生态修复“双随机一公开”核查160个；历史遗留废弃生态修复项目“回头看”核查和项目验收核查231个；历史遗留废弃矿山未治理图斑核查99个；综合动态监测图斑市级核查150000个；年度变更调查图斑市级核查240000个；经营性用地技术服务1800亩。</w:t>
      </w:r>
    </w:p>
    <w:p w14:paraId="40E82DF8">
      <w:pPr>
        <w:pStyle w:val="7"/>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olor w:val="auto"/>
          <w:sz w:val="32"/>
          <w:szCs w:val="32"/>
          <w:highlight w:val="none"/>
          <w:u w:val="none"/>
        </w:rPr>
      </w:pPr>
      <w:r>
        <w:rPr>
          <w:rFonts w:hint="eastAsia" w:ascii="黑体" w:hAnsi="宋体" w:eastAsia="黑体"/>
          <w:color w:val="auto"/>
          <w:sz w:val="32"/>
          <w:szCs w:val="32"/>
          <w:highlight w:val="none"/>
          <w:u w:val="none"/>
          <w:lang w:eastAsia="zh-CN"/>
        </w:rPr>
        <w:t>四</w:t>
      </w:r>
      <w:r>
        <w:rPr>
          <w:rFonts w:hint="eastAsia" w:ascii="黑体" w:hAnsi="宋体" w:eastAsia="黑体"/>
          <w:color w:val="auto"/>
          <w:sz w:val="32"/>
          <w:szCs w:val="32"/>
          <w:highlight w:val="none"/>
          <w:u w:val="none"/>
        </w:rPr>
        <w:t>、评价结论</w:t>
      </w:r>
    </w:p>
    <w:p w14:paraId="52128A8C">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textAlignment w:val="auto"/>
        <w:rPr>
          <w:rFonts w:hint="eastAsia" w:ascii="仿宋_GB2312" w:hAnsi="宋体" w:eastAsia="仿宋_GB2312" w:cs="Times New Roman"/>
          <w:sz w:val="32"/>
          <w:szCs w:val="32"/>
          <w:lang w:eastAsia="zh-CN"/>
        </w:rPr>
      </w:pPr>
      <w:r>
        <w:rPr>
          <w:rFonts w:hint="eastAsia" w:ascii="仿宋_GB2312" w:hAnsi="宋体" w:eastAsia="仿宋_GB2312" w:cs="Times New Roman"/>
          <w:sz w:val="32"/>
          <w:szCs w:val="32"/>
          <w:lang w:eastAsia="zh-CN"/>
        </w:rPr>
        <w:t>按照《</w:t>
      </w:r>
      <w:r>
        <w:rPr>
          <w:rFonts w:hint="eastAsia" w:ascii="仿宋_GB2312" w:hAnsi="宋体" w:eastAsia="仿宋_GB2312" w:cs="Times New Roman"/>
          <w:sz w:val="32"/>
          <w:szCs w:val="32"/>
          <w:lang w:val="en-US" w:eastAsia="zh-CN"/>
        </w:rPr>
        <w:t>专项预算项目</w:t>
      </w:r>
      <w:r>
        <w:rPr>
          <w:rFonts w:hint="eastAsia" w:ascii="仿宋_GB2312" w:hAnsi="宋体" w:eastAsia="仿宋_GB2312" w:cs="Times New Roman"/>
          <w:sz w:val="32"/>
          <w:szCs w:val="32"/>
          <w:lang w:eastAsia="zh-CN"/>
        </w:rPr>
        <w:t>绩效评价指标体系》，自评得分</w:t>
      </w:r>
      <w:r>
        <w:rPr>
          <w:rFonts w:hint="eastAsia" w:ascii="仿宋_GB2312" w:hAnsi="宋体" w:eastAsia="仿宋_GB2312" w:cs="Times New Roman"/>
          <w:sz w:val="32"/>
          <w:szCs w:val="32"/>
          <w:lang w:val="en-US" w:eastAsia="zh-CN"/>
        </w:rPr>
        <w:t>100</w:t>
      </w:r>
      <w:r>
        <w:rPr>
          <w:rFonts w:hint="eastAsia" w:ascii="仿宋_GB2312" w:hAnsi="宋体" w:eastAsia="仿宋_GB2312" w:cs="Times New Roman"/>
          <w:sz w:val="32"/>
          <w:szCs w:val="32"/>
          <w:lang w:eastAsia="zh-CN"/>
        </w:rPr>
        <w:t>分。</w:t>
      </w:r>
      <w:r>
        <w:rPr>
          <w:rFonts w:hint="eastAsia" w:ascii="仿宋_GB2312" w:hAnsi="宋体" w:eastAsia="仿宋_GB2312" w:cs="Times New Roman"/>
          <w:sz w:val="32"/>
          <w:szCs w:val="32"/>
          <w:lang w:val="en-US" w:eastAsia="zh-CN"/>
        </w:rPr>
        <w:t>我</w:t>
      </w:r>
      <w:r>
        <w:rPr>
          <w:rFonts w:hint="eastAsia" w:ascii="仿宋_GB2312" w:hAnsi="宋体" w:eastAsia="仿宋_GB2312" w:cs="Times New Roman"/>
          <w:sz w:val="32"/>
          <w:szCs w:val="32"/>
          <w:lang w:eastAsia="zh-CN"/>
        </w:rPr>
        <w:t>局严格执行财经纪律、法规和各项规章制度，加强财务管理，规范会计核算，资金高效运行。项目决策科学，依据充分，项目管理规范；绩效执行进度达到预期；项目完成效果好，实施后达到了预期目的。</w:t>
      </w:r>
    </w:p>
    <w:p w14:paraId="0C592D0C">
      <w:pPr>
        <w:pStyle w:val="7"/>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s="Times New Roman"/>
          <w:color w:val="auto"/>
          <w:sz w:val="32"/>
          <w:szCs w:val="32"/>
          <w:highlight w:val="none"/>
          <w:u w:val="none"/>
          <w:lang w:eastAsia="zh-CN"/>
        </w:rPr>
      </w:pPr>
      <w:r>
        <w:rPr>
          <w:rFonts w:hint="eastAsia" w:ascii="黑体" w:hAnsi="宋体" w:cs="Times New Roman"/>
          <w:color w:val="auto"/>
          <w:sz w:val="32"/>
          <w:szCs w:val="32"/>
          <w:highlight w:val="none"/>
          <w:u w:val="none"/>
          <w:lang w:eastAsia="zh-CN"/>
        </w:rPr>
        <w:t>五、</w:t>
      </w:r>
      <w:r>
        <w:rPr>
          <w:rFonts w:hint="eastAsia" w:ascii="黑体" w:hAnsi="宋体" w:eastAsia="黑体" w:cs="Times New Roman"/>
          <w:color w:val="auto"/>
          <w:sz w:val="32"/>
          <w:szCs w:val="32"/>
          <w:highlight w:val="none"/>
          <w:u w:val="none"/>
          <w:lang w:eastAsia="zh-CN"/>
        </w:rPr>
        <w:t>存在主要问题</w:t>
      </w:r>
    </w:p>
    <w:p w14:paraId="2A7215DC">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both"/>
        <w:textAlignment w:val="auto"/>
        <w:rPr>
          <w:rFonts w:hint="eastAsia" w:ascii="仿宋_GB2312" w:hAnsi="仿宋_GB2312" w:cs="仿宋_GB2312"/>
          <w:color w:val="auto"/>
          <w:kern w:val="0"/>
          <w:sz w:val="32"/>
          <w:szCs w:val="32"/>
          <w:highlight w:val="none"/>
          <w:u w:val="none"/>
          <w:shd w:val="clear" w:color="auto" w:fill="FFFFFF"/>
          <w:lang w:val="zh-CN" w:eastAsia="zh-CN"/>
        </w:rPr>
      </w:pPr>
      <w:r>
        <w:rPr>
          <w:rFonts w:hint="eastAsia" w:ascii="仿宋_GB2312" w:hAnsi="仿宋_GB2312" w:eastAsia="仿宋_GB2312" w:cs="仿宋_GB2312"/>
          <w:color w:val="auto"/>
          <w:kern w:val="0"/>
          <w:sz w:val="32"/>
          <w:szCs w:val="32"/>
          <w:highlight w:val="none"/>
          <w:u w:val="none"/>
          <w:shd w:val="clear" w:color="auto" w:fill="FFFFFF"/>
          <w:lang w:val="zh-CN" w:eastAsia="zh-CN"/>
        </w:rPr>
        <w:t xml:space="preserve"> </w:t>
      </w:r>
      <w:r>
        <w:rPr>
          <w:rFonts w:hint="eastAsia" w:ascii="仿宋_GB2312" w:hAnsi="仿宋_GB2312" w:cs="仿宋_GB2312"/>
          <w:color w:val="auto"/>
          <w:kern w:val="0"/>
          <w:sz w:val="32"/>
          <w:szCs w:val="32"/>
          <w:highlight w:val="none"/>
          <w:u w:val="none"/>
          <w:shd w:val="clear" w:color="auto" w:fill="FFFFFF"/>
          <w:lang w:val="en-US" w:eastAsia="zh-CN"/>
        </w:rPr>
        <w:t>无</w:t>
      </w:r>
      <w:r>
        <w:rPr>
          <w:rFonts w:hint="eastAsia" w:ascii="仿宋_GB2312" w:hAnsi="仿宋_GB2312" w:cs="仿宋_GB2312"/>
          <w:color w:val="auto"/>
          <w:kern w:val="0"/>
          <w:sz w:val="32"/>
          <w:szCs w:val="32"/>
          <w:highlight w:val="none"/>
          <w:u w:val="none"/>
          <w:shd w:val="clear" w:color="auto" w:fill="FFFFFF"/>
          <w:lang w:val="zh-CN" w:eastAsia="zh-CN"/>
        </w:rPr>
        <w:t>。</w:t>
      </w:r>
    </w:p>
    <w:p w14:paraId="2ADFE097">
      <w:pPr>
        <w:pStyle w:val="7"/>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s="Times New Roman"/>
          <w:color w:val="auto"/>
          <w:kern w:val="0"/>
          <w:position w:val="3"/>
          <w:sz w:val="32"/>
          <w:szCs w:val="32"/>
          <w:highlight w:val="none"/>
          <w:u w:val="none"/>
          <w:lang w:val="zh-CN" w:eastAsia="zh-CN" w:bidi="ar-SA"/>
        </w:rPr>
      </w:pPr>
      <w:r>
        <w:rPr>
          <w:rFonts w:hint="eastAsia" w:ascii="黑体" w:hAnsi="宋体" w:eastAsia="黑体" w:cs="Times New Roman"/>
          <w:color w:val="auto"/>
          <w:kern w:val="0"/>
          <w:position w:val="3"/>
          <w:sz w:val="32"/>
          <w:szCs w:val="32"/>
          <w:highlight w:val="none"/>
          <w:u w:val="none"/>
          <w:lang w:val="zh-CN" w:eastAsia="zh-CN" w:bidi="ar-SA"/>
        </w:rPr>
        <w:t>六、改进建议</w:t>
      </w:r>
    </w:p>
    <w:p w14:paraId="1EF08EA1">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both"/>
        <w:textAlignment w:val="auto"/>
        <w:rPr>
          <w:rFonts w:hint="eastAsia" w:ascii="仿宋_GB2312" w:hAnsi="仿宋_GB2312" w:cs="仿宋_GB2312"/>
          <w:color w:val="auto"/>
          <w:kern w:val="0"/>
          <w:sz w:val="32"/>
          <w:szCs w:val="32"/>
          <w:highlight w:val="none"/>
          <w:u w:val="none"/>
          <w:shd w:val="clear" w:color="auto" w:fill="FFFFFF"/>
          <w:lang w:val="zh-CN" w:eastAsia="zh-CN"/>
        </w:rPr>
      </w:pPr>
      <w:r>
        <w:rPr>
          <w:rFonts w:hint="eastAsia" w:ascii="仿宋_GB2312" w:hAnsi="仿宋_GB2312" w:eastAsia="仿宋_GB2312" w:cs="仿宋_GB2312"/>
          <w:color w:val="auto"/>
          <w:kern w:val="0"/>
          <w:sz w:val="32"/>
          <w:szCs w:val="32"/>
          <w:highlight w:val="none"/>
          <w:u w:val="none"/>
          <w:shd w:val="clear" w:color="auto" w:fill="FFFFFF"/>
          <w:lang w:val="zh-CN" w:eastAsia="zh-CN"/>
        </w:rPr>
        <w:t xml:space="preserve"> </w:t>
      </w:r>
      <w:r>
        <w:rPr>
          <w:rFonts w:hint="eastAsia" w:ascii="仿宋_GB2312" w:hAnsi="仿宋_GB2312" w:cs="仿宋_GB2312"/>
          <w:color w:val="auto"/>
          <w:kern w:val="0"/>
          <w:sz w:val="32"/>
          <w:szCs w:val="32"/>
          <w:highlight w:val="none"/>
          <w:u w:val="none"/>
          <w:shd w:val="clear" w:color="auto" w:fill="FFFFFF"/>
          <w:lang w:val="en-US" w:eastAsia="zh-CN"/>
        </w:rPr>
        <w:t>无</w:t>
      </w:r>
      <w:r>
        <w:rPr>
          <w:rFonts w:hint="eastAsia" w:ascii="仿宋_GB2312" w:hAnsi="仿宋_GB2312" w:cs="仿宋_GB2312"/>
          <w:color w:val="auto"/>
          <w:kern w:val="0"/>
          <w:sz w:val="32"/>
          <w:szCs w:val="32"/>
          <w:highlight w:val="none"/>
          <w:u w:val="none"/>
          <w:shd w:val="clear" w:color="auto" w:fill="FFFFFF"/>
          <w:lang w:val="zh-CN" w:eastAsia="zh-CN"/>
        </w:rPr>
        <w:t>。</w:t>
      </w:r>
    </w:p>
    <w:p w14:paraId="3F717448">
      <w:pPr>
        <w:keepNext w:val="0"/>
        <w:keepLines w:val="0"/>
        <w:pageBreakBefore w:val="0"/>
        <w:kinsoku/>
        <w:wordWrap/>
        <w:overflowPunct/>
        <w:topLinePunct w:val="0"/>
        <w:autoSpaceDE/>
        <w:autoSpaceDN/>
        <w:bidi w:val="0"/>
        <w:adjustRightInd/>
        <w:snapToGrid w:val="0"/>
        <w:spacing w:line="578" w:lineRule="exact"/>
        <w:ind w:left="0" w:leftChars="0" w:firstLine="420" w:firstLineChars="200"/>
        <w:textAlignment w:val="auto"/>
        <w:outlineLvl w:val="9"/>
        <w:rPr>
          <w:rFonts w:hint="eastAsia" w:ascii="Times New Roman" w:hAnsi="Times New Roman" w:cs="Times New Roman"/>
          <w:color w:val="000000"/>
          <w:kern w:val="0"/>
          <w:szCs w:val="32"/>
          <w:highlight w:val="none"/>
          <w:shd w:val="clear" w:color="auto" w:fill="FFFFFF"/>
          <w:lang w:val="zh-CN" w:eastAsia="zh-CN"/>
        </w:rPr>
      </w:pPr>
    </w:p>
    <w:p w14:paraId="33DE0F96">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textAlignment w:val="auto"/>
        <w:rPr>
          <w:rFonts w:hint="eastAsia" w:ascii="仿宋_GB2312" w:hAnsi="宋体" w:eastAsia="仿宋_GB2312" w:cs="Times New Roman"/>
          <w:sz w:val="32"/>
          <w:szCs w:val="32"/>
          <w:lang w:val="en-US" w:eastAsia="zh-CN"/>
        </w:rPr>
      </w:pPr>
      <w:r>
        <w:rPr>
          <w:rFonts w:hint="eastAsia" w:ascii="仿宋_GB2312" w:hAnsi="宋体" w:eastAsia="仿宋_GB2312" w:cs="Times New Roman"/>
          <w:sz w:val="32"/>
          <w:szCs w:val="32"/>
          <w:lang w:val="en-US" w:eastAsia="zh-CN"/>
        </w:rPr>
        <w:t>附表：1.项目资金分配涉及所有点位自评得分情况表</w:t>
      </w:r>
    </w:p>
    <w:p w14:paraId="7067CBD5">
      <w:pPr>
        <w:keepNext w:val="0"/>
        <w:keepLines w:val="0"/>
        <w:pageBreakBefore w:val="0"/>
        <w:widowControl w:val="0"/>
        <w:kinsoku/>
        <w:wordWrap/>
        <w:overflowPunct/>
        <w:topLinePunct w:val="0"/>
        <w:autoSpaceDE/>
        <w:autoSpaceDN/>
        <w:bidi w:val="0"/>
        <w:adjustRightInd w:val="0"/>
        <w:snapToGrid w:val="0"/>
        <w:spacing w:line="576" w:lineRule="exact"/>
        <w:ind w:firstLine="1920" w:firstLineChars="600"/>
        <w:textAlignment w:val="auto"/>
        <w:rPr>
          <w:rFonts w:hint="eastAsia" w:ascii="仿宋_GB2312" w:hAnsi="宋体" w:eastAsia="仿宋_GB2312" w:cs="Times New Roman"/>
          <w:sz w:val="32"/>
          <w:szCs w:val="32"/>
          <w:lang w:val="en-US" w:eastAsia="zh-CN"/>
        </w:rPr>
      </w:pPr>
      <w:r>
        <w:rPr>
          <w:rFonts w:hint="eastAsia" w:ascii="仿宋_GB2312" w:hAnsi="宋体" w:eastAsia="仿宋_GB2312" w:cs="Times New Roman"/>
          <w:sz w:val="32"/>
          <w:szCs w:val="32"/>
          <w:lang w:val="en-US" w:eastAsia="zh-CN"/>
        </w:rPr>
        <w:t>专项预算项目绩效目标完成情况自评表</w:t>
      </w:r>
    </w:p>
    <w:p w14:paraId="0104A6A5">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textAlignment w:val="auto"/>
        <w:rPr>
          <w:rFonts w:hint="default" w:ascii="仿宋_GB2312" w:hAnsi="宋体" w:eastAsia="仿宋_GB2312" w:cs="Times New Roman"/>
          <w:sz w:val="32"/>
          <w:szCs w:val="32"/>
          <w:lang w:val="en-US" w:eastAsia="zh-CN"/>
        </w:rPr>
      </w:pPr>
    </w:p>
    <w:p w14:paraId="526F50E1">
      <w:pPr>
        <w:pStyle w:val="2"/>
        <w:rPr>
          <w:rFonts w:hint="default"/>
          <w:lang w:val="en-US" w:eastAsia="zh-CN"/>
        </w:rPr>
      </w:pPr>
    </w:p>
    <w:p w14:paraId="7742328A">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textAlignment w:val="auto"/>
        <w:rPr>
          <w:rFonts w:hint="eastAsia" w:ascii="仿宋_GB2312" w:hAnsi="宋体" w:eastAsia="仿宋_GB2312" w:cs="Times New Roman"/>
          <w:sz w:val="32"/>
          <w:szCs w:val="32"/>
          <w:lang w:val="en-US" w:eastAsia="zh-CN"/>
        </w:rPr>
      </w:pPr>
      <w:r>
        <w:rPr>
          <w:rFonts w:hint="eastAsia" w:ascii="仿宋_GB2312" w:hAnsi="宋体" w:eastAsia="仿宋_GB2312" w:cs="Times New Roman"/>
          <w:sz w:val="32"/>
          <w:szCs w:val="32"/>
          <w:lang w:val="en-US" w:eastAsia="zh-CN"/>
        </w:rPr>
        <w:t xml:space="preserve">                   广元市自然资源局</w:t>
      </w:r>
    </w:p>
    <w:p w14:paraId="342B5ACB">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textAlignment w:val="auto"/>
        <w:rPr>
          <w:rFonts w:hint="default" w:ascii="仿宋_GB2312" w:hAnsi="宋体" w:eastAsia="仿宋_GB2312" w:cs="Times New Roman"/>
          <w:sz w:val="32"/>
          <w:szCs w:val="32"/>
          <w:lang w:val="en-US" w:eastAsia="zh-CN"/>
        </w:rPr>
      </w:pPr>
      <w:r>
        <w:rPr>
          <w:rFonts w:hint="eastAsia" w:ascii="仿宋_GB2312" w:hAnsi="宋体" w:eastAsia="仿宋_GB2312" w:cs="Times New Roman"/>
          <w:sz w:val="32"/>
          <w:szCs w:val="32"/>
          <w:lang w:val="en-US" w:eastAsia="zh-CN"/>
        </w:rPr>
        <w:t xml:space="preserve">                   2024年8月4日</w:t>
      </w:r>
    </w:p>
    <w:p w14:paraId="1192D48B">
      <w:pPr>
        <w:keepNext w:val="0"/>
        <w:keepLines w:val="0"/>
        <w:pageBreakBefore w:val="0"/>
        <w:kinsoku/>
        <w:wordWrap/>
        <w:overflowPunct/>
        <w:topLinePunct w:val="0"/>
        <w:autoSpaceDE/>
        <w:autoSpaceDN/>
        <w:bidi w:val="0"/>
        <w:adjustRightInd/>
        <w:snapToGrid w:val="0"/>
        <w:spacing w:line="578" w:lineRule="exact"/>
        <w:ind w:left="0" w:leftChars="0" w:firstLine="420" w:firstLineChars="200"/>
        <w:textAlignment w:val="auto"/>
        <w:outlineLvl w:val="9"/>
        <w:rPr>
          <w:rFonts w:hint="eastAsia" w:ascii="Times New Roman" w:hAnsi="Times New Roman" w:cs="Times New Roman"/>
          <w:color w:val="000000"/>
          <w:kern w:val="0"/>
          <w:szCs w:val="32"/>
          <w:highlight w:val="none"/>
          <w:shd w:val="clear" w:color="auto" w:fill="FFFFFF"/>
          <w:lang w:val="zh-CN" w:eastAsia="zh-CN"/>
        </w:rPr>
      </w:pPr>
      <w:r>
        <w:rPr>
          <w:rFonts w:hint="eastAsia" w:ascii="Times New Roman" w:hAnsi="Times New Roman" w:cs="Times New Roman"/>
          <w:color w:val="000000"/>
          <w:kern w:val="0"/>
          <w:szCs w:val="32"/>
          <w:highlight w:val="none"/>
          <w:shd w:val="clear" w:color="auto" w:fill="FFFFFF"/>
          <w:lang w:val="zh-CN" w:eastAsia="zh-CN"/>
        </w:rPr>
        <w:br w:type="page"/>
      </w:r>
    </w:p>
    <w:p w14:paraId="57323BD2">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contextualSpacing/>
        <w:jc w:val="left"/>
        <w:textAlignment w:val="auto"/>
        <w:rPr>
          <w:rFonts w:hint="eastAsia" w:ascii="黑体" w:hAnsi="黑体" w:eastAsia="黑体" w:cs="黑体"/>
          <w:b w:val="0"/>
          <w:bCs w:val="0"/>
          <w:color w:val="auto"/>
          <w:kern w:val="0"/>
          <w:sz w:val="32"/>
          <w:szCs w:val="32"/>
          <w:highlight w:val="none"/>
          <w:u w:val="none"/>
          <w:shd w:val="clear" w:color="auto" w:fill="FFFFFF"/>
          <w:lang w:val="zh-CN" w:eastAsia="zh-CN"/>
        </w:rPr>
      </w:pPr>
      <w:r>
        <w:rPr>
          <w:rFonts w:hint="eastAsia" w:ascii="黑体" w:hAnsi="黑体" w:eastAsia="黑体" w:cs="黑体"/>
          <w:b w:val="0"/>
          <w:bCs w:val="0"/>
          <w:color w:val="auto"/>
          <w:kern w:val="0"/>
          <w:sz w:val="32"/>
          <w:szCs w:val="32"/>
          <w:highlight w:val="none"/>
          <w:u w:val="none"/>
          <w:shd w:val="clear" w:color="auto" w:fill="FFFFFF"/>
          <w:lang w:val="zh-CN" w:eastAsia="zh-CN"/>
        </w:rPr>
        <w:t>附表</w:t>
      </w:r>
      <w:r>
        <w:rPr>
          <w:rFonts w:hint="eastAsia" w:ascii="黑体" w:hAnsi="黑体" w:eastAsia="黑体" w:cs="黑体"/>
          <w:b w:val="0"/>
          <w:bCs w:val="0"/>
          <w:color w:val="auto"/>
          <w:kern w:val="0"/>
          <w:sz w:val="32"/>
          <w:szCs w:val="32"/>
          <w:highlight w:val="none"/>
          <w:u w:val="none"/>
          <w:shd w:val="clear" w:color="auto" w:fill="FFFFFF"/>
          <w:lang w:val="en-US" w:eastAsia="zh-CN"/>
        </w:rPr>
        <w:t>1</w:t>
      </w:r>
    </w:p>
    <w:p w14:paraId="7E542AA8">
      <w:pPr>
        <w:keepNext w:val="0"/>
        <w:keepLines w:val="0"/>
        <w:pageBreakBefore w:val="0"/>
        <w:kinsoku/>
        <w:wordWrap/>
        <w:overflowPunct/>
        <w:topLinePunct w:val="0"/>
        <w:autoSpaceDE/>
        <w:autoSpaceDN/>
        <w:bidi w:val="0"/>
        <w:spacing w:line="578" w:lineRule="exact"/>
        <w:ind w:left="0" w:leftChars="0"/>
        <w:jc w:val="center"/>
        <w:textAlignment w:val="auto"/>
        <w:rPr>
          <w:rFonts w:hint="eastAsia" w:ascii="方正小标宋_GBK" w:hAnsi="方正小标宋_GBK" w:eastAsia="方正小标宋_GBK" w:cs="方正小标宋_GBK"/>
          <w:b w:val="0"/>
          <w:bCs w:val="0"/>
          <w:color w:val="auto"/>
          <w:sz w:val="40"/>
          <w:szCs w:val="40"/>
          <w:highlight w:val="none"/>
          <w:u w:val="none"/>
          <w:lang w:val="en-US" w:eastAsia="zh-CN"/>
        </w:rPr>
      </w:pPr>
      <w:r>
        <w:rPr>
          <w:rFonts w:hint="eastAsia" w:ascii="方正小标宋_GBK" w:hAnsi="方正小标宋_GBK" w:eastAsia="方正小标宋_GBK" w:cs="方正小标宋_GBK"/>
          <w:b w:val="0"/>
          <w:bCs w:val="0"/>
          <w:color w:val="auto"/>
          <w:sz w:val="40"/>
          <w:szCs w:val="40"/>
          <w:highlight w:val="none"/>
          <w:u w:val="none"/>
          <w:lang w:val="en-US" w:eastAsia="zh-CN"/>
        </w:rPr>
        <w:t>项目资金分配涉及所有点位自评得分情况表</w:t>
      </w:r>
    </w:p>
    <w:tbl>
      <w:tblPr>
        <w:tblStyle w:val="18"/>
        <w:tblW w:w="88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3"/>
        <w:gridCol w:w="5020"/>
        <w:gridCol w:w="210"/>
        <w:gridCol w:w="1474"/>
        <w:gridCol w:w="993"/>
      </w:tblGrid>
      <w:tr w14:paraId="2267D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23" w:type="dxa"/>
            <w:vAlign w:val="center"/>
          </w:tcPr>
          <w:p w14:paraId="16CEEAA4">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序号</w:t>
            </w:r>
          </w:p>
        </w:tc>
        <w:tc>
          <w:tcPr>
            <w:tcW w:w="5230" w:type="dxa"/>
            <w:gridSpan w:val="2"/>
            <w:vAlign w:val="center"/>
          </w:tcPr>
          <w:p w14:paraId="2C6F52BD">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项目资金末端分配点位</w:t>
            </w:r>
          </w:p>
        </w:tc>
        <w:tc>
          <w:tcPr>
            <w:tcW w:w="1474" w:type="dxa"/>
            <w:vAlign w:val="center"/>
          </w:tcPr>
          <w:p w14:paraId="6E21D212">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 w:eastAsia="zh-CN"/>
              </w:rPr>
              <w:t>自评得分（百分制）</w:t>
            </w:r>
          </w:p>
        </w:tc>
        <w:tc>
          <w:tcPr>
            <w:tcW w:w="993" w:type="dxa"/>
            <w:vAlign w:val="center"/>
          </w:tcPr>
          <w:p w14:paraId="593CAD7E">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备注</w:t>
            </w:r>
          </w:p>
        </w:tc>
      </w:tr>
      <w:tr w14:paraId="0FE90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23" w:type="dxa"/>
            <w:vAlign w:val="center"/>
          </w:tcPr>
          <w:p w14:paraId="1DC5E9CA">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lang w:val="en-US" w:eastAsia="zh-CN"/>
              </w:rPr>
            </w:pPr>
            <w:r>
              <w:rPr>
                <w:rFonts w:hint="eastAsia" w:ascii="仿宋_GB2312" w:hAnsi="仿宋_GB2312" w:eastAsia="仿宋_GB2312" w:cs="仿宋_GB2312"/>
                <w:b w:val="0"/>
                <w:bCs w:val="0"/>
                <w:color w:val="auto"/>
                <w:sz w:val="24"/>
                <w:szCs w:val="24"/>
                <w:highlight w:val="none"/>
                <w:u w:val="none"/>
                <w:lang w:val="en-US" w:eastAsia="zh-CN"/>
              </w:rPr>
              <w:t>1</w:t>
            </w:r>
          </w:p>
        </w:tc>
        <w:tc>
          <w:tcPr>
            <w:tcW w:w="5020" w:type="dxa"/>
            <w:vAlign w:val="center"/>
          </w:tcPr>
          <w:p w14:paraId="746FFDF4">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color w:val="auto"/>
                <w:sz w:val="24"/>
                <w:szCs w:val="24"/>
                <w:highlight w:val="none"/>
                <w:u w:val="none"/>
                <w:vertAlign w:val="baseline"/>
                <w:lang w:val="en-US" w:eastAsia="zh-CN"/>
              </w:rPr>
            </w:pPr>
            <w:r>
              <w:rPr>
                <w:rFonts w:hint="eastAsia" w:ascii="仿宋_GB2312" w:hAnsi="仿宋_GB2312" w:eastAsia="仿宋_GB2312" w:cs="仿宋_GB2312"/>
                <w:color w:val="auto"/>
                <w:sz w:val="24"/>
                <w:szCs w:val="24"/>
                <w:highlight w:val="none"/>
                <w:u w:val="none"/>
                <w:vertAlign w:val="baseline"/>
                <w:lang w:val="en-US" w:eastAsia="zh-CN"/>
              </w:rPr>
              <w:t>市地籍地政事务中心</w:t>
            </w:r>
          </w:p>
        </w:tc>
        <w:tc>
          <w:tcPr>
            <w:tcW w:w="1684" w:type="dxa"/>
            <w:gridSpan w:val="2"/>
            <w:vAlign w:val="center"/>
          </w:tcPr>
          <w:p w14:paraId="6D29DE35">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color w:val="auto"/>
                <w:sz w:val="24"/>
                <w:szCs w:val="24"/>
                <w:highlight w:val="none"/>
                <w:u w:val="none"/>
                <w:vertAlign w:val="baseline"/>
                <w:lang w:val="en-US" w:eastAsia="zh-CN"/>
              </w:rPr>
            </w:pPr>
            <w:r>
              <w:rPr>
                <w:rFonts w:hint="eastAsia" w:ascii="仿宋_GB2312" w:hAnsi="仿宋_GB2312" w:eastAsia="仿宋_GB2312" w:cs="仿宋_GB2312"/>
                <w:color w:val="auto"/>
                <w:sz w:val="24"/>
                <w:szCs w:val="24"/>
                <w:highlight w:val="none"/>
                <w:u w:val="none"/>
                <w:vertAlign w:val="baseline"/>
                <w:lang w:val="en-US" w:eastAsia="zh-CN"/>
              </w:rPr>
              <w:t>100</w:t>
            </w:r>
          </w:p>
        </w:tc>
        <w:tc>
          <w:tcPr>
            <w:tcW w:w="993" w:type="dxa"/>
            <w:vAlign w:val="center"/>
          </w:tcPr>
          <w:p w14:paraId="2CF730FD">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color w:val="auto"/>
                <w:sz w:val="24"/>
                <w:szCs w:val="24"/>
                <w:highlight w:val="none"/>
                <w:u w:val="none"/>
                <w:vertAlign w:val="baseline"/>
                <w:lang w:val="en-US" w:eastAsia="zh-CN"/>
              </w:rPr>
            </w:pPr>
          </w:p>
        </w:tc>
      </w:tr>
      <w:tr w14:paraId="17530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23" w:type="dxa"/>
            <w:vAlign w:val="center"/>
          </w:tcPr>
          <w:p w14:paraId="7D524B6C">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lang w:val="en-US" w:eastAsia="zh-CN"/>
              </w:rPr>
            </w:pPr>
            <w:r>
              <w:rPr>
                <w:rFonts w:hint="eastAsia" w:ascii="仿宋_GB2312" w:hAnsi="仿宋_GB2312" w:eastAsia="仿宋_GB2312" w:cs="仿宋_GB2312"/>
                <w:b w:val="0"/>
                <w:bCs w:val="0"/>
                <w:color w:val="auto"/>
                <w:sz w:val="24"/>
                <w:szCs w:val="24"/>
                <w:highlight w:val="none"/>
                <w:u w:val="none"/>
                <w:lang w:val="en-US" w:eastAsia="zh-CN"/>
              </w:rPr>
              <w:t>2</w:t>
            </w:r>
          </w:p>
        </w:tc>
        <w:tc>
          <w:tcPr>
            <w:tcW w:w="5020" w:type="dxa"/>
            <w:vAlign w:val="center"/>
          </w:tcPr>
          <w:p w14:paraId="0C9E98BA">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color w:val="auto"/>
                <w:sz w:val="24"/>
                <w:szCs w:val="24"/>
                <w:highlight w:val="none"/>
                <w:u w:val="none"/>
                <w:vertAlign w:val="baseline"/>
                <w:lang w:val="en-US" w:eastAsia="zh-CN"/>
              </w:rPr>
            </w:pPr>
          </w:p>
        </w:tc>
        <w:tc>
          <w:tcPr>
            <w:tcW w:w="1684" w:type="dxa"/>
            <w:gridSpan w:val="2"/>
            <w:vAlign w:val="center"/>
          </w:tcPr>
          <w:p w14:paraId="51F51133">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color w:val="auto"/>
                <w:sz w:val="24"/>
                <w:szCs w:val="24"/>
                <w:highlight w:val="none"/>
                <w:u w:val="none"/>
                <w:vertAlign w:val="baseline"/>
                <w:lang w:val="en-US" w:eastAsia="zh-CN"/>
              </w:rPr>
            </w:pPr>
          </w:p>
        </w:tc>
        <w:tc>
          <w:tcPr>
            <w:tcW w:w="993" w:type="dxa"/>
            <w:vAlign w:val="center"/>
          </w:tcPr>
          <w:p w14:paraId="040CEAC2">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color w:val="auto"/>
                <w:sz w:val="24"/>
                <w:szCs w:val="24"/>
                <w:highlight w:val="none"/>
                <w:u w:val="none"/>
                <w:vertAlign w:val="baseline"/>
                <w:lang w:val="en-US" w:eastAsia="zh-CN"/>
              </w:rPr>
            </w:pPr>
          </w:p>
        </w:tc>
      </w:tr>
      <w:tr w14:paraId="14025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23" w:type="dxa"/>
            <w:vAlign w:val="center"/>
          </w:tcPr>
          <w:p w14:paraId="61E988E7">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lang w:val="en-US" w:eastAsia="zh-CN"/>
              </w:rPr>
            </w:pPr>
            <w:r>
              <w:rPr>
                <w:rFonts w:hint="eastAsia" w:ascii="仿宋_GB2312" w:hAnsi="仿宋_GB2312" w:eastAsia="仿宋_GB2312" w:cs="仿宋_GB2312"/>
                <w:b w:val="0"/>
                <w:bCs w:val="0"/>
                <w:color w:val="auto"/>
                <w:sz w:val="24"/>
                <w:szCs w:val="24"/>
                <w:highlight w:val="none"/>
                <w:u w:val="none"/>
                <w:lang w:val="en-US" w:eastAsia="zh-CN"/>
              </w:rPr>
              <w:t>3</w:t>
            </w:r>
          </w:p>
        </w:tc>
        <w:tc>
          <w:tcPr>
            <w:tcW w:w="5020" w:type="dxa"/>
            <w:vAlign w:val="center"/>
          </w:tcPr>
          <w:p w14:paraId="420E3497">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color w:val="auto"/>
                <w:sz w:val="24"/>
                <w:szCs w:val="24"/>
                <w:highlight w:val="none"/>
                <w:u w:val="none"/>
                <w:vertAlign w:val="baseline"/>
                <w:lang w:val="en" w:eastAsia="zh-CN"/>
              </w:rPr>
            </w:pPr>
          </w:p>
        </w:tc>
        <w:tc>
          <w:tcPr>
            <w:tcW w:w="1684" w:type="dxa"/>
            <w:gridSpan w:val="2"/>
            <w:vAlign w:val="center"/>
          </w:tcPr>
          <w:p w14:paraId="7D156D5D">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color w:val="auto"/>
                <w:sz w:val="24"/>
                <w:szCs w:val="24"/>
                <w:highlight w:val="none"/>
                <w:u w:val="none"/>
                <w:vertAlign w:val="baseline"/>
                <w:lang w:val="en" w:eastAsia="zh-CN"/>
              </w:rPr>
            </w:pPr>
          </w:p>
        </w:tc>
        <w:tc>
          <w:tcPr>
            <w:tcW w:w="993" w:type="dxa"/>
            <w:vAlign w:val="center"/>
          </w:tcPr>
          <w:p w14:paraId="2DB2EB8B">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color w:val="auto"/>
                <w:sz w:val="24"/>
                <w:szCs w:val="24"/>
                <w:highlight w:val="none"/>
                <w:u w:val="none"/>
                <w:vertAlign w:val="baseline"/>
                <w:lang w:val="en-US" w:eastAsia="zh-CN"/>
              </w:rPr>
            </w:pPr>
          </w:p>
        </w:tc>
      </w:tr>
      <w:tr w14:paraId="4622F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23" w:type="dxa"/>
            <w:vAlign w:val="center"/>
          </w:tcPr>
          <w:p w14:paraId="57957BF7">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lang w:val="en-US" w:eastAsia="zh-CN"/>
              </w:rPr>
            </w:pPr>
            <w:r>
              <w:rPr>
                <w:rFonts w:hint="eastAsia" w:ascii="仿宋_GB2312" w:hAnsi="仿宋_GB2312" w:eastAsia="仿宋_GB2312" w:cs="仿宋_GB2312"/>
                <w:b w:val="0"/>
                <w:bCs w:val="0"/>
                <w:color w:val="auto"/>
                <w:sz w:val="24"/>
                <w:szCs w:val="24"/>
                <w:highlight w:val="none"/>
                <w:u w:val="none"/>
                <w:lang w:val="en-US" w:eastAsia="zh-CN"/>
              </w:rPr>
              <w:t>4</w:t>
            </w:r>
          </w:p>
        </w:tc>
        <w:tc>
          <w:tcPr>
            <w:tcW w:w="5020" w:type="dxa"/>
            <w:vAlign w:val="center"/>
          </w:tcPr>
          <w:p w14:paraId="5F27B0AE">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color w:val="auto"/>
                <w:sz w:val="24"/>
                <w:szCs w:val="24"/>
                <w:highlight w:val="none"/>
                <w:u w:val="none"/>
                <w:vertAlign w:val="baseline"/>
                <w:lang w:val="en" w:eastAsia="zh-CN"/>
              </w:rPr>
            </w:pPr>
          </w:p>
        </w:tc>
        <w:tc>
          <w:tcPr>
            <w:tcW w:w="1684" w:type="dxa"/>
            <w:gridSpan w:val="2"/>
            <w:vAlign w:val="center"/>
          </w:tcPr>
          <w:p w14:paraId="3A5E2037">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color w:val="auto"/>
                <w:sz w:val="24"/>
                <w:szCs w:val="24"/>
                <w:highlight w:val="none"/>
                <w:u w:val="none"/>
                <w:vertAlign w:val="baseline"/>
                <w:lang w:val="en" w:eastAsia="zh-CN"/>
              </w:rPr>
            </w:pPr>
          </w:p>
        </w:tc>
        <w:tc>
          <w:tcPr>
            <w:tcW w:w="993" w:type="dxa"/>
            <w:vAlign w:val="center"/>
          </w:tcPr>
          <w:p w14:paraId="4111B33E">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color w:val="auto"/>
                <w:sz w:val="24"/>
                <w:szCs w:val="24"/>
                <w:highlight w:val="none"/>
                <w:u w:val="none"/>
                <w:vertAlign w:val="baseline"/>
                <w:lang w:val="en-US" w:eastAsia="zh-CN"/>
              </w:rPr>
            </w:pPr>
          </w:p>
        </w:tc>
      </w:tr>
      <w:tr w14:paraId="3774A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23" w:type="dxa"/>
            <w:vAlign w:val="center"/>
          </w:tcPr>
          <w:p w14:paraId="44FE94FA">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lang w:val="en-US" w:eastAsia="zh-CN"/>
              </w:rPr>
            </w:pPr>
            <w:r>
              <w:rPr>
                <w:rFonts w:hint="eastAsia" w:ascii="仿宋_GB2312" w:hAnsi="仿宋_GB2312" w:eastAsia="仿宋_GB2312" w:cs="仿宋_GB2312"/>
                <w:b w:val="0"/>
                <w:bCs w:val="0"/>
                <w:color w:val="auto"/>
                <w:sz w:val="24"/>
                <w:szCs w:val="24"/>
                <w:highlight w:val="none"/>
                <w:u w:val="none"/>
                <w:lang w:val="en-US" w:eastAsia="zh-CN"/>
              </w:rPr>
              <w:t>5</w:t>
            </w:r>
          </w:p>
        </w:tc>
        <w:tc>
          <w:tcPr>
            <w:tcW w:w="5020" w:type="dxa"/>
            <w:vAlign w:val="center"/>
          </w:tcPr>
          <w:p w14:paraId="43058617">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color w:val="auto"/>
                <w:sz w:val="24"/>
                <w:szCs w:val="24"/>
                <w:highlight w:val="none"/>
                <w:u w:val="none"/>
                <w:vertAlign w:val="baseline"/>
                <w:lang w:val="en" w:eastAsia="zh-CN"/>
              </w:rPr>
            </w:pPr>
          </w:p>
        </w:tc>
        <w:tc>
          <w:tcPr>
            <w:tcW w:w="1684" w:type="dxa"/>
            <w:gridSpan w:val="2"/>
            <w:vAlign w:val="center"/>
          </w:tcPr>
          <w:p w14:paraId="57C86FFD">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color w:val="auto"/>
                <w:sz w:val="24"/>
                <w:szCs w:val="24"/>
                <w:highlight w:val="none"/>
                <w:u w:val="none"/>
                <w:vertAlign w:val="baseline"/>
                <w:lang w:val="en" w:eastAsia="zh-CN"/>
              </w:rPr>
            </w:pPr>
          </w:p>
        </w:tc>
        <w:tc>
          <w:tcPr>
            <w:tcW w:w="993" w:type="dxa"/>
            <w:vAlign w:val="center"/>
          </w:tcPr>
          <w:p w14:paraId="2FD0BA40">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color w:val="auto"/>
                <w:sz w:val="24"/>
                <w:szCs w:val="24"/>
                <w:highlight w:val="none"/>
                <w:u w:val="none"/>
                <w:vertAlign w:val="baseline"/>
                <w:lang w:val="en-US" w:eastAsia="zh-CN"/>
              </w:rPr>
            </w:pPr>
          </w:p>
        </w:tc>
      </w:tr>
      <w:tr w14:paraId="16DD0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23" w:type="dxa"/>
            <w:vAlign w:val="center"/>
          </w:tcPr>
          <w:p w14:paraId="0B2BA5E8">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lang w:val="en-US" w:eastAsia="zh-CN"/>
              </w:rPr>
            </w:pPr>
            <w:r>
              <w:rPr>
                <w:rFonts w:hint="eastAsia" w:ascii="仿宋_GB2312" w:hAnsi="仿宋_GB2312" w:eastAsia="仿宋_GB2312" w:cs="仿宋_GB2312"/>
                <w:b w:val="0"/>
                <w:bCs w:val="0"/>
                <w:color w:val="auto"/>
                <w:sz w:val="24"/>
                <w:szCs w:val="24"/>
                <w:highlight w:val="none"/>
                <w:u w:val="none"/>
                <w:lang w:val="en-US" w:eastAsia="zh-CN"/>
              </w:rPr>
              <w:t>6</w:t>
            </w:r>
          </w:p>
        </w:tc>
        <w:tc>
          <w:tcPr>
            <w:tcW w:w="5020" w:type="dxa"/>
            <w:vAlign w:val="center"/>
          </w:tcPr>
          <w:p w14:paraId="113FFA64">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color w:val="auto"/>
                <w:sz w:val="24"/>
                <w:szCs w:val="24"/>
                <w:highlight w:val="none"/>
                <w:u w:val="none"/>
                <w:vertAlign w:val="baseline"/>
                <w:lang w:val="en" w:eastAsia="zh-CN"/>
              </w:rPr>
            </w:pPr>
          </w:p>
        </w:tc>
        <w:tc>
          <w:tcPr>
            <w:tcW w:w="1684" w:type="dxa"/>
            <w:gridSpan w:val="2"/>
            <w:vAlign w:val="center"/>
          </w:tcPr>
          <w:p w14:paraId="3D7500DD">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color w:val="auto"/>
                <w:sz w:val="24"/>
                <w:szCs w:val="24"/>
                <w:highlight w:val="none"/>
                <w:u w:val="none"/>
                <w:vertAlign w:val="baseline"/>
                <w:lang w:val="en" w:eastAsia="zh-CN"/>
              </w:rPr>
            </w:pPr>
          </w:p>
        </w:tc>
        <w:tc>
          <w:tcPr>
            <w:tcW w:w="993" w:type="dxa"/>
            <w:vAlign w:val="center"/>
          </w:tcPr>
          <w:p w14:paraId="3C85CBB8">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color w:val="auto"/>
                <w:sz w:val="24"/>
                <w:szCs w:val="24"/>
                <w:highlight w:val="none"/>
                <w:u w:val="none"/>
                <w:vertAlign w:val="baseline"/>
                <w:lang w:val="en-US" w:eastAsia="zh-CN"/>
              </w:rPr>
            </w:pPr>
          </w:p>
        </w:tc>
      </w:tr>
      <w:tr w14:paraId="08C12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23" w:type="dxa"/>
            <w:vAlign w:val="center"/>
          </w:tcPr>
          <w:p w14:paraId="64F25FB3">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lang w:val="en-US" w:eastAsia="zh-CN"/>
              </w:rPr>
            </w:pPr>
            <w:r>
              <w:rPr>
                <w:rFonts w:hint="eastAsia" w:ascii="仿宋_GB2312" w:hAnsi="仿宋_GB2312" w:eastAsia="仿宋_GB2312" w:cs="仿宋_GB2312"/>
                <w:b w:val="0"/>
                <w:bCs w:val="0"/>
                <w:color w:val="auto"/>
                <w:sz w:val="24"/>
                <w:szCs w:val="24"/>
                <w:highlight w:val="none"/>
                <w:u w:val="none"/>
                <w:lang w:val="en-US" w:eastAsia="zh-CN"/>
              </w:rPr>
              <w:t>7</w:t>
            </w:r>
          </w:p>
        </w:tc>
        <w:tc>
          <w:tcPr>
            <w:tcW w:w="5020" w:type="dxa"/>
            <w:vAlign w:val="center"/>
          </w:tcPr>
          <w:p w14:paraId="2E329856">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color w:val="auto"/>
                <w:sz w:val="24"/>
                <w:szCs w:val="24"/>
                <w:highlight w:val="none"/>
                <w:u w:val="none"/>
                <w:vertAlign w:val="baseline"/>
                <w:lang w:val="en" w:eastAsia="zh-CN"/>
              </w:rPr>
            </w:pPr>
          </w:p>
        </w:tc>
        <w:tc>
          <w:tcPr>
            <w:tcW w:w="1684" w:type="dxa"/>
            <w:gridSpan w:val="2"/>
            <w:vAlign w:val="center"/>
          </w:tcPr>
          <w:p w14:paraId="61CCFCAA">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color w:val="auto"/>
                <w:sz w:val="24"/>
                <w:szCs w:val="24"/>
                <w:highlight w:val="none"/>
                <w:u w:val="none"/>
                <w:vertAlign w:val="baseline"/>
                <w:lang w:val="en" w:eastAsia="zh-CN"/>
              </w:rPr>
            </w:pPr>
          </w:p>
        </w:tc>
        <w:tc>
          <w:tcPr>
            <w:tcW w:w="993" w:type="dxa"/>
            <w:vAlign w:val="center"/>
          </w:tcPr>
          <w:p w14:paraId="5ACA5630">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color w:val="auto"/>
                <w:sz w:val="24"/>
                <w:szCs w:val="24"/>
                <w:highlight w:val="none"/>
                <w:u w:val="none"/>
                <w:vertAlign w:val="baseline"/>
                <w:lang w:val="en-US" w:eastAsia="zh-CN"/>
              </w:rPr>
            </w:pPr>
          </w:p>
        </w:tc>
      </w:tr>
      <w:tr w14:paraId="428A7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23" w:type="dxa"/>
            <w:vAlign w:val="center"/>
          </w:tcPr>
          <w:p w14:paraId="3EC1C2CF">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lang w:val="en-US" w:eastAsia="zh-CN"/>
              </w:rPr>
            </w:pPr>
            <w:r>
              <w:rPr>
                <w:rFonts w:hint="eastAsia" w:ascii="仿宋_GB2312" w:hAnsi="仿宋_GB2312" w:eastAsia="仿宋_GB2312" w:cs="仿宋_GB2312"/>
                <w:b w:val="0"/>
                <w:bCs w:val="0"/>
                <w:color w:val="auto"/>
                <w:sz w:val="24"/>
                <w:szCs w:val="24"/>
                <w:highlight w:val="none"/>
                <w:u w:val="none"/>
                <w:lang w:val="en-US" w:eastAsia="zh-CN"/>
              </w:rPr>
              <w:t>8</w:t>
            </w:r>
          </w:p>
        </w:tc>
        <w:tc>
          <w:tcPr>
            <w:tcW w:w="5020" w:type="dxa"/>
            <w:vAlign w:val="center"/>
          </w:tcPr>
          <w:p w14:paraId="63AC33FF">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color w:val="auto"/>
                <w:sz w:val="24"/>
                <w:szCs w:val="24"/>
                <w:highlight w:val="none"/>
                <w:u w:val="none"/>
                <w:vertAlign w:val="baseline"/>
                <w:lang w:val="en" w:eastAsia="zh-CN"/>
              </w:rPr>
            </w:pPr>
          </w:p>
        </w:tc>
        <w:tc>
          <w:tcPr>
            <w:tcW w:w="1684" w:type="dxa"/>
            <w:gridSpan w:val="2"/>
            <w:vAlign w:val="center"/>
          </w:tcPr>
          <w:p w14:paraId="3FB896D2">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color w:val="auto"/>
                <w:sz w:val="24"/>
                <w:szCs w:val="24"/>
                <w:highlight w:val="none"/>
                <w:u w:val="none"/>
                <w:vertAlign w:val="baseline"/>
                <w:lang w:val="en" w:eastAsia="zh-CN"/>
              </w:rPr>
            </w:pPr>
          </w:p>
        </w:tc>
        <w:tc>
          <w:tcPr>
            <w:tcW w:w="993" w:type="dxa"/>
            <w:vAlign w:val="center"/>
          </w:tcPr>
          <w:p w14:paraId="0058742F">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color w:val="auto"/>
                <w:sz w:val="24"/>
                <w:szCs w:val="24"/>
                <w:highlight w:val="none"/>
                <w:u w:val="none"/>
                <w:vertAlign w:val="baseline"/>
                <w:lang w:val="en-US" w:eastAsia="zh-CN"/>
              </w:rPr>
            </w:pPr>
          </w:p>
        </w:tc>
      </w:tr>
      <w:tr w14:paraId="55894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23" w:type="dxa"/>
            <w:vAlign w:val="center"/>
          </w:tcPr>
          <w:p w14:paraId="05799721">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color w:val="auto"/>
                <w:sz w:val="24"/>
                <w:szCs w:val="24"/>
                <w:highlight w:val="none"/>
                <w:u w:val="none"/>
                <w:lang w:val="en-US" w:eastAsia="zh-CN"/>
              </w:rPr>
            </w:pPr>
            <w:r>
              <w:rPr>
                <w:rFonts w:hint="eastAsia" w:ascii="仿宋_GB2312" w:hAnsi="仿宋_GB2312" w:eastAsia="仿宋_GB2312" w:cs="仿宋_GB2312"/>
                <w:color w:val="auto"/>
                <w:sz w:val="24"/>
                <w:szCs w:val="24"/>
                <w:highlight w:val="none"/>
                <w:u w:val="none"/>
                <w:lang w:val="en-US" w:eastAsia="zh-CN"/>
              </w:rPr>
              <w:t>……</w:t>
            </w:r>
          </w:p>
        </w:tc>
        <w:tc>
          <w:tcPr>
            <w:tcW w:w="5020" w:type="dxa"/>
            <w:vAlign w:val="center"/>
          </w:tcPr>
          <w:p w14:paraId="5F3352B9">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color w:val="auto"/>
                <w:sz w:val="24"/>
                <w:szCs w:val="24"/>
                <w:highlight w:val="none"/>
                <w:u w:val="none"/>
                <w:vertAlign w:val="baseline"/>
                <w:lang w:val="en" w:eastAsia="zh-CN"/>
              </w:rPr>
            </w:pPr>
          </w:p>
        </w:tc>
        <w:tc>
          <w:tcPr>
            <w:tcW w:w="1684" w:type="dxa"/>
            <w:gridSpan w:val="2"/>
            <w:vAlign w:val="center"/>
          </w:tcPr>
          <w:p w14:paraId="2C542436">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color w:val="auto"/>
                <w:sz w:val="24"/>
                <w:szCs w:val="24"/>
                <w:highlight w:val="none"/>
                <w:u w:val="none"/>
                <w:vertAlign w:val="baseline"/>
                <w:lang w:val="en" w:eastAsia="zh-CN"/>
              </w:rPr>
            </w:pPr>
          </w:p>
        </w:tc>
        <w:tc>
          <w:tcPr>
            <w:tcW w:w="993" w:type="dxa"/>
            <w:vAlign w:val="center"/>
          </w:tcPr>
          <w:p w14:paraId="223049BB">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color w:val="auto"/>
                <w:sz w:val="24"/>
                <w:szCs w:val="24"/>
                <w:highlight w:val="none"/>
                <w:u w:val="none"/>
                <w:vertAlign w:val="baseline"/>
                <w:lang w:val="en-US" w:eastAsia="zh-CN"/>
              </w:rPr>
            </w:pPr>
          </w:p>
        </w:tc>
      </w:tr>
    </w:tbl>
    <w:p w14:paraId="74E89774">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备注：1.项目资金末端分配点位包括市本级、县（区）、市级部门下属单位及一次性单位等。</w:t>
      </w:r>
    </w:p>
    <w:p w14:paraId="4BA984C4">
      <w:pPr>
        <w:keepNext w:val="0"/>
        <w:keepLines w:val="0"/>
        <w:pageBreakBefore w:val="0"/>
        <w:widowControl w:val="0"/>
        <w:kinsoku/>
        <w:wordWrap/>
        <w:overflowPunct/>
        <w:topLinePunct w:val="0"/>
        <w:autoSpaceDE/>
        <w:autoSpaceDN/>
        <w:bidi w:val="0"/>
        <w:adjustRightInd/>
        <w:snapToGrid/>
        <w:spacing w:line="400" w:lineRule="exact"/>
        <w:ind w:left="0" w:leftChars="0" w:firstLine="720" w:firstLineChars="300"/>
        <w:jc w:val="left"/>
        <w:textAlignment w:val="auto"/>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2.自评得分（百分制）从高到低划分为优、良、中、差四个档次，各个档次数量占比分别为20%、20%、55%、5%，且不同档次间得分分值应体现差异化，同档次得分分值相同的比例不超过该档次总数量的10%。</w:t>
      </w:r>
    </w:p>
    <w:p w14:paraId="418F7C2F">
      <w:pPr>
        <w:rPr>
          <w:rFonts w:hint="eastAsia" w:ascii="Times New Roman" w:hAnsi="Times New Roman" w:eastAsia="仿宋_GB2312" w:cs="Times New Roman"/>
          <w:kern w:val="2"/>
          <w:sz w:val="32"/>
          <w:szCs w:val="24"/>
          <w:highlight w:val="none"/>
          <w:lang w:val="en-US" w:eastAsia="zh-CN" w:bidi="ar-SA"/>
        </w:rPr>
      </w:pPr>
      <w:r>
        <w:rPr>
          <w:rFonts w:hint="eastAsia" w:ascii="Times New Roman" w:hAnsi="Times New Roman" w:eastAsia="仿宋_GB2312" w:cs="Times New Roman"/>
          <w:kern w:val="2"/>
          <w:sz w:val="32"/>
          <w:szCs w:val="24"/>
          <w:highlight w:val="none"/>
          <w:lang w:val="en-US" w:eastAsia="zh-CN" w:bidi="ar-SA"/>
        </w:rPr>
        <w:br w:type="page"/>
      </w:r>
    </w:p>
    <w:p w14:paraId="6C7E5FED">
      <w:pPr>
        <w:pStyle w:val="16"/>
        <w:keepNext w:val="0"/>
        <w:keepLines w:val="0"/>
        <w:pageBreakBefore w:val="0"/>
        <w:kinsoku/>
        <w:wordWrap/>
        <w:overflowPunct/>
        <w:topLinePunct w:val="0"/>
        <w:autoSpaceDE/>
        <w:autoSpaceDN/>
        <w:bidi w:val="0"/>
        <w:spacing w:after="0" w:line="578" w:lineRule="exact"/>
        <w:ind w:left="0" w:leftChars="0" w:firstLine="0" w:firstLineChars="0"/>
        <w:rPr>
          <w:rFonts w:hint="default" w:ascii="Times New Roman" w:hAnsi="Times New Roman" w:eastAsia="黑体" w:cs="Times New Roman"/>
          <w:kern w:val="2"/>
          <w:sz w:val="32"/>
          <w:szCs w:val="24"/>
          <w:highlight w:val="none"/>
          <w:lang w:val="en-US" w:eastAsia="zh-CN" w:bidi="ar-SA"/>
        </w:rPr>
      </w:pPr>
      <w:r>
        <w:rPr>
          <w:rFonts w:hint="default" w:ascii="Times New Roman" w:hAnsi="Times New Roman" w:eastAsia="黑体" w:cs="Times New Roman"/>
          <w:kern w:val="2"/>
          <w:sz w:val="32"/>
          <w:szCs w:val="24"/>
          <w:highlight w:val="none"/>
          <w:lang w:val="en-US" w:eastAsia="zh-CN" w:bidi="ar-SA"/>
        </w:rPr>
        <w:t>附表2</w:t>
      </w:r>
    </w:p>
    <w:p w14:paraId="1E7CAC7C">
      <w:pPr>
        <w:pStyle w:val="16"/>
        <w:keepNext w:val="0"/>
        <w:keepLines w:val="0"/>
        <w:pageBreakBefore w:val="0"/>
        <w:kinsoku/>
        <w:wordWrap/>
        <w:overflowPunct/>
        <w:topLinePunct w:val="0"/>
        <w:autoSpaceDE/>
        <w:autoSpaceDN/>
        <w:bidi w:val="0"/>
        <w:spacing w:after="0" w:line="578" w:lineRule="exact"/>
        <w:ind w:left="0" w:leftChars="0" w:firstLine="0" w:firstLineChars="0"/>
        <w:jc w:val="center"/>
        <w:rPr>
          <w:rFonts w:hint="eastAsia" w:ascii="方正小标宋_GBK" w:hAnsi="方正小标宋_GBK" w:eastAsia="方正小标宋_GBK" w:cs="方正小标宋_GBK"/>
          <w:kern w:val="2"/>
          <w:sz w:val="44"/>
          <w:szCs w:val="44"/>
          <w:highlight w:val="none"/>
          <w:lang w:val="en-US" w:eastAsia="zh-CN" w:bidi="ar-SA"/>
        </w:rPr>
      </w:pPr>
      <w:r>
        <w:rPr>
          <w:rFonts w:hint="eastAsia" w:ascii="方正小标宋_GBK" w:hAnsi="方正小标宋_GBK" w:eastAsia="方正小标宋_GBK" w:cs="方正小标宋_GBK"/>
          <w:b w:val="0"/>
          <w:bCs w:val="0"/>
          <w:color w:val="auto"/>
          <w:sz w:val="44"/>
          <w:szCs w:val="44"/>
          <w:highlight w:val="none"/>
          <w:u w:val="none"/>
          <w:vertAlign w:val="baseline"/>
          <w:lang w:val="en-US" w:eastAsia="zh-CN"/>
        </w:rPr>
        <w:t>专项预算项目绩效目标完成情况自评表</w:t>
      </w:r>
    </w:p>
    <w:tbl>
      <w:tblPr>
        <w:tblStyle w:val="17"/>
        <w:tblW w:w="907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577"/>
        <w:gridCol w:w="959"/>
        <w:gridCol w:w="1107"/>
        <w:gridCol w:w="1293"/>
        <w:gridCol w:w="872"/>
        <w:gridCol w:w="860"/>
        <w:gridCol w:w="379"/>
        <w:gridCol w:w="562"/>
        <w:gridCol w:w="831"/>
        <w:gridCol w:w="1639"/>
      </w:tblGrid>
      <w:tr w14:paraId="75575B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27" w:hRule="atLeast"/>
          <w:jc w:val="center"/>
        </w:trPr>
        <w:tc>
          <w:tcPr>
            <w:tcW w:w="393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5418873">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宋体" w:hAnsi="宋体" w:eastAsia="宋体" w:cs="宋体"/>
                <w:b w:val="0"/>
                <w:bCs w:val="0"/>
                <w:color w:val="auto"/>
                <w:sz w:val="21"/>
                <w:szCs w:val="21"/>
                <w:highlight w:val="none"/>
                <w:u w:val="none"/>
                <w:vertAlign w:val="baseline"/>
                <w:lang w:val="en-US" w:eastAsia="zh-CN"/>
              </w:rPr>
            </w:pPr>
            <w:r>
              <w:rPr>
                <w:rFonts w:hint="eastAsia" w:ascii="宋体" w:hAnsi="宋体" w:eastAsia="宋体" w:cs="宋体"/>
                <w:b w:val="0"/>
                <w:bCs w:val="0"/>
                <w:color w:val="auto"/>
                <w:sz w:val="21"/>
                <w:szCs w:val="21"/>
                <w:highlight w:val="none"/>
                <w:u w:val="none"/>
                <w:vertAlign w:val="baseline"/>
                <w:lang w:val="en-US" w:eastAsia="zh-CN"/>
              </w:rPr>
              <w:t>项目名称</w:t>
            </w:r>
          </w:p>
        </w:tc>
        <w:tc>
          <w:tcPr>
            <w:tcW w:w="5143"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6CA86DF">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宋体" w:hAnsi="宋体" w:eastAsia="宋体" w:cs="宋体"/>
                <w:b w:val="0"/>
                <w:bCs w:val="0"/>
                <w:color w:val="auto"/>
                <w:sz w:val="21"/>
                <w:szCs w:val="21"/>
                <w:highlight w:val="none"/>
                <w:u w:val="none"/>
                <w:vertAlign w:val="baseline"/>
                <w:lang w:val="en-US" w:eastAsia="zh-CN"/>
              </w:rPr>
            </w:pPr>
            <w:r>
              <w:rPr>
                <w:rFonts w:hint="eastAsia" w:ascii="宋体" w:hAnsi="宋体" w:eastAsia="宋体" w:cs="宋体"/>
                <w:b w:val="0"/>
                <w:bCs w:val="0"/>
                <w:color w:val="auto"/>
                <w:sz w:val="21"/>
                <w:szCs w:val="21"/>
                <w:highlight w:val="none"/>
                <w:u w:val="none"/>
                <w:vertAlign w:val="baseline"/>
                <w:lang w:val="en-US" w:eastAsia="zh-CN"/>
              </w:rPr>
              <w:t>2023年度广元市市本级自然资源技术辅助性服务项目工作经费</w:t>
            </w:r>
          </w:p>
        </w:tc>
      </w:tr>
      <w:tr w14:paraId="744597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27" w:hRule="atLeast"/>
          <w:jc w:val="center"/>
        </w:trPr>
        <w:tc>
          <w:tcPr>
            <w:tcW w:w="393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937B919">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宋体" w:hAnsi="宋体" w:eastAsia="宋体" w:cs="宋体"/>
                <w:b w:val="0"/>
                <w:bCs w:val="0"/>
                <w:color w:val="auto"/>
                <w:sz w:val="21"/>
                <w:szCs w:val="21"/>
                <w:highlight w:val="none"/>
                <w:u w:val="none"/>
                <w:vertAlign w:val="baseline"/>
                <w:lang w:val="en-US" w:eastAsia="zh-CN"/>
              </w:rPr>
            </w:pPr>
            <w:r>
              <w:rPr>
                <w:rFonts w:hint="eastAsia" w:ascii="宋体" w:hAnsi="宋体" w:eastAsia="宋体" w:cs="宋体"/>
                <w:b w:val="0"/>
                <w:bCs w:val="0"/>
                <w:color w:val="auto"/>
                <w:sz w:val="21"/>
                <w:szCs w:val="21"/>
                <w:highlight w:val="none"/>
                <w:u w:val="none"/>
                <w:vertAlign w:val="baseline"/>
                <w:lang w:val="en-US" w:eastAsia="zh-CN"/>
              </w:rPr>
              <w:t>预算单位</w:t>
            </w:r>
          </w:p>
        </w:tc>
        <w:tc>
          <w:tcPr>
            <w:tcW w:w="5143"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A56A92C">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宋体" w:hAnsi="宋体" w:eastAsia="宋体" w:cs="宋体"/>
                <w:b w:val="0"/>
                <w:bCs w:val="0"/>
                <w:color w:val="auto"/>
                <w:sz w:val="21"/>
                <w:szCs w:val="21"/>
                <w:highlight w:val="none"/>
                <w:u w:val="none"/>
                <w:vertAlign w:val="baseline"/>
                <w:lang w:val="en-US" w:eastAsia="zh-CN"/>
              </w:rPr>
            </w:pPr>
            <w:r>
              <w:rPr>
                <w:rFonts w:hint="eastAsia" w:ascii="宋体" w:hAnsi="宋体" w:eastAsia="宋体" w:cs="宋体"/>
                <w:b w:val="0"/>
                <w:bCs w:val="0"/>
                <w:color w:val="auto"/>
                <w:sz w:val="21"/>
                <w:szCs w:val="21"/>
                <w:highlight w:val="none"/>
                <w:u w:val="none"/>
                <w:vertAlign w:val="baseline"/>
                <w:lang w:val="en-US" w:eastAsia="zh-CN"/>
              </w:rPr>
              <w:t>广元市自然资源局</w:t>
            </w:r>
          </w:p>
        </w:tc>
      </w:tr>
      <w:tr w14:paraId="5015E9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27" w:hRule="atLeast"/>
          <w:jc w:val="center"/>
        </w:trPr>
        <w:tc>
          <w:tcPr>
            <w:tcW w:w="393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DD352E9">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宋体" w:hAnsi="宋体" w:eastAsia="宋体" w:cs="宋体"/>
                <w:b w:val="0"/>
                <w:bCs w:val="0"/>
                <w:color w:val="auto"/>
                <w:sz w:val="21"/>
                <w:szCs w:val="21"/>
                <w:highlight w:val="none"/>
                <w:u w:val="none"/>
                <w:vertAlign w:val="baseline"/>
                <w:lang w:val="en-US" w:eastAsia="zh-CN"/>
              </w:rPr>
            </w:pPr>
            <w:r>
              <w:rPr>
                <w:rFonts w:hint="eastAsia" w:ascii="宋体" w:hAnsi="宋体" w:eastAsia="宋体" w:cs="宋体"/>
                <w:b w:val="0"/>
                <w:bCs w:val="0"/>
                <w:color w:val="auto"/>
                <w:sz w:val="21"/>
                <w:szCs w:val="21"/>
                <w:highlight w:val="none"/>
                <w:u w:val="none"/>
                <w:vertAlign w:val="baseline"/>
                <w:lang w:val="en-US" w:eastAsia="zh-CN"/>
              </w:rPr>
              <w:t>项目类型</w:t>
            </w:r>
          </w:p>
        </w:tc>
        <w:tc>
          <w:tcPr>
            <w:tcW w:w="5143"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A253346">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宋体" w:hAnsi="宋体" w:eastAsia="宋体" w:cs="宋体"/>
                <w:b w:val="0"/>
                <w:bCs w:val="0"/>
                <w:color w:val="auto"/>
                <w:sz w:val="21"/>
                <w:szCs w:val="21"/>
                <w:highlight w:val="none"/>
                <w:u w:val="none"/>
                <w:vertAlign w:val="baseline"/>
                <w:lang w:val="en-US" w:eastAsia="zh-CN"/>
              </w:rPr>
            </w:pPr>
            <w:r>
              <w:rPr>
                <w:rFonts w:hint="eastAsia" w:ascii="宋体" w:hAnsi="宋体" w:eastAsia="宋体" w:cs="宋体"/>
                <w:b w:val="0"/>
                <w:bCs w:val="0"/>
                <w:color w:val="auto"/>
                <w:sz w:val="21"/>
                <w:szCs w:val="21"/>
                <w:highlight w:val="none"/>
                <w:u w:val="none"/>
                <w:vertAlign w:val="baseline"/>
                <w:lang w:val="en-US" w:eastAsia="zh-CN"/>
              </w:rPr>
              <w:t>专项预算项目</w:t>
            </w:r>
          </w:p>
        </w:tc>
      </w:tr>
      <w:tr w14:paraId="1A81A9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27" w:hRule="atLeast"/>
          <w:jc w:val="center"/>
        </w:trPr>
        <w:tc>
          <w:tcPr>
            <w:tcW w:w="5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EEA31E">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宋体" w:hAnsi="宋体" w:eastAsia="宋体" w:cs="宋体"/>
                <w:b w:val="0"/>
                <w:bCs w:val="0"/>
                <w:color w:val="auto"/>
                <w:sz w:val="21"/>
                <w:szCs w:val="21"/>
                <w:highlight w:val="none"/>
                <w:u w:val="none"/>
                <w:vertAlign w:val="baseline"/>
                <w:lang w:val="en-US" w:eastAsia="zh-CN"/>
              </w:rPr>
            </w:pPr>
            <w:r>
              <w:rPr>
                <w:rFonts w:hint="eastAsia" w:ascii="宋体" w:hAnsi="宋体" w:eastAsia="宋体" w:cs="宋体"/>
                <w:b w:val="0"/>
                <w:bCs w:val="0"/>
                <w:color w:val="auto"/>
                <w:sz w:val="21"/>
                <w:szCs w:val="21"/>
                <w:highlight w:val="none"/>
                <w:u w:val="none"/>
                <w:vertAlign w:val="baseline"/>
                <w:lang w:val="en-US" w:eastAsia="zh-CN"/>
              </w:rPr>
              <w:t>项目 概况</w:t>
            </w:r>
          </w:p>
        </w:tc>
        <w:tc>
          <w:tcPr>
            <w:tcW w:w="335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1FCA6F8">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宋体" w:hAnsi="宋体" w:eastAsia="宋体" w:cs="宋体"/>
                <w:b w:val="0"/>
                <w:bCs w:val="0"/>
                <w:color w:val="auto"/>
                <w:sz w:val="21"/>
                <w:szCs w:val="21"/>
                <w:highlight w:val="none"/>
                <w:u w:val="none"/>
                <w:vertAlign w:val="baseline"/>
                <w:lang w:val="en-US" w:eastAsia="zh-CN"/>
              </w:rPr>
            </w:pPr>
            <w:r>
              <w:rPr>
                <w:rFonts w:hint="eastAsia" w:ascii="宋体" w:hAnsi="宋体" w:eastAsia="宋体" w:cs="宋体"/>
                <w:b w:val="0"/>
                <w:bCs w:val="0"/>
                <w:color w:val="auto"/>
                <w:sz w:val="21"/>
                <w:szCs w:val="21"/>
                <w:highlight w:val="none"/>
                <w:u w:val="none"/>
                <w:vertAlign w:val="baseline"/>
                <w:lang w:val="en-US" w:eastAsia="zh-CN"/>
              </w:rPr>
              <w:t>中长期规划（名称、文号，仅指</w:t>
            </w:r>
          </w:p>
          <w:p w14:paraId="510D4C91">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宋体" w:hAnsi="宋体" w:eastAsia="宋体" w:cs="宋体"/>
                <w:b w:val="0"/>
                <w:bCs w:val="0"/>
                <w:color w:val="auto"/>
                <w:sz w:val="21"/>
                <w:szCs w:val="21"/>
                <w:highlight w:val="none"/>
                <w:u w:val="none"/>
                <w:vertAlign w:val="baseline"/>
                <w:lang w:val="en-US" w:eastAsia="zh-CN"/>
              </w:rPr>
            </w:pPr>
            <w:r>
              <w:rPr>
                <w:rFonts w:hint="eastAsia" w:ascii="宋体" w:hAnsi="宋体" w:eastAsia="宋体" w:cs="宋体"/>
                <w:b w:val="0"/>
                <w:bCs w:val="0"/>
                <w:color w:val="auto"/>
                <w:sz w:val="21"/>
                <w:szCs w:val="21"/>
                <w:highlight w:val="none"/>
                <w:u w:val="none"/>
                <w:vertAlign w:val="baseline"/>
                <w:lang w:val="en-US" w:eastAsia="zh-CN"/>
              </w:rPr>
              <w:t>常年项目）</w:t>
            </w:r>
          </w:p>
        </w:tc>
        <w:tc>
          <w:tcPr>
            <w:tcW w:w="5143"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33DDF93">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宋体" w:hAnsi="宋体" w:eastAsia="宋体" w:cs="宋体"/>
                <w:b w:val="0"/>
                <w:bCs w:val="0"/>
                <w:color w:val="auto"/>
                <w:sz w:val="21"/>
                <w:szCs w:val="21"/>
                <w:highlight w:val="none"/>
                <w:u w:val="none"/>
                <w:vertAlign w:val="baseline"/>
                <w:lang w:val="en-US" w:eastAsia="zh-CN"/>
              </w:rPr>
            </w:pPr>
            <w:r>
              <w:rPr>
                <w:rFonts w:hint="eastAsia" w:ascii="宋体" w:hAnsi="宋体" w:eastAsia="宋体" w:cs="宋体"/>
                <w:b w:val="0"/>
                <w:bCs w:val="0"/>
                <w:color w:val="auto"/>
                <w:sz w:val="21"/>
                <w:szCs w:val="21"/>
                <w:highlight w:val="none"/>
                <w:u w:val="none"/>
                <w:vertAlign w:val="baseline"/>
                <w:lang w:val="en-US" w:eastAsia="zh-CN"/>
              </w:rPr>
              <w:t>/</w:t>
            </w:r>
          </w:p>
        </w:tc>
      </w:tr>
      <w:tr w14:paraId="63BDEC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27" w:hRule="atLeast"/>
          <w:jc w:val="center"/>
        </w:trPr>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8F5E0F">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宋体" w:hAnsi="宋体" w:eastAsia="宋体" w:cs="宋体"/>
                <w:b w:val="0"/>
                <w:bCs w:val="0"/>
                <w:color w:val="auto"/>
                <w:sz w:val="21"/>
                <w:szCs w:val="21"/>
                <w:highlight w:val="none"/>
                <w:u w:val="none"/>
                <w:vertAlign w:val="baseline"/>
                <w:lang w:val="en-US" w:eastAsia="zh-CN"/>
              </w:rPr>
            </w:pPr>
          </w:p>
        </w:tc>
        <w:tc>
          <w:tcPr>
            <w:tcW w:w="335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DBF9C3A">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宋体" w:hAnsi="宋体" w:eastAsia="宋体" w:cs="宋体"/>
                <w:b w:val="0"/>
                <w:bCs w:val="0"/>
                <w:color w:val="auto"/>
                <w:sz w:val="21"/>
                <w:szCs w:val="21"/>
                <w:highlight w:val="none"/>
                <w:u w:val="none"/>
                <w:vertAlign w:val="baseline"/>
                <w:lang w:val="en-US" w:eastAsia="zh-CN"/>
              </w:rPr>
            </w:pPr>
            <w:r>
              <w:rPr>
                <w:rFonts w:hint="eastAsia" w:ascii="宋体" w:hAnsi="宋体" w:eastAsia="宋体" w:cs="宋体"/>
                <w:b w:val="0"/>
                <w:bCs w:val="0"/>
                <w:color w:val="auto"/>
                <w:sz w:val="21"/>
                <w:szCs w:val="21"/>
                <w:highlight w:val="none"/>
                <w:u w:val="none"/>
                <w:vertAlign w:val="baseline"/>
                <w:lang w:val="en-US" w:eastAsia="zh-CN"/>
              </w:rPr>
              <w:t>资金管理办法（名称、文号）</w:t>
            </w:r>
          </w:p>
        </w:tc>
        <w:tc>
          <w:tcPr>
            <w:tcW w:w="5143"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D7EDF8A">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宋体" w:hAnsi="宋体" w:eastAsia="宋体" w:cs="宋体"/>
                <w:b w:val="0"/>
                <w:bCs w:val="0"/>
                <w:color w:val="auto"/>
                <w:sz w:val="21"/>
                <w:szCs w:val="21"/>
                <w:highlight w:val="none"/>
                <w:u w:val="none"/>
                <w:vertAlign w:val="baseline"/>
                <w:lang w:val="en-US" w:eastAsia="zh-CN"/>
              </w:rPr>
            </w:pPr>
            <w:r>
              <w:rPr>
                <w:rFonts w:hint="eastAsia" w:ascii="宋体" w:hAnsi="宋体" w:eastAsia="宋体" w:cs="宋体"/>
                <w:b w:val="0"/>
                <w:bCs w:val="0"/>
                <w:color w:val="auto"/>
                <w:sz w:val="21"/>
                <w:szCs w:val="21"/>
                <w:highlight w:val="none"/>
                <w:u w:val="none"/>
                <w:vertAlign w:val="baseline"/>
                <w:lang w:val="en-US" w:eastAsia="zh-CN"/>
              </w:rPr>
              <w:t>广元市自然资源局财务管理制度</w:t>
            </w:r>
          </w:p>
        </w:tc>
      </w:tr>
      <w:tr w14:paraId="3061B2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27" w:hRule="atLeast"/>
          <w:jc w:val="center"/>
        </w:trPr>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D53BD1">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宋体" w:hAnsi="宋体" w:eastAsia="宋体" w:cs="宋体"/>
                <w:b w:val="0"/>
                <w:bCs w:val="0"/>
                <w:color w:val="auto"/>
                <w:sz w:val="21"/>
                <w:szCs w:val="21"/>
                <w:highlight w:val="none"/>
                <w:u w:val="none"/>
                <w:vertAlign w:val="baseline"/>
                <w:lang w:val="en-US" w:eastAsia="zh-CN"/>
              </w:rPr>
            </w:pPr>
          </w:p>
        </w:tc>
        <w:tc>
          <w:tcPr>
            <w:tcW w:w="335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576F077">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宋体" w:hAnsi="宋体" w:eastAsia="宋体" w:cs="宋体"/>
                <w:b w:val="0"/>
                <w:bCs w:val="0"/>
                <w:color w:val="auto"/>
                <w:sz w:val="21"/>
                <w:szCs w:val="21"/>
                <w:highlight w:val="none"/>
                <w:u w:val="none"/>
                <w:vertAlign w:val="baseline"/>
                <w:lang w:val="en-US" w:eastAsia="zh-CN"/>
              </w:rPr>
            </w:pPr>
            <w:r>
              <w:rPr>
                <w:rFonts w:hint="eastAsia" w:ascii="宋体" w:hAnsi="宋体" w:eastAsia="宋体" w:cs="宋体"/>
                <w:b w:val="0"/>
                <w:bCs w:val="0"/>
                <w:color w:val="auto"/>
                <w:sz w:val="21"/>
                <w:szCs w:val="21"/>
                <w:highlight w:val="none"/>
                <w:u w:val="none"/>
                <w:vertAlign w:val="baseline"/>
                <w:lang w:val="en-US" w:eastAsia="zh-CN"/>
              </w:rPr>
              <w:t>绩效分配方式</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EEB6A">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宋体" w:hAnsi="宋体" w:eastAsia="宋体" w:cs="宋体"/>
                <w:b w:val="0"/>
                <w:bCs w:val="0"/>
                <w:color w:val="auto"/>
                <w:sz w:val="21"/>
                <w:szCs w:val="21"/>
                <w:highlight w:val="none"/>
                <w:u w:val="none"/>
                <w:vertAlign w:val="baseline"/>
                <w:lang w:val="en-US" w:eastAsia="zh-CN"/>
              </w:rPr>
            </w:pPr>
            <w:r>
              <w:rPr>
                <w:rFonts w:hint="eastAsia" w:ascii="宋体" w:hAnsi="宋体" w:eastAsia="宋体" w:cs="宋体"/>
                <w:b w:val="0"/>
                <w:bCs w:val="0"/>
                <w:color w:val="auto"/>
                <w:sz w:val="21"/>
                <w:szCs w:val="21"/>
                <w:highlight w:val="none"/>
                <w:u w:val="none"/>
                <w:vertAlign w:val="baseline"/>
                <w:lang w:val="en-US" w:eastAsia="zh-CN"/>
              </w:rPr>
              <w:sym w:font="Wingdings 2" w:char="00A3"/>
            </w:r>
            <w:r>
              <w:rPr>
                <w:rFonts w:hint="eastAsia" w:ascii="宋体" w:hAnsi="宋体" w:eastAsia="宋体" w:cs="宋体"/>
                <w:b w:val="0"/>
                <w:bCs w:val="0"/>
                <w:color w:val="auto"/>
                <w:sz w:val="21"/>
                <w:szCs w:val="21"/>
                <w:highlight w:val="none"/>
                <w:u w:val="none"/>
                <w:vertAlign w:val="baseline"/>
                <w:lang w:val="en-US" w:eastAsia="zh-CN"/>
              </w:rPr>
              <w:t>因素法</w:t>
            </w:r>
          </w:p>
        </w:tc>
        <w:tc>
          <w:tcPr>
            <w:tcW w:w="180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E41C004">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宋体" w:hAnsi="宋体" w:eastAsia="宋体" w:cs="宋体"/>
                <w:b w:val="0"/>
                <w:bCs w:val="0"/>
                <w:color w:val="auto"/>
                <w:sz w:val="21"/>
                <w:szCs w:val="21"/>
                <w:highlight w:val="none"/>
                <w:u w:val="none"/>
                <w:vertAlign w:val="baseline"/>
                <w:lang w:val="en-US" w:eastAsia="zh-CN"/>
              </w:rPr>
            </w:pPr>
            <w:r>
              <w:rPr>
                <w:rFonts w:hint="eastAsia" w:ascii="宋体" w:hAnsi="宋体" w:eastAsia="宋体" w:cs="宋体"/>
                <w:b w:val="0"/>
                <w:bCs w:val="0"/>
                <w:color w:val="auto"/>
                <w:sz w:val="21"/>
                <w:szCs w:val="21"/>
                <w:highlight w:val="none"/>
                <w:u w:val="none"/>
                <w:vertAlign w:val="baseline"/>
                <w:lang w:val="en-US" w:eastAsia="zh-CN"/>
              </w:rPr>
              <w:sym w:font="Wingdings 2" w:char="0052"/>
            </w:r>
            <w:r>
              <w:rPr>
                <w:rFonts w:hint="eastAsia" w:ascii="宋体" w:hAnsi="宋体" w:eastAsia="宋体" w:cs="宋体"/>
                <w:b w:val="0"/>
                <w:bCs w:val="0"/>
                <w:color w:val="auto"/>
                <w:sz w:val="21"/>
                <w:szCs w:val="21"/>
                <w:highlight w:val="none"/>
                <w:u w:val="none"/>
                <w:vertAlign w:val="baseline"/>
                <w:lang w:val="en-US" w:eastAsia="zh-CN"/>
              </w:rPr>
              <w:t>项目法</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1DCFE">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宋体" w:hAnsi="宋体" w:eastAsia="宋体" w:cs="宋体"/>
                <w:b w:val="0"/>
                <w:bCs w:val="0"/>
                <w:color w:val="auto"/>
                <w:sz w:val="21"/>
                <w:szCs w:val="21"/>
                <w:highlight w:val="none"/>
                <w:u w:val="none"/>
                <w:vertAlign w:val="baseline"/>
                <w:lang w:val="en-US" w:eastAsia="zh-CN"/>
              </w:rPr>
            </w:pPr>
            <w:r>
              <w:rPr>
                <w:rFonts w:hint="eastAsia" w:ascii="宋体" w:hAnsi="宋体" w:eastAsia="宋体" w:cs="宋体"/>
                <w:b w:val="0"/>
                <w:bCs w:val="0"/>
                <w:color w:val="auto"/>
                <w:sz w:val="21"/>
                <w:szCs w:val="21"/>
                <w:highlight w:val="none"/>
                <w:u w:val="none"/>
                <w:vertAlign w:val="baseline"/>
                <w:lang w:val="en-US" w:eastAsia="zh-CN"/>
              </w:rPr>
              <w:sym w:font="Wingdings 2" w:char="00A3"/>
            </w:r>
            <w:r>
              <w:rPr>
                <w:rFonts w:hint="eastAsia" w:ascii="宋体" w:hAnsi="宋体" w:eastAsia="宋体" w:cs="宋体"/>
                <w:b w:val="0"/>
                <w:bCs w:val="0"/>
                <w:color w:val="auto"/>
                <w:sz w:val="21"/>
                <w:szCs w:val="21"/>
                <w:highlight w:val="none"/>
                <w:u w:val="none"/>
                <w:vertAlign w:val="baseline"/>
                <w:lang w:val="en-US" w:eastAsia="zh-CN"/>
              </w:rPr>
              <w:t>据实据效</w:t>
            </w:r>
          </w:p>
        </w:tc>
        <w:tc>
          <w:tcPr>
            <w:tcW w:w="1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11B2E">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宋体" w:hAnsi="宋体" w:eastAsia="宋体" w:cs="宋体"/>
                <w:b w:val="0"/>
                <w:bCs w:val="0"/>
                <w:color w:val="auto"/>
                <w:sz w:val="21"/>
                <w:szCs w:val="21"/>
                <w:highlight w:val="none"/>
                <w:u w:val="none"/>
                <w:vertAlign w:val="baseline"/>
                <w:lang w:val="en-US" w:eastAsia="zh-CN"/>
              </w:rPr>
            </w:pPr>
            <w:r>
              <w:rPr>
                <w:rFonts w:hint="eastAsia" w:ascii="宋体" w:hAnsi="宋体" w:eastAsia="宋体" w:cs="宋体"/>
                <w:b w:val="0"/>
                <w:bCs w:val="0"/>
                <w:color w:val="auto"/>
                <w:sz w:val="21"/>
                <w:szCs w:val="21"/>
                <w:highlight w:val="none"/>
                <w:u w:val="none"/>
                <w:vertAlign w:val="baseline"/>
                <w:lang w:val="en-US" w:eastAsia="zh-CN"/>
              </w:rPr>
              <w:t>£因素法与项目法相结合</w:t>
            </w:r>
          </w:p>
        </w:tc>
      </w:tr>
      <w:tr w14:paraId="50D5B8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27" w:hRule="atLeast"/>
          <w:jc w:val="center"/>
        </w:trPr>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C1BEA7">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宋体" w:hAnsi="宋体" w:eastAsia="宋体" w:cs="宋体"/>
                <w:b w:val="0"/>
                <w:bCs w:val="0"/>
                <w:color w:val="auto"/>
                <w:sz w:val="21"/>
                <w:szCs w:val="21"/>
                <w:highlight w:val="none"/>
                <w:u w:val="none"/>
                <w:vertAlign w:val="baseline"/>
                <w:lang w:val="en-US" w:eastAsia="zh-CN"/>
              </w:rPr>
            </w:pPr>
          </w:p>
        </w:tc>
        <w:tc>
          <w:tcPr>
            <w:tcW w:w="335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79D4555">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宋体" w:hAnsi="宋体" w:eastAsia="宋体" w:cs="宋体"/>
                <w:b w:val="0"/>
                <w:bCs w:val="0"/>
                <w:color w:val="auto"/>
                <w:sz w:val="21"/>
                <w:szCs w:val="21"/>
                <w:highlight w:val="none"/>
                <w:u w:val="none"/>
                <w:vertAlign w:val="baseline"/>
                <w:lang w:val="en-US" w:eastAsia="zh-CN"/>
              </w:rPr>
            </w:pPr>
            <w:r>
              <w:rPr>
                <w:rFonts w:hint="eastAsia" w:ascii="宋体" w:hAnsi="宋体" w:eastAsia="宋体" w:cs="宋体"/>
                <w:b w:val="0"/>
                <w:bCs w:val="0"/>
                <w:color w:val="auto"/>
                <w:sz w:val="21"/>
                <w:szCs w:val="21"/>
                <w:highlight w:val="none"/>
                <w:u w:val="none"/>
                <w:vertAlign w:val="baseline"/>
                <w:lang w:val="en-US" w:eastAsia="zh-CN"/>
              </w:rPr>
              <w:t>立项依据</w:t>
            </w:r>
          </w:p>
        </w:tc>
        <w:tc>
          <w:tcPr>
            <w:tcW w:w="5143"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5C085B3">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宋体" w:hAnsi="宋体" w:eastAsia="宋体" w:cs="宋体"/>
                <w:b w:val="0"/>
                <w:bCs w:val="0"/>
                <w:color w:val="auto"/>
                <w:sz w:val="21"/>
                <w:szCs w:val="21"/>
                <w:highlight w:val="none"/>
                <w:u w:val="none"/>
                <w:vertAlign w:val="baseline"/>
                <w:lang w:val="en-US" w:eastAsia="zh-CN"/>
              </w:rPr>
            </w:pPr>
            <w:r>
              <w:rPr>
                <w:rFonts w:hint="eastAsia" w:ascii="宋体" w:hAnsi="宋体" w:eastAsia="宋体" w:cs="宋体"/>
                <w:b w:val="0"/>
                <w:bCs w:val="0"/>
                <w:color w:val="auto"/>
                <w:sz w:val="21"/>
                <w:szCs w:val="21"/>
                <w:highlight w:val="none"/>
                <w:u w:val="none"/>
                <w:vertAlign w:val="baseline"/>
                <w:lang w:val="en-US" w:eastAsia="zh-CN"/>
              </w:rPr>
              <w:t>为加强政府购买服务预算管理，促进转变政府职能，改善公共服务供给，优化资源配置，提高政府资金事业效益，按照《广元市政府购买服务预算管理暂行办法》对于现由公益二类事业单位承担并且适宜社会力量提供的服务事项，需转为通过政府购买服务方式提供，同时按照“费随事转”原则，将相关经费由事业单位调整至主管部门用于政府购买服务的规定。我局将原直接委托局属事业单位承担的自然资源技术辅助性工作统一纳入政府购买服务进行统一采购。</w:t>
            </w:r>
          </w:p>
        </w:tc>
      </w:tr>
      <w:tr w14:paraId="77D911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27" w:hRule="atLeast"/>
          <w:jc w:val="center"/>
        </w:trPr>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FBDDBB">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宋体" w:hAnsi="宋体" w:eastAsia="宋体" w:cs="宋体"/>
                <w:b w:val="0"/>
                <w:bCs w:val="0"/>
                <w:color w:val="auto"/>
                <w:sz w:val="21"/>
                <w:szCs w:val="21"/>
                <w:highlight w:val="none"/>
                <w:u w:val="none"/>
                <w:vertAlign w:val="baseline"/>
                <w:lang w:val="en-US" w:eastAsia="zh-CN"/>
              </w:rPr>
            </w:pPr>
          </w:p>
        </w:tc>
        <w:tc>
          <w:tcPr>
            <w:tcW w:w="335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E94A590">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宋体" w:hAnsi="宋体" w:eastAsia="宋体" w:cs="宋体"/>
                <w:b w:val="0"/>
                <w:bCs w:val="0"/>
                <w:color w:val="auto"/>
                <w:sz w:val="21"/>
                <w:szCs w:val="21"/>
                <w:highlight w:val="none"/>
                <w:u w:val="none"/>
                <w:vertAlign w:val="baseline"/>
                <w:lang w:val="en-US" w:eastAsia="zh-CN"/>
              </w:rPr>
            </w:pPr>
            <w:r>
              <w:rPr>
                <w:rFonts w:hint="eastAsia" w:ascii="宋体" w:hAnsi="宋体" w:eastAsia="宋体" w:cs="宋体"/>
                <w:b w:val="0"/>
                <w:bCs w:val="0"/>
                <w:color w:val="auto"/>
                <w:sz w:val="21"/>
                <w:szCs w:val="21"/>
                <w:highlight w:val="none"/>
                <w:u w:val="none"/>
                <w:vertAlign w:val="baseline"/>
                <w:lang w:val="en-US" w:eastAsia="zh-CN"/>
              </w:rPr>
              <w:t>使用范围</w:t>
            </w:r>
          </w:p>
        </w:tc>
        <w:tc>
          <w:tcPr>
            <w:tcW w:w="5143"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FE13653">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宋体" w:hAnsi="宋体" w:eastAsia="宋体" w:cs="宋体"/>
                <w:b w:val="0"/>
                <w:bCs w:val="0"/>
                <w:color w:val="auto"/>
                <w:sz w:val="21"/>
                <w:szCs w:val="21"/>
                <w:highlight w:val="none"/>
                <w:u w:val="none"/>
                <w:vertAlign w:val="baseline"/>
                <w:lang w:val="en-US" w:eastAsia="zh-CN"/>
              </w:rPr>
            </w:pPr>
            <w:r>
              <w:rPr>
                <w:rFonts w:hint="eastAsia" w:ascii="宋体" w:hAnsi="宋体" w:eastAsia="宋体" w:cs="宋体"/>
                <w:b w:val="0"/>
                <w:bCs w:val="0"/>
                <w:color w:val="auto"/>
                <w:sz w:val="21"/>
                <w:szCs w:val="21"/>
                <w:highlight w:val="none"/>
                <w:u w:val="none"/>
                <w:vertAlign w:val="baseline"/>
                <w:lang w:val="en-US" w:eastAsia="zh-CN"/>
              </w:rPr>
              <w:t>委托业务费</w:t>
            </w:r>
          </w:p>
        </w:tc>
      </w:tr>
      <w:tr w14:paraId="4C33B1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27" w:hRule="atLeast"/>
          <w:jc w:val="center"/>
        </w:trPr>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C2B4FD">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宋体" w:hAnsi="宋体" w:eastAsia="宋体" w:cs="宋体"/>
                <w:b w:val="0"/>
                <w:bCs w:val="0"/>
                <w:color w:val="auto"/>
                <w:sz w:val="21"/>
                <w:szCs w:val="21"/>
                <w:highlight w:val="none"/>
                <w:u w:val="none"/>
                <w:vertAlign w:val="baseline"/>
                <w:lang w:val="en-US" w:eastAsia="zh-CN"/>
              </w:rPr>
            </w:pPr>
          </w:p>
        </w:tc>
        <w:tc>
          <w:tcPr>
            <w:tcW w:w="335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59AF253">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宋体" w:hAnsi="宋体" w:eastAsia="宋体" w:cs="宋体"/>
                <w:b w:val="0"/>
                <w:bCs w:val="0"/>
                <w:color w:val="auto"/>
                <w:sz w:val="21"/>
                <w:szCs w:val="21"/>
                <w:highlight w:val="none"/>
                <w:u w:val="none"/>
                <w:vertAlign w:val="baseline"/>
                <w:lang w:val="en-US" w:eastAsia="zh-CN"/>
              </w:rPr>
            </w:pPr>
            <w:r>
              <w:rPr>
                <w:rFonts w:hint="eastAsia" w:ascii="宋体" w:hAnsi="宋体" w:eastAsia="宋体" w:cs="宋体"/>
                <w:b w:val="0"/>
                <w:bCs w:val="0"/>
                <w:color w:val="auto"/>
                <w:sz w:val="21"/>
                <w:szCs w:val="21"/>
                <w:highlight w:val="none"/>
                <w:u w:val="none"/>
                <w:vertAlign w:val="baseline"/>
                <w:lang w:val="en-US" w:eastAsia="zh-CN"/>
              </w:rPr>
              <w:t>申报（补助）条件</w:t>
            </w:r>
          </w:p>
        </w:tc>
        <w:tc>
          <w:tcPr>
            <w:tcW w:w="5143"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5B22AAE">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宋体" w:hAnsi="宋体" w:eastAsia="宋体" w:cs="宋体"/>
                <w:b w:val="0"/>
                <w:bCs w:val="0"/>
                <w:color w:val="auto"/>
                <w:sz w:val="21"/>
                <w:szCs w:val="21"/>
                <w:highlight w:val="none"/>
                <w:u w:val="none"/>
                <w:vertAlign w:val="baseline"/>
                <w:lang w:val="en-US" w:eastAsia="zh-CN"/>
              </w:rPr>
            </w:pPr>
          </w:p>
        </w:tc>
      </w:tr>
      <w:tr w14:paraId="607983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27" w:hRule="atLeast"/>
          <w:jc w:val="center"/>
        </w:trPr>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1BEFF8">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宋体" w:hAnsi="宋体" w:eastAsia="宋体" w:cs="宋体"/>
                <w:b w:val="0"/>
                <w:bCs w:val="0"/>
                <w:color w:val="auto"/>
                <w:sz w:val="21"/>
                <w:szCs w:val="21"/>
                <w:highlight w:val="none"/>
                <w:u w:val="none"/>
                <w:vertAlign w:val="baseline"/>
                <w:lang w:val="en-US" w:eastAsia="zh-CN"/>
              </w:rPr>
            </w:pPr>
          </w:p>
        </w:tc>
        <w:tc>
          <w:tcPr>
            <w:tcW w:w="335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0A16D21">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宋体" w:hAnsi="宋体" w:eastAsia="宋体" w:cs="宋体"/>
                <w:b w:val="0"/>
                <w:bCs w:val="0"/>
                <w:color w:val="auto"/>
                <w:sz w:val="21"/>
                <w:szCs w:val="21"/>
                <w:highlight w:val="none"/>
                <w:u w:val="none"/>
                <w:vertAlign w:val="baseline"/>
                <w:lang w:val="en-US" w:eastAsia="zh-CN"/>
              </w:rPr>
            </w:pPr>
            <w:r>
              <w:rPr>
                <w:rFonts w:hint="eastAsia" w:ascii="宋体" w:hAnsi="宋体" w:eastAsia="宋体" w:cs="宋体"/>
                <w:b w:val="0"/>
                <w:bCs w:val="0"/>
                <w:color w:val="auto"/>
                <w:sz w:val="21"/>
                <w:szCs w:val="21"/>
                <w:highlight w:val="none"/>
                <w:u w:val="none"/>
                <w:vertAlign w:val="baseline"/>
                <w:lang w:val="en-US" w:eastAsia="zh-CN"/>
              </w:rPr>
              <w:t>项目起止年限</w:t>
            </w:r>
          </w:p>
        </w:tc>
        <w:tc>
          <w:tcPr>
            <w:tcW w:w="5143"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59D6B78">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宋体" w:hAnsi="宋体" w:eastAsia="宋体" w:cs="宋体"/>
                <w:b w:val="0"/>
                <w:bCs w:val="0"/>
                <w:color w:val="auto"/>
                <w:sz w:val="21"/>
                <w:szCs w:val="21"/>
                <w:highlight w:val="none"/>
                <w:u w:val="none"/>
                <w:vertAlign w:val="baseline"/>
                <w:lang w:val="en-US" w:eastAsia="zh-CN"/>
              </w:rPr>
            </w:pPr>
            <w:r>
              <w:rPr>
                <w:rFonts w:hint="eastAsia" w:ascii="宋体" w:hAnsi="宋体" w:eastAsia="宋体" w:cs="宋体"/>
                <w:b w:val="0"/>
                <w:bCs w:val="0"/>
                <w:color w:val="auto"/>
                <w:sz w:val="21"/>
                <w:szCs w:val="21"/>
                <w:highlight w:val="none"/>
                <w:u w:val="none"/>
                <w:vertAlign w:val="baseline"/>
                <w:lang w:val="en-US" w:eastAsia="zh-CN"/>
              </w:rPr>
              <w:t>2023-2023</w:t>
            </w:r>
          </w:p>
        </w:tc>
      </w:tr>
      <w:tr w14:paraId="0A5A3E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27" w:hRule="atLeast"/>
          <w:jc w:val="center"/>
        </w:trPr>
        <w:tc>
          <w:tcPr>
            <w:tcW w:w="153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12D13A">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宋体" w:hAnsi="宋体" w:eastAsia="宋体" w:cs="宋体"/>
                <w:b w:val="0"/>
                <w:bCs w:val="0"/>
                <w:color w:val="auto"/>
                <w:sz w:val="21"/>
                <w:szCs w:val="21"/>
                <w:highlight w:val="none"/>
                <w:u w:val="none"/>
                <w:vertAlign w:val="baseline"/>
                <w:lang w:val="en-US" w:eastAsia="zh-CN"/>
              </w:rPr>
            </w:pPr>
            <w:r>
              <w:rPr>
                <w:rFonts w:hint="eastAsia" w:ascii="宋体" w:hAnsi="宋体" w:eastAsia="宋体" w:cs="宋体"/>
                <w:b w:val="0"/>
                <w:bCs w:val="0"/>
                <w:color w:val="auto"/>
                <w:sz w:val="21"/>
                <w:szCs w:val="21"/>
                <w:highlight w:val="none"/>
                <w:u w:val="none"/>
                <w:vertAlign w:val="baseline"/>
                <w:lang w:val="en-US" w:eastAsia="zh-CN"/>
              </w:rPr>
              <w:t>项目资金</w:t>
            </w:r>
          </w:p>
          <w:p w14:paraId="536A2888">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宋体" w:hAnsi="宋体" w:eastAsia="宋体" w:cs="宋体"/>
                <w:b w:val="0"/>
                <w:bCs w:val="0"/>
                <w:color w:val="auto"/>
                <w:sz w:val="21"/>
                <w:szCs w:val="21"/>
                <w:highlight w:val="none"/>
                <w:u w:val="none"/>
                <w:vertAlign w:val="baseline"/>
                <w:lang w:val="en-US" w:eastAsia="zh-CN"/>
              </w:rPr>
            </w:pPr>
            <w:r>
              <w:rPr>
                <w:rFonts w:hint="eastAsia" w:ascii="宋体" w:hAnsi="宋体" w:eastAsia="宋体" w:cs="宋体"/>
                <w:b w:val="0"/>
                <w:bCs w:val="0"/>
                <w:color w:val="auto"/>
                <w:sz w:val="21"/>
                <w:szCs w:val="21"/>
                <w:highlight w:val="none"/>
                <w:u w:val="none"/>
                <w:vertAlign w:val="baseline"/>
                <w:lang w:val="en-US" w:eastAsia="zh-CN"/>
              </w:rPr>
              <w:t>（万元）</w:t>
            </w:r>
          </w:p>
        </w:tc>
        <w:tc>
          <w:tcPr>
            <w:tcW w:w="24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2183A4">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宋体" w:hAnsi="宋体" w:eastAsia="宋体" w:cs="宋体"/>
                <w:b w:val="0"/>
                <w:bCs w:val="0"/>
                <w:color w:val="auto"/>
                <w:sz w:val="21"/>
                <w:szCs w:val="21"/>
                <w:highlight w:val="none"/>
                <w:u w:val="none"/>
                <w:vertAlign w:val="baseline"/>
                <w:lang w:val="en-US" w:eastAsia="zh-CN"/>
              </w:rPr>
            </w:pPr>
            <w:r>
              <w:rPr>
                <w:rFonts w:hint="eastAsia" w:ascii="宋体" w:hAnsi="宋体" w:eastAsia="宋体" w:cs="宋体"/>
                <w:b w:val="0"/>
                <w:bCs w:val="0"/>
                <w:color w:val="auto"/>
                <w:sz w:val="21"/>
                <w:szCs w:val="21"/>
                <w:highlight w:val="none"/>
                <w:u w:val="none"/>
                <w:vertAlign w:val="baseline"/>
                <w:lang w:val="en-US" w:eastAsia="zh-CN"/>
              </w:rPr>
              <w:t xml:space="preserve">  年度资金总额：</w:t>
            </w:r>
          </w:p>
        </w:tc>
        <w:tc>
          <w:tcPr>
            <w:tcW w:w="5143"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112550D">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宋体" w:hAnsi="宋体" w:eastAsia="宋体" w:cs="宋体"/>
                <w:b w:val="0"/>
                <w:bCs w:val="0"/>
                <w:color w:val="auto"/>
                <w:sz w:val="21"/>
                <w:szCs w:val="21"/>
                <w:highlight w:val="none"/>
                <w:u w:val="none"/>
                <w:vertAlign w:val="baseline"/>
                <w:lang w:val="en-US" w:eastAsia="zh-CN"/>
              </w:rPr>
            </w:pPr>
            <w:r>
              <w:rPr>
                <w:rFonts w:hint="eastAsia" w:ascii="宋体" w:hAnsi="宋体" w:eastAsia="宋体" w:cs="宋体"/>
                <w:b w:val="0"/>
                <w:bCs w:val="0"/>
                <w:color w:val="auto"/>
                <w:sz w:val="21"/>
                <w:szCs w:val="21"/>
                <w:highlight w:val="none"/>
                <w:u w:val="none"/>
                <w:vertAlign w:val="baseline"/>
                <w:lang w:val="en-US" w:eastAsia="zh-CN"/>
              </w:rPr>
              <w:t>328.61</w:t>
            </w:r>
          </w:p>
        </w:tc>
      </w:tr>
      <w:tr w14:paraId="42738F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27" w:hRule="atLeast"/>
          <w:jc w:val="center"/>
        </w:trPr>
        <w:tc>
          <w:tcPr>
            <w:tcW w:w="153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FD588A">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宋体" w:hAnsi="宋体" w:eastAsia="宋体" w:cs="宋体"/>
                <w:b w:val="0"/>
                <w:bCs w:val="0"/>
                <w:color w:val="auto"/>
                <w:sz w:val="21"/>
                <w:szCs w:val="21"/>
                <w:highlight w:val="none"/>
                <w:u w:val="none"/>
                <w:vertAlign w:val="baseline"/>
                <w:lang w:val="en-US" w:eastAsia="zh-CN"/>
              </w:rPr>
            </w:pPr>
          </w:p>
        </w:tc>
        <w:tc>
          <w:tcPr>
            <w:tcW w:w="24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EE570E">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宋体" w:hAnsi="宋体" w:eastAsia="宋体" w:cs="宋体"/>
                <w:b w:val="0"/>
                <w:bCs w:val="0"/>
                <w:color w:val="auto"/>
                <w:sz w:val="21"/>
                <w:szCs w:val="21"/>
                <w:highlight w:val="none"/>
                <w:u w:val="none"/>
                <w:vertAlign w:val="baseline"/>
                <w:lang w:val="en-US" w:eastAsia="zh-CN"/>
              </w:rPr>
            </w:pPr>
            <w:r>
              <w:rPr>
                <w:rFonts w:hint="eastAsia" w:ascii="宋体" w:hAnsi="宋体" w:eastAsia="宋体" w:cs="宋体"/>
                <w:b w:val="0"/>
                <w:bCs w:val="0"/>
                <w:color w:val="auto"/>
                <w:sz w:val="21"/>
                <w:szCs w:val="21"/>
                <w:highlight w:val="none"/>
                <w:u w:val="none"/>
                <w:vertAlign w:val="baseline"/>
                <w:lang w:val="en-US" w:eastAsia="zh-CN"/>
              </w:rPr>
              <w:t xml:space="preserve">      其中：财政拨款</w:t>
            </w:r>
          </w:p>
        </w:tc>
        <w:tc>
          <w:tcPr>
            <w:tcW w:w="5143"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22C5009">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宋体" w:hAnsi="宋体" w:eastAsia="宋体" w:cs="宋体"/>
                <w:b w:val="0"/>
                <w:bCs w:val="0"/>
                <w:color w:val="auto"/>
                <w:sz w:val="21"/>
                <w:szCs w:val="21"/>
                <w:highlight w:val="none"/>
                <w:u w:val="none"/>
                <w:vertAlign w:val="baseline"/>
                <w:lang w:val="en-US" w:eastAsia="zh-CN"/>
              </w:rPr>
            </w:pPr>
            <w:r>
              <w:rPr>
                <w:rFonts w:hint="eastAsia" w:ascii="宋体" w:hAnsi="宋体" w:eastAsia="宋体" w:cs="宋体"/>
                <w:b w:val="0"/>
                <w:bCs w:val="0"/>
                <w:color w:val="auto"/>
                <w:sz w:val="21"/>
                <w:szCs w:val="21"/>
                <w:highlight w:val="none"/>
                <w:u w:val="none"/>
                <w:vertAlign w:val="baseline"/>
                <w:lang w:val="en-US" w:eastAsia="zh-CN"/>
              </w:rPr>
              <w:t>328.61</w:t>
            </w:r>
          </w:p>
        </w:tc>
      </w:tr>
      <w:tr w14:paraId="73F67D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27" w:hRule="atLeast"/>
          <w:jc w:val="center"/>
        </w:trPr>
        <w:tc>
          <w:tcPr>
            <w:tcW w:w="153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246D3F">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宋体" w:hAnsi="宋体" w:eastAsia="宋体" w:cs="宋体"/>
                <w:b w:val="0"/>
                <w:bCs w:val="0"/>
                <w:color w:val="auto"/>
                <w:sz w:val="21"/>
                <w:szCs w:val="21"/>
                <w:highlight w:val="none"/>
                <w:u w:val="none"/>
                <w:vertAlign w:val="baseline"/>
                <w:lang w:val="en-US" w:eastAsia="zh-CN"/>
              </w:rPr>
            </w:pPr>
          </w:p>
        </w:tc>
        <w:tc>
          <w:tcPr>
            <w:tcW w:w="24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F59BF3">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宋体" w:hAnsi="宋体" w:eastAsia="宋体" w:cs="宋体"/>
                <w:b w:val="0"/>
                <w:bCs w:val="0"/>
                <w:color w:val="auto"/>
                <w:sz w:val="21"/>
                <w:szCs w:val="21"/>
                <w:highlight w:val="none"/>
                <w:u w:val="none"/>
                <w:vertAlign w:val="baseline"/>
                <w:lang w:val="en-US" w:eastAsia="zh-CN"/>
              </w:rPr>
            </w:pPr>
            <w:r>
              <w:rPr>
                <w:rFonts w:hint="eastAsia" w:ascii="宋体" w:hAnsi="宋体" w:eastAsia="宋体" w:cs="宋体"/>
                <w:b w:val="0"/>
                <w:bCs w:val="0"/>
                <w:color w:val="auto"/>
                <w:sz w:val="21"/>
                <w:szCs w:val="21"/>
                <w:highlight w:val="none"/>
                <w:u w:val="none"/>
                <w:vertAlign w:val="baseline"/>
                <w:lang w:val="en-US" w:eastAsia="zh-CN"/>
              </w:rPr>
              <w:t xml:space="preserve">            其他资金</w:t>
            </w:r>
          </w:p>
        </w:tc>
        <w:tc>
          <w:tcPr>
            <w:tcW w:w="5143"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7C3144B">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宋体" w:hAnsi="宋体" w:eastAsia="宋体" w:cs="宋体"/>
                <w:b w:val="0"/>
                <w:bCs w:val="0"/>
                <w:color w:val="auto"/>
                <w:sz w:val="21"/>
                <w:szCs w:val="21"/>
                <w:highlight w:val="none"/>
                <w:u w:val="none"/>
                <w:vertAlign w:val="baseline"/>
                <w:lang w:val="en-US" w:eastAsia="zh-CN"/>
              </w:rPr>
            </w:pPr>
          </w:p>
        </w:tc>
      </w:tr>
      <w:tr w14:paraId="796D74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27" w:hRule="atLeast"/>
          <w:jc w:val="center"/>
        </w:trPr>
        <w:tc>
          <w:tcPr>
            <w:tcW w:w="5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0EA420">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宋体" w:hAnsi="宋体" w:eastAsia="宋体" w:cs="宋体"/>
                <w:b w:val="0"/>
                <w:bCs w:val="0"/>
                <w:color w:val="auto"/>
                <w:sz w:val="21"/>
                <w:szCs w:val="21"/>
                <w:highlight w:val="none"/>
                <w:u w:val="none"/>
                <w:vertAlign w:val="baseline"/>
                <w:lang w:val="en-US" w:eastAsia="zh-CN"/>
              </w:rPr>
            </w:pPr>
            <w:r>
              <w:rPr>
                <w:rFonts w:hint="eastAsia" w:ascii="宋体" w:hAnsi="宋体" w:eastAsia="宋体" w:cs="宋体"/>
                <w:b w:val="0"/>
                <w:bCs w:val="0"/>
                <w:color w:val="auto"/>
                <w:sz w:val="21"/>
                <w:szCs w:val="21"/>
                <w:highlight w:val="none"/>
                <w:u w:val="none"/>
                <w:vertAlign w:val="baseline"/>
                <w:lang w:val="en-US" w:eastAsia="zh-CN"/>
              </w:rPr>
              <w:t>总体 目标</w:t>
            </w:r>
          </w:p>
        </w:tc>
        <w:tc>
          <w:tcPr>
            <w:tcW w:w="8502"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75CA9A5">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宋体" w:hAnsi="宋体" w:eastAsia="宋体" w:cs="宋体"/>
                <w:b w:val="0"/>
                <w:bCs w:val="0"/>
                <w:color w:val="auto"/>
                <w:sz w:val="21"/>
                <w:szCs w:val="21"/>
                <w:highlight w:val="none"/>
                <w:u w:val="none"/>
                <w:vertAlign w:val="baseline"/>
                <w:lang w:val="en-US" w:eastAsia="zh-CN"/>
              </w:rPr>
            </w:pPr>
            <w:r>
              <w:rPr>
                <w:rFonts w:hint="eastAsia" w:ascii="宋体" w:hAnsi="宋体" w:eastAsia="宋体" w:cs="宋体"/>
                <w:b w:val="0"/>
                <w:bCs w:val="0"/>
                <w:color w:val="auto"/>
                <w:sz w:val="21"/>
                <w:szCs w:val="21"/>
                <w:highlight w:val="none"/>
                <w:u w:val="none"/>
                <w:vertAlign w:val="baseline"/>
                <w:lang w:val="en-US" w:eastAsia="zh-CN"/>
              </w:rPr>
              <w:t>年度目标</w:t>
            </w:r>
          </w:p>
        </w:tc>
      </w:tr>
      <w:tr w14:paraId="6987D8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27" w:hRule="atLeast"/>
          <w:jc w:val="center"/>
        </w:trPr>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866F5B">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宋体" w:hAnsi="宋体" w:eastAsia="宋体" w:cs="宋体"/>
                <w:b w:val="0"/>
                <w:bCs w:val="0"/>
                <w:color w:val="auto"/>
                <w:sz w:val="21"/>
                <w:szCs w:val="21"/>
                <w:highlight w:val="none"/>
                <w:u w:val="none"/>
                <w:vertAlign w:val="baseline"/>
                <w:lang w:val="en-US" w:eastAsia="zh-CN"/>
              </w:rPr>
            </w:pPr>
          </w:p>
        </w:tc>
        <w:tc>
          <w:tcPr>
            <w:tcW w:w="8502"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EA89910">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宋体" w:hAnsi="宋体" w:eastAsia="宋体" w:cs="宋体"/>
                <w:b w:val="0"/>
                <w:bCs w:val="0"/>
                <w:color w:val="auto"/>
                <w:sz w:val="21"/>
                <w:szCs w:val="21"/>
                <w:highlight w:val="none"/>
                <w:u w:val="none"/>
                <w:vertAlign w:val="baseline"/>
                <w:lang w:val="en-US" w:eastAsia="zh-CN"/>
              </w:rPr>
            </w:pPr>
            <w:r>
              <w:rPr>
                <w:rFonts w:hint="eastAsia" w:ascii="宋体" w:hAnsi="宋体" w:eastAsia="宋体" w:cs="宋体"/>
                <w:b w:val="0"/>
                <w:bCs w:val="0"/>
                <w:color w:val="auto"/>
                <w:sz w:val="21"/>
                <w:szCs w:val="21"/>
                <w:highlight w:val="none"/>
                <w:u w:val="none"/>
                <w:vertAlign w:val="baseline"/>
                <w:lang w:val="en-US" w:eastAsia="zh-CN"/>
              </w:rPr>
              <w:t>完成土地报征和临时用地技术审查2000亩；城乡建设用地增减挂钩试点项目核查及整改核实15000亩；卫片执法图斑核实10000个；综合执法案件查办10个；在建与生产矿山生态修复“双随机一公开”核查160个；历史遗留废弃生态修复项目“回头看”核查和项目验收核查231个；历史遗留废弃矿山未治理图斑核查99个；综合动态监测图斑市级核查150000个；年度变更调查图斑市级核查240000个；经营性用地技术服务1800亩。</w:t>
            </w:r>
          </w:p>
        </w:tc>
      </w:tr>
      <w:tr w14:paraId="43A106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27" w:hRule="atLeast"/>
          <w:jc w:val="center"/>
        </w:trPr>
        <w:tc>
          <w:tcPr>
            <w:tcW w:w="577" w:type="dxa"/>
            <w:vMerge w:val="restart"/>
            <w:tcBorders>
              <w:top w:val="single" w:color="000000" w:sz="4" w:space="0"/>
              <w:left w:val="single" w:color="000000" w:sz="4" w:space="0"/>
              <w:bottom w:val="single" w:color="000000" w:sz="4" w:space="0"/>
            </w:tcBorders>
            <w:shd w:val="clear" w:color="auto" w:fill="auto"/>
            <w:vAlign w:val="center"/>
          </w:tcPr>
          <w:p w14:paraId="5D7E6B89">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宋体" w:hAnsi="宋体" w:eastAsia="宋体" w:cs="宋体"/>
                <w:b w:val="0"/>
                <w:bCs w:val="0"/>
                <w:color w:val="auto"/>
                <w:sz w:val="21"/>
                <w:szCs w:val="21"/>
                <w:highlight w:val="none"/>
                <w:u w:val="none"/>
                <w:vertAlign w:val="baseline"/>
                <w:lang w:val="en-US" w:eastAsia="zh-CN"/>
              </w:rPr>
            </w:pPr>
            <w:r>
              <w:rPr>
                <w:rFonts w:hint="eastAsia" w:ascii="宋体" w:hAnsi="宋体" w:eastAsia="宋体" w:cs="宋体"/>
                <w:b w:val="0"/>
                <w:bCs w:val="0"/>
                <w:color w:val="auto"/>
                <w:sz w:val="21"/>
                <w:szCs w:val="21"/>
                <w:highlight w:val="none"/>
                <w:u w:val="none"/>
                <w:vertAlign w:val="baseline"/>
                <w:lang w:val="en-US" w:eastAsia="zh-CN"/>
              </w:rPr>
              <w:t>绩效 指标</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00151">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宋体" w:hAnsi="宋体" w:eastAsia="宋体" w:cs="宋体"/>
                <w:b w:val="0"/>
                <w:bCs w:val="0"/>
                <w:color w:val="auto"/>
                <w:sz w:val="21"/>
                <w:szCs w:val="21"/>
                <w:highlight w:val="none"/>
                <w:u w:val="none"/>
                <w:vertAlign w:val="baseline"/>
                <w:lang w:val="en-US" w:eastAsia="zh-CN"/>
              </w:rPr>
            </w:pPr>
            <w:r>
              <w:rPr>
                <w:rFonts w:hint="eastAsia" w:ascii="宋体" w:hAnsi="宋体" w:eastAsia="宋体" w:cs="宋体"/>
                <w:b w:val="0"/>
                <w:bCs w:val="0"/>
                <w:color w:val="auto"/>
                <w:sz w:val="21"/>
                <w:szCs w:val="21"/>
                <w:highlight w:val="none"/>
                <w:u w:val="none"/>
                <w:vertAlign w:val="baseline"/>
                <w:lang w:val="en-US" w:eastAsia="zh-CN"/>
              </w:rPr>
              <w:t>一级指标</w:t>
            </w:r>
          </w:p>
        </w:tc>
        <w:tc>
          <w:tcPr>
            <w:tcW w:w="1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36D6B">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宋体" w:hAnsi="宋体" w:eastAsia="宋体" w:cs="宋体"/>
                <w:b w:val="0"/>
                <w:bCs w:val="0"/>
                <w:color w:val="auto"/>
                <w:sz w:val="21"/>
                <w:szCs w:val="21"/>
                <w:highlight w:val="none"/>
                <w:u w:val="none"/>
                <w:vertAlign w:val="baseline"/>
                <w:lang w:val="en-US" w:eastAsia="zh-CN"/>
              </w:rPr>
            </w:pPr>
            <w:r>
              <w:rPr>
                <w:rFonts w:hint="eastAsia" w:ascii="宋体" w:hAnsi="宋体" w:eastAsia="宋体" w:cs="宋体"/>
                <w:b w:val="0"/>
                <w:bCs w:val="0"/>
                <w:color w:val="auto"/>
                <w:sz w:val="21"/>
                <w:szCs w:val="21"/>
                <w:highlight w:val="none"/>
                <w:u w:val="none"/>
                <w:vertAlign w:val="baseline"/>
                <w:lang w:val="en-US" w:eastAsia="zh-CN"/>
              </w:rPr>
              <w:t>二级指标</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2A84A">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宋体" w:hAnsi="宋体" w:eastAsia="宋体" w:cs="宋体"/>
                <w:b w:val="0"/>
                <w:bCs w:val="0"/>
                <w:color w:val="auto"/>
                <w:sz w:val="21"/>
                <w:szCs w:val="21"/>
                <w:highlight w:val="none"/>
                <w:u w:val="none"/>
                <w:vertAlign w:val="baseline"/>
                <w:lang w:val="en-US" w:eastAsia="zh-CN"/>
              </w:rPr>
            </w:pPr>
            <w:r>
              <w:rPr>
                <w:rFonts w:hint="eastAsia" w:ascii="宋体" w:hAnsi="宋体" w:eastAsia="宋体" w:cs="宋体"/>
                <w:b w:val="0"/>
                <w:bCs w:val="0"/>
                <w:color w:val="auto"/>
                <w:sz w:val="21"/>
                <w:szCs w:val="21"/>
                <w:highlight w:val="none"/>
                <w:u w:val="none"/>
                <w:vertAlign w:val="baseline"/>
                <w:lang w:val="en-US" w:eastAsia="zh-CN"/>
              </w:rPr>
              <w:t>三级指标</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88DBD">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宋体" w:hAnsi="宋体" w:eastAsia="宋体" w:cs="宋体"/>
                <w:b w:val="0"/>
                <w:bCs w:val="0"/>
                <w:color w:val="auto"/>
                <w:sz w:val="21"/>
                <w:szCs w:val="21"/>
                <w:highlight w:val="none"/>
                <w:u w:val="none"/>
                <w:vertAlign w:val="baseline"/>
                <w:lang w:val="en-US" w:eastAsia="zh-CN"/>
              </w:rPr>
            </w:pPr>
            <w:r>
              <w:rPr>
                <w:rFonts w:hint="eastAsia" w:ascii="宋体" w:hAnsi="宋体" w:eastAsia="宋体" w:cs="宋体"/>
                <w:b w:val="0"/>
                <w:bCs w:val="0"/>
                <w:color w:val="auto"/>
                <w:sz w:val="21"/>
                <w:szCs w:val="21"/>
                <w:highlight w:val="none"/>
                <w:u w:val="none"/>
                <w:vertAlign w:val="baseline"/>
                <w:lang w:val="en-US" w:eastAsia="zh-CN"/>
              </w:rPr>
              <w:t>指标性质</w:t>
            </w:r>
          </w:p>
        </w:tc>
        <w:tc>
          <w:tcPr>
            <w:tcW w:w="12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41FB11">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宋体" w:hAnsi="宋体" w:eastAsia="宋体" w:cs="宋体"/>
                <w:b w:val="0"/>
                <w:bCs w:val="0"/>
                <w:color w:val="auto"/>
                <w:sz w:val="21"/>
                <w:szCs w:val="21"/>
                <w:highlight w:val="none"/>
                <w:u w:val="none"/>
                <w:vertAlign w:val="baseline"/>
                <w:lang w:val="en-US" w:eastAsia="zh-CN"/>
              </w:rPr>
            </w:pPr>
            <w:r>
              <w:rPr>
                <w:rFonts w:hint="eastAsia" w:ascii="宋体" w:hAnsi="宋体" w:eastAsia="宋体" w:cs="宋体"/>
                <w:b w:val="0"/>
                <w:bCs w:val="0"/>
                <w:color w:val="auto"/>
                <w:sz w:val="21"/>
                <w:szCs w:val="21"/>
                <w:highlight w:val="none"/>
                <w:u w:val="none"/>
                <w:vertAlign w:val="baseline"/>
                <w:lang w:val="en-US" w:eastAsia="zh-CN"/>
              </w:rPr>
              <w:t>指标值</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E8FFE">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宋体" w:hAnsi="宋体" w:eastAsia="宋体" w:cs="宋体"/>
                <w:b w:val="0"/>
                <w:bCs w:val="0"/>
                <w:color w:val="auto"/>
                <w:sz w:val="21"/>
                <w:szCs w:val="21"/>
                <w:highlight w:val="none"/>
                <w:u w:val="none"/>
                <w:vertAlign w:val="baseline"/>
                <w:lang w:val="en-US" w:eastAsia="zh-CN"/>
              </w:rPr>
            </w:pPr>
            <w:r>
              <w:rPr>
                <w:rFonts w:hint="eastAsia" w:ascii="宋体" w:hAnsi="宋体" w:eastAsia="宋体" w:cs="宋体"/>
                <w:b w:val="0"/>
                <w:bCs w:val="0"/>
                <w:color w:val="auto"/>
                <w:sz w:val="21"/>
                <w:szCs w:val="21"/>
                <w:highlight w:val="none"/>
                <w:u w:val="none"/>
                <w:vertAlign w:val="baseline"/>
                <w:lang w:val="en-US" w:eastAsia="zh-CN"/>
              </w:rPr>
              <w:t>度量单位</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E21B4">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宋体" w:hAnsi="宋体" w:eastAsia="宋体" w:cs="宋体"/>
                <w:b w:val="0"/>
                <w:bCs w:val="0"/>
                <w:color w:val="auto"/>
                <w:sz w:val="21"/>
                <w:szCs w:val="21"/>
                <w:highlight w:val="none"/>
                <w:u w:val="none"/>
                <w:vertAlign w:val="baseline"/>
                <w:lang w:val="en-US" w:eastAsia="zh-CN"/>
              </w:rPr>
            </w:pPr>
            <w:r>
              <w:rPr>
                <w:rFonts w:hint="eastAsia" w:ascii="宋体" w:hAnsi="宋体" w:eastAsia="宋体" w:cs="宋体"/>
                <w:b w:val="0"/>
                <w:bCs w:val="0"/>
                <w:color w:val="auto"/>
                <w:sz w:val="21"/>
                <w:szCs w:val="21"/>
                <w:highlight w:val="none"/>
                <w:u w:val="none"/>
                <w:vertAlign w:val="baseline"/>
                <w:lang w:val="en-US" w:eastAsia="zh-CN"/>
              </w:rPr>
              <w:t>权重</w:t>
            </w:r>
          </w:p>
        </w:tc>
        <w:tc>
          <w:tcPr>
            <w:tcW w:w="1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37211">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宋体" w:hAnsi="宋体" w:eastAsia="宋体" w:cs="宋体"/>
                <w:b w:val="0"/>
                <w:bCs w:val="0"/>
                <w:color w:val="auto"/>
                <w:sz w:val="21"/>
                <w:szCs w:val="21"/>
                <w:highlight w:val="none"/>
                <w:u w:val="none"/>
                <w:vertAlign w:val="baseline"/>
                <w:lang w:val="en-US" w:eastAsia="zh-CN"/>
              </w:rPr>
            </w:pPr>
            <w:r>
              <w:rPr>
                <w:rFonts w:hint="eastAsia" w:ascii="宋体" w:hAnsi="宋体" w:eastAsia="宋体" w:cs="宋体"/>
                <w:b w:val="0"/>
                <w:bCs w:val="0"/>
                <w:color w:val="auto"/>
                <w:sz w:val="21"/>
                <w:szCs w:val="21"/>
                <w:highlight w:val="none"/>
                <w:u w:val="none"/>
                <w:vertAlign w:val="baseline"/>
                <w:lang w:val="en-US" w:eastAsia="zh-CN"/>
              </w:rPr>
              <w:t>实际完成指标值</w:t>
            </w:r>
          </w:p>
        </w:tc>
      </w:tr>
      <w:tr w14:paraId="14CD4A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27" w:hRule="atLeast"/>
          <w:jc w:val="center"/>
        </w:trPr>
        <w:tc>
          <w:tcPr>
            <w:tcW w:w="577" w:type="dxa"/>
            <w:vMerge w:val="continue"/>
            <w:tcBorders>
              <w:top w:val="single" w:color="000000" w:sz="4" w:space="0"/>
              <w:left w:val="single" w:color="000000" w:sz="4" w:space="0"/>
              <w:bottom w:val="single" w:color="000000" w:sz="4" w:space="0"/>
            </w:tcBorders>
            <w:shd w:val="clear" w:color="auto" w:fill="auto"/>
            <w:vAlign w:val="center"/>
          </w:tcPr>
          <w:p w14:paraId="1252ECD5">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宋体" w:hAnsi="宋体" w:eastAsia="宋体" w:cs="宋体"/>
                <w:b w:val="0"/>
                <w:bCs w:val="0"/>
                <w:color w:val="auto"/>
                <w:sz w:val="21"/>
                <w:szCs w:val="21"/>
                <w:highlight w:val="none"/>
                <w:u w:val="none"/>
                <w:vertAlign w:val="baseline"/>
                <w:lang w:val="en-US" w:eastAsia="zh-CN"/>
              </w:rPr>
            </w:pP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3CB68">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宋体" w:hAnsi="宋体" w:eastAsia="宋体" w:cs="宋体"/>
                <w:b w:val="0"/>
                <w:bCs w:val="0"/>
                <w:color w:val="auto"/>
                <w:sz w:val="21"/>
                <w:szCs w:val="21"/>
                <w:highlight w:val="none"/>
                <w:u w:val="none"/>
                <w:vertAlign w:val="baseline"/>
                <w:lang w:val="en-US" w:eastAsia="zh-CN"/>
              </w:rPr>
            </w:pPr>
            <w:r>
              <w:rPr>
                <w:rFonts w:hint="eastAsia" w:ascii="宋体" w:hAnsi="宋体" w:eastAsia="宋体" w:cs="宋体"/>
                <w:b w:val="0"/>
                <w:bCs w:val="0"/>
                <w:color w:val="auto"/>
                <w:sz w:val="21"/>
                <w:szCs w:val="21"/>
                <w:highlight w:val="none"/>
                <w:u w:val="none"/>
                <w:vertAlign w:val="baseline"/>
                <w:lang w:val="en-US" w:eastAsia="zh-CN"/>
              </w:rPr>
              <w:t>产出指标</w:t>
            </w:r>
          </w:p>
        </w:tc>
        <w:tc>
          <w:tcPr>
            <w:tcW w:w="1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F041B">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宋体" w:hAnsi="宋体" w:eastAsia="宋体" w:cs="宋体"/>
                <w:b w:val="0"/>
                <w:bCs w:val="0"/>
                <w:color w:val="auto"/>
                <w:sz w:val="21"/>
                <w:szCs w:val="21"/>
                <w:highlight w:val="none"/>
                <w:u w:val="none"/>
                <w:vertAlign w:val="baseline"/>
                <w:lang w:val="en-US" w:eastAsia="zh-CN"/>
              </w:rPr>
            </w:pPr>
            <w:r>
              <w:rPr>
                <w:rFonts w:hint="eastAsia" w:ascii="宋体" w:hAnsi="宋体" w:eastAsia="宋体" w:cs="宋体"/>
                <w:b w:val="0"/>
                <w:bCs w:val="0"/>
                <w:color w:val="auto"/>
                <w:sz w:val="21"/>
                <w:szCs w:val="21"/>
                <w:highlight w:val="none"/>
                <w:u w:val="none"/>
                <w:vertAlign w:val="baseline"/>
                <w:lang w:val="en-US" w:eastAsia="zh-CN"/>
              </w:rPr>
              <w:t>数量指标</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7DD2D">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宋体" w:hAnsi="宋体" w:eastAsia="宋体" w:cs="宋体"/>
                <w:b w:val="0"/>
                <w:bCs w:val="0"/>
                <w:color w:val="auto"/>
                <w:sz w:val="21"/>
                <w:szCs w:val="21"/>
                <w:highlight w:val="none"/>
                <w:u w:val="none"/>
                <w:vertAlign w:val="baseline"/>
                <w:lang w:val="en-US" w:eastAsia="zh-CN"/>
              </w:rPr>
            </w:pPr>
            <w:r>
              <w:rPr>
                <w:rFonts w:hint="eastAsia" w:ascii="宋体" w:hAnsi="宋体" w:eastAsia="宋体" w:cs="宋体"/>
                <w:b w:val="0"/>
                <w:bCs w:val="0"/>
                <w:color w:val="auto"/>
                <w:sz w:val="21"/>
                <w:szCs w:val="21"/>
                <w:highlight w:val="none"/>
                <w:u w:val="none"/>
                <w:vertAlign w:val="baseline"/>
                <w:lang w:val="en-US" w:eastAsia="zh-CN"/>
              </w:rPr>
              <w:t>规土地报征报价和临时用地技术审查</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4C04D">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宋体" w:hAnsi="宋体" w:eastAsia="宋体" w:cs="宋体"/>
                <w:b w:val="0"/>
                <w:bCs w:val="0"/>
                <w:color w:val="auto"/>
                <w:sz w:val="21"/>
                <w:szCs w:val="21"/>
                <w:highlight w:val="none"/>
                <w:u w:val="none"/>
                <w:vertAlign w:val="baseline"/>
                <w:lang w:val="en-US" w:eastAsia="zh-CN"/>
              </w:rPr>
            </w:pPr>
            <w:r>
              <w:rPr>
                <w:rFonts w:hint="eastAsia" w:ascii="宋体" w:hAnsi="宋体" w:eastAsia="宋体" w:cs="宋体"/>
                <w:b w:val="0"/>
                <w:bCs w:val="0"/>
                <w:color w:val="auto"/>
                <w:sz w:val="21"/>
                <w:szCs w:val="21"/>
                <w:highlight w:val="none"/>
                <w:u w:val="none"/>
                <w:vertAlign w:val="baseline"/>
                <w:lang w:val="en-US" w:eastAsia="zh-CN"/>
              </w:rPr>
              <w:t>≥</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C9BDC">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宋体" w:hAnsi="宋体" w:eastAsia="宋体" w:cs="宋体"/>
                <w:b w:val="0"/>
                <w:bCs w:val="0"/>
                <w:color w:val="auto"/>
                <w:sz w:val="21"/>
                <w:szCs w:val="21"/>
                <w:highlight w:val="none"/>
                <w:u w:val="none"/>
                <w:vertAlign w:val="baseline"/>
                <w:lang w:val="en-US" w:eastAsia="zh-CN"/>
              </w:rPr>
            </w:pPr>
            <w:r>
              <w:rPr>
                <w:rFonts w:hint="eastAsia" w:ascii="宋体" w:hAnsi="宋体" w:eastAsia="宋体" w:cs="宋体"/>
                <w:b w:val="0"/>
                <w:bCs w:val="0"/>
                <w:color w:val="auto"/>
                <w:sz w:val="21"/>
                <w:szCs w:val="21"/>
                <w:highlight w:val="none"/>
                <w:u w:val="none"/>
                <w:vertAlign w:val="baseline"/>
                <w:lang w:val="en-US" w:eastAsia="zh-CN"/>
              </w:rPr>
              <w:t>2000</w:t>
            </w:r>
          </w:p>
        </w:tc>
        <w:tc>
          <w:tcPr>
            <w:tcW w:w="9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46927C">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宋体" w:hAnsi="宋体" w:eastAsia="宋体" w:cs="宋体"/>
                <w:b w:val="0"/>
                <w:bCs w:val="0"/>
                <w:color w:val="auto"/>
                <w:sz w:val="21"/>
                <w:szCs w:val="21"/>
                <w:highlight w:val="none"/>
                <w:u w:val="none"/>
                <w:vertAlign w:val="baseline"/>
                <w:lang w:val="en-US" w:eastAsia="zh-CN"/>
              </w:rPr>
            </w:pPr>
            <w:r>
              <w:rPr>
                <w:rFonts w:hint="eastAsia" w:ascii="宋体" w:hAnsi="宋体" w:eastAsia="宋体" w:cs="宋体"/>
                <w:b w:val="0"/>
                <w:bCs w:val="0"/>
                <w:color w:val="auto"/>
                <w:sz w:val="21"/>
                <w:szCs w:val="21"/>
                <w:highlight w:val="none"/>
                <w:u w:val="none"/>
                <w:vertAlign w:val="baseline"/>
                <w:lang w:val="en-US" w:eastAsia="zh-CN"/>
              </w:rPr>
              <w:t>亩</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FBA21">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宋体" w:hAnsi="宋体" w:eastAsia="宋体" w:cs="宋体"/>
                <w:b w:val="0"/>
                <w:bCs w:val="0"/>
                <w:color w:val="auto"/>
                <w:sz w:val="21"/>
                <w:szCs w:val="21"/>
                <w:highlight w:val="none"/>
                <w:u w:val="none"/>
                <w:vertAlign w:val="baseline"/>
                <w:lang w:val="en-US" w:eastAsia="zh-CN"/>
              </w:rPr>
            </w:pPr>
            <w:r>
              <w:rPr>
                <w:rFonts w:hint="eastAsia" w:ascii="宋体" w:hAnsi="宋体" w:eastAsia="宋体" w:cs="宋体"/>
                <w:b w:val="0"/>
                <w:bCs w:val="0"/>
                <w:color w:val="auto"/>
                <w:sz w:val="21"/>
                <w:szCs w:val="21"/>
                <w:highlight w:val="none"/>
                <w:u w:val="none"/>
                <w:vertAlign w:val="baseline"/>
                <w:lang w:val="en-US" w:eastAsia="zh-CN"/>
              </w:rPr>
              <w:t>20</w:t>
            </w:r>
          </w:p>
        </w:tc>
        <w:tc>
          <w:tcPr>
            <w:tcW w:w="1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216B1">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宋体" w:hAnsi="宋体" w:eastAsia="宋体" w:cs="宋体"/>
                <w:b w:val="0"/>
                <w:bCs w:val="0"/>
                <w:color w:val="auto"/>
                <w:sz w:val="21"/>
                <w:szCs w:val="21"/>
                <w:highlight w:val="none"/>
                <w:u w:val="none"/>
                <w:vertAlign w:val="baseline"/>
                <w:lang w:val="en-US" w:eastAsia="zh-CN"/>
              </w:rPr>
            </w:pPr>
            <w:r>
              <w:rPr>
                <w:rFonts w:hint="eastAsia" w:ascii="宋体" w:hAnsi="宋体" w:eastAsia="宋体" w:cs="宋体"/>
                <w:b w:val="0"/>
                <w:bCs w:val="0"/>
                <w:color w:val="auto"/>
                <w:sz w:val="21"/>
                <w:szCs w:val="21"/>
                <w:highlight w:val="none"/>
                <w:u w:val="none"/>
                <w:vertAlign w:val="baseline"/>
                <w:lang w:val="en-US" w:eastAsia="zh-CN"/>
              </w:rPr>
              <w:t>15</w:t>
            </w:r>
          </w:p>
        </w:tc>
      </w:tr>
      <w:tr w14:paraId="51DD09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27" w:hRule="atLeast"/>
          <w:jc w:val="center"/>
        </w:trPr>
        <w:tc>
          <w:tcPr>
            <w:tcW w:w="577" w:type="dxa"/>
            <w:vMerge w:val="continue"/>
            <w:tcBorders>
              <w:top w:val="single" w:color="000000" w:sz="4" w:space="0"/>
              <w:left w:val="single" w:color="000000" w:sz="4" w:space="0"/>
              <w:bottom w:val="single" w:color="000000" w:sz="4" w:space="0"/>
            </w:tcBorders>
            <w:shd w:val="clear" w:color="auto" w:fill="auto"/>
            <w:vAlign w:val="center"/>
          </w:tcPr>
          <w:p w14:paraId="3ADC6AFD">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宋体" w:hAnsi="宋体" w:eastAsia="宋体" w:cs="宋体"/>
                <w:b w:val="0"/>
                <w:bCs w:val="0"/>
                <w:color w:val="auto"/>
                <w:sz w:val="21"/>
                <w:szCs w:val="21"/>
                <w:highlight w:val="none"/>
                <w:u w:val="none"/>
                <w:vertAlign w:val="baseline"/>
                <w:lang w:val="en-US" w:eastAsia="zh-CN"/>
              </w:rPr>
            </w:pP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57666">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宋体" w:hAnsi="宋体" w:eastAsia="宋体" w:cs="宋体"/>
                <w:b w:val="0"/>
                <w:bCs w:val="0"/>
                <w:color w:val="auto"/>
                <w:sz w:val="21"/>
                <w:szCs w:val="21"/>
                <w:highlight w:val="none"/>
                <w:u w:val="none"/>
                <w:vertAlign w:val="baseline"/>
                <w:lang w:val="en-US" w:eastAsia="zh-CN"/>
              </w:rPr>
            </w:pPr>
            <w:r>
              <w:rPr>
                <w:rFonts w:hint="eastAsia" w:ascii="宋体" w:hAnsi="宋体" w:eastAsia="宋体" w:cs="宋体"/>
                <w:b w:val="0"/>
                <w:bCs w:val="0"/>
                <w:color w:val="auto"/>
                <w:sz w:val="21"/>
                <w:szCs w:val="21"/>
                <w:highlight w:val="none"/>
                <w:u w:val="none"/>
                <w:vertAlign w:val="baseline"/>
                <w:lang w:val="en-US" w:eastAsia="zh-CN"/>
              </w:rPr>
              <w:t>产出指标</w:t>
            </w:r>
          </w:p>
        </w:tc>
        <w:tc>
          <w:tcPr>
            <w:tcW w:w="1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70340">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宋体" w:hAnsi="宋体" w:eastAsia="宋体" w:cs="宋体"/>
                <w:b w:val="0"/>
                <w:bCs w:val="0"/>
                <w:color w:val="auto"/>
                <w:sz w:val="21"/>
                <w:szCs w:val="21"/>
                <w:highlight w:val="none"/>
                <w:u w:val="none"/>
                <w:vertAlign w:val="baseline"/>
                <w:lang w:val="en-US" w:eastAsia="zh-CN"/>
              </w:rPr>
            </w:pPr>
            <w:r>
              <w:rPr>
                <w:rFonts w:hint="eastAsia" w:ascii="宋体" w:hAnsi="宋体" w:eastAsia="宋体" w:cs="宋体"/>
                <w:b w:val="0"/>
                <w:bCs w:val="0"/>
                <w:color w:val="auto"/>
                <w:sz w:val="21"/>
                <w:szCs w:val="21"/>
                <w:highlight w:val="none"/>
                <w:u w:val="none"/>
                <w:vertAlign w:val="baseline"/>
                <w:lang w:val="en-US" w:eastAsia="zh-CN"/>
              </w:rPr>
              <w:t>数量指标</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4F451">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宋体" w:hAnsi="宋体" w:eastAsia="宋体" w:cs="宋体"/>
                <w:b w:val="0"/>
                <w:bCs w:val="0"/>
                <w:color w:val="auto"/>
                <w:sz w:val="21"/>
                <w:szCs w:val="21"/>
                <w:highlight w:val="none"/>
                <w:u w:val="none"/>
                <w:vertAlign w:val="baseline"/>
                <w:lang w:val="en-US" w:eastAsia="zh-CN"/>
              </w:rPr>
            </w:pPr>
            <w:r>
              <w:rPr>
                <w:rFonts w:hint="eastAsia" w:ascii="宋体" w:hAnsi="宋体" w:eastAsia="宋体" w:cs="宋体"/>
                <w:b w:val="0"/>
                <w:bCs w:val="0"/>
                <w:color w:val="auto"/>
                <w:sz w:val="21"/>
                <w:szCs w:val="21"/>
                <w:highlight w:val="none"/>
                <w:u w:val="none"/>
                <w:vertAlign w:val="baseline"/>
                <w:lang w:val="en-US" w:eastAsia="zh-CN"/>
              </w:rPr>
              <w:t>城乡建设用地增减挂钩试点项目核查及整改核实</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668A9">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宋体" w:hAnsi="宋体" w:eastAsia="宋体" w:cs="宋体"/>
                <w:b w:val="0"/>
                <w:bCs w:val="0"/>
                <w:color w:val="auto"/>
                <w:sz w:val="21"/>
                <w:szCs w:val="21"/>
                <w:highlight w:val="none"/>
                <w:u w:val="none"/>
                <w:vertAlign w:val="baseline"/>
                <w:lang w:val="en-US" w:eastAsia="zh-CN"/>
              </w:rPr>
            </w:pPr>
            <w:r>
              <w:rPr>
                <w:rFonts w:hint="eastAsia" w:ascii="宋体" w:hAnsi="宋体" w:eastAsia="宋体" w:cs="宋体"/>
                <w:b w:val="0"/>
                <w:bCs w:val="0"/>
                <w:color w:val="auto"/>
                <w:sz w:val="21"/>
                <w:szCs w:val="21"/>
                <w:highlight w:val="none"/>
                <w:u w:val="none"/>
                <w:vertAlign w:val="baseline"/>
                <w:lang w:val="en-US" w:eastAsia="zh-CN"/>
              </w:rPr>
              <w:t>≥</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BB027">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宋体" w:hAnsi="宋体" w:eastAsia="宋体" w:cs="宋体"/>
                <w:b w:val="0"/>
                <w:bCs w:val="0"/>
                <w:color w:val="auto"/>
                <w:sz w:val="21"/>
                <w:szCs w:val="21"/>
                <w:highlight w:val="none"/>
                <w:u w:val="none"/>
                <w:vertAlign w:val="baseline"/>
                <w:lang w:val="en-US" w:eastAsia="zh-CN"/>
              </w:rPr>
            </w:pPr>
            <w:r>
              <w:rPr>
                <w:rFonts w:hint="eastAsia" w:ascii="宋体" w:hAnsi="宋体" w:eastAsia="宋体" w:cs="宋体"/>
                <w:b w:val="0"/>
                <w:bCs w:val="0"/>
                <w:color w:val="auto"/>
                <w:sz w:val="21"/>
                <w:szCs w:val="21"/>
                <w:highlight w:val="none"/>
                <w:u w:val="none"/>
                <w:vertAlign w:val="baseline"/>
                <w:lang w:val="en-US" w:eastAsia="zh-CN"/>
              </w:rPr>
              <w:t>15000</w:t>
            </w:r>
          </w:p>
        </w:tc>
        <w:tc>
          <w:tcPr>
            <w:tcW w:w="9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D5B278">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宋体" w:hAnsi="宋体" w:eastAsia="宋体" w:cs="宋体"/>
                <w:b w:val="0"/>
                <w:bCs w:val="0"/>
                <w:color w:val="auto"/>
                <w:sz w:val="21"/>
                <w:szCs w:val="21"/>
                <w:highlight w:val="none"/>
                <w:u w:val="none"/>
                <w:vertAlign w:val="baseline"/>
                <w:lang w:val="en-US" w:eastAsia="zh-CN"/>
              </w:rPr>
            </w:pPr>
            <w:r>
              <w:rPr>
                <w:rFonts w:hint="eastAsia" w:ascii="宋体" w:hAnsi="宋体" w:eastAsia="宋体" w:cs="宋体"/>
                <w:b w:val="0"/>
                <w:bCs w:val="0"/>
                <w:color w:val="auto"/>
                <w:sz w:val="21"/>
                <w:szCs w:val="21"/>
                <w:highlight w:val="none"/>
                <w:u w:val="none"/>
                <w:vertAlign w:val="baseline"/>
                <w:lang w:val="en-US" w:eastAsia="zh-CN"/>
              </w:rPr>
              <w:t>亩</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1B21C">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宋体" w:hAnsi="宋体" w:eastAsia="宋体" w:cs="宋体"/>
                <w:b w:val="0"/>
                <w:bCs w:val="0"/>
                <w:color w:val="auto"/>
                <w:sz w:val="21"/>
                <w:szCs w:val="21"/>
                <w:highlight w:val="none"/>
                <w:u w:val="none"/>
                <w:vertAlign w:val="baseline"/>
                <w:lang w:val="en-US" w:eastAsia="zh-CN"/>
              </w:rPr>
            </w:pPr>
            <w:r>
              <w:rPr>
                <w:rFonts w:hint="eastAsia" w:ascii="宋体" w:hAnsi="宋体" w:eastAsia="宋体" w:cs="宋体"/>
                <w:b w:val="0"/>
                <w:bCs w:val="0"/>
                <w:color w:val="auto"/>
                <w:sz w:val="21"/>
                <w:szCs w:val="21"/>
                <w:highlight w:val="none"/>
                <w:u w:val="none"/>
                <w:vertAlign w:val="baseline"/>
                <w:lang w:val="en-US" w:eastAsia="zh-CN"/>
              </w:rPr>
              <w:t>10</w:t>
            </w:r>
          </w:p>
        </w:tc>
        <w:tc>
          <w:tcPr>
            <w:tcW w:w="1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5BF76">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宋体" w:hAnsi="宋体" w:eastAsia="宋体" w:cs="宋体"/>
                <w:b w:val="0"/>
                <w:bCs w:val="0"/>
                <w:color w:val="auto"/>
                <w:sz w:val="21"/>
                <w:szCs w:val="21"/>
                <w:highlight w:val="none"/>
                <w:u w:val="none"/>
                <w:vertAlign w:val="baseline"/>
                <w:lang w:val="en-US" w:eastAsia="zh-CN"/>
              </w:rPr>
            </w:pPr>
            <w:r>
              <w:rPr>
                <w:rFonts w:hint="eastAsia" w:ascii="宋体" w:hAnsi="宋体" w:eastAsia="宋体" w:cs="宋体"/>
                <w:b w:val="0"/>
                <w:bCs w:val="0"/>
                <w:color w:val="auto"/>
                <w:sz w:val="21"/>
                <w:szCs w:val="21"/>
                <w:highlight w:val="none"/>
                <w:u w:val="none"/>
                <w:vertAlign w:val="baseline"/>
                <w:lang w:val="en-US" w:eastAsia="zh-CN"/>
              </w:rPr>
              <w:t>1</w:t>
            </w:r>
          </w:p>
        </w:tc>
      </w:tr>
      <w:tr w14:paraId="1889F4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27" w:hRule="atLeast"/>
          <w:jc w:val="center"/>
        </w:trPr>
        <w:tc>
          <w:tcPr>
            <w:tcW w:w="577" w:type="dxa"/>
            <w:vMerge w:val="continue"/>
            <w:tcBorders>
              <w:top w:val="single" w:color="000000" w:sz="4" w:space="0"/>
              <w:left w:val="single" w:color="000000" w:sz="4" w:space="0"/>
              <w:bottom w:val="single" w:color="000000" w:sz="4" w:space="0"/>
            </w:tcBorders>
            <w:shd w:val="clear" w:color="auto" w:fill="auto"/>
            <w:vAlign w:val="center"/>
          </w:tcPr>
          <w:p w14:paraId="4634D048">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宋体" w:hAnsi="宋体" w:eastAsia="宋体" w:cs="宋体"/>
                <w:b w:val="0"/>
                <w:bCs w:val="0"/>
                <w:color w:val="auto"/>
                <w:sz w:val="21"/>
                <w:szCs w:val="21"/>
                <w:highlight w:val="none"/>
                <w:u w:val="none"/>
                <w:vertAlign w:val="baseline"/>
                <w:lang w:val="en-US" w:eastAsia="zh-CN"/>
              </w:rPr>
            </w:pP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C6A22">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宋体" w:hAnsi="宋体" w:eastAsia="宋体" w:cs="宋体"/>
                <w:b w:val="0"/>
                <w:bCs w:val="0"/>
                <w:color w:val="auto"/>
                <w:sz w:val="21"/>
                <w:szCs w:val="21"/>
                <w:highlight w:val="none"/>
                <w:u w:val="none"/>
                <w:vertAlign w:val="baseline"/>
                <w:lang w:val="en-US" w:eastAsia="zh-CN"/>
              </w:rPr>
            </w:pPr>
            <w:r>
              <w:rPr>
                <w:rFonts w:hint="eastAsia" w:ascii="宋体" w:hAnsi="宋体" w:eastAsia="宋体" w:cs="宋体"/>
                <w:b w:val="0"/>
                <w:bCs w:val="0"/>
                <w:color w:val="auto"/>
                <w:sz w:val="21"/>
                <w:szCs w:val="21"/>
                <w:highlight w:val="none"/>
                <w:u w:val="none"/>
                <w:vertAlign w:val="baseline"/>
                <w:lang w:val="en-US" w:eastAsia="zh-CN"/>
              </w:rPr>
              <w:t>产出指标</w:t>
            </w:r>
          </w:p>
        </w:tc>
        <w:tc>
          <w:tcPr>
            <w:tcW w:w="1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4FA58">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宋体" w:hAnsi="宋体" w:eastAsia="宋体" w:cs="宋体"/>
                <w:b w:val="0"/>
                <w:bCs w:val="0"/>
                <w:color w:val="auto"/>
                <w:sz w:val="21"/>
                <w:szCs w:val="21"/>
                <w:highlight w:val="none"/>
                <w:u w:val="none"/>
                <w:vertAlign w:val="baseline"/>
                <w:lang w:val="en-US" w:eastAsia="zh-CN"/>
              </w:rPr>
            </w:pPr>
            <w:r>
              <w:rPr>
                <w:rFonts w:hint="eastAsia" w:ascii="宋体" w:hAnsi="宋体" w:eastAsia="宋体" w:cs="宋体"/>
                <w:b w:val="0"/>
                <w:bCs w:val="0"/>
                <w:color w:val="auto"/>
                <w:sz w:val="21"/>
                <w:szCs w:val="21"/>
                <w:highlight w:val="none"/>
                <w:u w:val="none"/>
                <w:vertAlign w:val="baseline"/>
                <w:lang w:val="en-US" w:eastAsia="zh-CN"/>
              </w:rPr>
              <w:t>质量指标</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5AF79">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宋体" w:hAnsi="宋体" w:eastAsia="宋体" w:cs="宋体"/>
                <w:b w:val="0"/>
                <w:bCs w:val="0"/>
                <w:color w:val="auto"/>
                <w:sz w:val="21"/>
                <w:szCs w:val="21"/>
                <w:highlight w:val="none"/>
                <w:u w:val="none"/>
                <w:vertAlign w:val="baseline"/>
                <w:lang w:val="en-US" w:eastAsia="zh-CN"/>
              </w:rPr>
            </w:pPr>
            <w:r>
              <w:rPr>
                <w:rFonts w:hint="eastAsia" w:ascii="宋体" w:hAnsi="宋体" w:eastAsia="宋体" w:cs="宋体"/>
                <w:b w:val="0"/>
                <w:bCs w:val="0"/>
                <w:color w:val="auto"/>
                <w:sz w:val="21"/>
                <w:szCs w:val="21"/>
                <w:highlight w:val="none"/>
                <w:u w:val="none"/>
                <w:vertAlign w:val="baseline"/>
                <w:lang w:val="en-US" w:eastAsia="zh-CN"/>
              </w:rPr>
              <w:t>验收合格率</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3CEB2">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宋体" w:hAnsi="宋体" w:eastAsia="宋体" w:cs="宋体"/>
                <w:b w:val="0"/>
                <w:bCs w:val="0"/>
                <w:color w:val="auto"/>
                <w:sz w:val="21"/>
                <w:szCs w:val="21"/>
                <w:highlight w:val="none"/>
                <w:u w:val="none"/>
                <w:vertAlign w:val="baseline"/>
                <w:lang w:val="en-US" w:eastAsia="zh-CN"/>
              </w:rPr>
            </w:pPr>
            <w:r>
              <w:rPr>
                <w:rFonts w:hint="eastAsia" w:ascii="宋体" w:hAnsi="宋体" w:eastAsia="宋体" w:cs="宋体"/>
                <w:b w:val="0"/>
                <w:bCs w:val="0"/>
                <w:color w:val="auto"/>
                <w:sz w:val="21"/>
                <w:szCs w:val="21"/>
                <w:highlight w:val="none"/>
                <w:u w:val="none"/>
                <w:vertAlign w:val="baseline"/>
                <w:lang w:val="en-US" w:eastAsia="zh-CN"/>
              </w:rPr>
              <w:t>≥</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53711">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宋体" w:hAnsi="宋体" w:eastAsia="宋体" w:cs="宋体"/>
                <w:b w:val="0"/>
                <w:bCs w:val="0"/>
                <w:color w:val="auto"/>
                <w:sz w:val="21"/>
                <w:szCs w:val="21"/>
                <w:highlight w:val="none"/>
                <w:u w:val="none"/>
                <w:vertAlign w:val="baseline"/>
                <w:lang w:val="en-US" w:eastAsia="zh-CN"/>
              </w:rPr>
            </w:pPr>
            <w:r>
              <w:rPr>
                <w:rFonts w:hint="eastAsia" w:ascii="宋体" w:hAnsi="宋体" w:eastAsia="宋体" w:cs="宋体"/>
                <w:b w:val="0"/>
                <w:bCs w:val="0"/>
                <w:color w:val="auto"/>
                <w:sz w:val="21"/>
                <w:szCs w:val="21"/>
                <w:highlight w:val="none"/>
                <w:u w:val="none"/>
                <w:vertAlign w:val="baseline"/>
                <w:lang w:val="en-US" w:eastAsia="zh-CN"/>
              </w:rPr>
              <w:t>100</w:t>
            </w:r>
          </w:p>
        </w:tc>
        <w:tc>
          <w:tcPr>
            <w:tcW w:w="9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6B2AAA">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宋体" w:hAnsi="宋体" w:eastAsia="宋体" w:cs="宋体"/>
                <w:b w:val="0"/>
                <w:bCs w:val="0"/>
                <w:color w:val="auto"/>
                <w:sz w:val="21"/>
                <w:szCs w:val="21"/>
                <w:highlight w:val="none"/>
                <w:u w:val="none"/>
                <w:vertAlign w:val="baseline"/>
                <w:lang w:val="en-US" w:eastAsia="zh-CN"/>
              </w:rPr>
            </w:pPr>
            <w:r>
              <w:rPr>
                <w:rFonts w:hint="eastAsia" w:ascii="宋体" w:hAnsi="宋体" w:eastAsia="宋体" w:cs="宋体"/>
                <w:b w:val="0"/>
                <w:bCs w:val="0"/>
                <w:color w:val="auto"/>
                <w:sz w:val="21"/>
                <w:szCs w:val="21"/>
                <w:highlight w:val="none"/>
                <w:u w:val="none"/>
                <w:vertAlign w:val="baseline"/>
                <w:lang w:val="en-US" w:eastAsia="zh-CN"/>
              </w:rPr>
              <w:t>%</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83B0B">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宋体" w:hAnsi="宋体" w:eastAsia="宋体" w:cs="宋体"/>
                <w:b w:val="0"/>
                <w:bCs w:val="0"/>
                <w:color w:val="auto"/>
                <w:sz w:val="21"/>
                <w:szCs w:val="21"/>
                <w:highlight w:val="none"/>
                <w:u w:val="none"/>
                <w:vertAlign w:val="baseline"/>
                <w:lang w:val="en-US" w:eastAsia="zh-CN"/>
              </w:rPr>
            </w:pPr>
            <w:r>
              <w:rPr>
                <w:rFonts w:hint="eastAsia" w:ascii="宋体" w:hAnsi="宋体" w:eastAsia="宋体" w:cs="宋体"/>
                <w:b w:val="0"/>
                <w:bCs w:val="0"/>
                <w:color w:val="auto"/>
                <w:sz w:val="21"/>
                <w:szCs w:val="21"/>
                <w:highlight w:val="none"/>
                <w:u w:val="none"/>
                <w:vertAlign w:val="baseline"/>
                <w:lang w:val="en-US" w:eastAsia="zh-CN"/>
              </w:rPr>
              <w:t>10</w:t>
            </w:r>
          </w:p>
        </w:tc>
        <w:tc>
          <w:tcPr>
            <w:tcW w:w="1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E22AE">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宋体" w:hAnsi="宋体" w:eastAsia="宋体" w:cs="宋体"/>
                <w:b w:val="0"/>
                <w:bCs w:val="0"/>
                <w:color w:val="auto"/>
                <w:sz w:val="21"/>
                <w:szCs w:val="21"/>
                <w:highlight w:val="none"/>
                <w:u w:val="none"/>
                <w:vertAlign w:val="baseline"/>
                <w:lang w:val="en-US" w:eastAsia="zh-CN"/>
              </w:rPr>
            </w:pPr>
            <w:r>
              <w:rPr>
                <w:rFonts w:hint="eastAsia" w:ascii="宋体" w:hAnsi="宋体" w:eastAsia="宋体" w:cs="宋体"/>
                <w:b w:val="0"/>
                <w:bCs w:val="0"/>
                <w:color w:val="auto"/>
                <w:sz w:val="21"/>
                <w:szCs w:val="21"/>
                <w:highlight w:val="none"/>
                <w:u w:val="none"/>
                <w:vertAlign w:val="baseline"/>
                <w:lang w:val="en-US" w:eastAsia="zh-CN"/>
              </w:rPr>
              <w:t>100</w:t>
            </w:r>
          </w:p>
        </w:tc>
      </w:tr>
      <w:tr w14:paraId="114D8C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27" w:hRule="atLeast"/>
          <w:jc w:val="center"/>
        </w:trPr>
        <w:tc>
          <w:tcPr>
            <w:tcW w:w="577" w:type="dxa"/>
            <w:vMerge w:val="continue"/>
            <w:tcBorders>
              <w:top w:val="single" w:color="000000" w:sz="4" w:space="0"/>
              <w:left w:val="single" w:color="000000" w:sz="4" w:space="0"/>
              <w:bottom w:val="single" w:color="000000" w:sz="4" w:space="0"/>
            </w:tcBorders>
            <w:shd w:val="clear" w:color="auto" w:fill="auto"/>
            <w:vAlign w:val="center"/>
          </w:tcPr>
          <w:p w14:paraId="0269B6AE">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宋体" w:hAnsi="宋体" w:eastAsia="宋体" w:cs="宋体"/>
                <w:b w:val="0"/>
                <w:bCs w:val="0"/>
                <w:color w:val="auto"/>
                <w:sz w:val="21"/>
                <w:szCs w:val="21"/>
                <w:highlight w:val="none"/>
                <w:u w:val="none"/>
                <w:vertAlign w:val="baseline"/>
                <w:lang w:val="en-US" w:eastAsia="zh-CN"/>
              </w:rPr>
            </w:pP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37C39">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宋体" w:hAnsi="宋体" w:eastAsia="宋体" w:cs="宋体"/>
                <w:b w:val="0"/>
                <w:bCs w:val="0"/>
                <w:color w:val="auto"/>
                <w:sz w:val="21"/>
                <w:szCs w:val="21"/>
                <w:highlight w:val="none"/>
                <w:u w:val="none"/>
                <w:vertAlign w:val="baseline"/>
                <w:lang w:val="en-US" w:eastAsia="zh-CN"/>
              </w:rPr>
            </w:pPr>
            <w:r>
              <w:rPr>
                <w:rFonts w:hint="eastAsia" w:ascii="宋体" w:hAnsi="宋体" w:eastAsia="宋体" w:cs="宋体"/>
                <w:b w:val="0"/>
                <w:bCs w:val="0"/>
                <w:color w:val="auto"/>
                <w:sz w:val="21"/>
                <w:szCs w:val="21"/>
                <w:highlight w:val="none"/>
                <w:u w:val="none"/>
                <w:vertAlign w:val="baseline"/>
                <w:lang w:val="en-US" w:eastAsia="zh-CN"/>
              </w:rPr>
              <w:t>产出指标</w:t>
            </w:r>
          </w:p>
        </w:tc>
        <w:tc>
          <w:tcPr>
            <w:tcW w:w="1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11399">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宋体" w:hAnsi="宋体" w:eastAsia="宋体" w:cs="宋体"/>
                <w:b w:val="0"/>
                <w:bCs w:val="0"/>
                <w:color w:val="auto"/>
                <w:sz w:val="21"/>
                <w:szCs w:val="21"/>
                <w:highlight w:val="none"/>
                <w:u w:val="none"/>
                <w:vertAlign w:val="baseline"/>
                <w:lang w:val="en-US" w:eastAsia="zh-CN"/>
              </w:rPr>
            </w:pPr>
            <w:r>
              <w:rPr>
                <w:rFonts w:hint="eastAsia" w:ascii="宋体" w:hAnsi="宋体" w:eastAsia="宋体" w:cs="宋体"/>
                <w:b w:val="0"/>
                <w:bCs w:val="0"/>
                <w:color w:val="auto"/>
                <w:sz w:val="21"/>
                <w:szCs w:val="21"/>
                <w:highlight w:val="none"/>
                <w:u w:val="none"/>
                <w:vertAlign w:val="baseline"/>
                <w:lang w:val="en-US" w:eastAsia="zh-CN"/>
              </w:rPr>
              <w:t>时效指标</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02FE9">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宋体" w:hAnsi="宋体" w:eastAsia="宋体" w:cs="宋体"/>
                <w:b w:val="0"/>
                <w:bCs w:val="0"/>
                <w:color w:val="auto"/>
                <w:sz w:val="21"/>
                <w:szCs w:val="21"/>
                <w:highlight w:val="none"/>
                <w:u w:val="none"/>
                <w:vertAlign w:val="baseline"/>
                <w:lang w:val="en-US" w:eastAsia="zh-CN"/>
              </w:rPr>
            </w:pPr>
            <w:r>
              <w:rPr>
                <w:rFonts w:hint="eastAsia" w:ascii="宋体" w:hAnsi="宋体" w:eastAsia="宋体" w:cs="宋体"/>
                <w:b w:val="0"/>
                <w:bCs w:val="0"/>
                <w:color w:val="auto"/>
                <w:sz w:val="21"/>
                <w:szCs w:val="21"/>
                <w:highlight w:val="none"/>
                <w:u w:val="none"/>
                <w:vertAlign w:val="baseline"/>
                <w:lang w:val="en-US" w:eastAsia="zh-CN"/>
              </w:rPr>
              <w:t>完成时间</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7AFD0">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宋体" w:hAnsi="宋体" w:eastAsia="宋体" w:cs="宋体"/>
                <w:b w:val="0"/>
                <w:bCs w:val="0"/>
                <w:color w:val="auto"/>
                <w:sz w:val="21"/>
                <w:szCs w:val="21"/>
                <w:highlight w:val="none"/>
                <w:u w:val="none"/>
                <w:vertAlign w:val="baseline"/>
                <w:lang w:val="en-US" w:eastAsia="zh-CN"/>
              </w:rPr>
            </w:pPr>
            <w:r>
              <w:rPr>
                <w:rFonts w:hint="eastAsia" w:ascii="宋体" w:hAnsi="宋体" w:eastAsia="宋体" w:cs="宋体"/>
                <w:b w:val="0"/>
                <w:bCs w:val="0"/>
                <w:color w:val="auto"/>
                <w:sz w:val="21"/>
                <w:szCs w:val="21"/>
                <w:highlight w:val="none"/>
                <w:u w:val="none"/>
                <w:vertAlign w:val="baseline"/>
                <w:lang w:val="en-US" w:eastAsia="zh-CN"/>
              </w:rPr>
              <w:t>≤</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CC63D">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宋体" w:hAnsi="宋体" w:eastAsia="宋体" w:cs="宋体"/>
                <w:b w:val="0"/>
                <w:bCs w:val="0"/>
                <w:color w:val="auto"/>
                <w:sz w:val="21"/>
                <w:szCs w:val="21"/>
                <w:highlight w:val="none"/>
                <w:u w:val="none"/>
                <w:vertAlign w:val="baseline"/>
                <w:lang w:val="en-US" w:eastAsia="zh-CN"/>
              </w:rPr>
            </w:pPr>
            <w:r>
              <w:rPr>
                <w:rFonts w:hint="eastAsia" w:ascii="宋体" w:hAnsi="宋体" w:eastAsia="宋体" w:cs="宋体"/>
                <w:b w:val="0"/>
                <w:bCs w:val="0"/>
                <w:color w:val="auto"/>
                <w:sz w:val="21"/>
                <w:szCs w:val="21"/>
                <w:highlight w:val="none"/>
                <w:u w:val="none"/>
                <w:vertAlign w:val="baseline"/>
                <w:lang w:val="en-US" w:eastAsia="zh-CN"/>
              </w:rPr>
              <w:t>1</w:t>
            </w:r>
          </w:p>
        </w:tc>
        <w:tc>
          <w:tcPr>
            <w:tcW w:w="9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724152">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宋体" w:hAnsi="宋体" w:eastAsia="宋体" w:cs="宋体"/>
                <w:b w:val="0"/>
                <w:bCs w:val="0"/>
                <w:color w:val="auto"/>
                <w:sz w:val="21"/>
                <w:szCs w:val="21"/>
                <w:highlight w:val="none"/>
                <w:u w:val="none"/>
                <w:vertAlign w:val="baseline"/>
                <w:lang w:val="en-US" w:eastAsia="zh-CN"/>
              </w:rPr>
            </w:pPr>
            <w:r>
              <w:rPr>
                <w:rFonts w:hint="eastAsia" w:ascii="宋体" w:hAnsi="宋体" w:eastAsia="宋体" w:cs="宋体"/>
                <w:b w:val="0"/>
                <w:bCs w:val="0"/>
                <w:color w:val="auto"/>
                <w:sz w:val="21"/>
                <w:szCs w:val="21"/>
                <w:highlight w:val="none"/>
                <w:u w:val="none"/>
                <w:vertAlign w:val="baseline"/>
                <w:lang w:val="en-US" w:eastAsia="zh-CN"/>
              </w:rPr>
              <w:t>年</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8EC31">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宋体" w:hAnsi="宋体" w:eastAsia="宋体" w:cs="宋体"/>
                <w:b w:val="0"/>
                <w:bCs w:val="0"/>
                <w:color w:val="auto"/>
                <w:sz w:val="21"/>
                <w:szCs w:val="21"/>
                <w:highlight w:val="none"/>
                <w:u w:val="none"/>
                <w:vertAlign w:val="baseline"/>
                <w:lang w:val="en-US" w:eastAsia="zh-CN"/>
              </w:rPr>
            </w:pPr>
            <w:r>
              <w:rPr>
                <w:rFonts w:hint="eastAsia" w:ascii="宋体" w:hAnsi="宋体" w:eastAsia="宋体" w:cs="宋体"/>
                <w:b w:val="0"/>
                <w:bCs w:val="0"/>
                <w:color w:val="auto"/>
                <w:sz w:val="21"/>
                <w:szCs w:val="21"/>
                <w:highlight w:val="none"/>
                <w:u w:val="none"/>
                <w:vertAlign w:val="baseline"/>
                <w:lang w:val="en-US" w:eastAsia="zh-CN"/>
              </w:rPr>
              <w:t>10</w:t>
            </w:r>
          </w:p>
        </w:tc>
        <w:tc>
          <w:tcPr>
            <w:tcW w:w="1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133BB">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宋体" w:hAnsi="宋体" w:eastAsia="宋体" w:cs="宋体"/>
                <w:b w:val="0"/>
                <w:bCs w:val="0"/>
                <w:color w:val="auto"/>
                <w:sz w:val="21"/>
                <w:szCs w:val="21"/>
                <w:highlight w:val="none"/>
                <w:u w:val="none"/>
                <w:vertAlign w:val="baseline"/>
                <w:lang w:val="en-US" w:eastAsia="zh-CN"/>
              </w:rPr>
            </w:pPr>
          </w:p>
        </w:tc>
      </w:tr>
      <w:tr w14:paraId="5EE865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27" w:hRule="atLeast"/>
          <w:jc w:val="center"/>
        </w:trPr>
        <w:tc>
          <w:tcPr>
            <w:tcW w:w="577" w:type="dxa"/>
            <w:vMerge w:val="continue"/>
            <w:tcBorders>
              <w:top w:val="single" w:color="000000" w:sz="4" w:space="0"/>
              <w:left w:val="single" w:color="000000" w:sz="4" w:space="0"/>
              <w:bottom w:val="single" w:color="000000" w:sz="4" w:space="0"/>
            </w:tcBorders>
            <w:shd w:val="clear" w:color="auto" w:fill="auto"/>
            <w:vAlign w:val="center"/>
          </w:tcPr>
          <w:p w14:paraId="17C27516">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宋体" w:hAnsi="宋体" w:eastAsia="宋体" w:cs="宋体"/>
                <w:b w:val="0"/>
                <w:bCs w:val="0"/>
                <w:color w:val="auto"/>
                <w:sz w:val="21"/>
                <w:szCs w:val="21"/>
                <w:highlight w:val="none"/>
                <w:u w:val="none"/>
                <w:vertAlign w:val="baseline"/>
                <w:lang w:val="en-US" w:eastAsia="zh-CN"/>
              </w:rPr>
            </w:pP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B1655">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宋体" w:hAnsi="宋体" w:eastAsia="宋体" w:cs="宋体"/>
                <w:b w:val="0"/>
                <w:bCs w:val="0"/>
                <w:color w:val="auto"/>
                <w:sz w:val="21"/>
                <w:szCs w:val="21"/>
                <w:highlight w:val="none"/>
                <w:u w:val="none"/>
                <w:vertAlign w:val="baseline"/>
                <w:lang w:val="en-US" w:eastAsia="zh-CN"/>
              </w:rPr>
            </w:pPr>
            <w:r>
              <w:rPr>
                <w:rFonts w:hint="eastAsia" w:ascii="宋体" w:hAnsi="宋体" w:eastAsia="宋体" w:cs="宋体"/>
                <w:b w:val="0"/>
                <w:bCs w:val="0"/>
                <w:color w:val="auto"/>
                <w:sz w:val="21"/>
                <w:szCs w:val="21"/>
                <w:highlight w:val="none"/>
                <w:u w:val="none"/>
                <w:vertAlign w:val="baseline"/>
                <w:lang w:val="en-US" w:eastAsia="zh-CN"/>
              </w:rPr>
              <w:t>效益指标</w:t>
            </w:r>
          </w:p>
        </w:tc>
        <w:tc>
          <w:tcPr>
            <w:tcW w:w="1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24BA8">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宋体" w:hAnsi="宋体" w:eastAsia="宋体" w:cs="宋体"/>
                <w:b w:val="0"/>
                <w:bCs w:val="0"/>
                <w:color w:val="auto"/>
                <w:sz w:val="21"/>
                <w:szCs w:val="21"/>
                <w:highlight w:val="none"/>
                <w:u w:val="none"/>
                <w:vertAlign w:val="baseline"/>
                <w:lang w:val="en-US" w:eastAsia="zh-CN"/>
              </w:rPr>
            </w:pPr>
            <w:r>
              <w:rPr>
                <w:rFonts w:hint="eastAsia" w:ascii="宋体" w:hAnsi="宋体" w:eastAsia="宋体" w:cs="宋体"/>
                <w:b w:val="0"/>
                <w:bCs w:val="0"/>
                <w:color w:val="auto"/>
                <w:sz w:val="21"/>
                <w:szCs w:val="21"/>
                <w:highlight w:val="none"/>
                <w:u w:val="none"/>
                <w:vertAlign w:val="baseline"/>
                <w:lang w:val="en-US" w:eastAsia="zh-CN"/>
              </w:rPr>
              <w:t>社会效益</w:t>
            </w:r>
          </w:p>
          <w:p w14:paraId="6DE91AF4">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宋体" w:hAnsi="宋体" w:eastAsia="宋体" w:cs="宋体"/>
                <w:b w:val="0"/>
                <w:bCs w:val="0"/>
                <w:color w:val="auto"/>
                <w:sz w:val="21"/>
                <w:szCs w:val="21"/>
                <w:highlight w:val="none"/>
                <w:u w:val="none"/>
                <w:vertAlign w:val="baseline"/>
                <w:lang w:val="en-US" w:eastAsia="zh-CN"/>
              </w:rPr>
            </w:pPr>
            <w:r>
              <w:rPr>
                <w:rFonts w:hint="eastAsia" w:ascii="宋体" w:hAnsi="宋体" w:eastAsia="宋体" w:cs="宋体"/>
                <w:b w:val="0"/>
                <w:bCs w:val="0"/>
                <w:color w:val="auto"/>
                <w:sz w:val="21"/>
                <w:szCs w:val="21"/>
                <w:highlight w:val="none"/>
                <w:u w:val="none"/>
                <w:vertAlign w:val="baseline"/>
                <w:lang w:val="en-US" w:eastAsia="zh-CN"/>
              </w:rPr>
              <w:t>指标</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FB5D7">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宋体" w:hAnsi="宋体" w:eastAsia="宋体" w:cs="宋体"/>
                <w:b w:val="0"/>
                <w:bCs w:val="0"/>
                <w:color w:val="auto"/>
                <w:sz w:val="21"/>
                <w:szCs w:val="21"/>
                <w:highlight w:val="none"/>
                <w:u w:val="none"/>
                <w:vertAlign w:val="baseline"/>
                <w:lang w:val="en-US" w:eastAsia="zh-CN"/>
              </w:rPr>
            </w:pPr>
            <w:r>
              <w:rPr>
                <w:rFonts w:hint="eastAsia" w:ascii="宋体" w:hAnsi="宋体" w:eastAsia="宋体" w:cs="宋体"/>
                <w:b w:val="0"/>
                <w:bCs w:val="0"/>
                <w:color w:val="auto"/>
                <w:sz w:val="21"/>
                <w:szCs w:val="21"/>
                <w:highlight w:val="none"/>
                <w:u w:val="none"/>
                <w:vertAlign w:val="baseline"/>
                <w:lang w:val="en-US" w:eastAsia="zh-CN"/>
              </w:rPr>
              <w:t>保障自然资源管理工作高效运转</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58AE1">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宋体" w:hAnsi="宋体" w:eastAsia="宋体" w:cs="宋体"/>
                <w:b w:val="0"/>
                <w:bCs w:val="0"/>
                <w:color w:val="auto"/>
                <w:sz w:val="21"/>
                <w:szCs w:val="21"/>
                <w:highlight w:val="none"/>
                <w:u w:val="none"/>
                <w:vertAlign w:val="baseline"/>
                <w:lang w:val="en-US" w:eastAsia="zh-CN"/>
              </w:rPr>
            </w:pPr>
            <w:r>
              <w:rPr>
                <w:rFonts w:hint="eastAsia" w:ascii="宋体" w:hAnsi="宋体" w:eastAsia="宋体" w:cs="宋体"/>
                <w:b w:val="0"/>
                <w:bCs w:val="0"/>
                <w:color w:val="auto"/>
                <w:sz w:val="21"/>
                <w:szCs w:val="21"/>
                <w:highlight w:val="none"/>
                <w:u w:val="none"/>
                <w:vertAlign w:val="baseline"/>
                <w:lang w:val="en-US" w:eastAsia="zh-CN"/>
              </w:rPr>
              <w:t>定性</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023B2">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宋体" w:hAnsi="宋体" w:eastAsia="宋体" w:cs="宋体"/>
                <w:b w:val="0"/>
                <w:bCs w:val="0"/>
                <w:color w:val="auto"/>
                <w:sz w:val="21"/>
                <w:szCs w:val="21"/>
                <w:highlight w:val="none"/>
                <w:u w:val="none"/>
                <w:vertAlign w:val="baseline"/>
                <w:lang w:val="en-US" w:eastAsia="zh-CN"/>
              </w:rPr>
            </w:pPr>
            <w:r>
              <w:rPr>
                <w:rFonts w:hint="eastAsia" w:ascii="宋体" w:hAnsi="宋体" w:eastAsia="宋体" w:cs="宋体"/>
                <w:b w:val="0"/>
                <w:bCs w:val="0"/>
                <w:color w:val="auto"/>
                <w:sz w:val="21"/>
                <w:szCs w:val="21"/>
                <w:highlight w:val="none"/>
                <w:u w:val="none"/>
                <w:vertAlign w:val="baseline"/>
                <w:lang w:val="en-US" w:eastAsia="zh-CN"/>
              </w:rPr>
              <w:t>良好</w:t>
            </w:r>
          </w:p>
        </w:tc>
        <w:tc>
          <w:tcPr>
            <w:tcW w:w="9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BD0A30">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宋体" w:hAnsi="宋体" w:eastAsia="宋体" w:cs="宋体"/>
                <w:b w:val="0"/>
                <w:bCs w:val="0"/>
                <w:color w:val="auto"/>
                <w:sz w:val="21"/>
                <w:szCs w:val="21"/>
                <w:highlight w:val="none"/>
                <w:u w:val="none"/>
                <w:vertAlign w:val="baseline"/>
                <w:lang w:val="en-US" w:eastAsia="zh-CN"/>
              </w:rPr>
            </w:pPr>
            <w:r>
              <w:rPr>
                <w:rFonts w:hint="eastAsia" w:ascii="宋体" w:hAnsi="宋体" w:eastAsia="宋体" w:cs="宋体"/>
                <w:b w:val="0"/>
                <w:bCs w:val="0"/>
                <w:color w:val="auto"/>
                <w:sz w:val="21"/>
                <w:szCs w:val="21"/>
                <w:highlight w:val="none"/>
                <w:u w:val="none"/>
                <w:vertAlign w:val="baseline"/>
                <w:lang w:val="en-US" w:eastAsia="zh-CN"/>
              </w:rPr>
              <w:t>级</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49DB5">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宋体" w:hAnsi="宋体" w:eastAsia="宋体" w:cs="宋体"/>
                <w:b w:val="0"/>
                <w:bCs w:val="0"/>
                <w:color w:val="auto"/>
                <w:sz w:val="21"/>
                <w:szCs w:val="21"/>
                <w:highlight w:val="none"/>
                <w:u w:val="none"/>
                <w:vertAlign w:val="baseline"/>
                <w:lang w:val="en-US" w:eastAsia="zh-CN"/>
              </w:rPr>
            </w:pPr>
            <w:r>
              <w:rPr>
                <w:rFonts w:hint="eastAsia" w:ascii="宋体" w:hAnsi="宋体" w:eastAsia="宋体" w:cs="宋体"/>
                <w:b w:val="0"/>
                <w:bCs w:val="0"/>
                <w:color w:val="auto"/>
                <w:sz w:val="21"/>
                <w:szCs w:val="21"/>
                <w:highlight w:val="none"/>
                <w:u w:val="none"/>
                <w:vertAlign w:val="baseline"/>
                <w:lang w:val="en-US" w:eastAsia="zh-CN"/>
              </w:rPr>
              <w:t>20</w:t>
            </w:r>
          </w:p>
        </w:tc>
        <w:tc>
          <w:tcPr>
            <w:tcW w:w="1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2E2E1">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宋体" w:hAnsi="宋体" w:eastAsia="宋体" w:cs="宋体"/>
                <w:b w:val="0"/>
                <w:bCs w:val="0"/>
                <w:color w:val="auto"/>
                <w:sz w:val="21"/>
                <w:szCs w:val="21"/>
                <w:highlight w:val="none"/>
                <w:u w:val="none"/>
                <w:vertAlign w:val="baseline"/>
                <w:lang w:val="en-US" w:eastAsia="zh-CN"/>
              </w:rPr>
            </w:pPr>
            <w:r>
              <w:rPr>
                <w:rFonts w:hint="eastAsia" w:ascii="宋体" w:hAnsi="宋体" w:eastAsia="宋体" w:cs="宋体"/>
                <w:b w:val="0"/>
                <w:bCs w:val="0"/>
                <w:color w:val="auto"/>
                <w:sz w:val="21"/>
                <w:szCs w:val="21"/>
                <w:highlight w:val="none"/>
                <w:u w:val="none"/>
                <w:vertAlign w:val="baseline"/>
                <w:lang w:val="en-US" w:eastAsia="zh-CN"/>
              </w:rPr>
              <w:t>良好</w:t>
            </w:r>
          </w:p>
        </w:tc>
      </w:tr>
      <w:tr w14:paraId="08E5BC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27" w:hRule="atLeast"/>
          <w:jc w:val="center"/>
        </w:trPr>
        <w:tc>
          <w:tcPr>
            <w:tcW w:w="577" w:type="dxa"/>
            <w:tcBorders>
              <w:top w:val="single" w:color="000000" w:sz="4" w:space="0"/>
              <w:left w:val="single" w:color="000000" w:sz="4" w:space="0"/>
              <w:bottom w:val="single" w:color="000000" w:sz="4" w:space="0"/>
            </w:tcBorders>
            <w:shd w:val="clear" w:color="auto" w:fill="auto"/>
            <w:vAlign w:val="center"/>
          </w:tcPr>
          <w:p w14:paraId="19F4ED1F">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宋体" w:hAnsi="宋体" w:eastAsia="宋体" w:cs="宋体"/>
                <w:b w:val="0"/>
                <w:bCs w:val="0"/>
                <w:color w:val="auto"/>
                <w:sz w:val="21"/>
                <w:szCs w:val="21"/>
                <w:highlight w:val="none"/>
                <w:u w:val="none"/>
                <w:vertAlign w:val="baseline"/>
                <w:lang w:val="en-US" w:eastAsia="zh-CN"/>
              </w:rPr>
            </w:pP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1B497">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宋体" w:hAnsi="宋体" w:eastAsia="宋体" w:cs="宋体"/>
                <w:b w:val="0"/>
                <w:bCs w:val="0"/>
                <w:color w:val="auto"/>
                <w:sz w:val="21"/>
                <w:szCs w:val="21"/>
                <w:highlight w:val="none"/>
                <w:u w:val="none"/>
                <w:vertAlign w:val="baseline"/>
                <w:lang w:val="en-US" w:eastAsia="zh-CN"/>
              </w:rPr>
            </w:pPr>
            <w:r>
              <w:rPr>
                <w:rFonts w:hint="eastAsia" w:ascii="宋体" w:hAnsi="宋体" w:eastAsia="宋体" w:cs="宋体"/>
                <w:b w:val="0"/>
                <w:bCs w:val="0"/>
                <w:color w:val="auto"/>
                <w:sz w:val="21"/>
                <w:szCs w:val="21"/>
                <w:highlight w:val="none"/>
                <w:u w:val="none"/>
                <w:vertAlign w:val="baseline"/>
                <w:lang w:val="en-US" w:eastAsia="zh-CN"/>
              </w:rPr>
              <w:t>满意度指标</w:t>
            </w:r>
          </w:p>
        </w:tc>
        <w:tc>
          <w:tcPr>
            <w:tcW w:w="1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2B2E9">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宋体" w:hAnsi="宋体" w:eastAsia="宋体" w:cs="宋体"/>
                <w:b w:val="0"/>
                <w:bCs w:val="0"/>
                <w:color w:val="auto"/>
                <w:sz w:val="21"/>
                <w:szCs w:val="21"/>
                <w:highlight w:val="none"/>
                <w:u w:val="none"/>
                <w:vertAlign w:val="baseline"/>
                <w:lang w:val="en-US" w:eastAsia="zh-CN"/>
              </w:rPr>
            </w:pPr>
            <w:r>
              <w:rPr>
                <w:rFonts w:hint="eastAsia" w:ascii="宋体" w:hAnsi="宋体" w:eastAsia="宋体" w:cs="宋体"/>
                <w:b w:val="0"/>
                <w:bCs w:val="0"/>
                <w:color w:val="auto"/>
                <w:sz w:val="21"/>
                <w:szCs w:val="21"/>
                <w:highlight w:val="none"/>
                <w:u w:val="none"/>
                <w:vertAlign w:val="baseline"/>
                <w:lang w:val="en-US" w:eastAsia="zh-CN"/>
              </w:rPr>
              <w:t>满意度指标</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4A364">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宋体" w:hAnsi="宋体" w:eastAsia="宋体" w:cs="宋体"/>
                <w:b w:val="0"/>
                <w:bCs w:val="0"/>
                <w:color w:val="auto"/>
                <w:sz w:val="21"/>
                <w:szCs w:val="21"/>
                <w:highlight w:val="none"/>
                <w:u w:val="none"/>
                <w:vertAlign w:val="baseline"/>
                <w:lang w:val="en-US" w:eastAsia="zh-CN"/>
              </w:rPr>
            </w:pPr>
            <w:r>
              <w:rPr>
                <w:rFonts w:hint="eastAsia" w:ascii="宋体" w:hAnsi="宋体" w:eastAsia="宋体" w:cs="宋体"/>
                <w:b w:val="0"/>
                <w:bCs w:val="0"/>
                <w:color w:val="auto"/>
                <w:sz w:val="21"/>
                <w:szCs w:val="21"/>
                <w:highlight w:val="none"/>
                <w:u w:val="none"/>
                <w:vertAlign w:val="baseline"/>
                <w:lang w:val="en-US" w:eastAsia="zh-CN"/>
              </w:rPr>
              <w:t>成上级部门</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88C64">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宋体" w:hAnsi="宋体" w:eastAsia="宋体" w:cs="宋体"/>
                <w:b w:val="0"/>
                <w:bCs w:val="0"/>
                <w:color w:val="auto"/>
                <w:sz w:val="21"/>
                <w:szCs w:val="21"/>
                <w:highlight w:val="none"/>
                <w:u w:val="none"/>
                <w:vertAlign w:val="baseline"/>
                <w:lang w:val="en-US" w:eastAsia="zh-CN"/>
              </w:rPr>
            </w:pPr>
            <w:r>
              <w:rPr>
                <w:rFonts w:hint="eastAsia" w:ascii="宋体" w:hAnsi="宋体" w:eastAsia="宋体" w:cs="宋体"/>
                <w:b w:val="0"/>
                <w:bCs w:val="0"/>
                <w:color w:val="auto"/>
                <w:sz w:val="21"/>
                <w:szCs w:val="21"/>
                <w:highlight w:val="none"/>
                <w:u w:val="none"/>
                <w:vertAlign w:val="baseline"/>
                <w:lang w:val="en-US" w:eastAsia="zh-CN"/>
              </w:rPr>
              <w:t>≥</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39BD5">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宋体" w:hAnsi="宋体" w:eastAsia="宋体" w:cs="宋体"/>
                <w:b w:val="0"/>
                <w:bCs w:val="0"/>
                <w:color w:val="auto"/>
                <w:sz w:val="21"/>
                <w:szCs w:val="21"/>
                <w:highlight w:val="none"/>
                <w:u w:val="none"/>
                <w:vertAlign w:val="baseline"/>
                <w:lang w:val="en-US" w:eastAsia="zh-CN"/>
              </w:rPr>
            </w:pPr>
            <w:r>
              <w:rPr>
                <w:rFonts w:hint="eastAsia" w:ascii="宋体" w:hAnsi="宋体" w:eastAsia="宋体" w:cs="宋体"/>
                <w:b w:val="0"/>
                <w:bCs w:val="0"/>
                <w:color w:val="auto"/>
                <w:sz w:val="21"/>
                <w:szCs w:val="21"/>
                <w:highlight w:val="none"/>
                <w:u w:val="none"/>
                <w:vertAlign w:val="baseline"/>
                <w:lang w:val="en-US" w:eastAsia="zh-CN"/>
              </w:rPr>
              <w:t>95</w:t>
            </w:r>
          </w:p>
        </w:tc>
        <w:tc>
          <w:tcPr>
            <w:tcW w:w="9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A8DACF">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宋体" w:hAnsi="宋体" w:eastAsia="宋体" w:cs="宋体"/>
                <w:b w:val="0"/>
                <w:bCs w:val="0"/>
                <w:color w:val="auto"/>
                <w:sz w:val="21"/>
                <w:szCs w:val="21"/>
                <w:highlight w:val="none"/>
                <w:u w:val="none"/>
                <w:vertAlign w:val="baseline"/>
                <w:lang w:val="en-US" w:eastAsia="zh-CN"/>
              </w:rPr>
            </w:pPr>
            <w:r>
              <w:rPr>
                <w:rFonts w:hint="eastAsia" w:ascii="宋体" w:hAnsi="宋体" w:eastAsia="宋体" w:cs="宋体"/>
                <w:b w:val="0"/>
                <w:bCs w:val="0"/>
                <w:color w:val="auto"/>
                <w:sz w:val="21"/>
                <w:szCs w:val="21"/>
                <w:highlight w:val="none"/>
                <w:u w:val="none"/>
                <w:vertAlign w:val="baseline"/>
                <w:lang w:val="en-US" w:eastAsia="zh-CN"/>
              </w:rPr>
              <w:t>%</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2DEE1">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宋体" w:hAnsi="宋体" w:eastAsia="宋体" w:cs="宋体"/>
                <w:b w:val="0"/>
                <w:bCs w:val="0"/>
                <w:color w:val="auto"/>
                <w:sz w:val="21"/>
                <w:szCs w:val="21"/>
                <w:highlight w:val="none"/>
                <w:u w:val="none"/>
                <w:vertAlign w:val="baseline"/>
                <w:lang w:val="en-US" w:eastAsia="zh-CN"/>
              </w:rPr>
            </w:pPr>
            <w:r>
              <w:rPr>
                <w:rFonts w:hint="eastAsia" w:ascii="宋体" w:hAnsi="宋体" w:eastAsia="宋体" w:cs="宋体"/>
                <w:b w:val="0"/>
                <w:bCs w:val="0"/>
                <w:color w:val="auto"/>
                <w:sz w:val="21"/>
                <w:szCs w:val="21"/>
                <w:highlight w:val="none"/>
                <w:u w:val="none"/>
                <w:vertAlign w:val="baseline"/>
                <w:lang w:val="en-US" w:eastAsia="zh-CN"/>
              </w:rPr>
              <w:t>10</w:t>
            </w:r>
          </w:p>
        </w:tc>
        <w:tc>
          <w:tcPr>
            <w:tcW w:w="1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15FA9">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宋体" w:hAnsi="宋体" w:eastAsia="宋体" w:cs="宋体"/>
                <w:b w:val="0"/>
                <w:bCs w:val="0"/>
                <w:color w:val="auto"/>
                <w:sz w:val="21"/>
                <w:szCs w:val="21"/>
                <w:highlight w:val="none"/>
                <w:u w:val="none"/>
                <w:vertAlign w:val="baseline"/>
                <w:lang w:val="en-US" w:eastAsia="zh-CN"/>
              </w:rPr>
            </w:pPr>
            <w:r>
              <w:rPr>
                <w:rFonts w:hint="eastAsia" w:ascii="宋体" w:hAnsi="宋体" w:eastAsia="宋体" w:cs="宋体"/>
                <w:b w:val="0"/>
                <w:bCs w:val="0"/>
                <w:color w:val="auto"/>
                <w:sz w:val="21"/>
                <w:szCs w:val="21"/>
                <w:highlight w:val="none"/>
                <w:u w:val="none"/>
                <w:vertAlign w:val="baseline"/>
                <w:lang w:val="en-US" w:eastAsia="zh-CN"/>
              </w:rPr>
              <w:t>95</w:t>
            </w:r>
          </w:p>
        </w:tc>
      </w:tr>
      <w:tr w14:paraId="1D9611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27" w:hRule="atLeast"/>
          <w:jc w:val="center"/>
        </w:trPr>
        <w:tc>
          <w:tcPr>
            <w:tcW w:w="577" w:type="dxa"/>
            <w:tcBorders>
              <w:top w:val="single" w:color="000000" w:sz="4" w:space="0"/>
              <w:left w:val="single" w:color="000000" w:sz="4" w:space="0"/>
              <w:bottom w:val="single" w:color="000000" w:sz="4" w:space="0"/>
            </w:tcBorders>
            <w:shd w:val="clear" w:color="auto" w:fill="auto"/>
            <w:vAlign w:val="center"/>
          </w:tcPr>
          <w:p w14:paraId="2FF10DA9">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宋体" w:hAnsi="宋体" w:eastAsia="宋体" w:cs="宋体"/>
                <w:b w:val="0"/>
                <w:bCs w:val="0"/>
                <w:color w:val="auto"/>
                <w:sz w:val="21"/>
                <w:szCs w:val="21"/>
                <w:highlight w:val="none"/>
                <w:u w:val="none"/>
                <w:vertAlign w:val="baseline"/>
                <w:lang w:val="en-US" w:eastAsia="zh-CN"/>
              </w:rPr>
            </w:pP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B6C41">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宋体" w:hAnsi="宋体" w:eastAsia="宋体" w:cs="宋体"/>
                <w:b w:val="0"/>
                <w:bCs w:val="0"/>
                <w:color w:val="auto"/>
                <w:sz w:val="21"/>
                <w:szCs w:val="21"/>
                <w:highlight w:val="none"/>
                <w:u w:val="none"/>
                <w:vertAlign w:val="baseline"/>
                <w:lang w:val="en-US" w:eastAsia="zh-CN"/>
              </w:rPr>
            </w:pPr>
            <w:r>
              <w:rPr>
                <w:rFonts w:hint="eastAsia" w:ascii="宋体" w:hAnsi="宋体" w:eastAsia="宋体" w:cs="宋体"/>
                <w:b w:val="0"/>
                <w:bCs w:val="0"/>
                <w:color w:val="auto"/>
                <w:sz w:val="21"/>
                <w:szCs w:val="21"/>
                <w:highlight w:val="none"/>
                <w:u w:val="none"/>
                <w:vertAlign w:val="baseline"/>
                <w:lang w:val="en-US" w:eastAsia="zh-CN"/>
              </w:rPr>
              <w:t>成本指标</w:t>
            </w:r>
          </w:p>
        </w:tc>
        <w:tc>
          <w:tcPr>
            <w:tcW w:w="1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54F7C">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宋体" w:hAnsi="宋体" w:eastAsia="宋体" w:cs="宋体"/>
                <w:b w:val="0"/>
                <w:bCs w:val="0"/>
                <w:color w:val="auto"/>
                <w:sz w:val="21"/>
                <w:szCs w:val="21"/>
                <w:highlight w:val="none"/>
                <w:u w:val="none"/>
                <w:vertAlign w:val="baseline"/>
                <w:lang w:val="en-US" w:eastAsia="zh-CN"/>
              </w:rPr>
            </w:pPr>
            <w:r>
              <w:rPr>
                <w:rFonts w:hint="eastAsia" w:ascii="宋体" w:hAnsi="宋体" w:eastAsia="宋体" w:cs="宋体"/>
                <w:b w:val="0"/>
                <w:bCs w:val="0"/>
                <w:color w:val="auto"/>
                <w:sz w:val="21"/>
                <w:szCs w:val="21"/>
                <w:highlight w:val="none"/>
                <w:u w:val="none"/>
                <w:vertAlign w:val="baseline"/>
                <w:lang w:val="en-US" w:eastAsia="zh-CN"/>
              </w:rPr>
              <w:t>经济成本指标</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FA7E8">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宋体" w:hAnsi="宋体" w:eastAsia="宋体" w:cs="宋体"/>
                <w:b w:val="0"/>
                <w:bCs w:val="0"/>
                <w:color w:val="auto"/>
                <w:sz w:val="21"/>
                <w:szCs w:val="21"/>
                <w:highlight w:val="none"/>
                <w:u w:val="none"/>
                <w:vertAlign w:val="baseline"/>
                <w:lang w:val="en-US" w:eastAsia="zh-CN"/>
              </w:rPr>
            </w:pPr>
            <w:r>
              <w:rPr>
                <w:rFonts w:hint="eastAsia" w:ascii="宋体" w:hAnsi="宋体" w:eastAsia="宋体" w:cs="宋体"/>
                <w:b w:val="0"/>
                <w:bCs w:val="0"/>
                <w:color w:val="auto"/>
                <w:sz w:val="21"/>
                <w:szCs w:val="21"/>
                <w:highlight w:val="none"/>
                <w:u w:val="none"/>
                <w:vertAlign w:val="baseline"/>
                <w:lang w:val="en-US" w:eastAsia="zh-CN"/>
              </w:rPr>
              <w:t>预算控制数</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C4FEA">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宋体" w:hAnsi="宋体" w:eastAsia="宋体" w:cs="宋体"/>
                <w:b w:val="0"/>
                <w:bCs w:val="0"/>
                <w:color w:val="auto"/>
                <w:sz w:val="21"/>
                <w:szCs w:val="21"/>
                <w:highlight w:val="none"/>
                <w:u w:val="none"/>
                <w:vertAlign w:val="baseline"/>
                <w:lang w:val="en-US" w:eastAsia="zh-CN"/>
              </w:rPr>
            </w:pPr>
            <w:r>
              <w:rPr>
                <w:rFonts w:hint="eastAsia" w:ascii="宋体" w:hAnsi="宋体" w:eastAsia="宋体" w:cs="宋体"/>
                <w:b w:val="0"/>
                <w:bCs w:val="0"/>
                <w:color w:val="auto"/>
                <w:sz w:val="21"/>
                <w:szCs w:val="21"/>
                <w:highlight w:val="none"/>
                <w:u w:val="none"/>
                <w:vertAlign w:val="baseline"/>
                <w:lang w:val="en-US" w:eastAsia="zh-CN"/>
              </w:rPr>
              <w:t>≤</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2C190">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宋体" w:hAnsi="宋体" w:eastAsia="宋体" w:cs="宋体"/>
                <w:b w:val="0"/>
                <w:bCs w:val="0"/>
                <w:color w:val="auto"/>
                <w:sz w:val="21"/>
                <w:szCs w:val="21"/>
                <w:highlight w:val="none"/>
                <w:u w:val="none"/>
                <w:vertAlign w:val="baseline"/>
                <w:lang w:val="en-US" w:eastAsia="zh-CN"/>
              </w:rPr>
            </w:pPr>
            <w:r>
              <w:rPr>
                <w:rFonts w:hint="eastAsia" w:ascii="宋体" w:hAnsi="宋体" w:eastAsia="宋体" w:cs="宋体"/>
                <w:b w:val="0"/>
                <w:bCs w:val="0"/>
                <w:color w:val="auto"/>
                <w:sz w:val="21"/>
                <w:szCs w:val="21"/>
                <w:highlight w:val="none"/>
                <w:u w:val="none"/>
                <w:vertAlign w:val="baseline"/>
                <w:lang w:val="en-US" w:eastAsia="zh-CN"/>
              </w:rPr>
              <w:t>328.61</w:t>
            </w:r>
          </w:p>
        </w:tc>
        <w:tc>
          <w:tcPr>
            <w:tcW w:w="9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240C80">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宋体" w:hAnsi="宋体" w:eastAsia="宋体" w:cs="宋体"/>
                <w:b w:val="0"/>
                <w:bCs w:val="0"/>
                <w:color w:val="auto"/>
                <w:sz w:val="21"/>
                <w:szCs w:val="21"/>
                <w:highlight w:val="none"/>
                <w:u w:val="none"/>
                <w:vertAlign w:val="baseline"/>
                <w:lang w:val="en-US" w:eastAsia="zh-CN"/>
              </w:rPr>
            </w:pPr>
            <w:r>
              <w:rPr>
                <w:rFonts w:hint="eastAsia" w:ascii="宋体" w:hAnsi="宋体" w:eastAsia="宋体" w:cs="宋体"/>
                <w:b w:val="0"/>
                <w:bCs w:val="0"/>
                <w:color w:val="auto"/>
                <w:sz w:val="21"/>
                <w:szCs w:val="21"/>
                <w:highlight w:val="none"/>
                <w:u w:val="none"/>
                <w:vertAlign w:val="baseline"/>
                <w:lang w:val="en-US" w:eastAsia="zh-CN"/>
              </w:rPr>
              <w:t>万元</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68714">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宋体" w:hAnsi="宋体" w:eastAsia="宋体" w:cs="宋体"/>
                <w:b w:val="0"/>
                <w:bCs w:val="0"/>
                <w:color w:val="auto"/>
                <w:sz w:val="21"/>
                <w:szCs w:val="21"/>
                <w:highlight w:val="none"/>
                <w:u w:val="none"/>
                <w:vertAlign w:val="baseline"/>
                <w:lang w:val="en-US" w:eastAsia="zh-CN"/>
              </w:rPr>
            </w:pPr>
            <w:r>
              <w:rPr>
                <w:rFonts w:hint="eastAsia" w:ascii="宋体" w:hAnsi="宋体" w:eastAsia="宋体" w:cs="宋体"/>
                <w:b w:val="0"/>
                <w:bCs w:val="0"/>
                <w:color w:val="auto"/>
                <w:sz w:val="21"/>
                <w:szCs w:val="21"/>
                <w:highlight w:val="none"/>
                <w:u w:val="none"/>
                <w:vertAlign w:val="baseline"/>
                <w:lang w:val="en-US" w:eastAsia="zh-CN"/>
              </w:rPr>
              <w:t>20</w:t>
            </w:r>
          </w:p>
        </w:tc>
        <w:tc>
          <w:tcPr>
            <w:tcW w:w="1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867FF">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宋体" w:hAnsi="宋体" w:eastAsia="宋体" w:cs="宋体"/>
                <w:b w:val="0"/>
                <w:bCs w:val="0"/>
                <w:color w:val="auto"/>
                <w:sz w:val="21"/>
                <w:szCs w:val="21"/>
                <w:highlight w:val="none"/>
                <w:u w:val="none"/>
                <w:vertAlign w:val="baseline"/>
                <w:lang w:val="en-US" w:eastAsia="zh-CN"/>
              </w:rPr>
            </w:pPr>
            <w:r>
              <w:rPr>
                <w:rFonts w:hint="eastAsia" w:ascii="宋体" w:hAnsi="宋体" w:eastAsia="宋体" w:cs="宋体"/>
                <w:b w:val="0"/>
                <w:bCs w:val="0"/>
                <w:color w:val="auto"/>
                <w:sz w:val="21"/>
                <w:szCs w:val="21"/>
                <w:highlight w:val="none"/>
                <w:u w:val="none"/>
                <w:vertAlign w:val="baseline"/>
                <w:lang w:val="en-US" w:eastAsia="zh-CN"/>
              </w:rPr>
              <w:t>328.61</w:t>
            </w:r>
          </w:p>
        </w:tc>
      </w:tr>
    </w:tbl>
    <w:p w14:paraId="22B97EAE">
      <w:pPr>
        <w:pStyle w:val="16"/>
        <w:keepNext w:val="0"/>
        <w:keepLines w:val="0"/>
        <w:pageBreakBefore w:val="0"/>
        <w:kinsoku/>
        <w:wordWrap/>
        <w:overflowPunct/>
        <w:topLinePunct w:val="0"/>
        <w:autoSpaceDE/>
        <w:autoSpaceDN/>
        <w:bidi w:val="0"/>
        <w:spacing w:after="0" w:line="578" w:lineRule="exact"/>
        <w:ind w:left="0" w:leftChars="0"/>
        <w:rPr>
          <w:rFonts w:hint="default" w:ascii="黑体" w:hAnsi="黑体" w:eastAsia="黑体" w:cs="黑体"/>
          <w:sz w:val="24"/>
          <w:szCs w:val="24"/>
          <w:highlight w:val="none"/>
          <w:lang w:val="en-US" w:eastAsia="zh-CN"/>
        </w:rPr>
      </w:pPr>
    </w:p>
    <w:p w14:paraId="6A0E48E9">
      <w:pPr>
        <w:rPr>
          <w:rFonts w:hint="default" w:ascii="黑体" w:hAnsi="黑体" w:eastAsia="黑体" w:cs="黑体"/>
          <w:sz w:val="24"/>
          <w:szCs w:val="24"/>
          <w:highlight w:val="none"/>
          <w:lang w:val="en-US" w:eastAsia="zh-CN"/>
        </w:rPr>
      </w:pPr>
      <w:r>
        <w:rPr>
          <w:rFonts w:hint="default" w:ascii="黑体" w:hAnsi="黑体" w:eastAsia="黑体" w:cs="黑体"/>
          <w:sz w:val="24"/>
          <w:szCs w:val="24"/>
          <w:highlight w:val="none"/>
          <w:lang w:val="en-US" w:eastAsia="zh-CN"/>
        </w:rPr>
        <w:br w:type="page"/>
      </w:r>
    </w:p>
    <w:p w14:paraId="0675EB00">
      <w:pPr>
        <w:pStyle w:val="37"/>
        <w:keepNext w:val="0"/>
        <w:keepLines w:val="0"/>
        <w:pageBreakBefore w:val="0"/>
        <w:widowControl w:val="0"/>
        <w:kinsoku/>
        <w:wordWrap/>
        <w:overflowPunct/>
        <w:topLinePunct w:val="0"/>
        <w:autoSpaceDE/>
        <w:autoSpaceDN/>
        <w:bidi w:val="0"/>
        <w:spacing w:line="578" w:lineRule="exact"/>
        <w:ind w:left="0" w:leftChars="0"/>
        <w:jc w:val="center"/>
        <w:textAlignment w:val="auto"/>
        <w:rPr>
          <w:rFonts w:hint="default" w:ascii="方正小标宋简体" w:hAnsi="方正小标宋简体" w:eastAsia="方正小标宋简体" w:cs="方正小标宋简体"/>
          <w:color w:val="auto"/>
          <w:kern w:val="2"/>
          <w:sz w:val="44"/>
          <w:szCs w:val="44"/>
          <w:highlight w:val="none"/>
          <w:lang w:val="en-US" w:eastAsia="zh-CN"/>
        </w:rPr>
      </w:pPr>
      <w:r>
        <w:rPr>
          <w:rFonts w:hint="eastAsia" w:ascii="方正小标宋简体" w:hAnsi="方正小标宋简体" w:eastAsia="方正小标宋简体" w:cs="方正小标宋简体"/>
          <w:color w:val="auto"/>
          <w:kern w:val="2"/>
          <w:sz w:val="44"/>
          <w:szCs w:val="44"/>
          <w:highlight w:val="none"/>
          <w:lang w:val="en-US" w:eastAsia="zh-CN"/>
        </w:rPr>
        <w:t>广元市自然资源局</w:t>
      </w:r>
    </w:p>
    <w:p w14:paraId="0DEB265A">
      <w:pPr>
        <w:pStyle w:val="37"/>
        <w:keepNext w:val="0"/>
        <w:keepLines w:val="0"/>
        <w:pageBreakBefore w:val="0"/>
        <w:widowControl w:val="0"/>
        <w:kinsoku/>
        <w:wordWrap/>
        <w:overflowPunct/>
        <w:topLinePunct w:val="0"/>
        <w:autoSpaceDE/>
        <w:autoSpaceDN/>
        <w:bidi w:val="0"/>
        <w:spacing w:line="578" w:lineRule="exact"/>
        <w:ind w:left="0" w:leftChars="0"/>
        <w:jc w:val="center"/>
        <w:textAlignment w:val="auto"/>
        <w:rPr>
          <w:rFonts w:hint="eastAsia" w:ascii="方正小标宋简体" w:hAnsi="方正小标宋简体" w:eastAsia="方正小标宋简体" w:cs="方正小标宋简体"/>
          <w:color w:val="auto"/>
          <w:kern w:val="2"/>
          <w:sz w:val="44"/>
          <w:szCs w:val="44"/>
          <w:highlight w:val="none"/>
          <w:lang w:val="en-US" w:eastAsia="zh-CN"/>
        </w:rPr>
      </w:pPr>
      <w:r>
        <w:rPr>
          <w:rFonts w:hint="eastAsia" w:ascii="方正小标宋简体" w:hAnsi="方正小标宋简体" w:eastAsia="方正小标宋简体" w:cs="方正小标宋简体"/>
          <w:color w:val="auto"/>
          <w:kern w:val="2"/>
          <w:sz w:val="44"/>
          <w:szCs w:val="44"/>
          <w:highlight w:val="none"/>
          <w:lang w:val="en-US" w:eastAsia="zh-CN"/>
        </w:rPr>
        <w:t>关于2022年度广元市重点区域确权登记专项预算项目绩效评价报告</w:t>
      </w:r>
    </w:p>
    <w:p w14:paraId="459B4A67">
      <w:pPr>
        <w:pStyle w:val="37"/>
        <w:keepNext w:val="0"/>
        <w:keepLines w:val="0"/>
        <w:pageBreakBefore w:val="0"/>
        <w:widowControl w:val="0"/>
        <w:kinsoku/>
        <w:wordWrap/>
        <w:overflowPunct/>
        <w:topLinePunct w:val="0"/>
        <w:autoSpaceDE/>
        <w:autoSpaceDN/>
        <w:bidi w:val="0"/>
        <w:spacing w:line="578" w:lineRule="exact"/>
        <w:ind w:left="0" w:leftChars="0" w:firstLine="640"/>
        <w:jc w:val="center"/>
        <w:textAlignment w:val="auto"/>
        <w:rPr>
          <w:rFonts w:ascii="宋体" w:hAnsi="宋体"/>
          <w:color w:val="auto"/>
          <w:kern w:val="2"/>
          <w:sz w:val="32"/>
          <w:szCs w:val="32"/>
          <w:highlight w:val="none"/>
        </w:rPr>
      </w:pPr>
    </w:p>
    <w:p w14:paraId="33EFAFC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黑体" w:hAnsi="宋体" w:eastAsia="黑体" w:cs="Times New Roman"/>
          <w:sz w:val="32"/>
          <w:szCs w:val="32"/>
          <w:highlight w:val="none"/>
          <w:lang w:val="zh-CN" w:eastAsia="zh-CN"/>
        </w:rPr>
      </w:pPr>
      <w:r>
        <w:rPr>
          <w:rFonts w:hint="eastAsia" w:ascii="黑体" w:hAnsi="宋体" w:eastAsia="黑体" w:cs="Times New Roman"/>
          <w:sz w:val="32"/>
          <w:szCs w:val="32"/>
          <w:highlight w:val="none"/>
          <w:lang w:val="zh-CN" w:eastAsia="zh-CN"/>
        </w:rPr>
        <w:t>一、项目概况</w:t>
      </w:r>
    </w:p>
    <w:p w14:paraId="241CE352">
      <w:pPr>
        <w:numPr>
          <w:ilvl w:val="0"/>
          <w:numId w:val="0"/>
        </w:numPr>
        <w:spacing w:line="580" w:lineRule="exact"/>
        <w:ind w:firstLine="643" w:firstLineChars="200"/>
        <w:rPr>
          <w:rFonts w:hint="eastAsia" w:ascii="仿宋_GB2312" w:hAnsi="仿宋_GB2312" w:eastAsia="仿宋_GB2312" w:cs="仿宋_GB2312"/>
          <w:color w:val="auto"/>
          <w:kern w:val="0"/>
          <w:sz w:val="32"/>
          <w:szCs w:val="32"/>
          <w:highlight w:val="none"/>
          <w:u w:val="none"/>
          <w:shd w:val="clear" w:color="auto" w:fill="FFFFFF"/>
          <w:lang w:val="en-US"/>
        </w:rPr>
      </w:pPr>
      <w:r>
        <w:rPr>
          <w:rFonts w:hint="eastAsia" w:ascii="楷体_GB2312" w:hAnsi="宋体" w:eastAsia="楷体_GB2312"/>
          <w:b/>
          <w:color w:val="auto"/>
          <w:sz w:val="32"/>
          <w:szCs w:val="32"/>
          <w:highlight w:val="none"/>
          <w:u w:val="none"/>
          <w:lang w:val="zh-CN"/>
        </w:rPr>
        <w:t>（一）设立背景及基本情况。</w:t>
      </w:r>
      <w:r>
        <w:rPr>
          <w:rFonts w:hint="eastAsia" w:ascii="仿宋_GB2312" w:hAnsi="仿宋_GB2312" w:eastAsia="仿宋_GB2312" w:cs="仿宋_GB2312"/>
          <w:color w:val="auto"/>
          <w:sz w:val="32"/>
          <w:szCs w:val="32"/>
          <w:shd w:val="clear" w:color="auto" w:fill="FFFFFF"/>
          <w:lang w:val="en-US" w:eastAsia="zh-CN"/>
        </w:rPr>
        <w:t>为贯彻落实党中央、国务院关于生态文明建设决策部署，推动建立归属清晰、责权明确、保护严格、监管有效地自然资源资产产权制度。以不动产登记为基础，构建自然资源统一确权登记制度体系，开展国家公园、自然资源保护区、自然公园等各类保护地，以及江河湖泊、生态功能重要的湿地、重点国有林区等具有完整生态功能的自然生态空间的统一确权登记。为此，根据《关于印发广元市重点区域自然资源统一确权登记市级年度实施计划的通知》，我局申报资金300.09万元，其中采购资金278.19万元，职能管理部门工作经费21.9万元。</w:t>
      </w:r>
    </w:p>
    <w:p w14:paraId="32AE0133">
      <w:pPr>
        <w:keepNext w:val="0"/>
        <w:keepLines w:val="0"/>
        <w:pageBreakBefore w:val="0"/>
        <w:numPr>
          <w:ilvl w:val="0"/>
          <w:numId w:val="0"/>
        </w:numPr>
        <w:kinsoku/>
        <w:wordWrap/>
        <w:overflowPunct/>
        <w:topLinePunct w:val="0"/>
        <w:autoSpaceDE/>
        <w:autoSpaceDN/>
        <w:bidi w:val="0"/>
        <w:adjustRightInd w:val="0"/>
        <w:snapToGrid w:val="0"/>
        <w:spacing w:line="578" w:lineRule="exact"/>
        <w:ind w:left="0" w:leftChars="0" w:firstLine="643" w:firstLineChars="200"/>
        <w:textAlignment w:val="auto"/>
        <w:rPr>
          <w:rFonts w:hint="eastAsia" w:ascii="仿宋_GB2312" w:hAnsi="仿宋_GB2312" w:eastAsia="仿宋_GB2312" w:cs="仿宋_GB2312"/>
          <w:color w:val="auto"/>
          <w:sz w:val="32"/>
          <w:szCs w:val="32"/>
          <w:shd w:val="clear" w:color="auto" w:fill="FFFFFF"/>
          <w:lang w:val="zh-CN" w:eastAsia="zh-CN"/>
        </w:rPr>
      </w:pPr>
      <w:r>
        <w:rPr>
          <w:rFonts w:hint="eastAsia" w:ascii="楷体_GB2312" w:hAnsi="楷体_GB2312" w:eastAsia="楷体_GB2312" w:cs="楷体_GB2312"/>
          <w:b/>
          <w:bCs w:val="0"/>
          <w:color w:val="auto"/>
          <w:kern w:val="2"/>
          <w:sz w:val="32"/>
          <w:szCs w:val="32"/>
          <w:lang w:val="zh-CN" w:eastAsia="zh-CN" w:bidi="ar-SA"/>
        </w:rPr>
        <w:t>（八）</w:t>
      </w:r>
      <w:r>
        <w:rPr>
          <w:rFonts w:hint="eastAsia" w:ascii="楷体_GB2312" w:hAnsi="楷体_GB2312" w:eastAsia="楷体_GB2312" w:cs="楷体_GB2312"/>
          <w:b/>
          <w:bCs w:val="0"/>
          <w:color w:val="auto"/>
          <w:sz w:val="32"/>
          <w:szCs w:val="32"/>
          <w:highlight w:val="none"/>
          <w:u w:val="none"/>
          <w:lang w:val="en-US" w:eastAsia="zh-CN"/>
        </w:rPr>
        <w:t>实施目的及支持方向。</w:t>
      </w:r>
      <w:r>
        <w:rPr>
          <w:rFonts w:hint="eastAsia" w:ascii="仿宋_GB2312" w:hAnsi="仿宋_GB2312" w:eastAsia="仿宋_GB2312" w:cs="仿宋_GB2312"/>
          <w:color w:val="auto"/>
          <w:sz w:val="32"/>
          <w:szCs w:val="32"/>
          <w:shd w:val="clear" w:color="auto" w:fill="FFFFFF"/>
          <w:lang w:val="en-US" w:eastAsia="zh-CN"/>
        </w:rPr>
        <w:t>根据《关于印发广元市重点区域自然资源统一确权登记市级年度实施计划的通知》，完成15个重点区域的自然资源统一确权登记。</w:t>
      </w:r>
    </w:p>
    <w:p w14:paraId="730613FA">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3" w:firstLineChars="200"/>
        <w:contextualSpacing/>
        <w:jc w:val="both"/>
        <w:textAlignment w:val="auto"/>
        <w:rPr>
          <w:rFonts w:hint="eastAsia" w:ascii="楷体_GB2312" w:hAnsi="宋体" w:eastAsia="楷体_GB2312" w:cs="Times New Roman"/>
          <w:b/>
          <w:color w:val="auto"/>
          <w:sz w:val="32"/>
          <w:szCs w:val="32"/>
          <w:highlight w:val="none"/>
          <w:u w:val="none"/>
          <w:lang w:val="zh-CN" w:eastAsia="zh-CN"/>
        </w:rPr>
      </w:pPr>
      <w:r>
        <w:rPr>
          <w:rFonts w:hint="eastAsia" w:ascii="楷体_GB2312" w:hAnsi="宋体" w:eastAsia="楷体_GB2312" w:cs="Times New Roman"/>
          <w:b/>
          <w:color w:val="auto"/>
          <w:sz w:val="32"/>
          <w:szCs w:val="32"/>
          <w:highlight w:val="none"/>
          <w:u w:val="none"/>
          <w:lang w:val="zh-CN" w:eastAsia="zh-CN"/>
        </w:rPr>
        <w:t>（三）</w:t>
      </w:r>
      <w:r>
        <w:rPr>
          <w:rFonts w:hint="default" w:ascii="楷体_GB2312" w:hAnsi="宋体" w:eastAsia="楷体_GB2312" w:cs="Times New Roman"/>
          <w:b/>
          <w:color w:val="auto"/>
          <w:sz w:val="32"/>
          <w:szCs w:val="32"/>
          <w:highlight w:val="none"/>
          <w:u w:val="none"/>
          <w:lang w:val="en-US" w:eastAsia="zh-CN"/>
        </w:rPr>
        <w:t>预算安排及分配管理</w:t>
      </w:r>
      <w:r>
        <w:rPr>
          <w:rFonts w:hint="eastAsia" w:ascii="楷体_GB2312" w:hAnsi="宋体" w:eastAsia="楷体_GB2312" w:cs="Times New Roman"/>
          <w:b/>
          <w:color w:val="auto"/>
          <w:sz w:val="32"/>
          <w:szCs w:val="32"/>
          <w:highlight w:val="none"/>
          <w:u w:val="none"/>
          <w:lang w:val="zh-CN" w:eastAsia="zh-CN"/>
        </w:rPr>
        <w:t>。</w:t>
      </w:r>
    </w:p>
    <w:p w14:paraId="268022F8">
      <w:pPr>
        <w:numPr>
          <w:ilvl w:val="0"/>
          <w:numId w:val="0"/>
        </w:numPr>
        <w:spacing w:line="580" w:lineRule="exact"/>
        <w:ind w:firstLine="640" w:firstLineChars="200"/>
        <w:rPr>
          <w:rFonts w:hint="default" w:ascii="仿宋_GB2312" w:hAnsi="仿宋_GB2312" w:eastAsia="仿宋_GB2312" w:cs="仿宋_GB2312"/>
          <w:color w:val="auto"/>
          <w:sz w:val="32"/>
          <w:szCs w:val="32"/>
          <w:shd w:val="clear" w:color="auto" w:fill="FFFFFF"/>
          <w:lang w:val="en-US" w:eastAsia="zh-CN"/>
        </w:rPr>
      </w:pPr>
      <w:r>
        <w:rPr>
          <w:rFonts w:hint="eastAsia" w:ascii="仿宋_GB2312" w:hAnsi="仿宋_GB2312" w:eastAsia="仿宋_GB2312" w:cs="仿宋_GB2312"/>
          <w:color w:val="auto"/>
          <w:sz w:val="32"/>
          <w:szCs w:val="32"/>
          <w:shd w:val="clear" w:color="auto" w:fill="FFFFFF"/>
          <w:lang w:val="en-US" w:eastAsia="zh-CN"/>
        </w:rPr>
        <w:t>根据《关于印发广元市重点区域自然资源统一确权登记市级年度实施计划的通知》，该项目纳入年初基建计划，经市财政评审，2023年2月财政下达资金300.09万元，其中采购资金278.19万元，职能管理部门工作经费21.9万元，专项用于完成15个重点区域的自然资源统一确权登记。</w:t>
      </w:r>
    </w:p>
    <w:p w14:paraId="6C543211">
      <w:pPr>
        <w:keepNext w:val="0"/>
        <w:keepLines w:val="0"/>
        <w:pageBreakBefore w:val="0"/>
        <w:widowControl w:val="0"/>
        <w:kinsoku/>
        <w:wordWrap/>
        <w:overflowPunct/>
        <w:topLinePunct w:val="0"/>
        <w:autoSpaceDE/>
        <w:autoSpaceDN/>
        <w:bidi w:val="0"/>
        <w:adjustRightInd w:val="0"/>
        <w:snapToGrid w:val="0"/>
        <w:spacing w:line="576" w:lineRule="exact"/>
        <w:ind w:firstLine="643" w:firstLineChars="200"/>
        <w:textAlignment w:val="auto"/>
        <w:rPr>
          <w:rFonts w:hint="eastAsia" w:ascii="仿宋_GB2312" w:hAnsi="仿宋_GB2312" w:eastAsia="仿宋_GB2312" w:cs="仿宋_GB2312"/>
          <w:color w:val="auto"/>
          <w:sz w:val="32"/>
          <w:szCs w:val="32"/>
          <w:shd w:val="clear" w:color="auto" w:fill="FFFFFF"/>
          <w:lang w:val="en-US" w:eastAsia="zh-CN"/>
        </w:rPr>
      </w:pPr>
      <w:r>
        <w:rPr>
          <w:rFonts w:hint="eastAsia" w:ascii="楷体_GB2312" w:hAnsi="宋体" w:eastAsia="楷体_GB2312" w:cs="Times New Roman"/>
          <w:b/>
          <w:color w:val="auto"/>
          <w:sz w:val="32"/>
          <w:szCs w:val="32"/>
          <w:highlight w:val="none"/>
          <w:u w:val="none"/>
          <w:lang w:val="zh-CN" w:eastAsia="zh-CN"/>
        </w:rPr>
        <w:t>（四）项目绩效目标设置。</w:t>
      </w:r>
      <w:r>
        <w:rPr>
          <w:rFonts w:hint="eastAsia" w:ascii="仿宋_GB2312" w:hAnsi="仿宋_GB2312" w:eastAsia="仿宋_GB2312" w:cs="仿宋_GB2312"/>
          <w:color w:val="auto"/>
          <w:sz w:val="32"/>
          <w:szCs w:val="32"/>
          <w:shd w:val="clear" w:color="auto" w:fill="FFFFFF"/>
          <w:lang w:val="en-US" w:eastAsia="zh-CN"/>
        </w:rPr>
        <w:t>绩效目标和绩效指标可量化考核，年度工作目标相一致。绩效指标细化、量化，绩效目标和绩效指标契合政策或项目实质，产出和效果相关联。可对满意度指标进行量化预测，绩效目标具有一定的前瞻性和挑战性。</w:t>
      </w:r>
    </w:p>
    <w:p w14:paraId="6AE914E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黑体" w:hAnsi="宋体" w:eastAsia="黑体" w:cs="Times New Roman"/>
          <w:sz w:val="32"/>
          <w:szCs w:val="32"/>
          <w:highlight w:val="none"/>
          <w:lang w:val="zh-CN" w:eastAsia="zh-CN"/>
        </w:rPr>
      </w:pPr>
      <w:r>
        <w:rPr>
          <w:rFonts w:hint="eastAsia" w:ascii="黑体" w:hAnsi="宋体" w:eastAsia="黑体" w:cs="Times New Roman"/>
          <w:sz w:val="32"/>
          <w:szCs w:val="32"/>
          <w:highlight w:val="none"/>
          <w:lang w:val="zh-CN" w:eastAsia="zh-CN"/>
        </w:rPr>
        <w:t>二、评价实施</w:t>
      </w:r>
    </w:p>
    <w:p w14:paraId="6374B256">
      <w:pPr>
        <w:keepNext w:val="0"/>
        <w:keepLines w:val="0"/>
        <w:pageBreakBefore w:val="0"/>
        <w:widowControl w:val="0"/>
        <w:kinsoku/>
        <w:wordWrap/>
        <w:overflowPunct/>
        <w:topLinePunct w:val="0"/>
        <w:autoSpaceDE/>
        <w:autoSpaceDN/>
        <w:bidi w:val="0"/>
        <w:spacing w:line="578" w:lineRule="exact"/>
        <w:ind w:firstLine="640"/>
        <w:textAlignment w:val="auto"/>
        <w:outlineLvl w:val="9"/>
        <w:rPr>
          <w:rFonts w:hint="eastAsia" w:ascii="仿宋_GB2312" w:hAnsi="仿宋_GB2312" w:eastAsia="仿宋_GB2312" w:cs="仿宋_GB2312"/>
          <w:color w:val="auto"/>
          <w:sz w:val="32"/>
          <w:szCs w:val="32"/>
          <w:shd w:val="clear" w:color="auto" w:fill="FFFFFF"/>
          <w:lang w:val="en-US" w:eastAsia="zh-CN"/>
        </w:rPr>
      </w:pPr>
      <w:r>
        <w:rPr>
          <w:rFonts w:hint="eastAsia" w:ascii="楷体_GB2312" w:hAnsi="宋体" w:eastAsia="楷体_GB2312"/>
          <w:b/>
          <w:color w:val="auto"/>
          <w:sz w:val="32"/>
          <w:szCs w:val="32"/>
          <w:highlight w:val="none"/>
          <w:u w:val="none"/>
          <w:lang w:val="zh-CN"/>
        </w:rPr>
        <w:t>（一）评价目的。</w:t>
      </w:r>
      <w:r>
        <w:rPr>
          <w:rFonts w:hint="eastAsia" w:ascii="仿宋_GB2312" w:hAnsi="仿宋_GB2312" w:eastAsia="仿宋_GB2312" w:cs="仿宋_GB2312"/>
          <w:color w:val="auto"/>
          <w:sz w:val="32"/>
          <w:szCs w:val="32"/>
          <w:shd w:val="clear" w:color="auto" w:fill="FFFFFF"/>
          <w:lang w:val="en-US" w:eastAsia="zh-CN"/>
        </w:rPr>
        <w:t>通过绩效评价，一是对项目预算及资金使用方案的合理性和有效性进行优化，去除不合理的预算项目。二是详细掌握资金使用情况，提高预算执行力。三是促进预算管理的公开化透明化。</w:t>
      </w:r>
    </w:p>
    <w:p w14:paraId="00A4DB14">
      <w:pPr>
        <w:keepNext w:val="0"/>
        <w:keepLines w:val="0"/>
        <w:pageBreakBefore w:val="0"/>
        <w:widowControl w:val="0"/>
        <w:kinsoku/>
        <w:wordWrap/>
        <w:overflowPunct/>
        <w:topLinePunct w:val="0"/>
        <w:autoSpaceDE/>
        <w:autoSpaceDN/>
        <w:bidi w:val="0"/>
        <w:adjustRightInd w:val="0"/>
        <w:snapToGrid w:val="0"/>
        <w:spacing w:line="578" w:lineRule="exact"/>
        <w:ind w:left="0" w:leftChars="0" w:firstLine="643" w:firstLineChars="200"/>
        <w:textAlignment w:val="auto"/>
        <w:outlineLvl w:val="9"/>
        <w:rPr>
          <w:rFonts w:hint="eastAsia"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（二）预设问题及评价重点。</w:t>
      </w:r>
    </w:p>
    <w:p w14:paraId="03B5BAEE">
      <w:pPr>
        <w:keepNext w:val="0"/>
        <w:keepLines w:val="0"/>
        <w:pageBreakBefore w:val="0"/>
        <w:numPr>
          <w:ilvl w:val="0"/>
          <w:numId w:val="0"/>
        </w:numPr>
        <w:kinsoku/>
        <w:wordWrap/>
        <w:overflowPunct/>
        <w:topLinePunct w:val="0"/>
        <w:autoSpaceDE/>
        <w:autoSpaceDN/>
        <w:bidi w:val="0"/>
        <w:adjustRightInd w:val="0"/>
        <w:snapToGrid w:val="0"/>
        <w:spacing w:line="578" w:lineRule="exact"/>
        <w:ind w:left="0" w:leftChars="0" w:firstLine="640" w:firstLineChars="200"/>
        <w:textAlignment w:val="auto"/>
        <w:rPr>
          <w:rFonts w:hint="eastAsia" w:ascii="仿宋_GB2312" w:hAnsi="仿宋_GB2312" w:eastAsia="仿宋_GB2312" w:cs="仿宋_GB2312"/>
          <w:color w:val="auto"/>
          <w:sz w:val="32"/>
          <w:szCs w:val="32"/>
          <w:shd w:val="clear" w:color="auto" w:fill="FFFFFF"/>
          <w:lang w:val="en-US" w:eastAsia="zh-CN"/>
        </w:rPr>
      </w:pPr>
      <w:r>
        <w:rPr>
          <w:rFonts w:hint="eastAsia" w:ascii="仿宋_GB2312" w:hAnsi="仿宋_GB2312" w:eastAsia="仿宋_GB2312" w:cs="仿宋_GB2312"/>
          <w:color w:val="auto"/>
          <w:sz w:val="32"/>
          <w:szCs w:val="32"/>
          <w:shd w:val="clear" w:color="auto" w:fill="FFFFFF"/>
          <w:lang w:val="en-US" w:eastAsia="zh-CN"/>
        </w:rPr>
        <w:t>1.预设问题及评价重点。按照绩效评价指标体系体系</w:t>
      </w:r>
      <w:r>
        <w:rPr>
          <w:rFonts w:hint="eastAsia" w:ascii="仿宋_GB2312" w:hAnsi="仿宋_GB2312" w:eastAsia="仿宋_GB2312" w:cs="仿宋_GB2312"/>
          <w:color w:val="auto"/>
          <w:sz w:val="32"/>
          <w:szCs w:val="32"/>
          <w:shd w:val="clear" w:color="auto" w:fill="FFFFFF"/>
          <w:lang w:val="zh-CN" w:eastAsia="zh-CN"/>
        </w:rPr>
        <w:t>，</w:t>
      </w:r>
      <w:r>
        <w:rPr>
          <w:rFonts w:hint="eastAsia" w:ascii="仿宋_GB2312" w:hAnsi="仿宋_GB2312" w:eastAsia="仿宋_GB2312" w:cs="仿宋_GB2312"/>
          <w:color w:val="auto"/>
          <w:sz w:val="32"/>
          <w:szCs w:val="32"/>
          <w:shd w:val="clear" w:color="auto" w:fill="FFFFFF"/>
          <w:lang w:val="en-US" w:eastAsia="zh-CN"/>
        </w:rPr>
        <w:t>该项目经费使用应符合相关财务法规和政策，按照合同约定和项目进度进行支付，做到专款专用，确保资金使用的合法合规，避免违规行为发生。完成15个重点区域的自然资源统一确权登记。</w:t>
      </w:r>
    </w:p>
    <w:p w14:paraId="23C2DD15">
      <w:pPr>
        <w:keepNext w:val="0"/>
        <w:keepLines w:val="0"/>
        <w:pageBreakBefore w:val="0"/>
        <w:widowControl w:val="0"/>
        <w:kinsoku/>
        <w:wordWrap/>
        <w:overflowPunct/>
        <w:topLinePunct w:val="0"/>
        <w:autoSpaceDE/>
        <w:autoSpaceDN/>
        <w:bidi w:val="0"/>
        <w:adjustRightInd w:val="0"/>
        <w:snapToGrid w:val="0"/>
        <w:spacing w:line="578" w:lineRule="exact"/>
        <w:ind w:left="0" w:leftChars="0" w:firstLine="643" w:firstLineChars="200"/>
        <w:textAlignment w:val="auto"/>
        <w:outlineLvl w:val="9"/>
        <w:rPr>
          <w:rFonts w:hint="default" w:ascii="仿宋_GB2312" w:hAnsi="仿宋_GB2312" w:eastAsia="仿宋_GB2312" w:cs="仿宋_GB2312"/>
          <w:color w:val="auto"/>
          <w:sz w:val="32"/>
          <w:szCs w:val="32"/>
          <w:shd w:val="clear" w:color="auto" w:fill="FFFFFF"/>
          <w:lang w:val="en-US" w:eastAsia="zh-CN"/>
        </w:rPr>
      </w:pPr>
      <w:r>
        <w:rPr>
          <w:rFonts w:hint="eastAsia" w:ascii="楷体_GB2312" w:hAnsi="宋体" w:eastAsia="楷体_GB2312"/>
          <w:b/>
          <w:color w:val="auto"/>
          <w:sz w:val="32"/>
          <w:szCs w:val="32"/>
          <w:highlight w:val="none"/>
          <w:u w:val="none"/>
          <w:lang w:val="zh-CN"/>
        </w:rPr>
        <w:t>（三）评价选点。</w:t>
      </w:r>
      <w:r>
        <w:rPr>
          <w:rFonts w:hint="eastAsia" w:ascii="仿宋_GB2312" w:hAnsi="仿宋_GB2312" w:eastAsia="仿宋_GB2312" w:cs="仿宋_GB2312"/>
          <w:color w:val="auto"/>
          <w:sz w:val="32"/>
          <w:szCs w:val="32"/>
          <w:shd w:val="clear" w:color="auto" w:fill="FFFFFF"/>
          <w:lang w:val="en-US" w:eastAsia="zh-CN"/>
        </w:rPr>
        <w:t>对15个重点区域确权登记完成情况进行自评。</w:t>
      </w:r>
    </w:p>
    <w:p w14:paraId="7411525A">
      <w:pPr>
        <w:keepNext w:val="0"/>
        <w:keepLines w:val="0"/>
        <w:pageBreakBefore w:val="0"/>
        <w:widowControl w:val="0"/>
        <w:kinsoku/>
        <w:wordWrap/>
        <w:overflowPunct/>
        <w:topLinePunct w:val="0"/>
        <w:autoSpaceDE/>
        <w:autoSpaceDN/>
        <w:bidi w:val="0"/>
        <w:spacing w:line="578" w:lineRule="exact"/>
        <w:ind w:firstLine="640"/>
        <w:textAlignment w:val="auto"/>
        <w:outlineLvl w:val="9"/>
        <w:rPr>
          <w:rFonts w:hint="eastAsia" w:ascii="仿宋_GB2312" w:hAnsi="仿宋_GB2312" w:eastAsia="仿宋_GB2312" w:cs="仿宋_GB2312"/>
          <w:color w:val="auto"/>
          <w:sz w:val="32"/>
          <w:szCs w:val="32"/>
          <w:shd w:val="clear" w:color="auto" w:fill="FFFFFF"/>
          <w:lang w:val="en-US" w:eastAsia="zh-CN"/>
        </w:rPr>
      </w:pPr>
      <w:r>
        <w:rPr>
          <w:rFonts w:hint="eastAsia" w:ascii="楷体_GB2312" w:hAnsi="宋体" w:eastAsia="楷体_GB2312"/>
          <w:b/>
          <w:color w:val="auto"/>
          <w:sz w:val="32"/>
          <w:szCs w:val="32"/>
          <w:highlight w:val="none"/>
          <w:u w:val="none"/>
          <w:lang w:val="zh-CN"/>
        </w:rPr>
        <w:t>（四）评价方法。</w:t>
      </w:r>
      <w:r>
        <w:rPr>
          <w:rFonts w:hint="eastAsia" w:ascii="仿宋_GB2312" w:hAnsi="仿宋_GB2312" w:eastAsia="仿宋_GB2312" w:cs="仿宋_GB2312"/>
          <w:color w:val="auto"/>
          <w:sz w:val="32"/>
          <w:szCs w:val="32"/>
          <w:shd w:val="clear" w:color="auto" w:fill="FFFFFF"/>
          <w:lang w:val="en-US" w:eastAsia="zh-CN"/>
        </w:rPr>
        <w:t>采用单位自评法.</w:t>
      </w:r>
    </w:p>
    <w:p w14:paraId="6E2BBC33">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3" w:firstLineChars="200"/>
        <w:contextualSpacing/>
        <w:jc w:val="both"/>
        <w:textAlignment w:val="auto"/>
        <w:rPr>
          <w:rFonts w:hint="eastAsia" w:ascii="仿宋_GB2312" w:hAnsi="仿宋_GB2312" w:eastAsia="仿宋_GB2312" w:cs="仿宋_GB2312"/>
          <w:color w:val="auto"/>
          <w:sz w:val="32"/>
          <w:szCs w:val="32"/>
          <w:shd w:val="clear" w:color="auto" w:fill="FFFFFF"/>
          <w:lang w:val="en-US" w:eastAsia="zh-CN"/>
        </w:rPr>
      </w:pPr>
      <w:r>
        <w:rPr>
          <w:rFonts w:hint="eastAsia" w:ascii="楷体_GB2312" w:hAnsi="宋体" w:eastAsia="楷体_GB2312"/>
          <w:b/>
          <w:color w:val="auto"/>
          <w:sz w:val="32"/>
          <w:szCs w:val="32"/>
          <w:highlight w:val="none"/>
          <w:u w:val="none"/>
          <w:lang w:val="zh-CN"/>
        </w:rPr>
        <w:t>（五）评价组织。</w:t>
      </w:r>
      <w:r>
        <w:rPr>
          <w:rFonts w:hint="eastAsia" w:ascii="仿宋_GB2312" w:hAnsi="仿宋_GB2312" w:eastAsia="仿宋_GB2312" w:cs="仿宋_GB2312"/>
          <w:color w:val="auto"/>
          <w:sz w:val="32"/>
          <w:szCs w:val="32"/>
          <w:shd w:val="clear" w:color="auto" w:fill="FFFFFF"/>
          <w:lang w:val="en-US" w:eastAsia="zh-CN"/>
        </w:rPr>
        <w:t>按照财政资金“谁使用，谁自评”的原则，我单位在收到</w:t>
      </w:r>
      <w:r>
        <w:rPr>
          <w:rFonts w:hint="eastAsia" w:ascii="仿宋_GB2312" w:hAnsi="仿宋_GB2312" w:eastAsia="仿宋_GB2312" w:cs="仿宋_GB2312"/>
          <w:color w:val="auto"/>
          <w:sz w:val="32"/>
          <w:szCs w:val="32"/>
          <w:shd w:val="clear" w:color="auto" w:fill="FFFFFF"/>
          <w:lang w:val="zh-CN" w:eastAsia="zh-CN"/>
        </w:rPr>
        <w:t>自评工作通知后，立即</w:t>
      </w:r>
      <w:r>
        <w:rPr>
          <w:rFonts w:hint="eastAsia" w:ascii="仿宋_GB2312" w:hAnsi="仿宋_GB2312" w:eastAsia="仿宋_GB2312" w:cs="仿宋_GB2312"/>
          <w:color w:val="auto"/>
          <w:sz w:val="32"/>
          <w:szCs w:val="32"/>
          <w:shd w:val="clear" w:color="auto" w:fill="FFFFFF"/>
          <w:lang w:val="en-US" w:eastAsia="zh-CN"/>
        </w:rPr>
        <w:t>落实专人负责</w:t>
      </w:r>
      <w:r>
        <w:rPr>
          <w:rFonts w:hint="eastAsia" w:ascii="仿宋_GB2312" w:hAnsi="仿宋_GB2312" w:eastAsia="仿宋_GB2312" w:cs="仿宋_GB2312"/>
          <w:color w:val="auto"/>
          <w:sz w:val="32"/>
          <w:szCs w:val="32"/>
          <w:shd w:val="clear" w:color="auto" w:fill="FFFFFF"/>
          <w:lang w:val="zh-CN" w:eastAsia="zh-CN"/>
        </w:rPr>
        <w:t>，及时</w:t>
      </w:r>
      <w:r>
        <w:rPr>
          <w:rFonts w:hint="eastAsia" w:ascii="仿宋_GB2312" w:hAnsi="仿宋_GB2312" w:eastAsia="仿宋_GB2312" w:cs="仿宋_GB2312"/>
          <w:color w:val="auto"/>
          <w:sz w:val="32"/>
          <w:szCs w:val="32"/>
          <w:shd w:val="clear" w:color="auto" w:fill="FFFFFF"/>
          <w:lang w:val="en-US" w:eastAsia="zh-CN"/>
        </w:rPr>
        <w:t>与相关业务科实协调对接</w:t>
      </w:r>
      <w:r>
        <w:rPr>
          <w:rFonts w:hint="eastAsia" w:ascii="仿宋_GB2312" w:hAnsi="仿宋_GB2312" w:eastAsia="仿宋_GB2312" w:cs="仿宋_GB2312"/>
          <w:color w:val="auto"/>
          <w:sz w:val="32"/>
          <w:szCs w:val="32"/>
          <w:shd w:val="clear" w:color="auto" w:fill="FFFFFF"/>
          <w:lang w:val="zh-CN" w:eastAsia="zh-CN"/>
        </w:rPr>
        <w:t>，对项目概况、评价实施、绩效分析、评价结论、存在主要问题、改进建议等进行综合自评，形成自评结果。</w:t>
      </w:r>
    </w:p>
    <w:p w14:paraId="2A6774DC">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eastAsia" w:eastAsia="仿宋_GB2312" w:cs="Times New Roman"/>
          <w:szCs w:val="32"/>
          <w:lang w:val="en-US" w:eastAsia="zh-CN"/>
        </w:rPr>
      </w:pPr>
      <w:r>
        <w:rPr>
          <w:rFonts w:hint="eastAsia" w:ascii="黑体" w:hAnsi="宋体" w:eastAsia="黑体"/>
          <w:color w:val="auto"/>
          <w:sz w:val="32"/>
          <w:szCs w:val="32"/>
          <w:highlight w:val="none"/>
          <w:u w:val="none"/>
        </w:rPr>
        <w:t>三、</w:t>
      </w:r>
      <w:r>
        <w:rPr>
          <w:rFonts w:hint="eastAsia" w:ascii="黑体" w:hAnsi="宋体" w:eastAsia="黑体"/>
          <w:color w:val="auto"/>
          <w:sz w:val="32"/>
          <w:szCs w:val="32"/>
          <w:highlight w:val="none"/>
          <w:u w:val="none"/>
          <w:lang w:eastAsia="zh-CN"/>
        </w:rPr>
        <w:t>绩效分析</w:t>
      </w:r>
      <w:r>
        <w:rPr>
          <w:rFonts w:hint="eastAsia" w:ascii="仿宋_GB2312" w:hAnsi="宋体"/>
          <w:color w:val="auto"/>
          <w:sz w:val="32"/>
          <w:szCs w:val="32"/>
          <w:highlight w:val="none"/>
          <w:u w:val="none"/>
          <w:lang w:val="zh-CN"/>
        </w:rPr>
        <w:tab/>
      </w:r>
    </w:p>
    <w:p w14:paraId="4A71BCF8">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楷体_GB2312" w:hAnsi="宋体" w:eastAsia="楷体_GB2312" w:cs="Times New Roman"/>
          <w:b/>
          <w:color w:val="auto"/>
          <w:sz w:val="32"/>
          <w:szCs w:val="32"/>
          <w:highlight w:val="none"/>
          <w:u w:val="none"/>
          <w:lang w:val="en-US" w:eastAsia="zh-CN"/>
        </w:rPr>
      </w:pPr>
      <w:r>
        <w:rPr>
          <w:rFonts w:hint="eastAsia" w:ascii="楷体_GB2312" w:hAnsi="宋体" w:eastAsia="楷体_GB2312" w:cs="Times New Roman"/>
          <w:b/>
          <w:color w:val="auto"/>
          <w:sz w:val="32"/>
          <w:szCs w:val="32"/>
          <w:highlight w:val="none"/>
          <w:u w:val="none"/>
          <w:lang w:val="zh-CN"/>
        </w:rPr>
        <w:t>（一）</w:t>
      </w:r>
      <w:r>
        <w:rPr>
          <w:rFonts w:hint="eastAsia" w:ascii="楷体_GB2312" w:hAnsi="宋体" w:eastAsia="楷体_GB2312" w:cs="Times New Roman"/>
          <w:b/>
          <w:color w:val="auto"/>
          <w:sz w:val="32"/>
          <w:szCs w:val="32"/>
          <w:highlight w:val="none"/>
          <w:u w:val="none"/>
          <w:lang w:val="en-US" w:eastAsia="zh-CN"/>
        </w:rPr>
        <w:t>通用指标</w:t>
      </w:r>
      <w:r>
        <w:rPr>
          <w:rFonts w:hint="default" w:ascii="楷体_GB2312" w:hAnsi="宋体" w:eastAsia="楷体_GB2312" w:cs="Times New Roman"/>
          <w:b/>
          <w:color w:val="auto"/>
          <w:sz w:val="32"/>
          <w:szCs w:val="32"/>
          <w:highlight w:val="none"/>
          <w:u w:val="none"/>
          <w:lang w:val="zh-CN"/>
        </w:rPr>
        <w:t>绩效分析。</w:t>
      </w:r>
    </w:p>
    <w:p w14:paraId="66489218">
      <w:pPr>
        <w:keepNext w:val="0"/>
        <w:keepLines w:val="0"/>
        <w:pageBreakBefore w:val="0"/>
        <w:numPr>
          <w:ilvl w:val="0"/>
          <w:numId w:val="0"/>
        </w:numPr>
        <w:kinsoku/>
        <w:wordWrap/>
        <w:overflowPunct/>
        <w:topLinePunct w:val="0"/>
        <w:autoSpaceDE/>
        <w:autoSpaceDN/>
        <w:bidi w:val="0"/>
        <w:adjustRightInd w:val="0"/>
        <w:snapToGrid w:val="0"/>
        <w:spacing w:line="578" w:lineRule="exact"/>
        <w:ind w:left="0" w:leftChars="0" w:firstLine="640" w:firstLineChars="200"/>
        <w:textAlignment w:val="auto"/>
        <w:rPr>
          <w:rFonts w:hint="eastAsia" w:ascii="仿宋_GB2312" w:hAnsi="仿宋_GB2312" w:eastAsia="仿宋_GB2312" w:cs="仿宋_GB2312"/>
          <w:color w:val="auto"/>
          <w:sz w:val="32"/>
          <w:szCs w:val="32"/>
          <w:shd w:val="clear" w:color="auto" w:fill="FFFFFF"/>
          <w:lang w:val="zh-CN" w:eastAsia="zh-CN"/>
        </w:rPr>
      </w:pPr>
      <w:r>
        <w:rPr>
          <w:rFonts w:hint="eastAsia" w:ascii="仿宋_GB2312" w:hAnsi="仿宋_GB2312" w:eastAsia="仿宋_GB2312" w:cs="仿宋_GB2312"/>
          <w:color w:val="auto"/>
          <w:sz w:val="32"/>
          <w:szCs w:val="32"/>
          <w:shd w:val="clear" w:color="auto" w:fill="FFFFFF"/>
          <w:lang w:val="en-US" w:eastAsia="zh-CN"/>
        </w:rPr>
        <w:t>1.项目决策。</w:t>
      </w:r>
      <w:r>
        <w:rPr>
          <w:rFonts w:hint="eastAsia" w:ascii="仿宋_GB2312" w:hAnsi="仿宋_GB2312" w:eastAsia="仿宋_GB2312" w:cs="仿宋_GB2312"/>
          <w:color w:val="auto"/>
          <w:sz w:val="32"/>
          <w:szCs w:val="32"/>
          <w:shd w:val="clear" w:color="auto" w:fill="FFFFFF"/>
          <w:lang w:val="zh-CN" w:eastAsia="zh-CN"/>
        </w:rPr>
        <w:t>一是贯彻落实中央关于自然资源工作的方针政策和省委、市委决策部署，并按照单位的职能职责，资金预算合规、科学、合理的同时，把预算、绩效和自然资源改革发展工作深度融合。二是履行预算绩效设立审核程序，经集体研究决策后纳入预算。三是细化量化项目绩效目标，编制预算时对科室申报的预算项目进行全面梳理，严把审核关，所有项目必须有明细的资金测算，对审核后的所有项目全部进行入库管理。</w:t>
      </w:r>
    </w:p>
    <w:p w14:paraId="345F4D45">
      <w:pPr>
        <w:keepNext w:val="0"/>
        <w:keepLines w:val="0"/>
        <w:pageBreakBefore w:val="0"/>
        <w:numPr>
          <w:ilvl w:val="0"/>
          <w:numId w:val="0"/>
        </w:numPr>
        <w:kinsoku/>
        <w:wordWrap/>
        <w:overflowPunct/>
        <w:topLinePunct w:val="0"/>
        <w:autoSpaceDE/>
        <w:autoSpaceDN/>
        <w:bidi w:val="0"/>
        <w:adjustRightInd w:val="0"/>
        <w:snapToGrid w:val="0"/>
        <w:spacing w:line="578" w:lineRule="exact"/>
        <w:ind w:left="0" w:leftChars="0" w:firstLine="640" w:firstLineChars="200"/>
        <w:textAlignment w:val="auto"/>
        <w:rPr>
          <w:rFonts w:hint="eastAsia" w:ascii="仿宋_GB2312" w:hAnsi="仿宋_GB2312" w:eastAsia="仿宋_GB2312" w:cs="仿宋_GB2312"/>
          <w:color w:val="auto"/>
          <w:sz w:val="32"/>
          <w:szCs w:val="32"/>
          <w:shd w:val="clear" w:color="auto" w:fill="FFFFFF"/>
          <w:lang w:val="en-US" w:eastAsia="zh-CN"/>
        </w:rPr>
      </w:pPr>
      <w:r>
        <w:rPr>
          <w:rFonts w:hint="eastAsia" w:ascii="仿宋_GB2312" w:hAnsi="仿宋_GB2312" w:eastAsia="仿宋_GB2312" w:cs="仿宋_GB2312"/>
          <w:color w:val="auto"/>
          <w:sz w:val="32"/>
          <w:szCs w:val="32"/>
          <w:shd w:val="clear" w:color="auto" w:fill="FFFFFF"/>
          <w:lang w:val="en-US" w:eastAsia="zh-CN"/>
        </w:rPr>
        <w:t>2.项目管理。一是</w:t>
      </w:r>
      <w:r>
        <w:rPr>
          <w:rFonts w:hint="eastAsia" w:ascii="仿宋_GB2312" w:hAnsi="仿宋_GB2312" w:eastAsia="仿宋_GB2312" w:cs="仿宋_GB2312"/>
          <w:color w:val="auto"/>
          <w:sz w:val="32"/>
          <w:szCs w:val="32"/>
          <w:shd w:val="clear" w:color="auto" w:fill="FFFFFF"/>
          <w:lang w:val="zh-CN" w:eastAsia="zh-CN"/>
        </w:rPr>
        <w:t>履行</w:t>
      </w:r>
      <w:r>
        <w:rPr>
          <w:rFonts w:hint="eastAsia" w:ascii="仿宋_GB2312" w:hAnsi="仿宋_GB2312" w:eastAsia="仿宋_GB2312" w:cs="仿宋_GB2312"/>
          <w:color w:val="auto"/>
          <w:sz w:val="32"/>
          <w:szCs w:val="32"/>
          <w:shd w:val="clear" w:color="auto" w:fill="FFFFFF"/>
          <w:lang w:val="en-US" w:eastAsia="zh-CN"/>
        </w:rPr>
        <w:t>项目</w:t>
      </w:r>
      <w:r>
        <w:rPr>
          <w:rFonts w:hint="eastAsia" w:ascii="仿宋_GB2312" w:hAnsi="仿宋_GB2312" w:eastAsia="仿宋_GB2312" w:cs="仿宋_GB2312"/>
          <w:color w:val="auto"/>
          <w:sz w:val="32"/>
          <w:szCs w:val="32"/>
          <w:shd w:val="clear" w:color="auto" w:fill="FFFFFF"/>
          <w:lang w:val="zh-CN" w:eastAsia="zh-CN"/>
        </w:rPr>
        <w:t>预算绩效设立审核程序，经集体研究决策后纳入</w:t>
      </w:r>
      <w:r>
        <w:rPr>
          <w:rFonts w:hint="eastAsia" w:ascii="仿宋_GB2312" w:hAnsi="仿宋_GB2312" w:eastAsia="仿宋_GB2312" w:cs="仿宋_GB2312"/>
          <w:color w:val="auto"/>
          <w:sz w:val="32"/>
          <w:szCs w:val="32"/>
          <w:shd w:val="clear" w:color="auto" w:fill="FFFFFF"/>
          <w:lang w:val="en-US" w:eastAsia="zh-CN"/>
        </w:rPr>
        <w:t>基建</w:t>
      </w:r>
      <w:r>
        <w:rPr>
          <w:rFonts w:hint="eastAsia" w:ascii="仿宋_GB2312" w:hAnsi="仿宋_GB2312" w:eastAsia="仿宋_GB2312" w:cs="仿宋_GB2312"/>
          <w:color w:val="auto"/>
          <w:sz w:val="32"/>
          <w:szCs w:val="32"/>
          <w:shd w:val="clear" w:color="auto" w:fill="FFFFFF"/>
          <w:lang w:val="zh-CN" w:eastAsia="zh-CN"/>
        </w:rPr>
        <w:t>预算。</w:t>
      </w:r>
      <w:r>
        <w:rPr>
          <w:rFonts w:hint="eastAsia" w:ascii="仿宋_GB2312" w:hAnsi="仿宋_GB2312" w:eastAsia="仿宋_GB2312" w:cs="仿宋_GB2312"/>
          <w:color w:val="auto"/>
          <w:sz w:val="32"/>
          <w:szCs w:val="32"/>
          <w:shd w:val="clear" w:color="auto" w:fill="FFFFFF"/>
          <w:lang w:val="en-US" w:eastAsia="zh-CN"/>
        </w:rPr>
        <w:t>二</w:t>
      </w:r>
      <w:r>
        <w:rPr>
          <w:rFonts w:hint="eastAsia" w:ascii="仿宋_GB2312" w:hAnsi="仿宋_GB2312" w:eastAsia="仿宋_GB2312" w:cs="仿宋_GB2312"/>
          <w:color w:val="auto"/>
          <w:sz w:val="32"/>
          <w:szCs w:val="32"/>
          <w:shd w:val="clear" w:color="auto" w:fill="FFFFFF"/>
          <w:lang w:val="zh-CN" w:eastAsia="zh-CN"/>
        </w:rPr>
        <w:t>是细化量化项目绩效目标，编制预算时对科室申报的预算项目进行全面梳理，严把审核关，所有项目必须有明细的资金测算，对审核后进行入库管理。</w:t>
      </w:r>
      <w:r>
        <w:rPr>
          <w:rFonts w:hint="eastAsia" w:ascii="仿宋_GB2312" w:hAnsi="仿宋_GB2312" w:eastAsia="仿宋_GB2312" w:cs="仿宋_GB2312"/>
          <w:color w:val="auto"/>
          <w:sz w:val="32"/>
          <w:szCs w:val="32"/>
          <w:shd w:val="clear" w:color="auto" w:fill="FFFFFF"/>
          <w:lang w:val="en-US" w:eastAsia="zh-CN"/>
        </w:rPr>
        <w:t>该项目属年初基建计划，财政下达资金后，我局严格按照《预算法》《项目资金管理办法》及时支付，确保项目按时按质完成。</w:t>
      </w:r>
    </w:p>
    <w:p w14:paraId="18FD4292">
      <w:pPr>
        <w:keepNext w:val="0"/>
        <w:keepLines w:val="0"/>
        <w:pageBreakBefore w:val="0"/>
        <w:numPr>
          <w:ilvl w:val="0"/>
          <w:numId w:val="0"/>
        </w:numPr>
        <w:kinsoku/>
        <w:wordWrap/>
        <w:overflowPunct/>
        <w:topLinePunct w:val="0"/>
        <w:autoSpaceDE/>
        <w:autoSpaceDN/>
        <w:bidi w:val="0"/>
        <w:adjustRightInd w:val="0"/>
        <w:snapToGrid w:val="0"/>
        <w:spacing w:line="578" w:lineRule="exact"/>
        <w:ind w:left="0" w:leftChars="0" w:firstLine="640" w:firstLineChars="200"/>
        <w:textAlignment w:val="auto"/>
        <w:rPr>
          <w:rFonts w:hint="eastAsia" w:ascii="仿宋_GB2312" w:hAnsi="仿宋_GB2312" w:eastAsia="仿宋_GB2312" w:cs="仿宋_GB2312"/>
          <w:color w:val="auto"/>
          <w:sz w:val="32"/>
          <w:szCs w:val="32"/>
          <w:shd w:val="clear" w:color="auto" w:fill="FFFFFF"/>
          <w:lang w:val="en-US" w:eastAsia="zh-CN"/>
        </w:rPr>
      </w:pPr>
      <w:r>
        <w:rPr>
          <w:rFonts w:hint="eastAsia" w:ascii="仿宋_GB2312" w:hAnsi="仿宋_GB2312" w:eastAsia="仿宋_GB2312" w:cs="仿宋_GB2312"/>
          <w:color w:val="auto"/>
          <w:sz w:val="32"/>
          <w:szCs w:val="32"/>
          <w:shd w:val="clear" w:color="auto" w:fill="FFFFFF"/>
          <w:lang w:val="en-US" w:eastAsia="zh-CN"/>
        </w:rPr>
        <w:t>3.项目实施。该项目财政于2023年2月下达资金300.09万元，2023年我局按照合同约定支付采购资金97万元，工作经费21.9万元，执行率为39.62%。2024年1月财政收回181.19万元，待省厅入库后再争取资金支付项目尾款。资金使用过程中严格按照我局制定的《财务管理制度》《专项资金管理制度》《三重一大制度》，确保项目资金高效率使用，做到专款专用，无截留，无挪用。</w:t>
      </w:r>
    </w:p>
    <w:p w14:paraId="64E73E2E">
      <w:pPr>
        <w:keepNext w:val="0"/>
        <w:keepLines w:val="0"/>
        <w:pageBreakBefore w:val="0"/>
        <w:numPr>
          <w:ilvl w:val="0"/>
          <w:numId w:val="0"/>
        </w:numPr>
        <w:kinsoku/>
        <w:wordWrap/>
        <w:overflowPunct/>
        <w:topLinePunct w:val="0"/>
        <w:autoSpaceDE/>
        <w:autoSpaceDN/>
        <w:bidi w:val="0"/>
        <w:adjustRightInd w:val="0"/>
        <w:snapToGrid w:val="0"/>
        <w:spacing w:line="578" w:lineRule="exact"/>
        <w:ind w:left="0" w:leftChars="0" w:firstLine="640" w:firstLineChars="200"/>
        <w:textAlignment w:val="auto"/>
        <w:rPr>
          <w:rFonts w:hint="eastAsia" w:ascii="仿宋_GB2312" w:hAnsi="仿宋_GB2312" w:eastAsia="仿宋_GB2312" w:cs="仿宋_GB2312"/>
          <w:color w:val="auto"/>
          <w:sz w:val="32"/>
          <w:szCs w:val="32"/>
          <w:shd w:val="clear" w:color="auto" w:fill="FFFFFF"/>
          <w:lang w:val="en-US" w:eastAsia="zh-CN"/>
        </w:rPr>
      </w:pPr>
      <w:r>
        <w:rPr>
          <w:rFonts w:hint="eastAsia" w:ascii="仿宋_GB2312" w:hAnsi="仿宋_GB2312" w:eastAsia="仿宋_GB2312" w:cs="仿宋_GB2312"/>
          <w:color w:val="auto"/>
          <w:sz w:val="32"/>
          <w:szCs w:val="32"/>
          <w:shd w:val="clear" w:color="auto" w:fill="FFFFFF"/>
          <w:lang w:val="en-US" w:eastAsia="zh-CN"/>
        </w:rPr>
        <w:t>4.项目结果。清晰界定各类自然资源资产的所有权主体；划清全民所有和集体所有之间的边界；划清全民所有、不同层级政府行使所有权的边界；划清不同集体所有者的边界；划清不同类型自然资源之间的边界。推进确权登记法治化，为建立国土空间规划体系并监督实施，统一行使全民所有自然资源资产所有者职责，统一行使所有国土空间用途管制和生态保护修复职责，提供基础支撑和产权保障。</w:t>
      </w:r>
    </w:p>
    <w:p w14:paraId="057A7846">
      <w:pPr>
        <w:keepNext w:val="0"/>
        <w:keepLines w:val="0"/>
        <w:pageBreakBefore w:val="0"/>
        <w:numPr>
          <w:ilvl w:val="0"/>
          <w:numId w:val="0"/>
        </w:numPr>
        <w:kinsoku/>
        <w:wordWrap/>
        <w:overflowPunct/>
        <w:topLinePunct w:val="0"/>
        <w:autoSpaceDE/>
        <w:autoSpaceDN/>
        <w:bidi w:val="0"/>
        <w:adjustRightInd w:val="0"/>
        <w:snapToGrid w:val="0"/>
        <w:spacing w:line="578" w:lineRule="exact"/>
        <w:ind w:left="0" w:leftChars="0" w:firstLine="643" w:firstLineChars="200"/>
        <w:textAlignment w:val="auto"/>
        <w:rPr>
          <w:rFonts w:hint="eastAsia" w:ascii="楷体_GB2312" w:hAnsi="楷体_GB2312" w:eastAsia="楷体_GB2312" w:cs="楷体_GB2312"/>
          <w:b/>
          <w:bCs/>
          <w:color w:val="auto"/>
          <w:sz w:val="32"/>
          <w:szCs w:val="32"/>
          <w:shd w:val="clear" w:color="auto" w:fill="FFFFFF"/>
          <w:lang w:val="zh-CN" w:eastAsia="zh-CN"/>
        </w:rPr>
      </w:pPr>
      <w:r>
        <w:rPr>
          <w:rFonts w:hint="eastAsia" w:ascii="楷体_GB2312" w:hAnsi="楷体_GB2312" w:eastAsia="楷体_GB2312" w:cs="楷体_GB2312"/>
          <w:b/>
          <w:bCs/>
          <w:color w:val="auto"/>
          <w:sz w:val="32"/>
          <w:szCs w:val="32"/>
          <w:shd w:val="clear" w:color="auto" w:fill="FFFFFF"/>
          <w:lang w:val="zh-CN" w:eastAsia="zh-CN"/>
        </w:rPr>
        <w:t>（二）</w:t>
      </w:r>
      <w:r>
        <w:rPr>
          <w:rFonts w:hint="eastAsia" w:ascii="楷体_GB2312" w:hAnsi="楷体_GB2312" w:eastAsia="楷体_GB2312" w:cs="楷体_GB2312"/>
          <w:b/>
          <w:bCs/>
          <w:color w:val="auto"/>
          <w:sz w:val="32"/>
          <w:szCs w:val="32"/>
          <w:shd w:val="clear" w:color="auto" w:fill="FFFFFF"/>
          <w:lang w:val="en-US" w:eastAsia="zh-CN"/>
        </w:rPr>
        <w:t>专用指标</w:t>
      </w:r>
      <w:r>
        <w:rPr>
          <w:rFonts w:hint="eastAsia" w:ascii="楷体_GB2312" w:hAnsi="楷体_GB2312" w:eastAsia="楷体_GB2312" w:cs="楷体_GB2312"/>
          <w:b/>
          <w:bCs/>
          <w:color w:val="auto"/>
          <w:sz w:val="32"/>
          <w:szCs w:val="32"/>
          <w:shd w:val="clear" w:color="auto" w:fill="FFFFFF"/>
          <w:lang w:val="zh-CN" w:eastAsia="zh-CN"/>
        </w:rPr>
        <w:t>绩效分析。</w:t>
      </w:r>
    </w:p>
    <w:p w14:paraId="0C76DC5B">
      <w:pPr>
        <w:keepNext w:val="0"/>
        <w:keepLines w:val="0"/>
        <w:pageBreakBefore w:val="0"/>
        <w:numPr>
          <w:ilvl w:val="0"/>
          <w:numId w:val="0"/>
        </w:numPr>
        <w:kinsoku/>
        <w:wordWrap/>
        <w:overflowPunct/>
        <w:topLinePunct w:val="0"/>
        <w:autoSpaceDE/>
        <w:autoSpaceDN/>
        <w:bidi w:val="0"/>
        <w:adjustRightInd w:val="0"/>
        <w:snapToGrid w:val="0"/>
        <w:spacing w:line="578" w:lineRule="exact"/>
        <w:ind w:left="0" w:leftChars="0" w:firstLine="640" w:firstLineChars="200"/>
        <w:textAlignment w:val="auto"/>
        <w:rPr>
          <w:rFonts w:hint="eastAsia" w:ascii="仿宋_GB2312" w:hAnsi="仿宋_GB2312" w:eastAsia="仿宋_GB2312" w:cs="仿宋_GB2312"/>
          <w:color w:val="auto"/>
          <w:sz w:val="32"/>
          <w:szCs w:val="32"/>
          <w:shd w:val="clear" w:color="auto" w:fill="FFFFFF"/>
          <w:lang w:val="en-US" w:eastAsia="zh-CN"/>
        </w:rPr>
      </w:pPr>
      <w:r>
        <w:rPr>
          <w:rFonts w:hint="eastAsia" w:ascii="仿宋_GB2312" w:hAnsi="仿宋_GB2312" w:eastAsia="仿宋_GB2312" w:cs="仿宋_GB2312"/>
          <w:color w:val="auto"/>
          <w:sz w:val="32"/>
          <w:szCs w:val="32"/>
          <w:shd w:val="clear" w:color="auto" w:fill="FFFFFF"/>
          <w:lang w:val="en-US" w:eastAsia="zh-CN"/>
        </w:rPr>
        <w:t>1.产业发展。该项目是市委市政府支持重点项目。贯彻落实党中央、国务院关于生态文明建设决策部署，推动建立归属清晰、责权明确、保护严格、监管有效地自然资源资产产权制度。以不动产登记为基础，构建自然资源统一确权登记制度体系，开展国家公园、自然资源保护区、自然公园等各类保护地，以及江河湖泊、生态功能重要的湿地、重点国有林区等具有完整生态功能的自然生态空间的统一确权登记。</w:t>
      </w:r>
    </w:p>
    <w:p w14:paraId="3B087946">
      <w:pPr>
        <w:keepNext w:val="0"/>
        <w:keepLines w:val="0"/>
        <w:pageBreakBefore w:val="0"/>
        <w:numPr>
          <w:ilvl w:val="0"/>
          <w:numId w:val="0"/>
        </w:numPr>
        <w:kinsoku/>
        <w:wordWrap/>
        <w:overflowPunct/>
        <w:topLinePunct w:val="0"/>
        <w:autoSpaceDE/>
        <w:autoSpaceDN/>
        <w:bidi w:val="0"/>
        <w:adjustRightInd w:val="0"/>
        <w:snapToGrid w:val="0"/>
        <w:spacing w:line="578" w:lineRule="exact"/>
        <w:ind w:left="0" w:leftChars="0" w:firstLine="640" w:firstLineChars="200"/>
        <w:textAlignment w:val="auto"/>
        <w:rPr>
          <w:rFonts w:hint="eastAsia" w:ascii="仿宋_GB2312" w:hAnsi="仿宋_GB2312" w:eastAsia="仿宋_GB2312" w:cs="仿宋_GB2312"/>
          <w:color w:val="auto"/>
          <w:sz w:val="32"/>
          <w:szCs w:val="32"/>
          <w:shd w:val="clear" w:color="auto" w:fill="FFFFFF"/>
          <w:lang w:val="en-US" w:eastAsia="zh-CN"/>
        </w:rPr>
      </w:pPr>
      <w:r>
        <w:rPr>
          <w:rFonts w:hint="eastAsia" w:ascii="仿宋_GB2312" w:hAnsi="仿宋_GB2312" w:eastAsia="仿宋_GB2312" w:cs="仿宋_GB2312"/>
          <w:color w:val="auto"/>
          <w:sz w:val="32"/>
          <w:szCs w:val="32"/>
          <w:shd w:val="clear" w:color="auto" w:fill="FFFFFF"/>
          <w:lang w:val="en-US" w:eastAsia="zh-CN"/>
        </w:rPr>
        <w:t>2.</w:t>
      </w:r>
      <w:r>
        <w:rPr>
          <w:rFonts w:hint="eastAsia" w:ascii="仿宋_GB2312" w:hAnsi="仿宋_GB2312" w:eastAsia="仿宋_GB2312" w:cs="仿宋_GB2312"/>
          <w:color w:val="auto"/>
          <w:sz w:val="32"/>
          <w:szCs w:val="32"/>
          <w:shd w:val="clear" w:color="auto" w:fill="FFFFFF"/>
          <w:lang w:val="zh-CN" w:eastAsia="zh-CN"/>
        </w:rPr>
        <w:t>行政运转。</w:t>
      </w:r>
      <w:r>
        <w:rPr>
          <w:rFonts w:hint="eastAsia" w:ascii="仿宋_GB2312" w:hAnsi="仿宋_GB2312" w:eastAsia="仿宋_GB2312" w:cs="仿宋_GB2312"/>
          <w:color w:val="auto"/>
          <w:sz w:val="32"/>
          <w:szCs w:val="32"/>
          <w:shd w:val="clear" w:color="auto" w:fill="FFFFFF"/>
          <w:lang w:val="en-US" w:eastAsia="zh-CN"/>
        </w:rPr>
        <w:t>本</w:t>
      </w:r>
      <w:r>
        <w:rPr>
          <w:rFonts w:hint="eastAsia" w:ascii="仿宋_GB2312" w:hAnsi="仿宋_GB2312" w:eastAsia="仿宋_GB2312" w:cs="仿宋_GB2312"/>
          <w:color w:val="auto"/>
          <w:sz w:val="32"/>
          <w:szCs w:val="32"/>
          <w:shd w:val="clear" w:color="auto" w:fill="FFFFFF"/>
          <w:lang w:val="zh-CN" w:eastAsia="zh-CN"/>
        </w:rPr>
        <w:t>单位财务管理制度健全，严格执行财务管理制度，账务处理及时，会计核算规范。</w:t>
      </w:r>
    </w:p>
    <w:p w14:paraId="5F382F69">
      <w:pPr>
        <w:keepNext w:val="0"/>
        <w:keepLines w:val="0"/>
        <w:pageBreakBefore w:val="0"/>
        <w:numPr>
          <w:ilvl w:val="0"/>
          <w:numId w:val="0"/>
        </w:numPr>
        <w:kinsoku/>
        <w:wordWrap/>
        <w:overflowPunct/>
        <w:topLinePunct w:val="0"/>
        <w:autoSpaceDE/>
        <w:autoSpaceDN/>
        <w:bidi w:val="0"/>
        <w:adjustRightInd w:val="0"/>
        <w:snapToGrid w:val="0"/>
        <w:spacing w:line="578" w:lineRule="exact"/>
        <w:ind w:left="0" w:leftChars="0" w:firstLine="643" w:firstLineChars="200"/>
        <w:textAlignment w:val="auto"/>
        <w:rPr>
          <w:rFonts w:hint="default" w:ascii="楷体_GB2312" w:hAnsi="楷体_GB2312" w:eastAsia="楷体_GB2312" w:cs="楷体_GB2312"/>
          <w:b/>
          <w:bCs/>
          <w:color w:val="auto"/>
          <w:sz w:val="32"/>
          <w:szCs w:val="32"/>
          <w:shd w:val="clear" w:color="auto" w:fill="FFFFFF"/>
          <w:lang w:val="zh-CN" w:eastAsia="zh-CN"/>
        </w:rPr>
      </w:pPr>
      <w:r>
        <w:rPr>
          <w:rFonts w:hint="eastAsia" w:ascii="楷体_GB2312" w:hAnsi="楷体_GB2312" w:eastAsia="楷体_GB2312" w:cs="楷体_GB2312"/>
          <w:b/>
          <w:bCs/>
          <w:color w:val="auto"/>
          <w:sz w:val="32"/>
          <w:szCs w:val="32"/>
          <w:shd w:val="clear" w:color="auto" w:fill="FFFFFF"/>
          <w:lang w:val="zh-CN" w:eastAsia="zh-CN"/>
        </w:rPr>
        <w:t>（三）</w:t>
      </w:r>
      <w:r>
        <w:rPr>
          <w:rFonts w:hint="eastAsia" w:ascii="楷体_GB2312" w:hAnsi="楷体_GB2312" w:eastAsia="楷体_GB2312" w:cs="楷体_GB2312"/>
          <w:b/>
          <w:bCs/>
          <w:color w:val="auto"/>
          <w:sz w:val="32"/>
          <w:szCs w:val="32"/>
          <w:shd w:val="clear" w:color="auto" w:fill="FFFFFF"/>
          <w:lang w:val="en-US" w:eastAsia="zh-CN"/>
        </w:rPr>
        <w:t>个性指标</w:t>
      </w:r>
      <w:r>
        <w:rPr>
          <w:rFonts w:hint="default" w:ascii="楷体_GB2312" w:hAnsi="楷体_GB2312" w:eastAsia="楷体_GB2312" w:cs="楷体_GB2312"/>
          <w:b/>
          <w:bCs/>
          <w:color w:val="auto"/>
          <w:sz w:val="32"/>
          <w:szCs w:val="32"/>
          <w:shd w:val="clear" w:color="auto" w:fill="FFFFFF"/>
          <w:lang w:val="zh-CN" w:eastAsia="zh-CN"/>
        </w:rPr>
        <w:t>绩效分析。</w:t>
      </w:r>
    </w:p>
    <w:p w14:paraId="005C5823">
      <w:pPr>
        <w:keepNext w:val="0"/>
        <w:keepLines w:val="0"/>
        <w:pageBreakBefore w:val="0"/>
        <w:numPr>
          <w:ilvl w:val="0"/>
          <w:numId w:val="0"/>
        </w:numPr>
        <w:kinsoku/>
        <w:wordWrap/>
        <w:overflowPunct/>
        <w:topLinePunct w:val="0"/>
        <w:autoSpaceDE/>
        <w:autoSpaceDN/>
        <w:bidi w:val="0"/>
        <w:adjustRightInd w:val="0"/>
        <w:snapToGrid w:val="0"/>
        <w:spacing w:line="578" w:lineRule="exact"/>
        <w:ind w:left="0" w:leftChars="0" w:firstLine="640" w:firstLineChars="200"/>
        <w:textAlignment w:val="auto"/>
        <w:rPr>
          <w:rFonts w:hint="eastAsia" w:ascii="仿宋_GB2312" w:hAnsi="仿宋_GB2312" w:eastAsia="仿宋_GB2312" w:cs="仿宋_GB2312"/>
          <w:color w:val="auto"/>
          <w:sz w:val="32"/>
          <w:szCs w:val="32"/>
          <w:shd w:val="clear" w:color="auto" w:fill="FFFFFF"/>
          <w:lang w:val="en-US" w:eastAsia="zh-CN"/>
        </w:rPr>
      </w:pPr>
      <w:r>
        <w:rPr>
          <w:rFonts w:hint="eastAsia" w:ascii="仿宋_GB2312" w:hAnsi="仿宋_GB2312" w:eastAsia="仿宋_GB2312" w:cs="仿宋_GB2312"/>
          <w:color w:val="auto"/>
          <w:sz w:val="32"/>
          <w:szCs w:val="32"/>
          <w:shd w:val="clear" w:color="auto" w:fill="FFFFFF"/>
          <w:lang w:val="en-US" w:eastAsia="zh-CN"/>
        </w:rPr>
        <w:t>通过项目的实施，清晰界定各类自然资源资产的所有权主体；划清全民所有和集体所有之间的边界；划清全民所有、不同层级政府行使所有权的边界；划清不同集体所有者的边界；划清不同类型自然资源之间的边界。推进确权登记法治化，为建立国土空间规划体系并监督实施，统一行使全民所有自然资源资产所有者职责，统一行使所有国土空间用途管制和生态保护修复职责，提供基础支撑和产权保障。</w:t>
      </w:r>
    </w:p>
    <w:p w14:paraId="600121CD">
      <w:pPr>
        <w:pStyle w:val="7"/>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黑体" w:eastAsia="黑体" w:cs="黑体"/>
          <w:color w:val="auto"/>
          <w:sz w:val="32"/>
          <w:szCs w:val="32"/>
          <w:highlight w:val="none"/>
          <w:u w:val="none"/>
          <w:lang w:val="en-US" w:eastAsia="zh-CN"/>
        </w:rPr>
      </w:pPr>
      <w:r>
        <w:rPr>
          <w:rFonts w:hint="eastAsia" w:ascii="黑体" w:hAnsi="黑体" w:eastAsia="黑体" w:cs="黑体"/>
          <w:color w:val="auto"/>
          <w:sz w:val="32"/>
          <w:szCs w:val="32"/>
          <w:highlight w:val="none"/>
          <w:u w:val="none"/>
          <w:lang w:val="en-US" w:eastAsia="zh-CN"/>
        </w:rPr>
        <w:t>四、评价结论</w:t>
      </w:r>
    </w:p>
    <w:p w14:paraId="33DD2D5E">
      <w:pPr>
        <w:pageBreakBefore w:val="0"/>
        <w:widowControl w:val="0"/>
        <w:kinsoku/>
        <w:wordWrap/>
        <w:overflowPunct/>
        <w:topLinePunct w:val="0"/>
        <w:autoSpaceDE/>
        <w:autoSpaceDN/>
        <w:bidi w:val="0"/>
        <w:adjustRightInd w:val="0"/>
        <w:snapToGrid w:val="0"/>
        <w:spacing w:line="520" w:lineRule="exact"/>
        <w:ind w:firstLine="640" w:firstLineChars="200"/>
        <w:contextualSpacing/>
        <w:jc w:val="both"/>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按照《</w:t>
      </w:r>
      <w:r>
        <w:rPr>
          <w:rFonts w:hint="eastAsia" w:ascii="仿宋_GB2312" w:hAnsi="仿宋_GB2312" w:cs="仿宋_GB2312"/>
          <w:b w:val="0"/>
          <w:bCs/>
          <w:sz w:val="32"/>
          <w:szCs w:val="32"/>
          <w:lang w:val="en-US" w:eastAsia="zh-CN"/>
        </w:rPr>
        <w:t>专项预算项目</w:t>
      </w:r>
      <w:r>
        <w:rPr>
          <w:rFonts w:hint="eastAsia" w:ascii="仿宋_GB2312" w:hAnsi="仿宋_GB2312" w:eastAsia="仿宋_GB2312" w:cs="仿宋_GB2312"/>
          <w:b w:val="0"/>
          <w:bCs/>
          <w:sz w:val="32"/>
          <w:szCs w:val="32"/>
        </w:rPr>
        <w:t>绩效评价指标体系》，自评得分</w:t>
      </w:r>
      <w:r>
        <w:rPr>
          <w:rFonts w:hint="eastAsia" w:ascii="仿宋_GB2312" w:hAnsi="仿宋_GB2312" w:cs="仿宋_GB2312"/>
          <w:b w:val="0"/>
          <w:bCs/>
          <w:sz w:val="32"/>
          <w:szCs w:val="32"/>
          <w:lang w:val="en-US" w:eastAsia="zh-CN"/>
        </w:rPr>
        <w:t>100</w:t>
      </w:r>
      <w:r>
        <w:rPr>
          <w:rFonts w:hint="eastAsia" w:ascii="仿宋_GB2312" w:hAnsi="仿宋_GB2312" w:eastAsia="仿宋_GB2312" w:cs="仿宋_GB2312"/>
          <w:b w:val="0"/>
          <w:bCs/>
          <w:sz w:val="32"/>
          <w:szCs w:val="32"/>
        </w:rPr>
        <w:t>分。</w:t>
      </w:r>
      <w:r>
        <w:rPr>
          <w:rFonts w:hint="eastAsia" w:ascii="仿宋_GB2312" w:hAnsi="仿宋_GB2312" w:cs="仿宋_GB2312"/>
          <w:b w:val="0"/>
          <w:bCs/>
          <w:sz w:val="32"/>
          <w:szCs w:val="32"/>
          <w:lang w:val="en-US" w:eastAsia="zh-CN"/>
        </w:rPr>
        <w:t>我</w:t>
      </w:r>
      <w:r>
        <w:rPr>
          <w:rFonts w:hint="eastAsia" w:ascii="仿宋_GB2312" w:hAnsi="仿宋_GB2312" w:eastAsia="仿宋_GB2312" w:cs="仿宋_GB2312"/>
          <w:b w:val="0"/>
          <w:bCs/>
          <w:sz w:val="32"/>
          <w:szCs w:val="32"/>
        </w:rPr>
        <w:t>局严格执行财经纪律、法规和各项规章制度，加强财务管理，规范会计核算，资金高效运行。项目决策科学，依据充分，项目管理规范；绩效执行进度达到预期；项目完成效果好，实施后达到了预期目的。</w:t>
      </w:r>
    </w:p>
    <w:p w14:paraId="6D11DC29">
      <w:pPr>
        <w:pStyle w:val="7"/>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黑体" w:eastAsia="黑体" w:cs="黑体"/>
          <w:color w:val="auto"/>
          <w:sz w:val="32"/>
          <w:szCs w:val="32"/>
          <w:highlight w:val="none"/>
          <w:u w:val="none"/>
          <w:lang w:val="en-US" w:eastAsia="zh-CN"/>
        </w:rPr>
      </w:pPr>
      <w:r>
        <w:rPr>
          <w:rFonts w:hint="eastAsia" w:ascii="黑体" w:hAnsi="黑体" w:eastAsia="黑体" w:cs="黑体"/>
          <w:color w:val="auto"/>
          <w:sz w:val="32"/>
          <w:szCs w:val="32"/>
          <w:highlight w:val="none"/>
          <w:u w:val="none"/>
          <w:lang w:val="en-US" w:eastAsia="zh-CN"/>
        </w:rPr>
        <w:t>五、存在主要问题</w:t>
      </w:r>
    </w:p>
    <w:p w14:paraId="5B8F3B1D">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both"/>
        <w:textAlignment w:val="auto"/>
        <w:rPr>
          <w:rFonts w:hint="eastAsia" w:ascii="仿宋_GB2312" w:hAnsi="仿宋_GB2312" w:cs="仿宋_GB2312"/>
          <w:color w:val="auto"/>
          <w:kern w:val="0"/>
          <w:sz w:val="32"/>
          <w:szCs w:val="32"/>
          <w:highlight w:val="none"/>
          <w:u w:val="none"/>
          <w:shd w:val="clear" w:color="auto" w:fill="FFFFFF"/>
          <w:lang w:val="zh-CN" w:eastAsia="zh-CN"/>
        </w:rPr>
      </w:pPr>
      <w:r>
        <w:rPr>
          <w:rFonts w:hint="eastAsia" w:ascii="仿宋_GB2312" w:hAnsi="仿宋_GB2312" w:eastAsia="仿宋_GB2312" w:cs="仿宋_GB2312"/>
          <w:color w:val="auto"/>
          <w:kern w:val="0"/>
          <w:sz w:val="32"/>
          <w:szCs w:val="32"/>
          <w:highlight w:val="none"/>
          <w:u w:val="none"/>
          <w:shd w:val="clear" w:color="auto" w:fill="FFFFFF"/>
          <w:lang w:val="zh-CN" w:eastAsia="zh-CN"/>
        </w:rPr>
        <w:t xml:space="preserve"> </w:t>
      </w:r>
      <w:r>
        <w:rPr>
          <w:rFonts w:hint="eastAsia" w:ascii="仿宋_GB2312" w:hAnsi="仿宋_GB2312" w:cs="仿宋_GB2312"/>
          <w:color w:val="auto"/>
          <w:kern w:val="0"/>
          <w:sz w:val="32"/>
          <w:szCs w:val="32"/>
          <w:highlight w:val="none"/>
          <w:u w:val="none"/>
          <w:shd w:val="clear" w:color="auto" w:fill="FFFFFF"/>
          <w:lang w:val="en-US" w:eastAsia="zh-CN"/>
        </w:rPr>
        <w:t>无</w:t>
      </w:r>
      <w:r>
        <w:rPr>
          <w:rFonts w:hint="eastAsia" w:ascii="仿宋_GB2312" w:hAnsi="仿宋_GB2312" w:cs="仿宋_GB2312"/>
          <w:color w:val="auto"/>
          <w:kern w:val="0"/>
          <w:sz w:val="32"/>
          <w:szCs w:val="32"/>
          <w:highlight w:val="none"/>
          <w:u w:val="none"/>
          <w:shd w:val="clear" w:color="auto" w:fill="FFFFFF"/>
          <w:lang w:val="zh-CN" w:eastAsia="zh-CN"/>
        </w:rPr>
        <w:t>。</w:t>
      </w:r>
    </w:p>
    <w:p w14:paraId="4489D740">
      <w:pPr>
        <w:pStyle w:val="7"/>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s="Times New Roman"/>
          <w:color w:val="auto"/>
          <w:kern w:val="0"/>
          <w:position w:val="3"/>
          <w:sz w:val="32"/>
          <w:szCs w:val="32"/>
          <w:highlight w:val="none"/>
          <w:u w:val="none"/>
          <w:lang w:val="zh-CN" w:eastAsia="zh-CN" w:bidi="ar-SA"/>
        </w:rPr>
      </w:pPr>
      <w:r>
        <w:rPr>
          <w:rFonts w:hint="eastAsia" w:ascii="黑体" w:hAnsi="宋体" w:eastAsia="黑体" w:cs="Times New Roman"/>
          <w:color w:val="auto"/>
          <w:kern w:val="0"/>
          <w:position w:val="3"/>
          <w:sz w:val="32"/>
          <w:szCs w:val="32"/>
          <w:highlight w:val="none"/>
          <w:u w:val="none"/>
          <w:lang w:val="zh-CN" w:eastAsia="zh-CN" w:bidi="ar-SA"/>
        </w:rPr>
        <w:t>六、改进建议</w:t>
      </w:r>
    </w:p>
    <w:p w14:paraId="34C26A43">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both"/>
        <w:textAlignment w:val="auto"/>
        <w:rPr>
          <w:rFonts w:hint="eastAsia" w:ascii="仿宋_GB2312" w:hAnsi="仿宋_GB2312" w:cs="仿宋_GB2312"/>
          <w:color w:val="auto"/>
          <w:kern w:val="0"/>
          <w:sz w:val="32"/>
          <w:szCs w:val="32"/>
          <w:highlight w:val="none"/>
          <w:u w:val="none"/>
          <w:shd w:val="clear" w:color="auto" w:fill="FFFFFF"/>
          <w:lang w:val="zh-CN" w:eastAsia="zh-CN"/>
        </w:rPr>
      </w:pPr>
      <w:r>
        <w:rPr>
          <w:rFonts w:hint="eastAsia" w:ascii="仿宋_GB2312" w:hAnsi="仿宋_GB2312" w:eastAsia="仿宋_GB2312" w:cs="仿宋_GB2312"/>
          <w:color w:val="auto"/>
          <w:kern w:val="0"/>
          <w:sz w:val="32"/>
          <w:szCs w:val="32"/>
          <w:highlight w:val="none"/>
          <w:u w:val="none"/>
          <w:shd w:val="clear" w:color="auto" w:fill="FFFFFF"/>
          <w:lang w:val="zh-CN" w:eastAsia="zh-CN"/>
        </w:rPr>
        <w:t xml:space="preserve"> </w:t>
      </w:r>
      <w:r>
        <w:rPr>
          <w:rFonts w:hint="eastAsia" w:ascii="仿宋_GB2312" w:hAnsi="仿宋_GB2312" w:cs="仿宋_GB2312"/>
          <w:color w:val="auto"/>
          <w:kern w:val="0"/>
          <w:sz w:val="32"/>
          <w:szCs w:val="32"/>
          <w:highlight w:val="none"/>
          <w:u w:val="none"/>
          <w:shd w:val="clear" w:color="auto" w:fill="FFFFFF"/>
          <w:lang w:val="en-US" w:eastAsia="zh-CN"/>
        </w:rPr>
        <w:t>无</w:t>
      </w:r>
      <w:r>
        <w:rPr>
          <w:rFonts w:hint="eastAsia" w:ascii="仿宋_GB2312" w:hAnsi="仿宋_GB2312" w:cs="仿宋_GB2312"/>
          <w:color w:val="auto"/>
          <w:kern w:val="0"/>
          <w:sz w:val="32"/>
          <w:szCs w:val="32"/>
          <w:highlight w:val="none"/>
          <w:u w:val="none"/>
          <w:shd w:val="clear" w:color="auto" w:fill="FFFFFF"/>
          <w:lang w:val="zh-CN" w:eastAsia="zh-CN"/>
        </w:rPr>
        <w:t>。</w:t>
      </w:r>
    </w:p>
    <w:p w14:paraId="61D73D0E">
      <w:pPr>
        <w:keepNext w:val="0"/>
        <w:keepLines w:val="0"/>
        <w:pageBreakBefore w:val="0"/>
        <w:kinsoku/>
        <w:wordWrap/>
        <w:overflowPunct/>
        <w:topLinePunct w:val="0"/>
        <w:autoSpaceDE/>
        <w:autoSpaceDN/>
        <w:bidi w:val="0"/>
        <w:adjustRightInd/>
        <w:snapToGrid w:val="0"/>
        <w:spacing w:line="578" w:lineRule="exact"/>
        <w:ind w:left="0" w:leftChars="0" w:firstLine="420" w:firstLineChars="200"/>
        <w:textAlignment w:val="auto"/>
        <w:outlineLvl w:val="9"/>
        <w:rPr>
          <w:rFonts w:hint="eastAsia" w:ascii="Times New Roman" w:hAnsi="Times New Roman" w:cs="Times New Roman"/>
          <w:color w:val="000000"/>
          <w:kern w:val="0"/>
          <w:szCs w:val="32"/>
          <w:highlight w:val="none"/>
          <w:shd w:val="clear" w:color="auto" w:fill="FFFFFF"/>
          <w:lang w:val="zh-CN" w:eastAsia="zh-CN"/>
        </w:rPr>
      </w:pPr>
    </w:p>
    <w:p w14:paraId="1F4654FA">
      <w:pPr>
        <w:pageBreakBefore w:val="0"/>
        <w:widowControl w:val="0"/>
        <w:kinsoku/>
        <w:wordWrap/>
        <w:overflowPunct/>
        <w:topLinePunct w:val="0"/>
        <w:autoSpaceDE/>
        <w:autoSpaceDN/>
        <w:bidi w:val="0"/>
        <w:adjustRightInd w:val="0"/>
        <w:snapToGrid w:val="0"/>
        <w:spacing w:line="520" w:lineRule="exact"/>
        <w:ind w:firstLine="640" w:firstLineChars="200"/>
        <w:contextualSpacing/>
        <w:jc w:val="both"/>
        <w:textAlignment w:val="auto"/>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附表：1.项目资金分配涉及所有点位自评得分情况表</w:t>
      </w:r>
    </w:p>
    <w:p w14:paraId="359D985B">
      <w:pPr>
        <w:pageBreakBefore w:val="0"/>
        <w:widowControl w:val="0"/>
        <w:kinsoku/>
        <w:wordWrap/>
        <w:overflowPunct/>
        <w:topLinePunct w:val="0"/>
        <w:autoSpaceDE/>
        <w:autoSpaceDN/>
        <w:bidi w:val="0"/>
        <w:adjustRightInd w:val="0"/>
        <w:snapToGrid w:val="0"/>
        <w:spacing w:line="520" w:lineRule="exact"/>
        <w:ind w:firstLine="1920" w:firstLineChars="600"/>
        <w:contextualSpacing/>
        <w:jc w:val="both"/>
        <w:textAlignment w:val="auto"/>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专项预算项目绩效目标完成情况自评表</w:t>
      </w:r>
    </w:p>
    <w:p w14:paraId="649BB5CD">
      <w:pPr>
        <w:pageBreakBefore w:val="0"/>
        <w:widowControl w:val="0"/>
        <w:kinsoku/>
        <w:wordWrap/>
        <w:overflowPunct/>
        <w:topLinePunct w:val="0"/>
        <w:autoSpaceDE/>
        <w:autoSpaceDN/>
        <w:bidi w:val="0"/>
        <w:adjustRightInd w:val="0"/>
        <w:snapToGrid w:val="0"/>
        <w:spacing w:line="520" w:lineRule="exact"/>
        <w:ind w:firstLine="640" w:firstLineChars="200"/>
        <w:contextualSpacing/>
        <w:jc w:val="both"/>
        <w:textAlignment w:val="auto"/>
        <w:rPr>
          <w:rFonts w:hint="default" w:ascii="仿宋_GB2312" w:hAnsi="仿宋_GB2312" w:eastAsia="仿宋_GB2312" w:cs="仿宋_GB2312"/>
          <w:b w:val="0"/>
          <w:bCs/>
          <w:sz w:val="32"/>
          <w:szCs w:val="32"/>
          <w:lang w:val="en-US" w:eastAsia="zh-CN"/>
        </w:rPr>
      </w:pPr>
    </w:p>
    <w:p w14:paraId="0497AC21">
      <w:pPr>
        <w:pStyle w:val="2"/>
        <w:rPr>
          <w:rFonts w:hint="default"/>
          <w:lang w:val="en-US" w:eastAsia="zh-CN"/>
        </w:rPr>
      </w:pPr>
    </w:p>
    <w:p w14:paraId="72A9EB9B">
      <w:pPr>
        <w:pageBreakBefore w:val="0"/>
        <w:widowControl w:val="0"/>
        <w:kinsoku/>
        <w:wordWrap/>
        <w:overflowPunct/>
        <w:topLinePunct w:val="0"/>
        <w:autoSpaceDE/>
        <w:autoSpaceDN/>
        <w:bidi w:val="0"/>
        <w:adjustRightInd w:val="0"/>
        <w:snapToGrid w:val="0"/>
        <w:spacing w:line="520" w:lineRule="exact"/>
        <w:ind w:firstLine="640" w:firstLineChars="200"/>
        <w:contextualSpacing/>
        <w:jc w:val="both"/>
        <w:textAlignment w:val="auto"/>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 xml:space="preserve">                   广元市自然资源局</w:t>
      </w:r>
    </w:p>
    <w:p w14:paraId="4BCCA1C1">
      <w:pPr>
        <w:pageBreakBefore w:val="0"/>
        <w:widowControl w:val="0"/>
        <w:kinsoku/>
        <w:wordWrap/>
        <w:overflowPunct/>
        <w:topLinePunct w:val="0"/>
        <w:autoSpaceDE/>
        <w:autoSpaceDN/>
        <w:bidi w:val="0"/>
        <w:adjustRightInd w:val="0"/>
        <w:snapToGrid w:val="0"/>
        <w:spacing w:line="520" w:lineRule="exact"/>
        <w:ind w:firstLine="640" w:firstLineChars="200"/>
        <w:contextualSpacing/>
        <w:jc w:val="both"/>
        <w:textAlignment w:val="auto"/>
        <w:rPr>
          <w:rFonts w:hint="default"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 xml:space="preserve">                   2024年8月4日</w:t>
      </w:r>
    </w:p>
    <w:p w14:paraId="49839EDC">
      <w:pPr>
        <w:keepNext w:val="0"/>
        <w:keepLines w:val="0"/>
        <w:pageBreakBefore w:val="0"/>
        <w:kinsoku/>
        <w:wordWrap/>
        <w:overflowPunct/>
        <w:topLinePunct w:val="0"/>
        <w:autoSpaceDE/>
        <w:autoSpaceDN/>
        <w:bidi w:val="0"/>
        <w:adjustRightInd/>
        <w:snapToGrid w:val="0"/>
        <w:spacing w:line="578" w:lineRule="exact"/>
        <w:ind w:left="0" w:leftChars="0" w:firstLine="420" w:firstLineChars="200"/>
        <w:textAlignment w:val="auto"/>
        <w:outlineLvl w:val="9"/>
        <w:rPr>
          <w:rFonts w:hint="eastAsia" w:ascii="Times New Roman" w:hAnsi="Times New Roman" w:cs="Times New Roman"/>
          <w:color w:val="000000"/>
          <w:kern w:val="0"/>
          <w:szCs w:val="32"/>
          <w:highlight w:val="none"/>
          <w:shd w:val="clear" w:color="auto" w:fill="FFFFFF"/>
          <w:lang w:val="zh-CN" w:eastAsia="zh-CN"/>
        </w:rPr>
      </w:pPr>
      <w:r>
        <w:rPr>
          <w:rFonts w:hint="eastAsia" w:ascii="Times New Roman" w:hAnsi="Times New Roman" w:cs="Times New Roman"/>
          <w:color w:val="000000"/>
          <w:kern w:val="0"/>
          <w:szCs w:val="32"/>
          <w:highlight w:val="none"/>
          <w:shd w:val="clear" w:color="auto" w:fill="FFFFFF"/>
          <w:lang w:val="zh-CN" w:eastAsia="zh-CN"/>
        </w:rPr>
        <w:br w:type="page"/>
      </w:r>
    </w:p>
    <w:p w14:paraId="3C95E039">
      <w:pPr>
        <w:pStyle w:val="25"/>
        <w:rPr>
          <w:rFonts w:hint="eastAsia"/>
          <w:lang w:val="zh-CN" w:eastAsia="zh-CN"/>
        </w:rPr>
      </w:pPr>
    </w:p>
    <w:p w14:paraId="6F248302">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contextualSpacing/>
        <w:jc w:val="left"/>
        <w:textAlignment w:val="auto"/>
        <w:rPr>
          <w:rFonts w:hint="eastAsia" w:ascii="黑体" w:hAnsi="黑体" w:eastAsia="黑体" w:cs="黑体"/>
          <w:b w:val="0"/>
          <w:bCs w:val="0"/>
          <w:color w:val="auto"/>
          <w:kern w:val="0"/>
          <w:sz w:val="32"/>
          <w:szCs w:val="32"/>
          <w:highlight w:val="none"/>
          <w:u w:val="none"/>
          <w:shd w:val="clear" w:color="auto" w:fill="FFFFFF"/>
          <w:lang w:val="zh-CN" w:eastAsia="zh-CN"/>
        </w:rPr>
      </w:pPr>
      <w:r>
        <w:rPr>
          <w:rFonts w:hint="eastAsia" w:ascii="黑体" w:hAnsi="黑体" w:eastAsia="黑体" w:cs="黑体"/>
          <w:b w:val="0"/>
          <w:bCs w:val="0"/>
          <w:color w:val="auto"/>
          <w:kern w:val="0"/>
          <w:sz w:val="32"/>
          <w:szCs w:val="32"/>
          <w:highlight w:val="none"/>
          <w:u w:val="none"/>
          <w:shd w:val="clear" w:color="auto" w:fill="FFFFFF"/>
          <w:lang w:val="zh-CN" w:eastAsia="zh-CN"/>
        </w:rPr>
        <w:t>附表</w:t>
      </w:r>
      <w:r>
        <w:rPr>
          <w:rFonts w:hint="eastAsia" w:ascii="黑体" w:hAnsi="黑体" w:eastAsia="黑体" w:cs="黑体"/>
          <w:b w:val="0"/>
          <w:bCs w:val="0"/>
          <w:color w:val="auto"/>
          <w:kern w:val="0"/>
          <w:sz w:val="32"/>
          <w:szCs w:val="32"/>
          <w:highlight w:val="none"/>
          <w:u w:val="none"/>
          <w:shd w:val="clear" w:color="auto" w:fill="FFFFFF"/>
          <w:lang w:val="en-US" w:eastAsia="zh-CN"/>
        </w:rPr>
        <w:t>1</w:t>
      </w:r>
    </w:p>
    <w:p w14:paraId="4E6FB44E">
      <w:pPr>
        <w:keepNext w:val="0"/>
        <w:keepLines w:val="0"/>
        <w:pageBreakBefore w:val="0"/>
        <w:kinsoku/>
        <w:wordWrap/>
        <w:overflowPunct/>
        <w:topLinePunct w:val="0"/>
        <w:autoSpaceDE/>
        <w:autoSpaceDN/>
        <w:bidi w:val="0"/>
        <w:spacing w:line="578" w:lineRule="exact"/>
        <w:ind w:left="0" w:leftChars="0"/>
        <w:jc w:val="center"/>
        <w:textAlignment w:val="auto"/>
        <w:rPr>
          <w:rFonts w:hint="eastAsia" w:ascii="方正小标宋_GBK" w:hAnsi="方正小标宋_GBK" w:eastAsia="方正小标宋_GBK" w:cs="方正小标宋_GBK"/>
          <w:b w:val="0"/>
          <w:bCs w:val="0"/>
          <w:color w:val="auto"/>
          <w:sz w:val="40"/>
          <w:szCs w:val="40"/>
          <w:highlight w:val="none"/>
          <w:u w:val="none"/>
          <w:lang w:val="en-US" w:eastAsia="zh-CN"/>
        </w:rPr>
      </w:pPr>
      <w:r>
        <w:rPr>
          <w:rFonts w:hint="eastAsia" w:ascii="方正小标宋_GBK" w:hAnsi="方正小标宋_GBK" w:eastAsia="方正小标宋_GBK" w:cs="方正小标宋_GBK"/>
          <w:b w:val="0"/>
          <w:bCs w:val="0"/>
          <w:color w:val="auto"/>
          <w:sz w:val="40"/>
          <w:szCs w:val="40"/>
          <w:highlight w:val="none"/>
          <w:u w:val="none"/>
          <w:lang w:val="en-US" w:eastAsia="zh-CN"/>
        </w:rPr>
        <w:t>项目资金分配涉及所有点位自评得分情况表</w:t>
      </w:r>
    </w:p>
    <w:tbl>
      <w:tblPr>
        <w:tblStyle w:val="18"/>
        <w:tblW w:w="88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3"/>
        <w:gridCol w:w="3843"/>
        <w:gridCol w:w="2861"/>
        <w:gridCol w:w="993"/>
      </w:tblGrid>
      <w:tr w14:paraId="0A115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1F93949D">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序号</w:t>
            </w:r>
          </w:p>
        </w:tc>
        <w:tc>
          <w:tcPr>
            <w:tcW w:w="3843" w:type="dxa"/>
            <w:vAlign w:val="top"/>
          </w:tcPr>
          <w:p w14:paraId="6FE88C0E">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项目资金末端分配点位</w:t>
            </w:r>
          </w:p>
        </w:tc>
        <w:tc>
          <w:tcPr>
            <w:tcW w:w="2861" w:type="dxa"/>
            <w:vAlign w:val="top"/>
          </w:tcPr>
          <w:p w14:paraId="60734508">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 w:eastAsia="zh-CN"/>
              </w:rPr>
              <w:t>自评得分（百分制）</w:t>
            </w:r>
          </w:p>
        </w:tc>
        <w:tc>
          <w:tcPr>
            <w:tcW w:w="993" w:type="dxa"/>
            <w:vAlign w:val="top"/>
          </w:tcPr>
          <w:p w14:paraId="29E584CE">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备注</w:t>
            </w:r>
          </w:p>
        </w:tc>
      </w:tr>
      <w:tr w14:paraId="47E83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7122F949">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1</w:t>
            </w:r>
          </w:p>
        </w:tc>
        <w:tc>
          <w:tcPr>
            <w:tcW w:w="3843" w:type="dxa"/>
            <w:vAlign w:val="top"/>
          </w:tcPr>
          <w:p w14:paraId="3ACF2196">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四川益新工程勘察设计有限公司</w:t>
            </w:r>
          </w:p>
        </w:tc>
        <w:tc>
          <w:tcPr>
            <w:tcW w:w="2861" w:type="dxa"/>
            <w:vAlign w:val="top"/>
          </w:tcPr>
          <w:p w14:paraId="7F6AE977">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100</w:t>
            </w:r>
          </w:p>
        </w:tc>
        <w:tc>
          <w:tcPr>
            <w:tcW w:w="993" w:type="dxa"/>
            <w:vAlign w:val="top"/>
          </w:tcPr>
          <w:p w14:paraId="0BC0C50A">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r>
      <w:tr w14:paraId="5EA23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41768985">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2</w:t>
            </w:r>
          </w:p>
        </w:tc>
        <w:tc>
          <w:tcPr>
            <w:tcW w:w="3843" w:type="dxa"/>
            <w:vAlign w:val="top"/>
          </w:tcPr>
          <w:p w14:paraId="664DDE53">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广元市自然资源局</w:t>
            </w:r>
          </w:p>
        </w:tc>
        <w:tc>
          <w:tcPr>
            <w:tcW w:w="2861" w:type="dxa"/>
            <w:vAlign w:val="top"/>
          </w:tcPr>
          <w:p w14:paraId="25AF972E">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100</w:t>
            </w:r>
          </w:p>
        </w:tc>
        <w:tc>
          <w:tcPr>
            <w:tcW w:w="993" w:type="dxa"/>
            <w:vAlign w:val="top"/>
          </w:tcPr>
          <w:p w14:paraId="5514816B">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r>
      <w:tr w14:paraId="280D5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7EBD71E7">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3</w:t>
            </w:r>
          </w:p>
        </w:tc>
        <w:tc>
          <w:tcPr>
            <w:tcW w:w="3843" w:type="dxa"/>
            <w:vAlign w:val="top"/>
          </w:tcPr>
          <w:p w14:paraId="71BD6AB0">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 w:eastAsia="zh-CN"/>
              </w:rPr>
            </w:pPr>
          </w:p>
        </w:tc>
        <w:tc>
          <w:tcPr>
            <w:tcW w:w="2861" w:type="dxa"/>
            <w:vAlign w:val="top"/>
          </w:tcPr>
          <w:p w14:paraId="3A93AC30">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 w:eastAsia="zh-CN"/>
              </w:rPr>
            </w:pPr>
          </w:p>
        </w:tc>
        <w:tc>
          <w:tcPr>
            <w:tcW w:w="993" w:type="dxa"/>
            <w:vAlign w:val="top"/>
          </w:tcPr>
          <w:p w14:paraId="6C5253A1">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r>
      <w:tr w14:paraId="080B6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7870FAA4">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4</w:t>
            </w:r>
          </w:p>
        </w:tc>
        <w:tc>
          <w:tcPr>
            <w:tcW w:w="3843" w:type="dxa"/>
            <w:vAlign w:val="top"/>
          </w:tcPr>
          <w:p w14:paraId="5BD2F0B4">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 w:eastAsia="zh-CN"/>
              </w:rPr>
            </w:pPr>
          </w:p>
        </w:tc>
        <w:tc>
          <w:tcPr>
            <w:tcW w:w="2861" w:type="dxa"/>
            <w:vAlign w:val="top"/>
          </w:tcPr>
          <w:p w14:paraId="24ABF831">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 w:eastAsia="zh-CN"/>
              </w:rPr>
            </w:pPr>
          </w:p>
        </w:tc>
        <w:tc>
          <w:tcPr>
            <w:tcW w:w="993" w:type="dxa"/>
            <w:vAlign w:val="top"/>
          </w:tcPr>
          <w:p w14:paraId="0C3EC649">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r>
      <w:tr w14:paraId="66B21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5204436A">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5</w:t>
            </w:r>
          </w:p>
        </w:tc>
        <w:tc>
          <w:tcPr>
            <w:tcW w:w="3843" w:type="dxa"/>
            <w:vAlign w:val="top"/>
          </w:tcPr>
          <w:p w14:paraId="22876D5A">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 w:eastAsia="zh-CN"/>
              </w:rPr>
            </w:pPr>
          </w:p>
        </w:tc>
        <w:tc>
          <w:tcPr>
            <w:tcW w:w="2861" w:type="dxa"/>
            <w:vAlign w:val="top"/>
          </w:tcPr>
          <w:p w14:paraId="53C3342E">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 w:eastAsia="zh-CN"/>
              </w:rPr>
            </w:pPr>
          </w:p>
        </w:tc>
        <w:tc>
          <w:tcPr>
            <w:tcW w:w="993" w:type="dxa"/>
            <w:vAlign w:val="top"/>
          </w:tcPr>
          <w:p w14:paraId="13B1CC2C">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r>
      <w:tr w14:paraId="34F77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624D5433">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6</w:t>
            </w:r>
          </w:p>
        </w:tc>
        <w:tc>
          <w:tcPr>
            <w:tcW w:w="3843" w:type="dxa"/>
            <w:vAlign w:val="top"/>
          </w:tcPr>
          <w:p w14:paraId="04ECDE31">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 w:eastAsia="zh-CN"/>
              </w:rPr>
            </w:pPr>
          </w:p>
        </w:tc>
        <w:tc>
          <w:tcPr>
            <w:tcW w:w="2861" w:type="dxa"/>
            <w:vAlign w:val="top"/>
          </w:tcPr>
          <w:p w14:paraId="06BE050F">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 w:eastAsia="zh-CN"/>
              </w:rPr>
            </w:pPr>
          </w:p>
        </w:tc>
        <w:tc>
          <w:tcPr>
            <w:tcW w:w="993" w:type="dxa"/>
            <w:vAlign w:val="top"/>
          </w:tcPr>
          <w:p w14:paraId="428E7697">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r>
      <w:tr w14:paraId="27EAD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3A8CDAE3">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7</w:t>
            </w:r>
          </w:p>
        </w:tc>
        <w:tc>
          <w:tcPr>
            <w:tcW w:w="3843" w:type="dxa"/>
            <w:vAlign w:val="top"/>
          </w:tcPr>
          <w:p w14:paraId="6D7B8AF6">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 w:eastAsia="zh-CN"/>
              </w:rPr>
            </w:pPr>
          </w:p>
        </w:tc>
        <w:tc>
          <w:tcPr>
            <w:tcW w:w="2861" w:type="dxa"/>
            <w:vAlign w:val="top"/>
          </w:tcPr>
          <w:p w14:paraId="7955D875">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 w:eastAsia="zh-CN"/>
              </w:rPr>
            </w:pPr>
          </w:p>
        </w:tc>
        <w:tc>
          <w:tcPr>
            <w:tcW w:w="993" w:type="dxa"/>
            <w:vAlign w:val="top"/>
          </w:tcPr>
          <w:p w14:paraId="1A4009B6">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r>
      <w:tr w14:paraId="57224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2B324E4A">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8</w:t>
            </w:r>
          </w:p>
        </w:tc>
        <w:tc>
          <w:tcPr>
            <w:tcW w:w="3843" w:type="dxa"/>
            <w:vAlign w:val="top"/>
          </w:tcPr>
          <w:p w14:paraId="73CBF3C9">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 w:eastAsia="zh-CN"/>
              </w:rPr>
            </w:pPr>
          </w:p>
        </w:tc>
        <w:tc>
          <w:tcPr>
            <w:tcW w:w="2861" w:type="dxa"/>
            <w:vAlign w:val="top"/>
          </w:tcPr>
          <w:p w14:paraId="0C0EBAA5">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 w:eastAsia="zh-CN"/>
              </w:rPr>
            </w:pPr>
          </w:p>
        </w:tc>
        <w:tc>
          <w:tcPr>
            <w:tcW w:w="993" w:type="dxa"/>
            <w:vAlign w:val="top"/>
          </w:tcPr>
          <w:p w14:paraId="4C05DAFD">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r>
      <w:tr w14:paraId="649EF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7ED5CBD0">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w:t>
            </w:r>
          </w:p>
        </w:tc>
        <w:tc>
          <w:tcPr>
            <w:tcW w:w="3843" w:type="dxa"/>
            <w:vAlign w:val="top"/>
          </w:tcPr>
          <w:p w14:paraId="65E79B8A">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 w:eastAsia="zh-CN"/>
              </w:rPr>
            </w:pPr>
          </w:p>
        </w:tc>
        <w:tc>
          <w:tcPr>
            <w:tcW w:w="2861" w:type="dxa"/>
            <w:vAlign w:val="top"/>
          </w:tcPr>
          <w:p w14:paraId="79411EFF">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 w:eastAsia="zh-CN"/>
              </w:rPr>
            </w:pPr>
          </w:p>
        </w:tc>
        <w:tc>
          <w:tcPr>
            <w:tcW w:w="993" w:type="dxa"/>
            <w:vAlign w:val="top"/>
          </w:tcPr>
          <w:p w14:paraId="1FB224D0">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r>
    </w:tbl>
    <w:p w14:paraId="37220C75">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备注：1.项目资金末端分配点位包括市本级、县（区）、市级部门下属单位及一次性单位等。</w:t>
      </w:r>
    </w:p>
    <w:p w14:paraId="519630C0">
      <w:pPr>
        <w:keepNext w:val="0"/>
        <w:keepLines w:val="0"/>
        <w:pageBreakBefore w:val="0"/>
        <w:widowControl w:val="0"/>
        <w:kinsoku/>
        <w:wordWrap/>
        <w:overflowPunct/>
        <w:topLinePunct w:val="0"/>
        <w:autoSpaceDE/>
        <w:autoSpaceDN/>
        <w:bidi w:val="0"/>
        <w:adjustRightInd/>
        <w:snapToGrid/>
        <w:spacing w:line="400" w:lineRule="exact"/>
        <w:ind w:left="0" w:leftChars="0" w:firstLine="480" w:firstLineChars="200"/>
        <w:jc w:val="left"/>
        <w:textAlignment w:val="auto"/>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2.自评得分（百分制）从高到低划分为优、良、中、差四个档次，各个档次数量占比分别为20%、20%、55%、5%，且不同档次间得分分值应体现差异化，同档次得分分值相同的比例不超过该档次总数量的10%。</w:t>
      </w:r>
    </w:p>
    <w:p w14:paraId="5297AE19">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br w:type="page"/>
      </w:r>
    </w:p>
    <w:p w14:paraId="5BE95EAD">
      <w:pPr>
        <w:pStyle w:val="16"/>
        <w:keepNext w:val="0"/>
        <w:keepLines w:val="0"/>
        <w:pageBreakBefore w:val="0"/>
        <w:kinsoku/>
        <w:wordWrap/>
        <w:overflowPunct/>
        <w:topLinePunct w:val="0"/>
        <w:autoSpaceDE/>
        <w:autoSpaceDN/>
        <w:bidi w:val="0"/>
        <w:spacing w:after="0" w:line="578" w:lineRule="exact"/>
        <w:ind w:left="0" w:leftChars="0" w:firstLine="0" w:firstLineChars="0"/>
        <w:rPr>
          <w:rFonts w:hint="default" w:ascii="Times New Roman" w:hAnsi="Times New Roman" w:eastAsia="黑体" w:cs="Times New Roman"/>
          <w:kern w:val="2"/>
          <w:sz w:val="32"/>
          <w:szCs w:val="24"/>
          <w:highlight w:val="none"/>
          <w:lang w:val="en-US" w:eastAsia="zh-CN" w:bidi="ar-SA"/>
        </w:rPr>
      </w:pPr>
      <w:r>
        <w:rPr>
          <w:rFonts w:hint="default" w:ascii="Times New Roman" w:hAnsi="Times New Roman" w:eastAsia="黑体" w:cs="Times New Roman"/>
          <w:kern w:val="2"/>
          <w:sz w:val="32"/>
          <w:szCs w:val="24"/>
          <w:highlight w:val="none"/>
          <w:lang w:val="en-US" w:eastAsia="zh-CN" w:bidi="ar-SA"/>
        </w:rPr>
        <w:t>附表2</w:t>
      </w:r>
    </w:p>
    <w:p w14:paraId="3FEB1494">
      <w:pPr>
        <w:keepNext w:val="0"/>
        <w:keepLines w:val="0"/>
        <w:pageBreakBefore w:val="0"/>
        <w:kinsoku/>
        <w:wordWrap/>
        <w:overflowPunct/>
        <w:topLinePunct w:val="0"/>
        <w:autoSpaceDE/>
        <w:autoSpaceDN/>
        <w:bidi w:val="0"/>
        <w:spacing w:line="578" w:lineRule="exact"/>
        <w:ind w:left="0" w:leftChars="0"/>
        <w:jc w:val="center"/>
        <w:textAlignment w:val="auto"/>
        <w:rPr>
          <w:rFonts w:hint="default" w:ascii="方正小标宋_GBK" w:hAnsi="方正小标宋_GBK" w:eastAsia="方正小标宋_GBK" w:cs="方正小标宋_GBK"/>
          <w:b w:val="0"/>
          <w:bCs w:val="0"/>
          <w:color w:val="auto"/>
          <w:sz w:val="40"/>
          <w:szCs w:val="40"/>
          <w:highlight w:val="none"/>
          <w:u w:val="none"/>
          <w:lang w:val="en-US" w:eastAsia="zh-CN"/>
        </w:rPr>
      </w:pPr>
      <w:r>
        <w:rPr>
          <w:rFonts w:hint="eastAsia" w:ascii="方正小标宋_GBK" w:hAnsi="方正小标宋_GBK" w:eastAsia="方正小标宋_GBK" w:cs="方正小标宋_GBK"/>
          <w:b w:val="0"/>
          <w:bCs w:val="0"/>
          <w:color w:val="auto"/>
          <w:sz w:val="40"/>
          <w:szCs w:val="40"/>
          <w:highlight w:val="none"/>
          <w:u w:val="none"/>
          <w:lang w:val="en-US" w:eastAsia="zh-CN"/>
        </w:rPr>
        <w:t>专项预算项目绩效目标完成情况自评表</w:t>
      </w:r>
    </w:p>
    <w:tbl>
      <w:tblPr>
        <w:tblStyle w:val="17"/>
        <w:tblW w:w="918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584"/>
        <w:gridCol w:w="970"/>
        <w:gridCol w:w="1120"/>
        <w:gridCol w:w="1313"/>
        <w:gridCol w:w="875"/>
        <w:gridCol w:w="870"/>
        <w:gridCol w:w="952"/>
        <w:gridCol w:w="840"/>
        <w:gridCol w:w="1656"/>
      </w:tblGrid>
      <w:tr w14:paraId="520D71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58" w:hRule="atLeast"/>
          <w:jc w:val="center"/>
        </w:trPr>
        <w:tc>
          <w:tcPr>
            <w:tcW w:w="398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A87A214">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项目名称</w:t>
            </w:r>
          </w:p>
        </w:tc>
        <w:tc>
          <w:tcPr>
            <w:tcW w:w="519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06A820B">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2022年度广元市市本级重点区域自然资源统一确权登记</w:t>
            </w:r>
          </w:p>
        </w:tc>
      </w:tr>
      <w:tr w14:paraId="47CD43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28" w:hRule="atLeast"/>
          <w:jc w:val="center"/>
        </w:trPr>
        <w:tc>
          <w:tcPr>
            <w:tcW w:w="398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A9EAFE9">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预算单位</w:t>
            </w:r>
          </w:p>
        </w:tc>
        <w:tc>
          <w:tcPr>
            <w:tcW w:w="519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69BEAFF">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广元市自然资源局</w:t>
            </w:r>
          </w:p>
        </w:tc>
      </w:tr>
      <w:tr w14:paraId="5654C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28" w:hRule="atLeast"/>
          <w:jc w:val="center"/>
        </w:trPr>
        <w:tc>
          <w:tcPr>
            <w:tcW w:w="398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F7CE771">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项目类型</w:t>
            </w:r>
          </w:p>
        </w:tc>
        <w:tc>
          <w:tcPr>
            <w:tcW w:w="519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A29ADD2">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专项预算项目</w:t>
            </w:r>
          </w:p>
        </w:tc>
      </w:tr>
      <w:tr w14:paraId="44D827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87" w:hRule="atLeast"/>
          <w:jc w:val="center"/>
        </w:trPr>
        <w:tc>
          <w:tcPr>
            <w:tcW w:w="5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85F6FC">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项目 概况</w:t>
            </w:r>
          </w:p>
        </w:tc>
        <w:tc>
          <w:tcPr>
            <w:tcW w:w="340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484A23A">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中长期规划（名称、文号，仅指</w:t>
            </w:r>
          </w:p>
          <w:p w14:paraId="647C372A">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常年项目）</w:t>
            </w:r>
          </w:p>
        </w:tc>
        <w:tc>
          <w:tcPr>
            <w:tcW w:w="519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1041930">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w:t>
            </w:r>
          </w:p>
        </w:tc>
      </w:tr>
      <w:tr w14:paraId="4EFFC2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28" w:hRule="atLeast"/>
          <w:jc w:val="center"/>
        </w:trPr>
        <w:tc>
          <w:tcPr>
            <w:tcW w:w="5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A553D6">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340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5E1C84B">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资金管理办法（名称、文号）</w:t>
            </w:r>
          </w:p>
        </w:tc>
        <w:tc>
          <w:tcPr>
            <w:tcW w:w="519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697706D">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广元市自然资源局财务管理制度</w:t>
            </w:r>
          </w:p>
        </w:tc>
      </w:tr>
      <w:tr w14:paraId="437981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16" w:hRule="atLeast"/>
          <w:jc w:val="center"/>
        </w:trPr>
        <w:tc>
          <w:tcPr>
            <w:tcW w:w="5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1A643E">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340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2031AC4">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绩效分配方式</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F0151">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default" w:ascii="仿宋_GB2312" w:hAnsi="仿宋_GB2312" w:eastAsia="仿宋_GB2312" w:cs="仿宋_GB2312"/>
                <w:b w:val="0"/>
                <w:bCs w:val="0"/>
                <w:color w:val="auto"/>
                <w:sz w:val="24"/>
                <w:szCs w:val="24"/>
                <w:highlight w:val="none"/>
                <w:u w:val="none"/>
                <w:vertAlign w:val="baseline"/>
                <w:lang w:val="en-US" w:eastAsia="zh-CN"/>
              </w:rPr>
              <w:sym w:font="Wingdings 2" w:char="00A3"/>
            </w:r>
            <w:r>
              <w:rPr>
                <w:rFonts w:hint="eastAsia" w:ascii="仿宋_GB2312" w:hAnsi="仿宋_GB2312" w:eastAsia="仿宋_GB2312" w:cs="仿宋_GB2312"/>
                <w:b w:val="0"/>
                <w:bCs w:val="0"/>
                <w:color w:val="auto"/>
                <w:sz w:val="24"/>
                <w:szCs w:val="24"/>
                <w:highlight w:val="none"/>
                <w:u w:val="none"/>
                <w:vertAlign w:val="baseline"/>
                <w:lang w:val="en-US" w:eastAsia="zh-CN"/>
              </w:rPr>
              <w:t>因素法</w:t>
            </w:r>
          </w:p>
        </w:tc>
        <w:tc>
          <w:tcPr>
            <w:tcW w:w="182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A3E454">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default" w:ascii="仿宋_GB2312" w:hAnsi="仿宋_GB2312" w:eastAsia="仿宋_GB2312" w:cs="仿宋_GB2312"/>
                <w:b w:val="0"/>
                <w:bCs w:val="0"/>
                <w:color w:val="auto"/>
                <w:sz w:val="24"/>
                <w:szCs w:val="24"/>
                <w:highlight w:val="none"/>
                <w:u w:val="none"/>
                <w:vertAlign w:val="baseline"/>
                <w:lang w:val="en-US" w:eastAsia="zh-CN"/>
              </w:rPr>
              <w:sym w:font="Wingdings 2" w:char="0052"/>
            </w:r>
            <w:r>
              <w:rPr>
                <w:rFonts w:hint="default" w:ascii="仿宋_GB2312" w:hAnsi="仿宋_GB2312" w:eastAsia="仿宋_GB2312" w:cs="仿宋_GB2312"/>
                <w:b w:val="0"/>
                <w:bCs w:val="0"/>
                <w:color w:val="auto"/>
                <w:sz w:val="24"/>
                <w:szCs w:val="24"/>
                <w:highlight w:val="none"/>
                <w:u w:val="none"/>
                <w:vertAlign w:val="baseline"/>
                <w:lang w:val="en-US" w:eastAsia="zh-CN"/>
              </w:rPr>
              <w:t>项目法</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27553">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default" w:ascii="仿宋_GB2312" w:hAnsi="仿宋_GB2312" w:eastAsia="仿宋_GB2312" w:cs="仿宋_GB2312"/>
                <w:b w:val="0"/>
                <w:bCs w:val="0"/>
                <w:color w:val="auto"/>
                <w:sz w:val="24"/>
                <w:szCs w:val="24"/>
                <w:highlight w:val="none"/>
                <w:u w:val="none"/>
                <w:vertAlign w:val="baseline"/>
                <w:lang w:val="en-US" w:eastAsia="zh-CN"/>
              </w:rPr>
              <w:sym w:font="Wingdings 2" w:char="00A3"/>
            </w:r>
            <w:r>
              <w:rPr>
                <w:rFonts w:hint="eastAsia" w:ascii="仿宋_GB2312" w:hAnsi="仿宋_GB2312" w:eastAsia="仿宋_GB2312" w:cs="仿宋_GB2312"/>
                <w:b w:val="0"/>
                <w:bCs w:val="0"/>
                <w:color w:val="auto"/>
                <w:sz w:val="24"/>
                <w:szCs w:val="24"/>
                <w:highlight w:val="none"/>
                <w:u w:val="none"/>
                <w:vertAlign w:val="baseline"/>
                <w:lang w:val="en-US" w:eastAsia="zh-CN"/>
              </w:rPr>
              <w:t>据实据效</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DA606">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default" w:ascii="仿宋_GB2312" w:hAnsi="仿宋_GB2312" w:eastAsia="仿宋_GB2312" w:cs="仿宋_GB2312"/>
                <w:b w:val="0"/>
                <w:bCs w:val="0"/>
                <w:color w:val="auto"/>
                <w:sz w:val="24"/>
                <w:szCs w:val="24"/>
                <w:highlight w:val="none"/>
                <w:u w:val="none"/>
                <w:vertAlign w:val="baseline"/>
                <w:lang w:val="en-US" w:eastAsia="zh-CN"/>
              </w:rPr>
              <w:t>£</w:t>
            </w:r>
            <w:r>
              <w:rPr>
                <w:rFonts w:hint="eastAsia" w:ascii="仿宋_GB2312" w:hAnsi="仿宋_GB2312" w:eastAsia="仿宋_GB2312" w:cs="仿宋_GB2312"/>
                <w:b w:val="0"/>
                <w:bCs w:val="0"/>
                <w:color w:val="auto"/>
                <w:sz w:val="24"/>
                <w:szCs w:val="24"/>
                <w:highlight w:val="none"/>
                <w:u w:val="none"/>
                <w:vertAlign w:val="baseline"/>
                <w:lang w:val="en-US" w:eastAsia="zh-CN"/>
              </w:rPr>
              <w:t>因素法与项目法相结合</w:t>
            </w:r>
          </w:p>
        </w:tc>
      </w:tr>
      <w:tr w14:paraId="14C297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87" w:hRule="atLeast"/>
          <w:jc w:val="center"/>
        </w:trPr>
        <w:tc>
          <w:tcPr>
            <w:tcW w:w="5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BB3564">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340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06E03CC">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立项依据</w:t>
            </w:r>
          </w:p>
        </w:tc>
        <w:tc>
          <w:tcPr>
            <w:tcW w:w="519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ED0E716">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根据《关于印发广元市重点区域自然资源统一确权登记市级年度实施计划的通知》</w:t>
            </w:r>
          </w:p>
        </w:tc>
      </w:tr>
      <w:tr w14:paraId="1513F7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28" w:hRule="atLeast"/>
          <w:jc w:val="center"/>
        </w:trPr>
        <w:tc>
          <w:tcPr>
            <w:tcW w:w="5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666EAA">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340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C9F3DC2">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使用范围</w:t>
            </w:r>
          </w:p>
        </w:tc>
        <w:tc>
          <w:tcPr>
            <w:tcW w:w="519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E0F4C84">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委托业务费和工作经费</w:t>
            </w:r>
          </w:p>
        </w:tc>
      </w:tr>
      <w:tr w14:paraId="506F74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28" w:hRule="atLeast"/>
          <w:jc w:val="center"/>
        </w:trPr>
        <w:tc>
          <w:tcPr>
            <w:tcW w:w="5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CBB96B">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340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242895C">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申报（补助）条件</w:t>
            </w:r>
          </w:p>
        </w:tc>
        <w:tc>
          <w:tcPr>
            <w:tcW w:w="519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7DEC536">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r>
      <w:tr w14:paraId="45BD12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28" w:hRule="atLeast"/>
          <w:jc w:val="center"/>
        </w:trPr>
        <w:tc>
          <w:tcPr>
            <w:tcW w:w="5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061BAF">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340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655BC36">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项目起止年限</w:t>
            </w:r>
          </w:p>
        </w:tc>
        <w:tc>
          <w:tcPr>
            <w:tcW w:w="519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B1B9EB2">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2023-2023</w:t>
            </w:r>
          </w:p>
        </w:tc>
      </w:tr>
      <w:tr w14:paraId="2FDF54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28" w:hRule="atLeast"/>
          <w:jc w:val="center"/>
        </w:trPr>
        <w:tc>
          <w:tcPr>
            <w:tcW w:w="1554"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494344">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项目资金</w:t>
            </w:r>
          </w:p>
          <w:p w14:paraId="3C30617C">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（万元）</w:t>
            </w:r>
          </w:p>
        </w:tc>
        <w:tc>
          <w:tcPr>
            <w:tcW w:w="24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2A8708">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 xml:space="preserve">  年度资金总额：</w:t>
            </w:r>
          </w:p>
        </w:tc>
        <w:tc>
          <w:tcPr>
            <w:tcW w:w="519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AF5DCDB">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300.09</w:t>
            </w:r>
          </w:p>
        </w:tc>
      </w:tr>
      <w:tr w14:paraId="051AB1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28" w:hRule="atLeast"/>
          <w:jc w:val="center"/>
        </w:trPr>
        <w:tc>
          <w:tcPr>
            <w:tcW w:w="155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D1139E">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24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04FAFD">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 xml:space="preserve">      其中：财政拨款</w:t>
            </w:r>
          </w:p>
        </w:tc>
        <w:tc>
          <w:tcPr>
            <w:tcW w:w="519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1F4F962">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300.09</w:t>
            </w:r>
          </w:p>
        </w:tc>
      </w:tr>
      <w:tr w14:paraId="608175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58" w:hRule="atLeast"/>
          <w:jc w:val="center"/>
        </w:trPr>
        <w:tc>
          <w:tcPr>
            <w:tcW w:w="155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C00443">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24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85F384">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 xml:space="preserve">            其他资金</w:t>
            </w:r>
          </w:p>
        </w:tc>
        <w:tc>
          <w:tcPr>
            <w:tcW w:w="519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30BC35A">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r>
      <w:tr w14:paraId="01223D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28" w:hRule="atLeast"/>
          <w:jc w:val="center"/>
        </w:trPr>
        <w:tc>
          <w:tcPr>
            <w:tcW w:w="5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48D457">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总体 目标</w:t>
            </w:r>
          </w:p>
        </w:tc>
        <w:tc>
          <w:tcPr>
            <w:tcW w:w="8596"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4D4986E">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年度目标</w:t>
            </w:r>
          </w:p>
        </w:tc>
      </w:tr>
      <w:tr w14:paraId="54A858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28" w:hRule="atLeast"/>
          <w:jc w:val="center"/>
        </w:trPr>
        <w:tc>
          <w:tcPr>
            <w:tcW w:w="5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043612">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8596"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BF961C5">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完成15个重点区域的自然资源统一确权登记。</w:t>
            </w:r>
          </w:p>
        </w:tc>
      </w:tr>
      <w:tr w14:paraId="721AAF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58" w:hRule="atLeast"/>
          <w:jc w:val="center"/>
        </w:trPr>
        <w:tc>
          <w:tcPr>
            <w:tcW w:w="584" w:type="dxa"/>
            <w:vMerge w:val="restart"/>
            <w:tcBorders>
              <w:top w:val="single" w:color="000000" w:sz="4" w:space="0"/>
              <w:left w:val="single" w:color="000000" w:sz="4" w:space="0"/>
              <w:bottom w:val="single" w:color="000000" w:sz="4" w:space="0"/>
            </w:tcBorders>
            <w:shd w:val="clear" w:color="auto" w:fill="auto"/>
            <w:vAlign w:val="center"/>
          </w:tcPr>
          <w:p w14:paraId="6C8B716C">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绩效 指标</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86597">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一级指标</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3E133">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二级指标</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9D911">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三级指标</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6AFEE">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指标性质</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48E46">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指标值</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C6567">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度量单位</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98E46">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权重</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157FE">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实际完成指标值</w:t>
            </w:r>
          </w:p>
        </w:tc>
      </w:tr>
      <w:tr w14:paraId="1AE43A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28" w:hRule="atLeast"/>
          <w:jc w:val="center"/>
        </w:trPr>
        <w:tc>
          <w:tcPr>
            <w:tcW w:w="584" w:type="dxa"/>
            <w:vMerge w:val="continue"/>
            <w:tcBorders>
              <w:top w:val="single" w:color="000000" w:sz="4" w:space="0"/>
              <w:left w:val="single" w:color="000000" w:sz="4" w:space="0"/>
              <w:bottom w:val="single" w:color="000000" w:sz="4" w:space="0"/>
            </w:tcBorders>
            <w:shd w:val="clear" w:color="auto" w:fill="auto"/>
            <w:vAlign w:val="center"/>
          </w:tcPr>
          <w:p w14:paraId="38885E60">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2EF27">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产出指标</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76637">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数量指标</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A817A">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登记单元</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E838F">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69BE8">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15</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991A2">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个</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950C2">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20</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8C077">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15</w:t>
            </w:r>
          </w:p>
        </w:tc>
      </w:tr>
      <w:tr w14:paraId="5D777E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28" w:hRule="atLeast"/>
          <w:jc w:val="center"/>
        </w:trPr>
        <w:tc>
          <w:tcPr>
            <w:tcW w:w="584" w:type="dxa"/>
            <w:vMerge w:val="continue"/>
            <w:tcBorders>
              <w:top w:val="single" w:color="000000" w:sz="4" w:space="0"/>
              <w:left w:val="single" w:color="000000" w:sz="4" w:space="0"/>
              <w:bottom w:val="single" w:color="000000" w:sz="4" w:space="0"/>
            </w:tcBorders>
            <w:shd w:val="clear" w:color="auto" w:fill="auto"/>
            <w:vAlign w:val="center"/>
          </w:tcPr>
          <w:p w14:paraId="547F6EA3">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A7E57">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CD2B0">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时效指标</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9D616">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完成时间</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898F2">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5258D">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1</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2BD5D">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年</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FB0A6">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10</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51305">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1</w:t>
            </w:r>
          </w:p>
        </w:tc>
      </w:tr>
      <w:tr w14:paraId="286818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87" w:hRule="atLeast"/>
          <w:jc w:val="center"/>
        </w:trPr>
        <w:tc>
          <w:tcPr>
            <w:tcW w:w="584" w:type="dxa"/>
            <w:vMerge w:val="continue"/>
            <w:tcBorders>
              <w:top w:val="single" w:color="000000" w:sz="4" w:space="0"/>
              <w:left w:val="single" w:color="000000" w:sz="4" w:space="0"/>
              <w:bottom w:val="single" w:color="000000" w:sz="4" w:space="0"/>
            </w:tcBorders>
            <w:shd w:val="clear" w:color="auto" w:fill="auto"/>
            <w:vAlign w:val="center"/>
          </w:tcPr>
          <w:p w14:paraId="0A595DCD">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AC40D">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0BB56">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质量指标</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E35F3">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按时按质完成率</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B9671">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05603">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100</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E9DFD">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C8771">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20</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5848A">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100</w:t>
            </w:r>
          </w:p>
        </w:tc>
      </w:tr>
      <w:tr w14:paraId="7A8688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1073" w:hRule="atLeast"/>
          <w:jc w:val="center"/>
        </w:trPr>
        <w:tc>
          <w:tcPr>
            <w:tcW w:w="584" w:type="dxa"/>
            <w:vMerge w:val="continue"/>
            <w:tcBorders>
              <w:top w:val="single" w:color="000000" w:sz="4" w:space="0"/>
              <w:left w:val="single" w:color="000000" w:sz="4" w:space="0"/>
              <w:bottom w:val="single" w:color="000000" w:sz="4" w:space="0"/>
            </w:tcBorders>
            <w:shd w:val="clear" w:color="auto" w:fill="auto"/>
            <w:vAlign w:val="center"/>
          </w:tcPr>
          <w:p w14:paraId="47D9D424">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E1084">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效益指标</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1C63C">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社会效益</w:t>
            </w:r>
          </w:p>
          <w:p w14:paraId="6E1690B0">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指标</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83CF0">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为自然资源清查提供基础支撑和产权保障。</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74269">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定性</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5D7FA">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良好</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ED0C0">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级</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18AEE">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20</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53A63">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良好</w:t>
            </w:r>
          </w:p>
        </w:tc>
      </w:tr>
      <w:tr w14:paraId="4312A5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87" w:hRule="atLeast"/>
          <w:jc w:val="center"/>
        </w:trPr>
        <w:tc>
          <w:tcPr>
            <w:tcW w:w="584" w:type="dxa"/>
            <w:tcBorders>
              <w:top w:val="single" w:color="000000" w:sz="4" w:space="0"/>
              <w:left w:val="single" w:color="000000" w:sz="4" w:space="0"/>
              <w:bottom w:val="single" w:color="000000" w:sz="4" w:space="0"/>
            </w:tcBorders>
            <w:shd w:val="clear" w:color="auto" w:fill="auto"/>
            <w:vAlign w:val="center"/>
          </w:tcPr>
          <w:p w14:paraId="2C3876C5">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9223F">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满意度指标</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FE629">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满意度指标</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92A14">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群众满意度</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7BAAE">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CC1A5">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95</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B848F">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5F46E">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10</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47A0D">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95</w:t>
            </w:r>
          </w:p>
        </w:tc>
      </w:tr>
      <w:tr w14:paraId="623A9B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28" w:hRule="atLeast"/>
          <w:jc w:val="center"/>
        </w:trPr>
        <w:tc>
          <w:tcPr>
            <w:tcW w:w="584" w:type="dxa"/>
            <w:tcBorders>
              <w:top w:val="single" w:color="000000" w:sz="4" w:space="0"/>
              <w:left w:val="single" w:color="000000" w:sz="4" w:space="0"/>
              <w:bottom w:val="single" w:color="000000" w:sz="4" w:space="0"/>
            </w:tcBorders>
            <w:shd w:val="clear" w:color="auto" w:fill="auto"/>
            <w:vAlign w:val="center"/>
          </w:tcPr>
          <w:p w14:paraId="43FBC0AF">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A071B">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成本指标</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EFED5">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经济成本指标</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83B0D">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微投业务费和工作经费</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377BC">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9EF0C">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300.09</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7E06D">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万元</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C7D7D">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20</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9FB30">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118.9</w:t>
            </w:r>
          </w:p>
        </w:tc>
      </w:tr>
    </w:tbl>
    <w:p w14:paraId="6EB6BBB9">
      <w:pPr>
        <w:pStyle w:val="37"/>
        <w:keepNext w:val="0"/>
        <w:keepLines w:val="0"/>
        <w:pageBreakBefore w:val="0"/>
        <w:widowControl w:val="0"/>
        <w:kinsoku/>
        <w:wordWrap/>
        <w:overflowPunct/>
        <w:topLinePunct w:val="0"/>
        <w:autoSpaceDE/>
        <w:autoSpaceDN/>
        <w:bidi w:val="0"/>
        <w:spacing w:line="578" w:lineRule="exact"/>
        <w:ind w:left="0" w:leftChars="0"/>
        <w:jc w:val="center"/>
        <w:textAlignment w:val="auto"/>
        <w:rPr>
          <w:rFonts w:hint="default" w:ascii="方正小标宋简体" w:hAnsi="方正小标宋简体" w:eastAsia="方正小标宋简体" w:cs="方正小标宋简体"/>
          <w:color w:val="auto"/>
          <w:kern w:val="2"/>
          <w:sz w:val="44"/>
          <w:szCs w:val="44"/>
          <w:highlight w:val="none"/>
          <w:lang w:val="en-US" w:eastAsia="zh-CN"/>
        </w:rPr>
      </w:pPr>
      <w:r>
        <w:rPr>
          <w:rFonts w:hint="eastAsia" w:ascii="方正小标宋简体" w:hAnsi="方正小标宋简体" w:eastAsia="方正小标宋简体" w:cs="方正小标宋简体"/>
          <w:color w:val="auto"/>
          <w:kern w:val="2"/>
          <w:sz w:val="44"/>
          <w:szCs w:val="44"/>
          <w:highlight w:val="none"/>
          <w:lang w:val="en-US" w:eastAsia="zh-CN"/>
        </w:rPr>
        <w:t>广元市自然资源局</w:t>
      </w:r>
    </w:p>
    <w:p w14:paraId="2CE7C37B">
      <w:pPr>
        <w:pStyle w:val="37"/>
        <w:keepNext w:val="0"/>
        <w:keepLines w:val="0"/>
        <w:pageBreakBefore w:val="0"/>
        <w:widowControl w:val="0"/>
        <w:kinsoku/>
        <w:wordWrap/>
        <w:overflowPunct/>
        <w:topLinePunct w:val="0"/>
        <w:autoSpaceDE/>
        <w:autoSpaceDN/>
        <w:bidi w:val="0"/>
        <w:spacing w:line="578" w:lineRule="exact"/>
        <w:ind w:left="0" w:leftChars="0"/>
        <w:jc w:val="center"/>
        <w:textAlignment w:val="auto"/>
        <w:rPr>
          <w:rFonts w:hint="eastAsia" w:ascii="方正小标宋简体" w:hAnsi="方正小标宋简体" w:eastAsia="方正小标宋简体" w:cs="方正小标宋简体"/>
          <w:color w:val="auto"/>
          <w:kern w:val="2"/>
          <w:sz w:val="44"/>
          <w:szCs w:val="44"/>
          <w:highlight w:val="none"/>
          <w:lang w:val="en-US" w:eastAsia="zh-CN"/>
        </w:rPr>
      </w:pPr>
      <w:r>
        <w:rPr>
          <w:rFonts w:hint="eastAsia" w:ascii="方正小标宋简体" w:hAnsi="方正小标宋简体" w:eastAsia="方正小标宋简体" w:cs="方正小标宋简体"/>
          <w:color w:val="auto"/>
          <w:kern w:val="2"/>
          <w:sz w:val="44"/>
          <w:szCs w:val="44"/>
          <w:highlight w:val="none"/>
          <w:lang w:val="en-US" w:eastAsia="zh-CN"/>
        </w:rPr>
        <w:t>关于2021年测绘地理信息质量监督检查、地图技术审核服务专项预算项目绩效评价报告</w:t>
      </w:r>
    </w:p>
    <w:p w14:paraId="59EA423F">
      <w:pPr>
        <w:pStyle w:val="37"/>
        <w:keepNext w:val="0"/>
        <w:keepLines w:val="0"/>
        <w:pageBreakBefore w:val="0"/>
        <w:widowControl w:val="0"/>
        <w:kinsoku/>
        <w:wordWrap/>
        <w:overflowPunct/>
        <w:topLinePunct w:val="0"/>
        <w:autoSpaceDE/>
        <w:autoSpaceDN/>
        <w:bidi w:val="0"/>
        <w:spacing w:line="578" w:lineRule="exact"/>
        <w:ind w:left="0" w:leftChars="0" w:firstLine="640"/>
        <w:jc w:val="center"/>
        <w:textAlignment w:val="auto"/>
        <w:rPr>
          <w:rFonts w:ascii="宋体" w:hAnsi="宋体"/>
          <w:color w:val="auto"/>
          <w:kern w:val="2"/>
          <w:sz w:val="32"/>
          <w:szCs w:val="32"/>
          <w:highlight w:val="none"/>
        </w:rPr>
      </w:pPr>
    </w:p>
    <w:p w14:paraId="427CD53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黑体" w:hAnsi="宋体" w:eastAsia="黑体" w:cs="Times New Roman"/>
          <w:sz w:val="32"/>
          <w:szCs w:val="32"/>
          <w:highlight w:val="none"/>
          <w:lang w:val="zh-CN" w:eastAsia="zh-CN"/>
        </w:rPr>
      </w:pPr>
      <w:r>
        <w:rPr>
          <w:rFonts w:hint="eastAsia" w:ascii="黑体" w:hAnsi="宋体" w:eastAsia="黑体" w:cs="Times New Roman"/>
          <w:sz w:val="32"/>
          <w:szCs w:val="32"/>
          <w:highlight w:val="none"/>
          <w:lang w:val="zh-CN" w:eastAsia="zh-CN"/>
        </w:rPr>
        <w:t>一、项目概况</w:t>
      </w:r>
    </w:p>
    <w:p w14:paraId="5823E900">
      <w:pPr>
        <w:numPr>
          <w:ilvl w:val="0"/>
          <w:numId w:val="0"/>
        </w:numPr>
        <w:spacing w:line="580" w:lineRule="exact"/>
        <w:ind w:firstLine="643" w:firstLineChars="200"/>
        <w:rPr>
          <w:rFonts w:hint="eastAsia"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（一）设立背景及基本情况。</w:t>
      </w:r>
    </w:p>
    <w:p w14:paraId="43261F09">
      <w:pPr>
        <w:adjustRightInd w:val="0"/>
        <w:snapToGrid w:val="0"/>
        <w:spacing w:line="520" w:lineRule="exact"/>
        <w:ind w:firstLine="640" w:firstLineChars="200"/>
        <w:rPr>
          <w:rFonts w:hint="eastAsia" w:ascii="仿宋_GB2312" w:hAnsi="宋体" w:eastAsia="仿宋_GB2312" w:cs="Times New Roman"/>
          <w:sz w:val="32"/>
          <w:szCs w:val="32"/>
          <w:lang w:val="en-US" w:eastAsia="zh-CN"/>
        </w:rPr>
      </w:pPr>
      <w:r>
        <w:rPr>
          <w:rFonts w:hint="eastAsia" w:ascii="仿宋_GB2312" w:hAnsi="宋体" w:eastAsia="仿宋_GB2312" w:cs="Times New Roman"/>
          <w:sz w:val="32"/>
          <w:szCs w:val="32"/>
        </w:rPr>
        <w:t>按照四川省测绘地理信息局《关于开展2021测绘地理信息质量监督检查、测绘资质巡查和保密检查工作的通知》对广元市15个测绘成果质量进行监督检查，提高全市测绘保障服务能力</w:t>
      </w:r>
      <w:r>
        <w:rPr>
          <w:rFonts w:hint="eastAsia" w:ascii="仿宋_GB2312" w:hAnsi="宋体" w:eastAsia="仿宋_GB2312" w:cs="Times New Roman"/>
          <w:sz w:val="32"/>
          <w:szCs w:val="32"/>
          <w:lang w:eastAsia="zh-CN"/>
        </w:rPr>
        <w:t>，</w:t>
      </w:r>
      <w:r>
        <w:rPr>
          <w:rFonts w:hint="eastAsia" w:ascii="仿宋_GB2312" w:hAnsi="宋体" w:eastAsia="仿宋_GB2312" w:cs="Times New Roman"/>
          <w:sz w:val="32"/>
          <w:szCs w:val="32"/>
          <w:lang w:val="en-US" w:eastAsia="zh-CN"/>
        </w:rPr>
        <w:t>我局申报资金22万元。</w:t>
      </w:r>
    </w:p>
    <w:p w14:paraId="076C2FCF">
      <w:pPr>
        <w:adjustRightInd w:val="0"/>
        <w:snapToGrid w:val="0"/>
        <w:spacing w:line="520" w:lineRule="exact"/>
        <w:ind w:firstLine="643" w:firstLineChars="200"/>
        <w:rPr>
          <w:rFonts w:hint="eastAsia" w:ascii="仿宋_GB2312" w:hAnsi="宋体" w:eastAsia="仿宋_GB2312" w:cs="Times New Roman"/>
          <w:sz w:val="32"/>
          <w:szCs w:val="32"/>
        </w:rPr>
      </w:pPr>
      <w:r>
        <w:rPr>
          <w:rFonts w:hint="eastAsia" w:ascii="楷体_GB2312" w:hAnsi="宋体" w:eastAsia="楷体_GB2312" w:cs="Times New Roman"/>
          <w:b/>
          <w:color w:val="auto"/>
          <w:sz w:val="32"/>
          <w:szCs w:val="32"/>
          <w:highlight w:val="none"/>
          <w:u w:val="none"/>
          <w:lang w:val="en-US" w:eastAsia="zh-CN"/>
        </w:rPr>
        <w:t>（二）</w:t>
      </w:r>
      <w:r>
        <w:rPr>
          <w:rFonts w:hint="default" w:ascii="楷体_GB2312" w:hAnsi="宋体" w:eastAsia="楷体_GB2312" w:cs="Times New Roman"/>
          <w:b/>
          <w:color w:val="auto"/>
          <w:sz w:val="32"/>
          <w:szCs w:val="32"/>
          <w:highlight w:val="none"/>
          <w:u w:val="none"/>
          <w:lang w:val="en-US" w:eastAsia="zh-CN"/>
        </w:rPr>
        <w:t>实施目的及支持方向</w:t>
      </w:r>
      <w:r>
        <w:rPr>
          <w:rFonts w:hint="eastAsia" w:ascii="楷体_GB2312" w:hAnsi="宋体" w:eastAsia="楷体_GB2312" w:cs="Times New Roman"/>
          <w:b/>
          <w:color w:val="auto"/>
          <w:sz w:val="32"/>
          <w:szCs w:val="32"/>
          <w:highlight w:val="none"/>
          <w:u w:val="none"/>
          <w:lang w:val="en-US" w:eastAsia="zh-CN"/>
        </w:rPr>
        <w:t>。</w:t>
      </w:r>
      <w:r>
        <w:rPr>
          <w:rFonts w:hint="eastAsia" w:ascii="仿宋_GB2312" w:hAnsi="宋体" w:eastAsia="仿宋_GB2312"/>
          <w:sz w:val="32"/>
          <w:szCs w:val="32"/>
        </w:rPr>
        <w:t>按</w:t>
      </w:r>
      <w:r>
        <w:rPr>
          <w:rFonts w:hint="eastAsia" w:ascii="仿宋_GB2312" w:hAnsi="宋体" w:eastAsia="仿宋_GB2312" w:cs="Times New Roman"/>
          <w:sz w:val="32"/>
          <w:szCs w:val="32"/>
        </w:rPr>
        <w:t>照四川省测绘地理信息局《关于开展2021测绘地理信息质量监督检查、测绘资质巡查和保密检查工作的通知》对广元市15个测绘成果质量进行监督检查，提高全市测绘保障服务能力。</w:t>
      </w:r>
    </w:p>
    <w:p w14:paraId="4972116D">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3" w:firstLineChars="200"/>
        <w:contextualSpacing/>
        <w:jc w:val="both"/>
        <w:textAlignment w:val="auto"/>
        <w:rPr>
          <w:rFonts w:hint="eastAsia" w:ascii="楷体_GB2312" w:hAnsi="宋体" w:eastAsia="楷体_GB2312" w:cs="Times New Roman"/>
          <w:b/>
          <w:color w:val="auto"/>
          <w:sz w:val="32"/>
          <w:szCs w:val="32"/>
          <w:highlight w:val="none"/>
          <w:u w:val="none"/>
          <w:lang w:val="zh-CN" w:eastAsia="zh-CN"/>
        </w:rPr>
      </w:pPr>
      <w:r>
        <w:rPr>
          <w:rFonts w:hint="eastAsia" w:ascii="楷体_GB2312" w:hAnsi="宋体" w:eastAsia="楷体_GB2312" w:cs="Times New Roman"/>
          <w:b/>
          <w:color w:val="auto"/>
          <w:sz w:val="32"/>
          <w:szCs w:val="32"/>
          <w:highlight w:val="none"/>
          <w:u w:val="none"/>
          <w:lang w:val="zh-CN" w:eastAsia="zh-CN"/>
        </w:rPr>
        <w:t>（三）</w:t>
      </w:r>
      <w:r>
        <w:rPr>
          <w:rFonts w:hint="default" w:ascii="楷体_GB2312" w:hAnsi="宋体" w:eastAsia="楷体_GB2312" w:cs="Times New Roman"/>
          <w:b/>
          <w:color w:val="auto"/>
          <w:sz w:val="32"/>
          <w:szCs w:val="32"/>
          <w:highlight w:val="none"/>
          <w:u w:val="none"/>
          <w:lang w:val="en-US" w:eastAsia="zh-CN"/>
        </w:rPr>
        <w:t>预算安排及分配管理</w:t>
      </w:r>
      <w:r>
        <w:rPr>
          <w:rFonts w:hint="eastAsia" w:ascii="楷体_GB2312" w:hAnsi="宋体" w:eastAsia="楷体_GB2312" w:cs="Times New Roman"/>
          <w:b/>
          <w:color w:val="auto"/>
          <w:sz w:val="32"/>
          <w:szCs w:val="32"/>
          <w:highlight w:val="none"/>
          <w:u w:val="none"/>
          <w:lang w:val="zh-CN" w:eastAsia="zh-CN"/>
        </w:rPr>
        <w:t>。</w:t>
      </w:r>
    </w:p>
    <w:p w14:paraId="16DADCE1">
      <w:pPr>
        <w:adjustRightInd w:val="0"/>
        <w:snapToGrid w:val="0"/>
        <w:spacing w:line="520" w:lineRule="exact"/>
        <w:ind w:firstLine="640" w:firstLineChars="200"/>
        <w:rPr>
          <w:rFonts w:hint="eastAsia" w:ascii="仿宋_GB2312" w:hAnsi="宋体" w:eastAsia="仿宋_GB2312" w:cs="Times New Roman"/>
          <w:sz w:val="32"/>
          <w:szCs w:val="32"/>
        </w:rPr>
      </w:pPr>
      <w:r>
        <w:rPr>
          <w:rFonts w:hint="eastAsia" w:ascii="仿宋_GB2312" w:hAnsi="宋体" w:eastAsia="仿宋_GB2312" w:cs="Times New Roman"/>
          <w:sz w:val="32"/>
          <w:szCs w:val="32"/>
          <w:lang w:val="en-US" w:eastAsia="zh-CN"/>
        </w:rPr>
        <w:t>根据我局的资金申请，</w:t>
      </w:r>
      <w:r>
        <w:rPr>
          <w:rFonts w:hint="eastAsia" w:ascii="仿宋_GB2312" w:hAnsi="宋体" w:eastAsia="仿宋_GB2312" w:cs="Times New Roman"/>
          <w:sz w:val="32"/>
          <w:szCs w:val="32"/>
        </w:rPr>
        <w:t>财政于2023年5月19日用基金预算下达该项目费用22万元（广财投[2023]29号，我局于2023年6月支付</w:t>
      </w:r>
      <w:r>
        <w:rPr>
          <w:rFonts w:hint="eastAsia" w:ascii="仿宋_GB2312" w:hAnsi="宋体" w:eastAsia="仿宋_GB2312" w:cs="Times New Roman"/>
          <w:sz w:val="32"/>
          <w:szCs w:val="32"/>
          <w:lang w:val="en-US" w:eastAsia="zh-CN"/>
        </w:rPr>
        <w:t>自然资源部四川测绘产品质量监督检验站22万元</w:t>
      </w:r>
      <w:r>
        <w:rPr>
          <w:rFonts w:hint="eastAsia" w:ascii="仿宋_GB2312" w:hAnsi="宋体" w:eastAsia="仿宋_GB2312" w:cs="Times New Roman"/>
          <w:sz w:val="32"/>
          <w:szCs w:val="32"/>
        </w:rPr>
        <w:t>专项用于测绘地理信息</w:t>
      </w:r>
      <w:r>
        <w:rPr>
          <w:rFonts w:hint="eastAsia" w:ascii="仿宋_GB2312" w:hAnsi="宋体" w:eastAsia="仿宋_GB2312" w:cs="Times New Roman"/>
          <w:sz w:val="32"/>
          <w:szCs w:val="32"/>
          <w:lang w:val="en-US" w:eastAsia="zh-CN"/>
        </w:rPr>
        <w:t>监督检查和地图</w:t>
      </w:r>
      <w:r>
        <w:rPr>
          <w:rFonts w:hint="eastAsia" w:ascii="仿宋_GB2312" w:hAnsi="宋体" w:eastAsia="仿宋_GB2312" w:cs="Times New Roman"/>
          <w:sz w:val="32"/>
          <w:szCs w:val="32"/>
        </w:rPr>
        <w:t>审核费用。</w:t>
      </w:r>
    </w:p>
    <w:p w14:paraId="5D95F935">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textAlignment w:val="auto"/>
        <w:rPr>
          <w:rFonts w:hint="eastAsia" w:ascii="宋体" w:hAnsi="宋体" w:cs="Times New Roman"/>
          <w:color w:val="333333"/>
          <w:sz w:val="32"/>
          <w:szCs w:val="32"/>
          <w:shd w:val="clear" w:color="auto" w:fill="FFFFFF"/>
          <w:lang w:val="en-US" w:eastAsia="zh-CN"/>
        </w:rPr>
      </w:pPr>
    </w:p>
    <w:p w14:paraId="77B1BBCE">
      <w:pPr>
        <w:keepNext w:val="0"/>
        <w:keepLines w:val="0"/>
        <w:pageBreakBefore w:val="0"/>
        <w:widowControl w:val="0"/>
        <w:kinsoku/>
        <w:wordWrap/>
        <w:overflowPunct/>
        <w:topLinePunct w:val="0"/>
        <w:autoSpaceDE/>
        <w:autoSpaceDN/>
        <w:bidi w:val="0"/>
        <w:adjustRightInd w:val="0"/>
        <w:snapToGrid w:val="0"/>
        <w:spacing w:line="576" w:lineRule="exact"/>
        <w:ind w:firstLine="643" w:firstLineChars="200"/>
        <w:textAlignment w:val="auto"/>
        <w:rPr>
          <w:rFonts w:hint="default" w:ascii="仿宋_GB2312" w:hAnsi="宋体" w:eastAsia="仿宋_GB2312" w:cs="Times New Roman"/>
          <w:sz w:val="32"/>
          <w:szCs w:val="32"/>
          <w:lang w:val="en-US" w:eastAsia="zh-CN"/>
        </w:rPr>
      </w:pPr>
      <w:r>
        <w:rPr>
          <w:rFonts w:hint="eastAsia" w:ascii="楷体_GB2312" w:hAnsi="宋体" w:eastAsia="楷体_GB2312" w:cs="Times New Roman"/>
          <w:b/>
          <w:color w:val="auto"/>
          <w:sz w:val="32"/>
          <w:szCs w:val="32"/>
          <w:highlight w:val="none"/>
          <w:u w:val="none"/>
          <w:lang w:val="zh-CN" w:eastAsia="zh-CN"/>
        </w:rPr>
        <w:t>（四）项目绩效目标设置。</w:t>
      </w:r>
      <w:r>
        <w:rPr>
          <w:rFonts w:hint="eastAsia" w:ascii="仿宋_GB2312" w:hAnsi="宋体" w:eastAsia="仿宋_GB2312"/>
          <w:sz w:val="32"/>
          <w:szCs w:val="32"/>
        </w:rPr>
        <w:t>绩</w:t>
      </w:r>
      <w:r>
        <w:rPr>
          <w:rFonts w:hint="eastAsia" w:ascii="仿宋_GB2312" w:hAnsi="宋体" w:eastAsia="仿宋_GB2312" w:cs="Times New Roman"/>
          <w:sz w:val="32"/>
          <w:szCs w:val="32"/>
        </w:rPr>
        <w:t>效目标和绩效指标可量化考核</w:t>
      </w:r>
      <w:r>
        <w:rPr>
          <w:rFonts w:hint="eastAsia" w:ascii="仿宋_GB2312" w:hAnsi="宋体" w:eastAsia="仿宋_GB2312" w:cs="Times New Roman"/>
          <w:sz w:val="32"/>
          <w:szCs w:val="32"/>
          <w:lang w:eastAsia="zh-CN"/>
        </w:rPr>
        <w:t>，与年度工作目标相一致。绩效指标细化、量化，绩效目标和绩效指标契合政策或项目实质，产出和效果相关联。可对满意度指标进行量化预测，绩效目标具有一定的前瞻性和挑战性。</w:t>
      </w:r>
    </w:p>
    <w:p w14:paraId="1EE0B0C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黑体" w:hAnsi="宋体" w:eastAsia="黑体" w:cs="Times New Roman"/>
          <w:sz w:val="32"/>
          <w:szCs w:val="32"/>
          <w:highlight w:val="none"/>
          <w:lang w:val="zh-CN" w:eastAsia="zh-CN"/>
        </w:rPr>
      </w:pPr>
      <w:r>
        <w:rPr>
          <w:rFonts w:hint="eastAsia" w:ascii="黑体" w:hAnsi="宋体" w:eastAsia="黑体" w:cs="Times New Roman"/>
          <w:sz w:val="32"/>
          <w:szCs w:val="32"/>
          <w:highlight w:val="none"/>
          <w:lang w:val="zh-CN" w:eastAsia="zh-CN"/>
        </w:rPr>
        <w:t>二、评价实施</w:t>
      </w:r>
    </w:p>
    <w:p w14:paraId="299DFB1B">
      <w:pPr>
        <w:keepNext w:val="0"/>
        <w:keepLines w:val="0"/>
        <w:pageBreakBefore w:val="0"/>
        <w:widowControl w:val="0"/>
        <w:kinsoku/>
        <w:wordWrap/>
        <w:overflowPunct/>
        <w:topLinePunct w:val="0"/>
        <w:autoSpaceDE/>
        <w:autoSpaceDN/>
        <w:bidi w:val="0"/>
        <w:spacing w:line="578" w:lineRule="exact"/>
        <w:ind w:firstLine="640"/>
        <w:textAlignment w:val="auto"/>
        <w:outlineLvl w:val="9"/>
        <w:rPr>
          <w:rFonts w:hint="eastAsia" w:ascii="仿宋_GB2312" w:hAnsi="宋体" w:eastAsia="仿宋_GB2312" w:cs="Times New Roman"/>
          <w:sz w:val="32"/>
          <w:szCs w:val="32"/>
        </w:rPr>
      </w:pPr>
      <w:r>
        <w:rPr>
          <w:rFonts w:hint="eastAsia" w:ascii="楷体_GB2312" w:hAnsi="宋体" w:eastAsia="楷体_GB2312"/>
          <w:b/>
          <w:color w:val="auto"/>
          <w:sz w:val="32"/>
          <w:szCs w:val="32"/>
          <w:highlight w:val="none"/>
          <w:u w:val="none"/>
          <w:lang w:val="zh-CN"/>
        </w:rPr>
        <w:t>（一）评价目的。</w:t>
      </w:r>
      <w:r>
        <w:rPr>
          <w:rFonts w:hint="eastAsia" w:ascii="仿宋_GB2312" w:hAnsi="宋体" w:eastAsia="仿宋_GB2312" w:cs="Times New Roman"/>
          <w:sz w:val="32"/>
          <w:szCs w:val="32"/>
          <w:lang w:val="en-US" w:eastAsia="zh-CN"/>
        </w:rPr>
        <w:t>通过绩效评价，一是对项目预算及资金使用方案的合理性和有效性进行优化，去除不合理的预算项目。二是详细掌握资金使用情况，提高预算执行力。三是促进预算管理的公开化透明化</w:t>
      </w:r>
      <w:r>
        <w:rPr>
          <w:rFonts w:hint="eastAsia" w:ascii="仿宋_GB2312" w:hAnsi="宋体" w:eastAsia="仿宋_GB2312" w:cs="Times New Roman"/>
          <w:sz w:val="32"/>
          <w:szCs w:val="32"/>
          <w:lang w:eastAsia="zh-CN"/>
        </w:rPr>
        <w:t>。</w:t>
      </w:r>
    </w:p>
    <w:p w14:paraId="5B5F0BB9">
      <w:pPr>
        <w:keepNext w:val="0"/>
        <w:keepLines w:val="0"/>
        <w:pageBreakBefore w:val="0"/>
        <w:widowControl w:val="0"/>
        <w:kinsoku/>
        <w:wordWrap/>
        <w:overflowPunct/>
        <w:topLinePunct w:val="0"/>
        <w:autoSpaceDE/>
        <w:autoSpaceDN/>
        <w:bidi w:val="0"/>
        <w:adjustRightInd w:val="0"/>
        <w:snapToGrid w:val="0"/>
        <w:spacing w:line="578" w:lineRule="exact"/>
        <w:ind w:left="0" w:leftChars="0" w:firstLine="643" w:firstLineChars="200"/>
        <w:textAlignment w:val="auto"/>
        <w:outlineLvl w:val="9"/>
        <w:rPr>
          <w:rFonts w:hint="eastAsia" w:ascii="仿宋_GB2312" w:hAnsi="宋体" w:eastAsia="仿宋_GB2312" w:cs="Times New Roman"/>
          <w:sz w:val="32"/>
          <w:szCs w:val="32"/>
          <w:lang w:val="en-US" w:eastAsia="zh-CN"/>
        </w:rPr>
      </w:pPr>
      <w:r>
        <w:rPr>
          <w:rFonts w:hint="eastAsia" w:ascii="楷体_GB2312" w:hAnsi="宋体" w:eastAsia="楷体_GB2312"/>
          <w:b/>
          <w:color w:val="auto"/>
          <w:sz w:val="32"/>
          <w:szCs w:val="32"/>
          <w:highlight w:val="none"/>
          <w:u w:val="none"/>
          <w:lang w:val="zh-CN"/>
        </w:rPr>
        <w:t>（二）预设问题及评价重点。</w:t>
      </w:r>
      <w:r>
        <w:rPr>
          <w:rFonts w:hint="eastAsia" w:ascii="仿宋_GB2312" w:hAnsi="宋体" w:eastAsia="仿宋_GB2312" w:cs="Times New Roman"/>
          <w:sz w:val="32"/>
          <w:szCs w:val="32"/>
          <w:lang w:val="en-US" w:eastAsia="zh-CN"/>
        </w:rPr>
        <w:t>按照绩效评价指标体系体系</w:t>
      </w:r>
      <w:r>
        <w:rPr>
          <w:rFonts w:hint="eastAsia" w:ascii="仿宋_GB2312" w:hAnsi="宋体" w:eastAsia="仿宋_GB2312" w:cs="Times New Roman"/>
          <w:sz w:val="32"/>
          <w:szCs w:val="32"/>
          <w:lang w:val="zh-CN"/>
        </w:rPr>
        <w:t>，</w:t>
      </w:r>
      <w:r>
        <w:rPr>
          <w:rFonts w:hint="eastAsia" w:ascii="仿宋_GB2312" w:hAnsi="宋体" w:eastAsia="仿宋_GB2312" w:cs="Times New Roman"/>
          <w:sz w:val="32"/>
          <w:szCs w:val="32"/>
          <w:lang w:val="en-US" w:eastAsia="zh-CN"/>
        </w:rPr>
        <w:t>该项目</w:t>
      </w:r>
      <w:r>
        <w:rPr>
          <w:rFonts w:hint="eastAsia" w:ascii="仿宋_GB2312" w:hAnsi="宋体" w:eastAsia="仿宋_GB2312" w:cs="Times New Roman"/>
          <w:sz w:val="32"/>
          <w:szCs w:val="32"/>
          <w:lang w:eastAsia="zh-CN"/>
        </w:rPr>
        <w:t>经费使用应符合相关财务法规和政策，</w:t>
      </w:r>
      <w:r>
        <w:rPr>
          <w:rFonts w:hint="eastAsia" w:ascii="仿宋_GB2312" w:hAnsi="宋体" w:eastAsia="仿宋_GB2312" w:cs="Times New Roman"/>
          <w:sz w:val="32"/>
          <w:szCs w:val="32"/>
          <w:lang w:val="en-US" w:eastAsia="zh-CN"/>
        </w:rPr>
        <w:t>按照合同约定和项目进度进行支付，做到专款专用，</w:t>
      </w:r>
      <w:r>
        <w:rPr>
          <w:rFonts w:hint="eastAsia" w:ascii="仿宋_GB2312" w:hAnsi="宋体" w:eastAsia="仿宋_GB2312" w:cs="Times New Roman"/>
          <w:sz w:val="32"/>
          <w:szCs w:val="32"/>
          <w:lang w:eastAsia="zh-CN"/>
        </w:rPr>
        <w:t>确保资金使用的合法合规，避免违规行为发生。</w:t>
      </w:r>
      <w:r>
        <w:rPr>
          <w:rFonts w:hint="eastAsia" w:ascii="仿宋_GB2312" w:hAnsi="宋体" w:eastAsia="仿宋_GB2312" w:cs="Times New Roman"/>
          <w:sz w:val="32"/>
          <w:szCs w:val="32"/>
          <w:lang w:val="en-US" w:eastAsia="zh-CN"/>
        </w:rPr>
        <w:t>完成了广元市15个测绘项目测绘成果质量的监督检查，共提交报告15份，总结1份。提高全市测绘保障服务能力。</w:t>
      </w:r>
    </w:p>
    <w:p w14:paraId="73DEDAC4">
      <w:pPr>
        <w:keepNext w:val="0"/>
        <w:keepLines w:val="0"/>
        <w:pageBreakBefore w:val="0"/>
        <w:widowControl w:val="0"/>
        <w:kinsoku/>
        <w:wordWrap/>
        <w:overflowPunct/>
        <w:topLinePunct w:val="0"/>
        <w:autoSpaceDE/>
        <w:autoSpaceDN/>
        <w:bidi w:val="0"/>
        <w:adjustRightInd w:val="0"/>
        <w:snapToGrid w:val="0"/>
        <w:spacing w:line="578" w:lineRule="exact"/>
        <w:ind w:left="0" w:leftChars="0" w:firstLine="643" w:firstLineChars="200"/>
        <w:textAlignment w:val="auto"/>
        <w:outlineLvl w:val="9"/>
        <w:rPr>
          <w:rFonts w:hint="default" w:ascii="仿宋_GB2312" w:hAnsi="宋体" w:eastAsia="仿宋_GB2312" w:cs="Times New Roman"/>
          <w:sz w:val="32"/>
          <w:szCs w:val="32"/>
          <w:lang w:val="en-US" w:eastAsia="zh-CN"/>
        </w:rPr>
      </w:pPr>
      <w:r>
        <w:rPr>
          <w:rFonts w:hint="eastAsia" w:ascii="楷体_GB2312" w:hAnsi="宋体" w:eastAsia="楷体_GB2312"/>
          <w:b/>
          <w:color w:val="auto"/>
          <w:sz w:val="32"/>
          <w:szCs w:val="32"/>
          <w:highlight w:val="none"/>
          <w:u w:val="none"/>
          <w:lang w:val="zh-CN"/>
        </w:rPr>
        <w:t>（三）评价选点。</w:t>
      </w:r>
      <w:r>
        <w:rPr>
          <w:rFonts w:hint="eastAsia" w:ascii="仿宋_GB2312" w:hAnsi="宋体" w:eastAsia="仿宋_GB2312" w:cs="Times New Roman"/>
          <w:sz w:val="32"/>
          <w:szCs w:val="32"/>
          <w:lang w:val="en-US" w:eastAsia="zh-CN"/>
        </w:rPr>
        <w:t>对广元市15个测绘项目测绘成果质量的监督检查进行自评。</w:t>
      </w:r>
    </w:p>
    <w:p w14:paraId="6A53EA04">
      <w:pPr>
        <w:keepNext w:val="0"/>
        <w:keepLines w:val="0"/>
        <w:pageBreakBefore w:val="0"/>
        <w:widowControl w:val="0"/>
        <w:kinsoku/>
        <w:wordWrap/>
        <w:overflowPunct/>
        <w:topLinePunct w:val="0"/>
        <w:autoSpaceDE/>
        <w:autoSpaceDN/>
        <w:bidi w:val="0"/>
        <w:spacing w:line="578" w:lineRule="exact"/>
        <w:ind w:firstLine="640"/>
        <w:textAlignment w:val="auto"/>
        <w:outlineLvl w:val="9"/>
        <w:rPr>
          <w:rFonts w:hint="eastAsia" w:ascii="仿宋_GB2312" w:hAnsi="宋体" w:eastAsia="仿宋_GB2312" w:cs="Times New Roman"/>
          <w:sz w:val="32"/>
          <w:szCs w:val="32"/>
          <w:lang w:val="en-US" w:eastAsia="zh-CN"/>
        </w:rPr>
      </w:pPr>
      <w:r>
        <w:rPr>
          <w:rFonts w:hint="eastAsia" w:ascii="楷体_GB2312" w:hAnsi="宋体" w:eastAsia="楷体_GB2312"/>
          <w:b/>
          <w:color w:val="auto"/>
          <w:sz w:val="32"/>
          <w:szCs w:val="32"/>
          <w:highlight w:val="none"/>
          <w:u w:val="none"/>
          <w:lang w:val="zh-CN"/>
        </w:rPr>
        <w:t>（四）评价方法。</w:t>
      </w:r>
      <w:r>
        <w:rPr>
          <w:rFonts w:hint="eastAsia" w:ascii="仿宋_GB2312" w:hAnsi="宋体" w:eastAsia="仿宋_GB2312" w:cs="Times New Roman"/>
          <w:sz w:val="32"/>
          <w:szCs w:val="32"/>
        </w:rPr>
        <w:t>采用单位自评法</w:t>
      </w:r>
      <w:r>
        <w:rPr>
          <w:rFonts w:hint="eastAsia" w:ascii="仿宋_GB2312" w:hAnsi="宋体" w:eastAsia="仿宋_GB2312" w:cs="Times New Roman"/>
          <w:sz w:val="32"/>
          <w:szCs w:val="32"/>
          <w:lang w:val="en-US" w:eastAsia="zh-CN"/>
        </w:rPr>
        <w:t>.</w:t>
      </w:r>
    </w:p>
    <w:p w14:paraId="092CE448">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3" w:firstLineChars="200"/>
        <w:contextualSpacing/>
        <w:jc w:val="both"/>
        <w:textAlignment w:val="auto"/>
        <w:rPr>
          <w:rFonts w:hint="eastAsia" w:ascii="仿宋_GB2312"/>
          <w:b w:val="0"/>
          <w:bCs w:val="0"/>
          <w:sz w:val="32"/>
          <w:szCs w:val="32"/>
          <w:highlight w:val="none"/>
          <w:lang w:val="en-US" w:eastAsia="zh-CN"/>
        </w:rPr>
      </w:pPr>
      <w:r>
        <w:rPr>
          <w:rFonts w:hint="eastAsia" w:ascii="楷体_GB2312" w:hAnsi="宋体" w:eastAsia="楷体_GB2312"/>
          <w:b/>
          <w:color w:val="auto"/>
          <w:sz w:val="32"/>
          <w:szCs w:val="32"/>
          <w:highlight w:val="none"/>
          <w:u w:val="none"/>
          <w:lang w:val="zh-CN"/>
        </w:rPr>
        <w:t>（五）评价组织。</w:t>
      </w:r>
      <w:r>
        <w:rPr>
          <w:rFonts w:hint="eastAsia" w:ascii="仿宋_GB2312" w:hAnsi="宋体" w:eastAsia="仿宋_GB2312" w:cs="Times New Roman"/>
          <w:sz w:val="32"/>
          <w:szCs w:val="32"/>
          <w:lang w:val="en-US" w:eastAsia="zh-CN"/>
        </w:rPr>
        <w:t>按照财政资金“谁使用，谁自评”的原则，我单位在收到</w:t>
      </w:r>
      <w:r>
        <w:rPr>
          <w:rFonts w:hint="eastAsia" w:ascii="仿宋_GB2312" w:hAnsi="宋体" w:eastAsia="仿宋_GB2312" w:cs="Times New Roman"/>
          <w:sz w:val="32"/>
          <w:szCs w:val="32"/>
          <w:lang w:val="zh-CN"/>
        </w:rPr>
        <w:t>自评工作通知后，立即</w:t>
      </w:r>
      <w:r>
        <w:rPr>
          <w:rFonts w:hint="eastAsia" w:ascii="仿宋_GB2312" w:hAnsi="宋体" w:eastAsia="仿宋_GB2312" w:cs="Times New Roman"/>
          <w:sz w:val="32"/>
          <w:szCs w:val="32"/>
          <w:lang w:val="en-US" w:eastAsia="zh-CN"/>
        </w:rPr>
        <w:t>落实专人负责</w:t>
      </w:r>
      <w:r>
        <w:rPr>
          <w:rFonts w:hint="eastAsia" w:ascii="仿宋_GB2312" w:hAnsi="宋体" w:eastAsia="仿宋_GB2312" w:cs="Times New Roman"/>
          <w:sz w:val="32"/>
          <w:szCs w:val="32"/>
          <w:lang w:val="zh-CN"/>
        </w:rPr>
        <w:t>，及时</w:t>
      </w:r>
      <w:r>
        <w:rPr>
          <w:rFonts w:hint="eastAsia" w:ascii="仿宋_GB2312" w:hAnsi="宋体" w:eastAsia="仿宋_GB2312" w:cs="Times New Roman"/>
          <w:sz w:val="32"/>
          <w:szCs w:val="32"/>
          <w:lang w:val="en-US" w:eastAsia="zh-CN"/>
        </w:rPr>
        <w:t>与相关业务科实协调对接</w:t>
      </w:r>
      <w:r>
        <w:rPr>
          <w:rFonts w:hint="eastAsia" w:ascii="仿宋_GB2312" w:hAnsi="宋体" w:eastAsia="仿宋_GB2312" w:cs="Times New Roman"/>
          <w:sz w:val="32"/>
          <w:szCs w:val="32"/>
          <w:lang w:val="zh-CN"/>
        </w:rPr>
        <w:t>，对项目概况、评价实施、绩效分析、评价结论、存在主要问题、改进建议等进行综合自评，形成自评结果。</w:t>
      </w:r>
    </w:p>
    <w:p w14:paraId="52AB4C41">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eastAsia" w:eastAsia="仿宋_GB2312" w:cs="Times New Roman"/>
          <w:szCs w:val="32"/>
          <w:lang w:val="en-US" w:eastAsia="zh-CN"/>
        </w:rPr>
      </w:pPr>
      <w:r>
        <w:rPr>
          <w:rFonts w:hint="eastAsia" w:ascii="黑体" w:hAnsi="宋体" w:eastAsia="黑体"/>
          <w:color w:val="auto"/>
          <w:sz w:val="32"/>
          <w:szCs w:val="32"/>
          <w:highlight w:val="none"/>
          <w:u w:val="none"/>
        </w:rPr>
        <w:t>三、</w:t>
      </w:r>
      <w:r>
        <w:rPr>
          <w:rFonts w:hint="eastAsia" w:ascii="黑体" w:hAnsi="宋体" w:eastAsia="黑体"/>
          <w:color w:val="auto"/>
          <w:sz w:val="32"/>
          <w:szCs w:val="32"/>
          <w:highlight w:val="none"/>
          <w:u w:val="none"/>
          <w:lang w:eastAsia="zh-CN"/>
        </w:rPr>
        <w:t>绩效分析</w:t>
      </w:r>
      <w:r>
        <w:rPr>
          <w:rFonts w:hint="eastAsia" w:ascii="仿宋_GB2312" w:hAnsi="宋体"/>
          <w:color w:val="auto"/>
          <w:sz w:val="32"/>
          <w:szCs w:val="32"/>
          <w:highlight w:val="none"/>
          <w:u w:val="none"/>
          <w:lang w:val="zh-CN"/>
        </w:rPr>
        <w:tab/>
      </w:r>
    </w:p>
    <w:p w14:paraId="1BA1939E">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楷体_GB2312" w:hAnsi="宋体" w:eastAsia="楷体_GB2312" w:cs="Times New Roman"/>
          <w:b/>
          <w:color w:val="auto"/>
          <w:sz w:val="32"/>
          <w:szCs w:val="32"/>
          <w:highlight w:val="none"/>
          <w:u w:val="none"/>
          <w:lang w:val="en-US" w:eastAsia="zh-CN"/>
        </w:rPr>
      </w:pPr>
      <w:r>
        <w:rPr>
          <w:rFonts w:hint="eastAsia" w:ascii="楷体_GB2312" w:hAnsi="宋体" w:eastAsia="楷体_GB2312" w:cs="Times New Roman"/>
          <w:b/>
          <w:color w:val="auto"/>
          <w:sz w:val="32"/>
          <w:szCs w:val="32"/>
          <w:highlight w:val="none"/>
          <w:u w:val="none"/>
          <w:lang w:val="zh-CN"/>
        </w:rPr>
        <w:t>（一）</w:t>
      </w:r>
      <w:r>
        <w:rPr>
          <w:rFonts w:hint="eastAsia" w:ascii="楷体_GB2312" w:hAnsi="宋体" w:eastAsia="楷体_GB2312" w:cs="Times New Roman"/>
          <w:b/>
          <w:color w:val="auto"/>
          <w:sz w:val="32"/>
          <w:szCs w:val="32"/>
          <w:highlight w:val="none"/>
          <w:u w:val="none"/>
          <w:lang w:val="en-US" w:eastAsia="zh-CN"/>
        </w:rPr>
        <w:t>通用指标</w:t>
      </w:r>
      <w:r>
        <w:rPr>
          <w:rFonts w:hint="default" w:ascii="楷体_GB2312" w:hAnsi="宋体" w:eastAsia="楷体_GB2312" w:cs="Times New Roman"/>
          <w:b/>
          <w:color w:val="auto"/>
          <w:sz w:val="32"/>
          <w:szCs w:val="32"/>
          <w:highlight w:val="none"/>
          <w:u w:val="none"/>
          <w:lang w:val="zh-CN"/>
        </w:rPr>
        <w:t>绩效分析。</w:t>
      </w:r>
    </w:p>
    <w:p w14:paraId="1B31F068">
      <w:pPr>
        <w:adjustRightInd w:val="0"/>
        <w:snapToGrid w:val="0"/>
        <w:spacing w:line="520" w:lineRule="exact"/>
        <w:ind w:firstLine="640" w:firstLineChars="200"/>
        <w:rPr>
          <w:rFonts w:hint="eastAsia" w:ascii="仿宋_GB2312" w:hAnsi="宋体" w:eastAsia="仿宋_GB2312" w:cs="Times New Roman"/>
          <w:sz w:val="32"/>
          <w:szCs w:val="32"/>
          <w:lang w:val="zh-CN"/>
        </w:rPr>
      </w:pPr>
      <w:r>
        <w:rPr>
          <w:rFonts w:hint="eastAsia" w:ascii="仿宋_GB2312" w:hAnsi="宋体" w:eastAsia="仿宋_GB2312" w:cs="Times New Roman"/>
          <w:sz w:val="32"/>
          <w:szCs w:val="32"/>
          <w:lang w:val="en-US" w:eastAsia="zh-CN"/>
        </w:rPr>
        <w:t>1.</w:t>
      </w:r>
      <w:r>
        <w:rPr>
          <w:rFonts w:hint="eastAsia" w:ascii="仿宋_GB2312" w:hAnsi="宋体" w:eastAsia="仿宋_GB2312" w:cs="Times New Roman"/>
          <w:sz w:val="32"/>
          <w:szCs w:val="32"/>
          <w:lang w:eastAsia="zh-CN"/>
        </w:rPr>
        <w:t>项目决策。</w:t>
      </w:r>
      <w:r>
        <w:rPr>
          <w:rFonts w:hint="eastAsia" w:ascii="仿宋_GB2312" w:hAnsi="宋体" w:eastAsia="仿宋_GB2312" w:cs="Times New Roman"/>
          <w:sz w:val="32"/>
          <w:szCs w:val="32"/>
          <w:lang w:val="zh-CN"/>
        </w:rPr>
        <w:t>一是贯彻落实中央关于自然资源工作的方针政策和省委、市委决策部署，并按照单位的职能职责，资金预算合规、科学、合理的同时，把预算、绩效和自然资源改革发展工作深度融合。二是履行预算绩效设立审核程序，经集体研究决策后纳入预算。三是细化量化项目绩效目标，编制预算时对科室申报的预算项目进行全面梳理，严把审核关，所有项目必须有明细的资金测算，对审核后的所有项目全部进行入库管理。</w:t>
      </w:r>
    </w:p>
    <w:p w14:paraId="77CB20E4">
      <w:pPr>
        <w:adjustRightInd w:val="0"/>
        <w:snapToGrid w:val="0"/>
        <w:spacing w:line="520" w:lineRule="exact"/>
        <w:ind w:firstLine="640" w:firstLineChars="200"/>
        <w:rPr>
          <w:rFonts w:hint="eastAsia" w:ascii="仿宋_GB2312" w:hAnsi="宋体" w:eastAsia="仿宋_GB2312" w:cs="Times New Roman"/>
          <w:sz w:val="32"/>
          <w:szCs w:val="32"/>
          <w:lang w:val="en-US" w:eastAsia="zh-CN"/>
        </w:rPr>
      </w:pPr>
      <w:r>
        <w:rPr>
          <w:rFonts w:hint="eastAsia" w:ascii="仿宋_GB2312" w:hAnsi="宋体" w:eastAsia="仿宋_GB2312" w:cs="Times New Roman"/>
          <w:sz w:val="32"/>
          <w:szCs w:val="32"/>
          <w:lang w:val="en-US" w:eastAsia="zh-CN"/>
        </w:rPr>
        <w:t>2.</w:t>
      </w:r>
      <w:r>
        <w:rPr>
          <w:rFonts w:hint="eastAsia" w:ascii="仿宋_GB2312" w:hAnsi="宋体" w:eastAsia="仿宋_GB2312" w:cs="Times New Roman"/>
          <w:sz w:val="32"/>
          <w:szCs w:val="32"/>
          <w:lang w:eastAsia="zh-CN"/>
        </w:rPr>
        <w:t>项目管理。</w:t>
      </w:r>
      <w:r>
        <w:rPr>
          <w:rFonts w:hint="eastAsia" w:ascii="仿宋_GB2312" w:hAnsi="宋体" w:eastAsia="仿宋_GB2312" w:cs="Times New Roman"/>
          <w:sz w:val="32"/>
          <w:szCs w:val="32"/>
          <w:lang w:val="en-US" w:eastAsia="zh-CN"/>
        </w:rPr>
        <w:t>一是</w:t>
      </w:r>
      <w:r>
        <w:rPr>
          <w:rFonts w:hint="eastAsia" w:ascii="仿宋_GB2312" w:hAnsi="宋体" w:eastAsia="仿宋_GB2312" w:cs="Times New Roman"/>
          <w:sz w:val="32"/>
          <w:szCs w:val="32"/>
          <w:lang w:val="zh-CN"/>
        </w:rPr>
        <w:t>履行</w:t>
      </w:r>
      <w:r>
        <w:rPr>
          <w:rFonts w:hint="eastAsia" w:ascii="仿宋_GB2312" w:hAnsi="宋体" w:eastAsia="仿宋_GB2312" w:cs="Times New Roman"/>
          <w:sz w:val="32"/>
          <w:szCs w:val="32"/>
          <w:lang w:val="en-US" w:eastAsia="zh-CN"/>
        </w:rPr>
        <w:t>项目</w:t>
      </w:r>
      <w:r>
        <w:rPr>
          <w:rFonts w:hint="eastAsia" w:ascii="仿宋_GB2312" w:hAnsi="宋体" w:eastAsia="仿宋_GB2312" w:cs="Times New Roman"/>
          <w:sz w:val="32"/>
          <w:szCs w:val="32"/>
          <w:lang w:val="zh-CN"/>
        </w:rPr>
        <w:t>预算绩效设立审核程序，经集体研究决策后纳入</w:t>
      </w:r>
      <w:r>
        <w:rPr>
          <w:rFonts w:hint="eastAsia" w:ascii="仿宋_GB2312" w:hAnsi="宋体" w:eastAsia="仿宋_GB2312" w:cs="Times New Roman"/>
          <w:sz w:val="32"/>
          <w:szCs w:val="32"/>
          <w:lang w:val="en-US" w:eastAsia="zh-CN"/>
        </w:rPr>
        <w:t>基建</w:t>
      </w:r>
      <w:r>
        <w:rPr>
          <w:rFonts w:hint="eastAsia" w:ascii="仿宋_GB2312" w:hAnsi="宋体" w:eastAsia="仿宋_GB2312" w:cs="Times New Roman"/>
          <w:sz w:val="32"/>
          <w:szCs w:val="32"/>
          <w:lang w:val="zh-CN"/>
        </w:rPr>
        <w:t>预算。</w:t>
      </w:r>
      <w:r>
        <w:rPr>
          <w:rFonts w:hint="eastAsia" w:ascii="仿宋_GB2312" w:hAnsi="宋体" w:eastAsia="仿宋_GB2312" w:cs="Times New Roman"/>
          <w:sz w:val="32"/>
          <w:szCs w:val="32"/>
          <w:lang w:val="en-US" w:eastAsia="zh-CN"/>
        </w:rPr>
        <w:t>二</w:t>
      </w:r>
      <w:r>
        <w:rPr>
          <w:rFonts w:hint="eastAsia" w:ascii="仿宋_GB2312" w:hAnsi="宋体" w:eastAsia="仿宋_GB2312" w:cs="Times New Roman"/>
          <w:sz w:val="32"/>
          <w:szCs w:val="32"/>
          <w:lang w:val="zh-CN"/>
        </w:rPr>
        <w:t>是细化量化项目绩效目标，编制预算时对科室申报的预算项目进行全面梳理，严把审核关，所有项目必须有明细的资金测算，对审核后进行入库管理。</w:t>
      </w:r>
      <w:r>
        <w:rPr>
          <w:rFonts w:hint="eastAsia" w:ascii="仿宋_GB2312" w:hAnsi="宋体" w:eastAsia="仿宋_GB2312" w:cs="Times New Roman"/>
          <w:sz w:val="32"/>
          <w:szCs w:val="32"/>
          <w:lang w:val="en-US" w:eastAsia="zh-CN"/>
        </w:rPr>
        <w:t>财政下达资金后，我局严格按照《预算法》《项目资金管理办法》及时支付，确保项目按时按质完成。</w:t>
      </w:r>
    </w:p>
    <w:p w14:paraId="73C118E1">
      <w:pPr>
        <w:adjustRightInd w:val="0"/>
        <w:snapToGrid w:val="0"/>
        <w:spacing w:line="520" w:lineRule="exact"/>
        <w:ind w:firstLine="640" w:firstLineChars="200"/>
        <w:rPr>
          <w:rFonts w:hint="eastAsia" w:ascii="仿宋_GB2312" w:hAnsi="宋体" w:eastAsia="仿宋_GB2312" w:cs="Times New Roman"/>
          <w:sz w:val="32"/>
          <w:szCs w:val="32"/>
        </w:rPr>
      </w:pPr>
      <w:r>
        <w:rPr>
          <w:rFonts w:hint="eastAsia" w:ascii="仿宋_GB2312" w:hAnsi="宋体" w:eastAsia="仿宋_GB2312" w:cs="Times New Roman"/>
          <w:sz w:val="32"/>
          <w:szCs w:val="32"/>
          <w:lang w:val="en-US" w:eastAsia="zh-CN"/>
        </w:rPr>
        <w:t>3.项目实施。</w:t>
      </w:r>
      <w:r>
        <w:rPr>
          <w:rFonts w:hint="eastAsia" w:ascii="仿宋_GB2312" w:hAnsi="宋体" w:eastAsia="仿宋_GB2312" w:cs="Times New Roman"/>
          <w:sz w:val="32"/>
          <w:szCs w:val="32"/>
        </w:rPr>
        <w:t>财政于2023年5月19日用基金预算下达该项目费用22万元（广财投[2023]29号，我局于2023年6月支付</w:t>
      </w:r>
      <w:r>
        <w:rPr>
          <w:rFonts w:hint="eastAsia" w:ascii="仿宋_GB2312" w:hAnsi="宋体" w:eastAsia="仿宋_GB2312" w:cs="Times New Roman"/>
          <w:sz w:val="32"/>
          <w:szCs w:val="32"/>
          <w:lang w:val="en-US" w:eastAsia="zh-CN"/>
        </w:rPr>
        <w:t>22万元，预算执行率100%。资金使用过程中严格按照</w:t>
      </w:r>
      <w:r>
        <w:rPr>
          <w:rFonts w:hint="eastAsia" w:ascii="仿宋_GB2312" w:hAnsi="宋体" w:eastAsia="仿宋_GB2312" w:cs="Times New Roman"/>
          <w:sz w:val="32"/>
          <w:szCs w:val="32"/>
        </w:rPr>
        <w:t>我局制</w:t>
      </w:r>
      <w:r>
        <w:rPr>
          <w:rFonts w:hint="eastAsia" w:ascii="仿宋_GB2312" w:hAnsi="宋体" w:eastAsia="仿宋_GB2312" w:cs="Times New Roman"/>
          <w:sz w:val="32"/>
          <w:szCs w:val="32"/>
          <w:lang w:val="en-US" w:eastAsia="zh-CN"/>
        </w:rPr>
        <w:t>定的</w:t>
      </w:r>
      <w:r>
        <w:rPr>
          <w:rFonts w:hint="eastAsia" w:ascii="仿宋_GB2312" w:hAnsi="宋体" w:eastAsia="仿宋_GB2312" w:cs="Times New Roman"/>
          <w:sz w:val="32"/>
          <w:szCs w:val="32"/>
        </w:rPr>
        <w:t>《财务管理制度》《专项资金管理制度》《三重一大制度》，确保项目</w:t>
      </w:r>
      <w:r>
        <w:rPr>
          <w:rFonts w:hint="eastAsia" w:ascii="仿宋_GB2312" w:hAnsi="宋体" w:eastAsia="仿宋_GB2312" w:cs="Times New Roman"/>
          <w:sz w:val="32"/>
          <w:szCs w:val="32"/>
          <w:lang w:val="en-US" w:eastAsia="zh-CN"/>
        </w:rPr>
        <w:t>资金</w:t>
      </w:r>
      <w:r>
        <w:rPr>
          <w:rFonts w:hint="eastAsia" w:ascii="仿宋_GB2312" w:hAnsi="宋体" w:eastAsia="仿宋_GB2312" w:cs="Times New Roman"/>
          <w:sz w:val="32"/>
          <w:szCs w:val="32"/>
        </w:rPr>
        <w:t>高效率使用</w:t>
      </w:r>
      <w:r>
        <w:rPr>
          <w:rFonts w:hint="eastAsia" w:ascii="仿宋_GB2312" w:hAnsi="宋体" w:eastAsia="仿宋_GB2312" w:cs="Times New Roman"/>
          <w:sz w:val="32"/>
          <w:szCs w:val="32"/>
          <w:lang w:eastAsia="zh-CN"/>
        </w:rPr>
        <w:t>，</w:t>
      </w:r>
      <w:r>
        <w:rPr>
          <w:rFonts w:hint="eastAsia" w:ascii="仿宋_GB2312" w:hAnsi="宋体" w:eastAsia="仿宋_GB2312" w:cs="Times New Roman"/>
          <w:sz w:val="32"/>
          <w:szCs w:val="32"/>
          <w:lang w:val="en-US" w:eastAsia="zh-CN"/>
        </w:rPr>
        <w:t>做到</w:t>
      </w:r>
      <w:r>
        <w:rPr>
          <w:rFonts w:hint="eastAsia" w:ascii="仿宋_GB2312" w:hAnsi="宋体" w:eastAsia="仿宋_GB2312" w:cs="Times New Roman"/>
          <w:sz w:val="32"/>
          <w:szCs w:val="32"/>
        </w:rPr>
        <w:t>专款专用，无截留，无挪用。</w:t>
      </w:r>
    </w:p>
    <w:p w14:paraId="2F603FA1">
      <w:pPr>
        <w:adjustRightInd w:val="0"/>
        <w:snapToGrid w:val="0"/>
        <w:spacing w:line="520" w:lineRule="exact"/>
        <w:ind w:firstLine="640" w:firstLineChars="200"/>
        <w:rPr>
          <w:rFonts w:hint="eastAsia" w:ascii="仿宋_GB2312" w:hAnsi="宋体" w:eastAsia="仿宋_GB2312" w:cs="Times New Roman"/>
          <w:sz w:val="32"/>
          <w:szCs w:val="32"/>
          <w:lang w:val="en-US" w:eastAsia="zh-CN"/>
        </w:rPr>
      </w:pPr>
      <w:r>
        <w:rPr>
          <w:rFonts w:hint="eastAsia" w:ascii="仿宋_GB2312" w:hAnsi="宋体" w:eastAsia="仿宋_GB2312" w:cs="Times New Roman"/>
          <w:sz w:val="32"/>
          <w:szCs w:val="32"/>
          <w:lang w:val="en-US" w:eastAsia="zh-CN"/>
        </w:rPr>
        <w:t>4.项目结果。完成了广元市15个测绘项目测绘成果质量的监督检查，共提交报告15份，总结1份。提高全市测绘保障服务能力。</w:t>
      </w:r>
    </w:p>
    <w:p w14:paraId="3E2E0E40">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楷体_GB2312" w:hAnsi="宋体" w:eastAsia="楷体_GB2312" w:cs="Times New Roman"/>
          <w:b/>
          <w:color w:val="auto"/>
          <w:sz w:val="32"/>
          <w:szCs w:val="32"/>
          <w:highlight w:val="none"/>
          <w:u w:val="none"/>
          <w:lang w:val="zh-CN" w:eastAsia="zh-CN"/>
        </w:rPr>
      </w:pPr>
      <w:r>
        <w:rPr>
          <w:rFonts w:hint="eastAsia" w:ascii="楷体_GB2312" w:hAnsi="宋体" w:eastAsia="楷体_GB2312" w:cs="Times New Roman"/>
          <w:b/>
          <w:color w:val="auto"/>
          <w:sz w:val="32"/>
          <w:szCs w:val="32"/>
          <w:highlight w:val="none"/>
          <w:u w:val="none"/>
          <w:lang w:val="zh-CN"/>
        </w:rPr>
        <w:t>（二）</w:t>
      </w:r>
      <w:r>
        <w:rPr>
          <w:rFonts w:hint="eastAsia" w:ascii="楷体_GB2312" w:hAnsi="宋体" w:eastAsia="楷体_GB2312" w:cs="Times New Roman"/>
          <w:b/>
          <w:color w:val="auto"/>
          <w:sz w:val="32"/>
          <w:szCs w:val="32"/>
          <w:highlight w:val="none"/>
          <w:u w:val="none"/>
          <w:lang w:val="en-US" w:eastAsia="zh-CN"/>
        </w:rPr>
        <w:t>专用指标</w:t>
      </w:r>
      <w:r>
        <w:rPr>
          <w:rFonts w:hint="default" w:ascii="楷体_GB2312" w:hAnsi="宋体" w:eastAsia="楷体_GB2312" w:cs="Times New Roman"/>
          <w:b/>
          <w:color w:val="auto"/>
          <w:sz w:val="32"/>
          <w:szCs w:val="32"/>
          <w:highlight w:val="none"/>
          <w:u w:val="none"/>
          <w:lang w:val="zh-CN"/>
        </w:rPr>
        <w:t>绩效分析</w:t>
      </w:r>
      <w:r>
        <w:rPr>
          <w:rFonts w:hint="eastAsia" w:ascii="楷体_GB2312" w:hAnsi="宋体" w:eastAsia="楷体_GB2312" w:cs="Times New Roman"/>
          <w:b/>
          <w:color w:val="auto"/>
          <w:sz w:val="32"/>
          <w:szCs w:val="32"/>
          <w:highlight w:val="none"/>
          <w:u w:val="none"/>
          <w:lang w:val="zh-CN" w:eastAsia="zh-CN"/>
        </w:rPr>
        <w:t>。</w:t>
      </w:r>
    </w:p>
    <w:p w14:paraId="3895B0CB">
      <w:pPr>
        <w:pStyle w:val="2"/>
        <w:rPr>
          <w:rFonts w:hint="eastAsia" w:ascii="仿宋_GB2312" w:hAnsi="宋体" w:eastAsia="仿宋_GB2312" w:cs="Times New Roman"/>
          <w:kern w:val="2"/>
          <w:sz w:val="32"/>
          <w:szCs w:val="32"/>
          <w:lang w:val="en-US" w:eastAsia="zh-CN" w:bidi="ar-SA"/>
        </w:rPr>
      </w:pPr>
      <w:r>
        <w:rPr>
          <w:rFonts w:hint="eastAsia" w:ascii="仿宋_GB2312" w:hAnsi="宋体" w:eastAsia="仿宋_GB2312" w:cs="Times New Roman"/>
          <w:kern w:val="2"/>
          <w:sz w:val="32"/>
          <w:szCs w:val="32"/>
          <w:lang w:val="en-US" w:eastAsia="zh-CN" w:bidi="ar-SA"/>
        </w:rPr>
        <w:t>1.产业发展：该项目是市委市政府支持重点项目。通过该项目的实施，提高全市测绘保障服务能力。</w:t>
      </w:r>
    </w:p>
    <w:p w14:paraId="71A69FE8">
      <w:pPr>
        <w:adjustRightInd w:val="0"/>
        <w:snapToGrid w:val="0"/>
        <w:spacing w:line="520" w:lineRule="exact"/>
        <w:ind w:firstLine="640" w:firstLineChars="200"/>
        <w:rPr>
          <w:rFonts w:hint="eastAsia" w:ascii="仿宋_GB2312" w:hAnsi="宋体" w:eastAsia="仿宋_GB2312" w:cs="Times New Roman"/>
          <w:sz w:val="32"/>
          <w:szCs w:val="32"/>
          <w:lang w:val="en-US" w:eastAsia="zh-CN"/>
        </w:rPr>
      </w:pPr>
      <w:r>
        <w:rPr>
          <w:rFonts w:hint="eastAsia" w:ascii="仿宋_GB2312" w:hAnsi="宋体" w:eastAsia="仿宋_GB2312" w:cs="Times New Roman"/>
          <w:sz w:val="32"/>
          <w:szCs w:val="32"/>
          <w:lang w:val="en-US" w:eastAsia="zh-CN"/>
        </w:rPr>
        <w:t>2.</w:t>
      </w:r>
      <w:r>
        <w:rPr>
          <w:rFonts w:hint="eastAsia" w:ascii="仿宋_GB2312" w:hAnsi="宋体" w:eastAsia="仿宋_GB2312" w:cs="Times New Roman"/>
          <w:sz w:val="32"/>
          <w:szCs w:val="32"/>
          <w:lang w:val="zh-CN" w:eastAsia="zh-CN"/>
        </w:rPr>
        <w:t>行政运转。</w:t>
      </w:r>
      <w:r>
        <w:rPr>
          <w:rFonts w:hint="eastAsia" w:ascii="仿宋_GB2312" w:hAnsi="宋体" w:eastAsia="仿宋_GB2312" w:cs="Times New Roman"/>
          <w:sz w:val="32"/>
          <w:szCs w:val="32"/>
          <w:lang w:val="en-US" w:eastAsia="zh-CN"/>
        </w:rPr>
        <w:t>本</w:t>
      </w:r>
      <w:r>
        <w:rPr>
          <w:rFonts w:hint="eastAsia" w:ascii="仿宋_GB2312" w:hAnsi="宋体" w:eastAsia="仿宋_GB2312" w:cs="Times New Roman"/>
          <w:sz w:val="32"/>
          <w:szCs w:val="32"/>
          <w:lang w:val="zh-CN"/>
        </w:rPr>
        <w:t>单位财务管理制度健全，严格执行财务管理制度，账务处理及时，会计核算规范。</w:t>
      </w:r>
    </w:p>
    <w:p w14:paraId="731016BA">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default" w:ascii="楷体_GB2312" w:hAnsi="宋体" w:eastAsia="楷体_GB2312" w:cs="Times New Roman"/>
          <w:b/>
          <w:color w:val="auto"/>
          <w:sz w:val="32"/>
          <w:szCs w:val="32"/>
          <w:highlight w:val="none"/>
          <w:u w:val="none"/>
          <w:lang w:val="zh-CN"/>
        </w:rPr>
      </w:pPr>
      <w:r>
        <w:rPr>
          <w:rFonts w:hint="eastAsia" w:ascii="楷体_GB2312" w:hAnsi="宋体" w:eastAsia="楷体_GB2312" w:cs="Times New Roman"/>
          <w:b/>
          <w:color w:val="auto"/>
          <w:sz w:val="32"/>
          <w:szCs w:val="32"/>
          <w:highlight w:val="none"/>
          <w:u w:val="none"/>
          <w:lang w:val="en-US" w:eastAsia="zh-CN"/>
        </w:rPr>
        <w:t>（三）个性指标</w:t>
      </w:r>
      <w:r>
        <w:rPr>
          <w:rFonts w:hint="default" w:ascii="楷体_GB2312" w:hAnsi="宋体" w:eastAsia="楷体_GB2312" w:cs="Times New Roman"/>
          <w:b/>
          <w:color w:val="auto"/>
          <w:sz w:val="32"/>
          <w:szCs w:val="32"/>
          <w:highlight w:val="none"/>
          <w:u w:val="none"/>
          <w:lang w:val="zh-CN"/>
        </w:rPr>
        <w:t>绩效分析。</w:t>
      </w:r>
    </w:p>
    <w:p w14:paraId="5C3BB280">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default" w:ascii="仿宋_GB2312" w:hAnsi="宋体" w:eastAsia="仿宋_GB2312" w:cs="Times New Roman"/>
          <w:kern w:val="2"/>
          <w:sz w:val="32"/>
          <w:szCs w:val="32"/>
          <w:lang w:val="en-US" w:eastAsia="zh-CN" w:bidi="ar-SA"/>
        </w:rPr>
      </w:pPr>
      <w:r>
        <w:rPr>
          <w:rFonts w:hint="eastAsia" w:ascii="仿宋_GB2312" w:hAnsi="宋体" w:eastAsia="仿宋_GB2312" w:cs="Times New Roman"/>
          <w:kern w:val="2"/>
          <w:sz w:val="32"/>
          <w:szCs w:val="32"/>
          <w:lang w:val="en-US" w:eastAsia="zh-CN" w:bidi="ar-SA"/>
        </w:rPr>
        <w:t>按照四川省测绘地理信息局《关于开展2021测绘地理信息质量监督检查、测绘资质巡查和保密检查工作的通知》，完成了广元市15个测绘项目测绘成果质量的监督检查，共提交报告15份，总结1份。提高全市测绘保障服务能力。</w:t>
      </w:r>
    </w:p>
    <w:p w14:paraId="2AE3CD4B">
      <w:pPr>
        <w:pStyle w:val="7"/>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olor w:val="auto"/>
          <w:sz w:val="32"/>
          <w:szCs w:val="32"/>
          <w:highlight w:val="none"/>
          <w:u w:val="none"/>
        </w:rPr>
      </w:pPr>
      <w:r>
        <w:rPr>
          <w:rFonts w:hint="eastAsia" w:ascii="黑体" w:hAnsi="宋体" w:eastAsia="黑体"/>
          <w:color w:val="auto"/>
          <w:sz w:val="32"/>
          <w:szCs w:val="32"/>
          <w:highlight w:val="none"/>
          <w:u w:val="none"/>
          <w:lang w:eastAsia="zh-CN"/>
        </w:rPr>
        <w:t>四</w:t>
      </w:r>
      <w:r>
        <w:rPr>
          <w:rFonts w:hint="eastAsia" w:ascii="黑体" w:hAnsi="宋体" w:eastAsia="黑体"/>
          <w:color w:val="auto"/>
          <w:sz w:val="32"/>
          <w:szCs w:val="32"/>
          <w:highlight w:val="none"/>
          <w:u w:val="none"/>
        </w:rPr>
        <w:t>、评价结论</w:t>
      </w:r>
    </w:p>
    <w:p w14:paraId="2B551A4A">
      <w:pPr>
        <w:adjustRightInd w:val="0"/>
        <w:snapToGrid w:val="0"/>
        <w:spacing w:line="520" w:lineRule="exact"/>
        <w:ind w:firstLine="640" w:firstLineChars="200"/>
        <w:rPr>
          <w:rFonts w:hint="eastAsia" w:ascii="仿宋_GB2312" w:hAnsi="宋体" w:eastAsia="仿宋_GB2312" w:cs="Times New Roman"/>
          <w:sz w:val="32"/>
          <w:szCs w:val="32"/>
        </w:rPr>
      </w:pPr>
      <w:r>
        <w:rPr>
          <w:rFonts w:hint="eastAsia" w:ascii="仿宋_GB2312" w:hAnsi="宋体" w:eastAsia="仿宋_GB2312" w:cs="Times New Roman"/>
          <w:sz w:val="32"/>
          <w:szCs w:val="32"/>
        </w:rPr>
        <w:t>按照《</w:t>
      </w:r>
      <w:r>
        <w:rPr>
          <w:rFonts w:hint="eastAsia" w:ascii="仿宋_GB2312" w:hAnsi="宋体" w:eastAsia="仿宋_GB2312" w:cs="Times New Roman"/>
          <w:sz w:val="32"/>
          <w:szCs w:val="32"/>
          <w:lang w:val="en-US" w:eastAsia="zh-CN"/>
        </w:rPr>
        <w:t>专项预算项目</w:t>
      </w:r>
      <w:r>
        <w:rPr>
          <w:rFonts w:hint="eastAsia" w:ascii="仿宋_GB2312" w:hAnsi="宋体" w:eastAsia="仿宋_GB2312" w:cs="Times New Roman"/>
          <w:sz w:val="32"/>
          <w:szCs w:val="32"/>
        </w:rPr>
        <w:t>绩效评价指标体系》，自评得分</w:t>
      </w:r>
      <w:r>
        <w:rPr>
          <w:rFonts w:hint="eastAsia" w:ascii="仿宋_GB2312" w:hAnsi="宋体" w:eastAsia="仿宋_GB2312" w:cs="Times New Roman"/>
          <w:sz w:val="32"/>
          <w:szCs w:val="32"/>
          <w:lang w:val="en-US" w:eastAsia="zh-CN"/>
        </w:rPr>
        <w:t>100</w:t>
      </w:r>
      <w:r>
        <w:rPr>
          <w:rFonts w:hint="eastAsia" w:ascii="仿宋_GB2312" w:hAnsi="宋体" w:eastAsia="仿宋_GB2312" w:cs="Times New Roman"/>
          <w:sz w:val="32"/>
          <w:szCs w:val="32"/>
        </w:rPr>
        <w:t>分。</w:t>
      </w:r>
      <w:r>
        <w:rPr>
          <w:rFonts w:hint="eastAsia" w:ascii="仿宋_GB2312" w:hAnsi="宋体" w:eastAsia="仿宋_GB2312" w:cs="Times New Roman"/>
          <w:sz w:val="32"/>
          <w:szCs w:val="32"/>
          <w:lang w:val="en-US" w:eastAsia="zh-CN"/>
        </w:rPr>
        <w:t>我</w:t>
      </w:r>
      <w:r>
        <w:rPr>
          <w:rFonts w:hint="eastAsia" w:ascii="仿宋_GB2312" w:hAnsi="宋体" w:eastAsia="仿宋_GB2312" w:cs="Times New Roman"/>
          <w:sz w:val="32"/>
          <w:szCs w:val="32"/>
        </w:rPr>
        <w:t>局严格执行财经纪律、法规和各项规章制度，加强财务管理，规范会计核算，资金高效运行。项目决策科学，依据充分，项目管理规范；绩效执行进度达到预期；项目完成效果好，实施后达到了预期目的。</w:t>
      </w:r>
    </w:p>
    <w:p w14:paraId="3FEAE080">
      <w:pPr>
        <w:pStyle w:val="7"/>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s="Times New Roman"/>
          <w:color w:val="auto"/>
          <w:sz w:val="32"/>
          <w:szCs w:val="32"/>
          <w:highlight w:val="none"/>
          <w:u w:val="none"/>
          <w:lang w:eastAsia="zh-CN"/>
        </w:rPr>
      </w:pPr>
      <w:r>
        <w:rPr>
          <w:rFonts w:hint="eastAsia" w:ascii="黑体" w:hAnsi="宋体" w:cs="Times New Roman"/>
          <w:color w:val="auto"/>
          <w:sz w:val="32"/>
          <w:szCs w:val="32"/>
          <w:highlight w:val="none"/>
          <w:u w:val="none"/>
          <w:lang w:eastAsia="zh-CN"/>
        </w:rPr>
        <w:t>五、</w:t>
      </w:r>
      <w:r>
        <w:rPr>
          <w:rFonts w:hint="eastAsia" w:ascii="黑体" w:hAnsi="宋体" w:eastAsia="黑体" w:cs="Times New Roman"/>
          <w:color w:val="auto"/>
          <w:sz w:val="32"/>
          <w:szCs w:val="32"/>
          <w:highlight w:val="none"/>
          <w:u w:val="none"/>
          <w:lang w:eastAsia="zh-CN"/>
        </w:rPr>
        <w:t>存在主要问题</w:t>
      </w:r>
    </w:p>
    <w:p w14:paraId="2A1EAC19">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both"/>
        <w:textAlignment w:val="auto"/>
        <w:rPr>
          <w:rFonts w:hint="eastAsia" w:ascii="仿宋_GB2312" w:hAnsi="仿宋_GB2312" w:cs="仿宋_GB2312"/>
          <w:color w:val="auto"/>
          <w:kern w:val="0"/>
          <w:sz w:val="32"/>
          <w:szCs w:val="32"/>
          <w:highlight w:val="none"/>
          <w:u w:val="none"/>
          <w:shd w:val="clear" w:color="auto" w:fill="FFFFFF"/>
          <w:lang w:val="zh-CN" w:eastAsia="zh-CN"/>
        </w:rPr>
      </w:pPr>
      <w:r>
        <w:rPr>
          <w:rFonts w:hint="eastAsia" w:ascii="仿宋_GB2312" w:hAnsi="仿宋_GB2312" w:eastAsia="仿宋_GB2312" w:cs="仿宋_GB2312"/>
          <w:color w:val="auto"/>
          <w:kern w:val="0"/>
          <w:sz w:val="32"/>
          <w:szCs w:val="32"/>
          <w:highlight w:val="none"/>
          <w:u w:val="none"/>
          <w:shd w:val="clear" w:color="auto" w:fill="FFFFFF"/>
          <w:lang w:val="zh-CN" w:eastAsia="zh-CN"/>
        </w:rPr>
        <w:t xml:space="preserve"> </w:t>
      </w:r>
      <w:r>
        <w:rPr>
          <w:rFonts w:hint="eastAsia" w:ascii="仿宋_GB2312" w:hAnsi="仿宋_GB2312" w:cs="仿宋_GB2312"/>
          <w:color w:val="auto"/>
          <w:kern w:val="0"/>
          <w:sz w:val="32"/>
          <w:szCs w:val="32"/>
          <w:highlight w:val="none"/>
          <w:u w:val="none"/>
          <w:shd w:val="clear" w:color="auto" w:fill="FFFFFF"/>
          <w:lang w:val="en-US" w:eastAsia="zh-CN"/>
        </w:rPr>
        <w:t>无</w:t>
      </w:r>
      <w:r>
        <w:rPr>
          <w:rFonts w:hint="eastAsia" w:ascii="仿宋_GB2312" w:hAnsi="仿宋_GB2312" w:cs="仿宋_GB2312"/>
          <w:color w:val="auto"/>
          <w:kern w:val="0"/>
          <w:sz w:val="32"/>
          <w:szCs w:val="32"/>
          <w:highlight w:val="none"/>
          <w:u w:val="none"/>
          <w:shd w:val="clear" w:color="auto" w:fill="FFFFFF"/>
          <w:lang w:val="zh-CN" w:eastAsia="zh-CN"/>
        </w:rPr>
        <w:t>。</w:t>
      </w:r>
    </w:p>
    <w:p w14:paraId="695BEC68">
      <w:pPr>
        <w:pStyle w:val="7"/>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s="Times New Roman"/>
          <w:color w:val="auto"/>
          <w:kern w:val="0"/>
          <w:position w:val="3"/>
          <w:sz w:val="32"/>
          <w:szCs w:val="32"/>
          <w:highlight w:val="none"/>
          <w:u w:val="none"/>
          <w:lang w:val="zh-CN" w:eastAsia="zh-CN" w:bidi="ar-SA"/>
        </w:rPr>
      </w:pPr>
      <w:r>
        <w:rPr>
          <w:rFonts w:hint="eastAsia" w:ascii="黑体" w:hAnsi="宋体" w:eastAsia="黑体" w:cs="Times New Roman"/>
          <w:color w:val="auto"/>
          <w:kern w:val="0"/>
          <w:position w:val="3"/>
          <w:sz w:val="32"/>
          <w:szCs w:val="32"/>
          <w:highlight w:val="none"/>
          <w:u w:val="none"/>
          <w:lang w:val="zh-CN" w:eastAsia="zh-CN" w:bidi="ar-SA"/>
        </w:rPr>
        <w:t>六、改进建议</w:t>
      </w:r>
    </w:p>
    <w:p w14:paraId="0D92F497">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both"/>
        <w:textAlignment w:val="auto"/>
        <w:rPr>
          <w:rFonts w:hint="eastAsia" w:ascii="仿宋_GB2312" w:hAnsi="仿宋_GB2312" w:cs="仿宋_GB2312"/>
          <w:color w:val="auto"/>
          <w:kern w:val="0"/>
          <w:sz w:val="32"/>
          <w:szCs w:val="32"/>
          <w:highlight w:val="none"/>
          <w:u w:val="none"/>
          <w:shd w:val="clear" w:color="auto" w:fill="FFFFFF"/>
          <w:lang w:val="zh-CN" w:eastAsia="zh-CN"/>
        </w:rPr>
      </w:pPr>
      <w:r>
        <w:rPr>
          <w:rFonts w:hint="eastAsia" w:ascii="仿宋_GB2312" w:hAnsi="仿宋_GB2312" w:eastAsia="仿宋_GB2312" w:cs="仿宋_GB2312"/>
          <w:color w:val="auto"/>
          <w:kern w:val="0"/>
          <w:sz w:val="32"/>
          <w:szCs w:val="32"/>
          <w:highlight w:val="none"/>
          <w:u w:val="none"/>
          <w:shd w:val="clear" w:color="auto" w:fill="FFFFFF"/>
          <w:lang w:val="zh-CN" w:eastAsia="zh-CN"/>
        </w:rPr>
        <w:t xml:space="preserve"> </w:t>
      </w:r>
      <w:r>
        <w:rPr>
          <w:rFonts w:hint="eastAsia" w:ascii="仿宋_GB2312" w:hAnsi="仿宋_GB2312" w:cs="仿宋_GB2312"/>
          <w:color w:val="auto"/>
          <w:kern w:val="0"/>
          <w:sz w:val="32"/>
          <w:szCs w:val="32"/>
          <w:highlight w:val="none"/>
          <w:u w:val="none"/>
          <w:shd w:val="clear" w:color="auto" w:fill="FFFFFF"/>
          <w:lang w:val="en-US" w:eastAsia="zh-CN"/>
        </w:rPr>
        <w:t>无</w:t>
      </w:r>
      <w:r>
        <w:rPr>
          <w:rFonts w:hint="eastAsia" w:ascii="仿宋_GB2312" w:hAnsi="仿宋_GB2312" w:cs="仿宋_GB2312"/>
          <w:color w:val="auto"/>
          <w:kern w:val="0"/>
          <w:sz w:val="32"/>
          <w:szCs w:val="32"/>
          <w:highlight w:val="none"/>
          <w:u w:val="none"/>
          <w:shd w:val="clear" w:color="auto" w:fill="FFFFFF"/>
          <w:lang w:val="zh-CN" w:eastAsia="zh-CN"/>
        </w:rPr>
        <w:t>。</w:t>
      </w:r>
    </w:p>
    <w:p w14:paraId="41389E66">
      <w:pPr>
        <w:pStyle w:val="2"/>
        <w:rPr>
          <w:rFonts w:hint="eastAsia"/>
          <w:lang w:val="zh-CN" w:eastAsia="zh-CN"/>
        </w:rPr>
      </w:pPr>
    </w:p>
    <w:p w14:paraId="238BD5B3">
      <w:pPr>
        <w:adjustRightInd w:val="0"/>
        <w:snapToGrid w:val="0"/>
        <w:spacing w:line="520" w:lineRule="exact"/>
        <w:ind w:firstLine="640" w:firstLineChars="200"/>
        <w:rPr>
          <w:rFonts w:hint="eastAsia" w:ascii="仿宋_GB2312" w:hAnsi="宋体" w:eastAsia="仿宋_GB2312" w:cs="Times New Roman"/>
          <w:sz w:val="32"/>
          <w:szCs w:val="32"/>
          <w:lang w:val="en-US" w:eastAsia="zh-CN"/>
        </w:rPr>
      </w:pPr>
      <w:r>
        <w:rPr>
          <w:rFonts w:hint="eastAsia" w:ascii="仿宋_GB2312" w:hAnsi="宋体" w:eastAsia="仿宋_GB2312" w:cs="Times New Roman"/>
          <w:sz w:val="32"/>
          <w:szCs w:val="32"/>
          <w:lang w:val="en-US" w:eastAsia="zh-CN"/>
        </w:rPr>
        <w:t>附表：1.项目资金分配涉及所有点位自评得分情况表</w:t>
      </w:r>
    </w:p>
    <w:p w14:paraId="25F67F51">
      <w:pPr>
        <w:adjustRightInd w:val="0"/>
        <w:snapToGrid w:val="0"/>
        <w:spacing w:line="520" w:lineRule="exact"/>
        <w:ind w:firstLine="640" w:firstLineChars="200"/>
        <w:rPr>
          <w:rFonts w:hint="eastAsia" w:ascii="仿宋_GB2312" w:hAnsi="宋体" w:eastAsia="仿宋_GB2312" w:cs="Times New Roman"/>
          <w:sz w:val="32"/>
          <w:szCs w:val="32"/>
          <w:lang w:val="en-US" w:eastAsia="zh-CN"/>
        </w:rPr>
      </w:pPr>
      <w:r>
        <w:rPr>
          <w:rFonts w:hint="eastAsia" w:ascii="仿宋_GB2312" w:hAnsi="宋体" w:eastAsia="仿宋_GB2312" w:cs="Times New Roman"/>
          <w:sz w:val="32"/>
          <w:szCs w:val="32"/>
          <w:lang w:val="en-US" w:eastAsia="zh-CN"/>
        </w:rPr>
        <w:t>专项预算项目绩效目标完成情况自评表</w:t>
      </w:r>
    </w:p>
    <w:p w14:paraId="6015ED2C">
      <w:pPr>
        <w:pStyle w:val="25"/>
        <w:numPr>
          <w:ilvl w:val="0"/>
          <w:numId w:val="0"/>
        </w:numPr>
        <w:rPr>
          <w:rFonts w:hint="default"/>
          <w:lang w:val="en-US" w:eastAsia="zh-CN"/>
        </w:rPr>
      </w:pPr>
    </w:p>
    <w:p w14:paraId="6CF41DAF">
      <w:pPr>
        <w:adjustRightInd w:val="0"/>
        <w:snapToGrid w:val="0"/>
        <w:spacing w:line="520" w:lineRule="exact"/>
        <w:ind w:firstLine="640" w:firstLineChars="200"/>
        <w:rPr>
          <w:rFonts w:hint="eastAsia" w:ascii="仿宋_GB2312" w:hAnsi="宋体" w:eastAsia="仿宋_GB2312" w:cs="Times New Roman"/>
          <w:sz w:val="32"/>
          <w:szCs w:val="32"/>
          <w:lang w:val="en-US" w:eastAsia="zh-CN"/>
        </w:rPr>
      </w:pPr>
      <w:r>
        <w:rPr>
          <w:rFonts w:hint="eastAsia" w:ascii="仿宋_GB2312" w:hAnsi="宋体" w:eastAsia="仿宋_GB2312" w:cs="Times New Roman"/>
          <w:sz w:val="32"/>
          <w:szCs w:val="32"/>
          <w:lang w:val="en-US" w:eastAsia="zh-CN"/>
        </w:rPr>
        <w:t xml:space="preserve">                   广元市自然资源局</w:t>
      </w:r>
    </w:p>
    <w:p w14:paraId="717DD986">
      <w:pPr>
        <w:adjustRightInd w:val="0"/>
        <w:snapToGrid w:val="0"/>
        <w:spacing w:line="520" w:lineRule="exact"/>
        <w:ind w:firstLine="640" w:firstLineChars="200"/>
        <w:rPr>
          <w:rFonts w:hint="default" w:ascii="仿宋_GB2312" w:hAnsi="宋体" w:eastAsia="仿宋_GB2312" w:cs="Times New Roman"/>
          <w:sz w:val="32"/>
          <w:szCs w:val="32"/>
          <w:lang w:val="en-US" w:eastAsia="zh-CN"/>
        </w:rPr>
      </w:pPr>
      <w:r>
        <w:rPr>
          <w:rFonts w:hint="eastAsia" w:ascii="仿宋_GB2312" w:hAnsi="宋体" w:eastAsia="仿宋_GB2312" w:cs="Times New Roman"/>
          <w:sz w:val="32"/>
          <w:szCs w:val="32"/>
          <w:lang w:val="en-US" w:eastAsia="zh-CN"/>
        </w:rPr>
        <w:t xml:space="preserve">                   2024年8月4日</w:t>
      </w:r>
    </w:p>
    <w:p w14:paraId="45273123">
      <w:pPr>
        <w:adjustRightInd w:val="0"/>
        <w:snapToGrid w:val="0"/>
        <w:spacing w:line="520" w:lineRule="exact"/>
        <w:ind w:firstLine="640" w:firstLineChars="200"/>
        <w:rPr>
          <w:rFonts w:hint="eastAsia" w:ascii="仿宋_GB2312" w:hAnsi="宋体" w:eastAsia="仿宋_GB2312" w:cs="Times New Roman"/>
          <w:sz w:val="32"/>
          <w:szCs w:val="32"/>
          <w:lang w:val="zh-CN" w:eastAsia="zh-CN"/>
        </w:rPr>
      </w:pPr>
      <w:r>
        <w:rPr>
          <w:rFonts w:hint="eastAsia" w:ascii="仿宋_GB2312" w:hAnsi="宋体" w:eastAsia="仿宋_GB2312" w:cs="Times New Roman"/>
          <w:sz w:val="32"/>
          <w:szCs w:val="32"/>
          <w:lang w:val="zh-CN" w:eastAsia="zh-CN"/>
        </w:rPr>
        <w:br w:type="page"/>
      </w:r>
    </w:p>
    <w:p w14:paraId="7786F471">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contextualSpacing/>
        <w:jc w:val="left"/>
        <w:textAlignment w:val="auto"/>
        <w:rPr>
          <w:rFonts w:hint="eastAsia" w:ascii="黑体" w:hAnsi="黑体" w:eastAsia="黑体" w:cs="黑体"/>
          <w:b w:val="0"/>
          <w:bCs w:val="0"/>
          <w:color w:val="auto"/>
          <w:kern w:val="0"/>
          <w:sz w:val="32"/>
          <w:szCs w:val="32"/>
          <w:highlight w:val="none"/>
          <w:u w:val="none"/>
          <w:shd w:val="clear" w:color="auto" w:fill="FFFFFF"/>
          <w:lang w:val="zh-CN" w:eastAsia="zh-CN"/>
        </w:rPr>
      </w:pPr>
      <w:r>
        <w:rPr>
          <w:rFonts w:hint="eastAsia" w:ascii="黑体" w:hAnsi="黑体" w:eastAsia="黑体" w:cs="黑体"/>
          <w:b w:val="0"/>
          <w:bCs w:val="0"/>
          <w:color w:val="auto"/>
          <w:kern w:val="0"/>
          <w:sz w:val="32"/>
          <w:szCs w:val="32"/>
          <w:highlight w:val="none"/>
          <w:u w:val="none"/>
          <w:shd w:val="clear" w:color="auto" w:fill="FFFFFF"/>
          <w:lang w:val="zh-CN" w:eastAsia="zh-CN"/>
        </w:rPr>
        <w:t>附表</w:t>
      </w:r>
      <w:r>
        <w:rPr>
          <w:rFonts w:hint="eastAsia" w:ascii="黑体" w:hAnsi="黑体" w:eastAsia="黑体" w:cs="黑体"/>
          <w:b w:val="0"/>
          <w:bCs w:val="0"/>
          <w:color w:val="auto"/>
          <w:kern w:val="0"/>
          <w:sz w:val="32"/>
          <w:szCs w:val="32"/>
          <w:highlight w:val="none"/>
          <w:u w:val="none"/>
          <w:shd w:val="clear" w:color="auto" w:fill="FFFFFF"/>
          <w:lang w:val="en-US" w:eastAsia="zh-CN"/>
        </w:rPr>
        <w:t>1</w:t>
      </w:r>
    </w:p>
    <w:p w14:paraId="30C80FC4">
      <w:pPr>
        <w:keepNext w:val="0"/>
        <w:keepLines w:val="0"/>
        <w:pageBreakBefore w:val="0"/>
        <w:kinsoku/>
        <w:wordWrap/>
        <w:overflowPunct/>
        <w:topLinePunct w:val="0"/>
        <w:autoSpaceDE/>
        <w:autoSpaceDN/>
        <w:bidi w:val="0"/>
        <w:spacing w:line="578" w:lineRule="exact"/>
        <w:ind w:left="0" w:leftChars="0"/>
        <w:jc w:val="center"/>
        <w:textAlignment w:val="auto"/>
        <w:rPr>
          <w:rFonts w:hint="eastAsia" w:ascii="方正小标宋_GBK" w:hAnsi="方正小标宋_GBK" w:eastAsia="方正小标宋_GBK" w:cs="方正小标宋_GBK"/>
          <w:b w:val="0"/>
          <w:bCs w:val="0"/>
          <w:color w:val="auto"/>
          <w:sz w:val="40"/>
          <w:szCs w:val="40"/>
          <w:highlight w:val="none"/>
          <w:u w:val="none"/>
          <w:lang w:val="en-US" w:eastAsia="zh-CN"/>
        </w:rPr>
      </w:pPr>
      <w:r>
        <w:rPr>
          <w:rFonts w:hint="eastAsia" w:ascii="方正小标宋_GBK" w:hAnsi="方正小标宋_GBK" w:eastAsia="方正小标宋_GBK" w:cs="方正小标宋_GBK"/>
          <w:b w:val="0"/>
          <w:bCs w:val="0"/>
          <w:color w:val="auto"/>
          <w:sz w:val="40"/>
          <w:szCs w:val="40"/>
          <w:highlight w:val="none"/>
          <w:u w:val="none"/>
          <w:lang w:val="en-US" w:eastAsia="zh-CN"/>
        </w:rPr>
        <w:t>项目资金分配涉及所有点位自评得分情况表</w:t>
      </w:r>
    </w:p>
    <w:tbl>
      <w:tblPr>
        <w:tblStyle w:val="18"/>
        <w:tblW w:w="88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3"/>
        <w:gridCol w:w="5020"/>
        <w:gridCol w:w="210"/>
        <w:gridCol w:w="1474"/>
        <w:gridCol w:w="993"/>
      </w:tblGrid>
      <w:tr w14:paraId="1EC7D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center"/>
          </w:tcPr>
          <w:p w14:paraId="3542A285">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序号</w:t>
            </w:r>
          </w:p>
        </w:tc>
        <w:tc>
          <w:tcPr>
            <w:tcW w:w="5230" w:type="dxa"/>
            <w:gridSpan w:val="2"/>
            <w:vAlign w:val="center"/>
          </w:tcPr>
          <w:p w14:paraId="015815D9">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项目资金末端分配点位</w:t>
            </w:r>
          </w:p>
        </w:tc>
        <w:tc>
          <w:tcPr>
            <w:tcW w:w="1474" w:type="dxa"/>
            <w:vAlign w:val="center"/>
          </w:tcPr>
          <w:p w14:paraId="35266743">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 w:eastAsia="zh-CN"/>
              </w:rPr>
              <w:t>自评得分（百分制）</w:t>
            </w:r>
          </w:p>
        </w:tc>
        <w:tc>
          <w:tcPr>
            <w:tcW w:w="993" w:type="dxa"/>
            <w:vAlign w:val="center"/>
          </w:tcPr>
          <w:p w14:paraId="157BDEE3">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备注</w:t>
            </w:r>
          </w:p>
        </w:tc>
      </w:tr>
      <w:tr w14:paraId="549A6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center"/>
          </w:tcPr>
          <w:p w14:paraId="20FFF8EE">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lang w:val="en-US" w:eastAsia="zh-CN"/>
              </w:rPr>
            </w:pPr>
            <w:r>
              <w:rPr>
                <w:rFonts w:hint="eastAsia" w:ascii="仿宋_GB2312" w:hAnsi="仿宋_GB2312" w:eastAsia="仿宋_GB2312" w:cs="仿宋_GB2312"/>
                <w:b w:val="0"/>
                <w:bCs w:val="0"/>
                <w:color w:val="auto"/>
                <w:sz w:val="24"/>
                <w:szCs w:val="24"/>
                <w:highlight w:val="none"/>
                <w:u w:val="none"/>
                <w:lang w:val="en-US" w:eastAsia="zh-CN"/>
              </w:rPr>
              <w:t>1</w:t>
            </w:r>
          </w:p>
        </w:tc>
        <w:tc>
          <w:tcPr>
            <w:tcW w:w="5020" w:type="dxa"/>
            <w:vAlign w:val="center"/>
          </w:tcPr>
          <w:p w14:paraId="56923646">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color w:val="auto"/>
                <w:sz w:val="24"/>
                <w:szCs w:val="24"/>
                <w:highlight w:val="none"/>
                <w:u w:val="none"/>
                <w:vertAlign w:val="baseline"/>
                <w:lang w:val="en-US" w:eastAsia="zh-CN"/>
              </w:rPr>
            </w:pPr>
            <w:r>
              <w:rPr>
                <w:rFonts w:hint="eastAsia" w:ascii="仿宋_GB2312" w:hAnsi="仿宋_GB2312" w:eastAsia="仿宋_GB2312" w:cs="仿宋_GB2312"/>
                <w:color w:val="auto"/>
                <w:sz w:val="24"/>
                <w:szCs w:val="24"/>
                <w:highlight w:val="none"/>
                <w:u w:val="none"/>
                <w:vertAlign w:val="baseline"/>
                <w:lang w:val="en-US" w:eastAsia="zh-CN"/>
              </w:rPr>
              <w:t>自然资源部四川测绘产品质量监督检验站</w:t>
            </w:r>
          </w:p>
        </w:tc>
        <w:tc>
          <w:tcPr>
            <w:tcW w:w="1684" w:type="dxa"/>
            <w:gridSpan w:val="2"/>
            <w:vAlign w:val="center"/>
          </w:tcPr>
          <w:p w14:paraId="4B62F18A">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color w:val="auto"/>
                <w:sz w:val="24"/>
                <w:szCs w:val="24"/>
                <w:highlight w:val="none"/>
                <w:u w:val="none"/>
                <w:vertAlign w:val="baseline"/>
                <w:lang w:val="en-US" w:eastAsia="zh-CN"/>
              </w:rPr>
            </w:pPr>
            <w:r>
              <w:rPr>
                <w:rFonts w:hint="eastAsia" w:ascii="仿宋_GB2312" w:hAnsi="仿宋_GB2312" w:eastAsia="仿宋_GB2312" w:cs="仿宋_GB2312"/>
                <w:color w:val="auto"/>
                <w:sz w:val="24"/>
                <w:szCs w:val="24"/>
                <w:highlight w:val="none"/>
                <w:u w:val="none"/>
                <w:vertAlign w:val="baseline"/>
                <w:lang w:val="en-US" w:eastAsia="zh-CN"/>
              </w:rPr>
              <w:t>100</w:t>
            </w:r>
          </w:p>
        </w:tc>
        <w:tc>
          <w:tcPr>
            <w:tcW w:w="993" w:type="dxa"/>
            <w:vAlign w:val="center"/>
          </w:tcPr>
          <w:p w14:paraId="160EFF38">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color w:val="auto"/>
                <w:sz w:val="24"/>
                <w:szCs w:val="24"/>
                <w:highlight w:val="none"/>
                <w:u w:val="none"/>
                <w:vertAlign w:val="baseline"/>
                <w:lang w:val="en-US" w:eastAsia="zh-CN"/>
              </w:rPr>
            </w:pPr>
          </w:p>
        </w:tc>
      </w:tr>
      <w:tr w14:paraId="5A131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center"/>
          </w:tcPr>
          <w:p w14:paraId="473339D8">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lang w:val="en-US" w:eastAsia="zh-CN"/>
              </w:rPr>
            </w:pPr>
            <w:r>
              <w:rPr>
                <w:rFonts w:hint="eastAsia" w:ascii="仿宋_GB2312" w:hAnsi="仿宋_GB2312" w:eastAsia="仿宋_GB2312" w:cs="仿宋_GB2312"/>
                <w:b w:val="0"/>
                <w:bCs w:val="0"/>
                <w:color w:val="auto"/>
                <w:sz w:val="24"/>
                <w:szCs w:val="24"/>
                <w:highlight w:val="none"/>
                <w:u w:val="none"/>
                <w:lang w:val="en-US" w:eastAsia="zh-CN"/>
              </w:rPr>
              <w:t>2</w:t>
            </w:r>
          </w:p>
        </w:tc>
        <w:tc>
          <w:tcPr>
            <w:tcW w:w="5020" w:type="dxa"/>
            <w:vAlign w:val="center"/>
          </w:tcPr>
          <w:p w14:paraId="7A6174D9">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color w:val="auto"/>
                <w:sz w:val="24"/>
                <w:szCs w:val="24"/>
                <w:highlight w:val="none"/>
                <w:u w:val="none"/>
                <w:vertAlign w:val="baseline"/>
                <w:lang w:val="en-US" w:eastAsia="zh-CN"/>
              </w:rPr>
            </w:pPr>
          </w:p>
        </w:tc>
        <w:tc>
          <w:tcPr>
            <w:tcW w:w="1684" w:type="dxa"/>
            <w:gridSpan w:val="2"/>
            <w:vAlign w:val="center"/>
          </w:tcPr>
          <w:p w14:paraId="4B3B74D2">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color w:val="auto"/>
                <w:sz w:val="24"/>
                <w:szCs w:val="24"/>
                <w:highlight w:val="none"/>
                <w:u w:val="none"/>
                <w:vertAlign w:val="baseline"/>
                <w:lang w:val="en-US" w:eastAsia="zh-CN"/>
              </w:rPr>
            </w:pPr>
          </w:p>
        </w:tc>
        <w:tc>
          <w:tcPr>
            <w:tcW w:w="993" w:type="dxa"/>
            <w:vAlign w:val="center"/>
          </w:tcPr>
          <w:p w14:paraId="781494CC">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color w:val="auto"/>
                <w:sz w:val="24"/>
                <w:szCs w:val="24"/>
                <w:highlight w:val="none"/>
                <w:u w:val="none"/>
                <w:vertAlign w:val="baseline"/>
                <w:lang w:val="en-US" w:eastAsia="zh-CN"/>
              </w:rPr>
            </w:pPr>
          </w:p>
        </w:tc>
      </w:tr>
      <w:tr w14:paraId="4D8AC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center"/>
          </w:tcPr>
          <w:p w14:paraId="0736F3BE">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lang w:val="en-US" w:eastAsia="zh-CN"/>
              </w:rPr>
            </w:pPr>
            <w:r>
              <w:rPr>
                <w:rFonts w:hint="eastAsia" w:ascii="仿宋_GB2312" w:hAnsi="仿宋_GB2312" w:eastAsia="仿宋_GB2312" w:cs="仿宋_GB2312"/>
                <w:b w:val="0"/>
                <w:bCs w:val="0"/>
                <w:color w:val="auto"/>
                <w:sz w:val="24"/>
                <w:szCs w:val="24"/>
                <w:highlight w:val="none"/>
                <w:u w:val="none"/>
                <w:lang w:val="en-US" w:eastAsia="zh-CN"/>
              </w:rPr>
              <w:t>3</w:t>
            </w:r>
          </w:p>
        </w:tc>
        <w:tc>
          <w:tcPr>
            <w:tcW w:w="5020" w:type="dxa"/>
            <w:vAlign w:val="center"/>
          </w:tcPr>
          <w:p w14:paraId="5B59F748">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color w:val="auto"/>
                <w:sz w:val="24"/>
                <w:szCs w:val="24"/>
                <w:highlight w:val="none"/>
                <w:u w:val="none"/>
                <w:vertAlign w:val="baseline"/>
                <w:lang w:val="en" w:eastAsia="zh-CN"/>
              </w:rPr>
            </w:pPr>
          </w:p>
        </w:tc>
        <w:tc>
          <w:tcPr>
            <w:tcW w:w="1684" w:type="dxa"/>
            <w:gridSpan w:val="2"/>
            <w:vAlign w:val="center"/>
          </w:tcPr>
          <w:p w14:paraId="7C75C991">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color w:val="auto"/>
                <w:sz w:val="24"/>
                <w:szCs w:val="24"/>
                <w:highlight w:val="none"/>
                <w:u w:val="none"/>
                <w:vertAlign w:val="baseline"/>
                <w:lang w:val="en" w:eastAsia="zh-CN"/>
              </w:rPr>
            </w:pPr>
          </w:p>
        </w:tc>
        <w:tc>
          <w:tcPr>
            <w:tcW w:w="993" w:type="dxa"/>
            <w:vAlign w:val="center"/>
          </w:tcPr>
          <w:p w14:paraId="1BBFDA2F">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color w:val="auto"/>
                <w:sz w:val="24"/>
                <w:szCs w:val="24"/>
                <w:highlight w:val="none"/>
                <w:u w:val="none"/>
                <w:vertAlign w:val="baseline"/>
                <w:lang w:val="en-US" w:eastAsia="zh-CN"/>
              </w:rPr>
            </w:pPr>
          </w:p>
        </w:tc>
      </w:tr>
      <w:tr w14:paraId="5749E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center"/>
          </w:tcPr>
          <w:p w14:paraId="7D1AF451">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lang w:val="en-US" w:eastAsia="zh-CN"/>
              </w:rPr>
            </w:pPr>
            <w:r>
              <w:rPr>
                <w:rFonts w:hint="eastAsia" w:ascii="仿宋_GB2312" w:hAnsi="仿宋_GB2312" w:eastAsia="仿宋_GB2312" w:cs="仿宋_GB2312"/>
                <w:b w:val="0"/>
                <w:bCs w:val="0"/>
                <w:color w:val="auto"/>
                <w:sz w:val="24"/>
                <w:szCs w:val="24"/>
                <w:highlight w:val="none"/>
                <w:u w:val="none"/>
                <w:lang w:val="en-US" w:eastAsia="zh-CN"/>
              </w:rPr>
              <w:t>4</w:t>
            </w:r>
          </w:p>
        </w:tc>
        <w:tc>
          <w:tcPr>
            <w:tcW w:w="5020" w:type="dxa"/>
            <w:vAlign w:val="center"/>
          </w:tcPr>
          <w:p w14:paraId="53FA8EBF">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color w:val="auto"/>
                <w:sz w:val="24"/>
                <w:szCs w:val="24"/>
                <w:highlight w:val="none"/>
                <w:u w:val="none"/>
                <w:vertAlign w:val="baseline"/>
                <w:lang w:val="en" w:eastAsia="zh-CN"/>
              </w:rPr>
            </w:pPr>
          </w:p>
        </w:tc>
        <w:tc>
          <w:tcPr>
            <w:tcW w:w="1684" w:type="dxa"/>
            <w:gridSpan w:val="2"/>
            <w:vAlign w:val="center"/>
          </w:tcPr>
          <w:p w14:paraId="4E120344">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color w:val="auto"/>
                <w:sz w:val="24"/>
                <w:szCs w:val="24"/>
                <w:highlight w:val="none"/>
                <w:u w:val="none"/>
                <w:vertAlign w:val="baseline"/>
                <w:lang w:val="en" w:eastAsia="zh-CN"/>
              </w:rPr>
            </w:pPr>
          </w:p>
        </w:tc>
        <w:tc>
          <w:tcPr>
            <w:tcW w:w="993" w:type="dxa"/>
            <w:vAlign w:val="center"/>
          </w:tcPr>
          <w:p w14:paraId="732C38FF">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color w:val="auto"/>
                <w:sz w:val="24"/>
                <w:szCs w:val="24"/>
                <w:highlight w:val="none"/>
                <w:u w:val="none"/>
                <w:vertAlign w:val="baseline"/>
                <w:lang w:val="en-US" w:eastAsia="zh-CN"/>
              </w:rPr>
            </w:pPr>
          </w:p>
        </w:tc>
      </w:tr>
      <w:tr w14:paraId="3FB19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center"/>
          </w:tcPr>
          <w:p w14:paraId="5A81E842">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lang w:val="en-US" w:eastAsia="zh-CN"/>
              </w:rPr>
            </w:pPr>
            <w:r>
              <w:rPr>
                <w:rFonts w:hint="eastAsia" w:ascii="仿宋_GB2312" w:hAnsi="仿宋_GB2312" w:eastAsia="仿宋_GB2312" w:cs="仿宋_GB2312"/>
                <w:b w:val="0"/>
                <w:bCs w:val="0"/>
                <w:color w:val="auto"/>
                <w:sz w:val="24"/>
                <w:szCs w:val="24"/>
                <w:highlight w:val="none"/>
                <w:u w:val="none"/>
                <w:lang w:val="en-US" w:eastAsia="zh-CN"/>
              </w:rPr>
              <w:t>5</w:t>
            </w:r>
          </w:p>
        </w:tc>
        <w:tc>
          <w:tcPr>
            <w:tcW w:w="5020" w:type="dxa"/>
            <w:vAlign w:val="center"/>
          </w:tcPr>
          <w:p w14:paraId="5DAD5CF2">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color w:val="auto"/>
                <w:sz w:val="24"/>
                <w:szCs w:val="24"/>
                <w:highlight w:val="none"/>
                <w:u w:val="none"/>
                <w:vertAlign w:val="baseline"/>
                <w:lang w:val="en" w:eastAsia="zh-CN"/>
              </w:rPr>
            </w:pPr>
          </w:p>
        </w:tc>
        <w:tc>
          <w:tcPr>
            <w:tcW w:w="1684" w:type="dxa"/>
            <w:gridSpan w:val="2"/>
            <w:vAlign w:val="center"/>
          </w:tcPr>
          <w:p w14:paraId="0DF3F794">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color w:val="auto"/>
                <w:sz w:val="24"/>
                <w:szCs w:val="24"/>
                <w:highlight w:val="none"/>
                <w:u w:val="none"/>
                <w:vertAlign w:val="baseline"/>
                <w:lang w:val="en" w:eastAsia="zh-CN"/>
              </w:rPr>
            </w:pPr>
          </w:p>
        </w:tc>
        <w:tc>
          <w:tcPr>
            <w:tcW w:w="993" w:type="dxa"/>
            <w:vAlign w:val="center"/>
          </w:tcPr>
          <w:p w14:paraId="548A57DE">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color w:val="auto"/>
                <w:sz w:val="24"/>
                <w:szCs w:val="24"/>
                <w:highlight w:val="none"/>
                <w:u w:val="none"/>
                <w:vertAlign w:val="baseline"/>
                <w:lang w:val="en-US" w:eastAsia="zh-CN"/>
              </w:rPr>
            </w:pPr>
          </w:p>
        </w:tc>
      </w:tr>
      <w:tr w14:paraId="0EF76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center"/>
          </w:tcPr>
          <w:p w14:paraId="1B4B1E29">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lang w:val="en-US" w:eastAsia="zh-CN"/>
              </w:rPr>
            </w:pPr>
            <w:r>
              <w:rPr>
                <w:rFonts w:hint="eastAsia" w:ascii="仿宋_GB2312" w:hAnsi="仿宋_GB2312" w:eastAsia="仿宋_GB2312" w:cs="仿宋_GB2312"/>
                <w:b w:val="0"/>
                <w:bCs w:val="0"/>
                <w:color w:val="auto"/>
                <w:sz w:val="24"/>
                <w:szCs w:val="24"/>
                <w:highlight w:val="none"/>
                <w:u w:val="none"/>
                <w:lang w:val="en-US" w:eastAsia="zh-CN"/>
              </w:rPr>
              <w:t>6</w:t>
            </w:r>
          </w:p>
        </w:tc>
        <w:tc>
          <w:tcPr>
            <w:tcW w:w="5020" w:type="dxa"/>
            <w:vAlign w:val="center"/>
          </w:tcPr>
          <w:p w14:paraId="178E6B1C">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color w:val="auto"/>
                <w:sz w:val="24"/>
                <w:szCs w:val="24"/>
                <w:highlight w:val="none"/>
                <w:u w:val="none"/>
                <w:vertAlign w:val="baseline"/>
                <w:lang w:val="en" w:eastAsia="zh-CN"/>
              </w:rPr>
            </w:pPr>
          </w:p>
        </w:tc>
        <w:tc>
          <w:tcPr>
            <w:tcW w:w="1684" w:type="dxa"/>
            <w:gridSpan w:val="2"/>
            <w:vAlign w:val="center"/>
          </w:tcPr>
          <w:p w14:paraId="0BA9A4F5">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color w:val="auto"/>
                <w:sz w:val="24"/>
                <w:szCs w:val="24"/>
                <w:highlight w:val="none"/>
                <w:u w:val="none"/>
                <w:vertAlign w:val="baseline"/>
                <w:lang w:val="en" w:eastAsia="zh-CN"/>
              </w:rPr>
            </w:pPr>
          </w:p>
        </w:tc>
        <w:tc>
          <w:tcPr>
            <w:tcW w:w="993" w:type="dxa"/>
            <w:vAlign w:val="center"/>
          </w:tcPr>
          <w:p w14:paraId="2FECC7E3">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color w:val="auto"/>
                <w:sz w:val="24"/>
                <w:szCs w:val="24"/>
                <w:highlight w:val="none"/>
                <w:u w:val="none"/>
                <w:vertAlign w:val="baseline"/>
                <w:lang w:val="en-US" w:eastAsia="zh-CN"/>
              </w:rPr>
            </w:pPr>
          </w:p>
        </w:tc>
      </w:tr>
      <w:tr w14:paraId="689C2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center"/>
          </w:tcPr>
          <w:p w14:paraId="034D83AB">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lang w:val="en-US" w:eastAsia="zh-CN"/>
              </w:rPr>
            </w:pPr>
            <w:r>
              <w:rPr>
                <w:rFonts w:hint="eastAsia" w:ascii="仿宋_GB2312" w:hAnsi="仿宋_GB2312" w:eastAsia="仿宋_GB2312" w:cs="仿宋_GB2312"/>
                <w:b w:val="0"/>
                <w:bCs w:val="0"/>
                <w:color w:val="auto"/>
                <w:sz w:val="24"/>
                <w:szCs w:val="24"/>
                <w:highlight w:val="none"/>
                <w:u w:val="none"/>
                <w:lang w:val="en-US" w:eastAsia="zh-CN"/>
              </w:rPr>
              <w:t>7</w:t>
            </w:r>
          </w:p>
        </w:tc>
        <w:tc>
          <w:tcPr>
            <w:tcW w:w="5020" w:type="dxa"/>
            <w:vAlign w:val="center"/>
          </w:tcPr>
          <w:p w14:paraId="2432527C">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color w:val="auto"/>
                <w:sz w:val="24"/>
                <w:szCs w:val="24"/>
                <w:highlight w:val="none"/>
                <w:u w:val="none"/>
                <w:vertAlign w:val="baseline"/>
                <w:lang w:val="en" w:eastAsia="zh-CN"/>
              </w:rPr>
            </w:pPr>
          </w:p>
        </w:tc>
        <w:tc>
          <w:tcPr>
            <w:tcW w:w="1684" w:type="dxa"/>
            <w:gridSpan w:val="2"/>
            <w:vAlign w:val="center"/>
          </w:tcPr>
          <w:p w14:paraId="4D5A780B">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color w:val="auto"/>
                <w:sz w:val="24"/>
                <w:szCs w:val="24"/>
                <w:highlight w:val="none"/>
                <w:u w:val="none"/>
                <w:vertAlign w:val="baseline"/>
                <w:lang w:val="en" w:eastAsia="zh-CN"/>
              </w:rPr>
            </w:pPr>
          </w:p>
        </w:tc>
        <w:tc>
          <w:tcPr>
            <w:tcW w:w="993" w:type="dxa"/>
            <w:vAlign w:val="center"/>
          </w:tcPr>
          <w:p w14:paraId="66BC5F7C">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color w:val="auto"/>
                <w:sz w:val="24"/>
                <w:szCs w:val="24"/>
                <w:highlight w:val="none"/>
                <w:u w:val="none"/>
                <w:vertAlign w:val="baseline"/>
                <w:lang w:val="en-US" w:eastAsia="zh-CN"/>
              </w:rPr>
            </w:pPr>
          </w:p>
        </w:tc>
      </w:tr>
      <w:tr w14:paraId="132E4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center"/>
          </w:tcPr>
          <w:p w14:paraId="50EF891E">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lang w:val="en-US" w:eastAsia="zh-CN"/>
              </w:rPr>
            </w:pPr>
            <w:r>
              <w:rPr>
                <w:rFonts w:hint="eastAsia" w:ascii="仿宋_GB2312" w:hAnsi="仿宋_GB2312" w:eastAsia="仿宋_GB2312" w:cs="仿宋_GB2312"/>
                <w:b w:val="0"/>
                <w:bCs w:val="0"/>
                <w:color w:val="auto"/>
                <w:sz w:val="24"/>
                <w:szCs w:val="24"/>
                <w:highlight w:val="none"/>
                <w:u w:val="none"/>
                <w:lang w:val="en-US" w:eastAsia="zh-CN"/>
              </w:rPr>
              <w:t>8</w:t>
            </w:r>
          </w:p>
        </w:tc>
        <w:tc>
          <w:tcPr>
            <w:tcW w:w="5020" w:type="dxa"/>
            <w:vAlign w:val="center"/>
          </w:tcPr>
          <w:p w14:paraId="24A9C78A">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color w:val="auto"/>
                <w:sz w:val="24"/>
                <w:szCs w:val="24"/>
                <w:highlight w:val="none"/>
                <w:u w:val="none"/>
                <w:vertAlign w:val="baseline"/>
                <w:lang w:val="en" w:eastAsia="zh-CN"/>
              </w:rPr>
            </w:pPr>
          </w:p>
        </w:tc>
        <w:tc>
          <w:tcPr>
            <w:tcW w:w="1684" w:type="dxa"/>
            <w:gridSpan w:val="2"/>
            <w:vAlign w:val="center"/>
          </w:tcPr>
          <w:p w14:paraId="24F98FE2">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color w:val="auto"/>
                <w:sz w:val="24"/>
                <w:szCs w:val="24"/>
                <w:highlight w:val="none"/>
                <w:u w:val="none"/>
                <w:vertAlign w:val="baseline"/>
                <w:lang w:val="en" w:eastAsia="zh-CN"/>
              </w:rPr>
            </w:pPr>
          </w:p>
        </w:tc>
        <w:tc>
          <w:tcPr>
            <w:tcW w:w="993" w:type="dxa"/>
            <w:vAlign w:val="center"/>
          </w:tcPr>
          <w:p w14:paraId="639E6D42">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color w:val="auto"/>
                <w:sz w:val="24"/>
                <w:szCs w:val="24"/>
                <w:highlight w:val="none"/>
                <w:u w:val="none"/>
                <w:vertAlign w:val="baseline"/>
                <w:lang w:val="en-US" w:eastAsia="zh-CN"/>
              </w:rPr>
            </w:pPr>
          </w:p>
        </w:tc>
      </w:tr>
      <w:tr w14:paraId="2C71B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center"/>
          </w:tcPr>
          <w:p w14:paraId="7B2252EE">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color w:val="auto"/>
                <w:sz w:val="24"/>
                <w:szCs w:val="24"/>
                <w:highlight w:val="none"/>
                <w:u w:val="none"/>
                <w:lang w:val="en-US" w:eastAsia="zh-CN"/>
              </w:rPr>
            </w:pPr>
            <w:r>
              <w:rPr>
                <w:rFonts w:hint="eastAsia" w:ascii="仿宋_GB2312" w:hAnsi="仿宋_GB2312" w:eastAsia="仿宋_GB2312" w:cs="仿宋_GB2312"/>
                <w:color w:val="auto"/>
                <w:sz w:val="24"/>
                <w:szCs w:val="24"/>
                <w:highlight w:val="none"/>
                <w:u w:val="none"/>
                <w:lang w:val="en-US" w:eastAsia="zh-CN"/>
              </w:rPr>
              <w:t>……</w:t>
            </w:r>
          </w:p>
        </w:tc>
        <w:tc>
          <w:tcPr>
            <w:tcW w:w="5020" w:type="dxa"/>
            <w:vAlign w:val="center"/>
          </w:tcPr>
          <w:p w14:paraId="3E324DED">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color w:val="auto"/>
                <w:sz w:val="24"/>
                <w:szCs w:val="24"/>
                <w:highlight w:val="none"/>
                <w:u w:val="none"/>
                <w:vertAlign w:val="baseline"/>
                <w:lang w:val="en" w:eastAsia="zh-CN"/>
              </w:rPr>
            </w:pPr>
          </w:p>
        </w:tc>
        <w:tc>
          <w:tcPr>
            <w:tcW w:w="1684" w:type="dxa"/>
            <w:gridSpan w:val="2"/>
            <w:vAlign w:val="center"/>
          </w:tcPr>
          <w:p w14:paraId="5D281103">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color w:val="auto"/>
                <w:sz w:val="24"/>
                <w:szCs w:val="24"/>
                <w:highlight w:val="none"/>
                <w:u w:val="none"/>
                <w:vertAlign w:val="baseline"/>
                <w:lang w:val="en" w:eastAsia="zh-CN"/>
              </w:rPr>
            </w:pPr>
          </w:p>
        </w:tc>
        <w:tc>
          <w:tcPr>
            <w:tcW w:w="993" w:type="dxa"/>
            <w:vAlign w:val="center"/>
          </w:tcPr>
          <w:p w14:paraId="36AA71D2">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color w:val="auto"/>
                <w:sz w:val="24"/>
                <w:szCs w:val="24"/>
                <w:highlight w:val="none"/>
                <w:u w:val="none"/>
                <w:vertAlign w:val="baseline"/>
                <w:lang w:val="en-US" w:eastAsia="zh-CN"/>
              </w:rPr>
            </w:pPr>
          </w:p>
        </w:tc>
      </w:tr>
    </w:tbl>
    <w:p w14:paraId="1A5A037D">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备注：1.项目资金末端分配点位包括市本级、县（区）、市级部门下属单位及一次性单位等。</w:t>
      </w:r>
    </w:p>
    <w:p w14:paraId="37D7F53D">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720" w:firstLineChars="300"/>
        <w:jc w:val="left"/>
        <w:textAlignment w:val="auto"/>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2.自评得分（百分制）从高到低划分为优、良、中、差四个档次，各个档次数量占比分别为20%、20%、55%、5%，且不同档次间得分分值应体现差异化，同档次得分分值相同的比例不超过该档次总数量的10%。</w:t>
      </w:r>
    </w:p>
    <w:p w14:paraId="60A48F3D">
      <w:pPr>
        <w:rPr>
          <w:rFonts w:hint="eastAsia" w:ascii="Times New Roman" w:hAnsi="Times New Roman" w:eastAsia="仿宋_GB2312" w:cs="Times New Roman"/>
          <w:kern w:val="2"/>
          <w:sz w:val="32"/>
          <w:szCs w:val="24"/>
          <w:highlight w:val="none"/>
          <w:lang w:val="en-US" w:eastAsia="zh-CN" w:bidi="ar-SA"/>
        </w:rPr>
      </w:pPr>
      <w:r>
        <w:rPr>
          <w:rFonts w:hint="eastAsia" w:ascii="Times New Roman" w:hAnsi="Times New Roman" w:eastAsia="仿宋_GB2312" w:cs="Times New Roman"/>
          <w:kern w:val="2"/>
          <w:sz w:val="32"/>
          <w:szCs w:val="24"/>
          <w:highlight w:val="none"/>
          <w:lang w:val="en-US" w:eastAsia="zh-CN" w:bidi="ar-SA"/>
        </w:rPr>
        <w:br w:type="page"/>
      </w:r>
    </w:p>
    <w:p w14:paraId="7E46B9CA">
      <w:pPr>
        <w:pStyle w:val="16"/>
        <w:keepNext w:val="0"/>
        <w:keepLines w:val="0"/>
        <w:pageBreakBefore w:val="0"/>
        <w:kinsoku/>
        <w:wordWrap/>
        <w:overflowPunct/>
        <w:topLinePunct w:val="0"/>
        <w:autoSpaceDE/>
        <w:autoSpaceDN/>
        <w:bidi w:val="0"/>
        <w:spacing w:after="0" w:line="578" w:lineRule="exact"/>
        <w:ind w:left="0" w:leftChars="0" w:firstLine="0" w:firstLineChars="0"/>
        <w:rPr>
          <w:rFonts w:hint="default" w:ascii="Times New Roman" w:hAnsi="Times New Roman" w:eastAsia="黑体" w:cs="Times New Roman"/>
          <w:kern w:val="2"/>
          <w:sz w:val="32"/>
          <w:szCs w:val="24"/>
          <w:highlight w:val="none"/>
          <w:lang w:val="en-US" w:eastAsia="zh-CN" w:bidi="ar-SA"/>
        </w:rPr>
      </w:pPr>
      <w:r>
        <w:rPr>
          <w:rFonts w:hint="default" w:ascii="Times New Roman" w:hAnsi="Times New Roman" w:eastAsia="黑体" w:cs="Times New Roman"/>
          <w:kern w:val="2"/>
          <w:sz w:val="32"/>
          <w:szCs w:val="24"/>
          <w:highlight w:val="none"/>
          <w:lang w:val="en-US" w:eastAsia="zh-CN" w:bidi="ar-SA"/>
        </w:rPr>
        <w:t>附表2</w:t>
      </w:r>
    </w:p>
    <w:p w14:paraId="64A47868">
      <w:pPr>
        <w:keepNext w:val="0"/>
        <w:keepLines w:val="0"/>
        <w:pageBreakBefore w:val="0"/>
        <w:kinsoku/>
        <w:wordWrap/>
        <w:overflowPunct/>
        <w:topLinePunct w:val="0"/>
        <w:autoSpaceDE/>
        <w:autoSpaceDN/>
        <w:bidi w:val="0"/>
        <w:spacing w:line="578" w:lineRule="exact"/>
        <w:ind w:left="0" w:leftChars="0"/>
        <w:jc w:val="center"/>
        <w:textAlignment w:val="auto"/>
        <w:rPr>
          <w:rFonts w:hint="default" w:ascii="方正小标宋_GBK" w:hAnsi="方正小标宋_GBK" w:eastAsia="方正小标宋_GBK" w:cs="方正小标宋_GBK"/>
          <w:b w:val="0"/>
          <w:bCs w:val="0"/>
          <w:color w:val="auto"/>
          <w:sz w:val="40"/>
          <w:szCs w:val="40"/>
          <w:highlight w:val="none"/>
          <w:u w:val="none"/>
          <w:lang w:val="en-US" w:eastAsia="zh-CN"/>
        </w:rPr>
      </w:pPr>
      <w:r>
        <w:rPr>
          <w:rFonts w:hint="eastAsia" w:ascii="方正小标宋_GBK" w:hAnsi="方正小标宋_GBK" w:eastAsia="方正小标宋_GBK" w:cs="方正小标宋_GBK"/>
          <w:b w:val="0"/>
          <w:bCs w:val="0"/>
          <w:color w:val="auto"/>
          <w:sz w:val="40"/>
          <w:szCs w:val="40"/>
          <w:highlight w:val="none"/>
          <w:u w:val="none"/>
          <w:lang w:val="en-US" w:eastAsia="zh-CN"/>
        </w:rPr>
        <w:t>专项预算项目绩效目标完成情况自评表</w:t>
      </w:r>
    </w:p>
    <w:tbl>
      <w:tblPr>
        <w:tblStyle w:val="17"/>
        <w:tblW w:w="1023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652"/>
        <w:gridCol w:w="1081"/>
        <w:gridCol w:w="1250"/>
        <w:gridCol w:w="1312"/>
        <w:gridCol w:w="1127"/>
        <w:gridCol w:w="971"/>
        <w:gridCol w:w="427"/>
        <w:gridCol w:w="634"/>
        <w:gridCol w:w="938"/>
        <w:gridCol w:w="1841"/>
      </w:tblGrid>
      <w:tr w14:paraId="1E6F82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429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4C67E2D">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项目名称</w:t>
            </w:r>
          </w:p>
        </w:tc>
        <w:tc>
          <w:tcPr>
            <w:tcW w:w="5938"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357A28E">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2021年测绘地理信息质量监督检查、地图技术审核服务项目</w:t>
            </w:r>
          </w:p>
        </w:tc>
      </w:tr>
      <w:tr w14:paraId="5C61F2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429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A8182F5">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预算单位</w:t>
            </w:r>
          </w:p>
        </w:tc>
        <w:tc>
          <w:tcPr>
            <w:tcW w:w="5938"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BC4D316">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广元市自然资源局</w:t>
            </w:r>
          </w:p>
        </w:tc>
      </w:tr>
      <w:tr w14:paraId="00BEF1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429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662279D">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项目类型</w:t>
            </w:r>
          </w:p>
        </w:tc>
        <w:tc>
          <w:tcPr>
            <w:tcW w:w="5938"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EAD3F59">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专项预算项目</w:t>
            </w:r>
          </w:p>
        </w:tc>
      </w:tr>
      <w:tr w14:paraId="53DC62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6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1932EE">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项目 概况</w:t>
            </w:r>
          </w:p>
        </w:tc>
        <w:tc>
          <w:tcPr>
            <w:tcW w:w="364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ACE13F1">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中长期规划（名称、文号，仅指</w:t>
            </w:r>
          </w:p>
          <w:p w14:paraId="4339E928">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常年项目）</w:t>
            </w:r>
          </w:p>
        </w:tc>
        <w:tc>
          <w:tcPr>
            <w:tcW w:w="5938"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937E387">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w:t>
            </w:r>
          </w:p>
        </w:tc>
      </w:tr>
      <w:tr w14:paraId="3E0694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F487D6">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364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2EBB7FD">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资金管理办法（名称、文号）</w:t>
            </w:r>
          </w:p>
        </w:tc>
        <w:tc>
          <w:tcPr>
            <w:tcW w:w="5938"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EB1B264">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广元市自然资源局财务管理制度</w:t>
            </w:r>
          </w:p>
        </w:tc>
      </w:tr>
      <w:tr w14:paraId="363988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35"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86162B">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364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F8BF410">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绩效分配方式</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B9557">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default" w:ascii="仿宋_GB2312" w:hAnsi="仿宋_GB2312" w:eastAsia="仿宋_GB2312" w:cs="仿宋_GB2312"/>
                <w:b w:val="0"/>
                <w:bCs w:val="0"/>
                <w:color w:val="auto"/>
                <w:sz w:val="24"/>
                <w:szCs w:val="24"/>
                <w:highlight w:val="none"/>
                <w:u w:val="none"/>
                <w:vertAlign w:val="baseline"/>
                <w:lang w:val="en-US" w:eastAsia="zh-CN"/>
              </w:rPr>
              <w:sym w:font="Wingdings 2" w:char="00A3"/>
            </w:r>
            <w:r>
              <w:rPr>
                <w:rFonts w:hint="eastAsia" w:ascii="仿宋_GB2312" w:hAnsi="仿宋_GB2312" w:eastAsia="仿宋_GB2312" w:cs="仿宋_GB2312"/>
                <w:b w:val="0"/>
                <w:bCs w:val="0"/>
                <w:color w:val="auto"/>
                <w:sz w:val="24"/>
                <w:szCs w:val="24"/>
                <w:highlight w:val="none"/>
                <w:u w:val="none"/>
                <w:vertAlign w:val="baseline"/>
                <w:lang w:val="en-US" w:eastAsia="zh-CN"/>
              </w:rPr>
              <w:t>因素法</w:t>
            </w:r>
          </w:p>
        </w:tc>
        <w:tc>
          <w:tcPr>
            <w:tcW w:w="203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E5DBD84">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default" w:ascii="仿宋_GB2312" w:hAnsi="仿宋_GB2312" w:eastAsia="仿宋_GB2312" w:cs="仿宋_GB2312"/>
                <w:b w:val="0"/>
                <w:bCs w:val="0"/>
                <w:color w:val="auto"/>
                <w:sz w:val="24"/>
                <w:szCs w:val="24"/>
                <w:highlight w:val="none"/>
                <w:u w:val="none"/>
                <w:vertAlign w:val="baseline"/>
                <w:lang w:val="en-US" w:eastAsia="zh-CN"/>
              </w:rPr>
              <w:sym w:font="Wingdings 2" w:char="0052"/>
            </w:r>
            <w:r>
              <w:rPr>
                <w:rFonts w:hint="default" w:ascii="仿宋_GB2312" w:hAnsi="仿宋_GB2312" w:eastAsia="仿宋_GB2312" w:cs="仿宋_GB2312"/>
                <w:b w:val="0"/>
                <w:bCs w:val="0"/>
                <w:color w:val="auto"/>
                <w:sz w:val="24"/>
                <w:szCs w:val="24"/>
                <w:highlight w:val="none"/>
                <w:u w:val="none"/>
                <w:vertAlign w:val="baseline"/>
                <w:lang w:val="en-US" w:eastAsia="zh-CN"/>
              </w:rPr>
              <w:t>项目法</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7322D">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default" w:ascii="仿宋_GB2312" w:hAnsi="仿宋_GB2312" w:eastAsia="仿宋_GB2312" w:cs="仿宋_GB2312"/>
                <w:b w:val="0"/>
                <w:bCs w:val="0"/>
                <w:color w:val="auto"/>
                <w:sz w:val="24"/>
                <w:szCs w:val="24"/>
                <w:highlight w:val="none"/>
                <w:u w:val="none"/>
                <w:vertAlign w:val="baseline"/>
                <w:lang w:val="en-US" w:eastAsia="zh-CN"/>
              </w:rPr>
              <w:sym w:font="Wingdings 2" w:char="00A3"/>
            </w:r>
            <w:r>
              <w:rPr>
                <w:rFonts w:hint="eastAsia" w:ascii="仿宋_GB2312" w:hAnsi="仿宋_GB2312" w:eastAsia="仿宋_GB2312" w:cs="仿宋_GB2312"/>
                <w:b w:val="0"/>
                <w:bCs w:val="0"/>
                <w:color w:val="auto"/>
                <w:sz w:val="24"/>
                <w:szCs w:val="24"/>
                <w:highlight w:val="none"/>
                <w:u w:val="none"/>
                <w:vertAlign w:val="baseline"/>
                <w:lang w:val="en-US" w:eastAsia="zh-CN"/>
              </w:rPr>
              <w:t>据实据效</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81084">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default" w:ascii="仿宋_GB2312" w:hAnsi="仿宋_GB2312" w:eastAsia="仿宋_GB2312" w:cs="仿宋_GB2312"/>
                <w:b w:val="0"/>
                <w:bCs w:val="0"/>
                <w:color w:val="auto"/>
                <w:sz w:val="24"/>
                <w:szCs w:val="24"/>
                <w:highlight w:val="none"/>
                <w:u w:val="none"/>
                <w:vertAlign w:val="baseline"/>
                <w:lang w:val="en-US" w:eastAsia="zh-CN"/>
              </w:rPr>
              <w:t>£</w:t>
            </w:r>
            <w:r>
              <w:rPr>
                <w:rFonts w:hint="eastAsia" w:ascii="仿宋_GB2312" w:hAnsi="仿宋_GB2312" w:eastAsia="仿宋_GB2312" w:cs="仿宋_GB2312"/>
                <w:b w:val="0"/>
                <w:bCs w:val="0"/>
                <w:color w:val="auto"/>
                <w:sz w:val="24"/>
                <w:szCs w:val="24"/>
                <w:highlight w:val="none"/>
                <w:u w:val="none"/>
                <w:vertAlign w:val="baseline"/>
                <w:lang w:val="en-US" w:eastAsia="zh-CN"/>
              </w:rPr>
              <w:t>因素法与项目法相结合</w:t>
            </w:r>
          </w:p>
        </w:tc>
      </w:tr>
      <w:tr w14:paraId="589611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89420C">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364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E412F4C">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立项依据</w:t>
            </w:r>
          </w:p>
        </w:tc>
        <w:tc>
          <w:tcPr>
            <w:tcW w:w="5938"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609C445">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四川省测绘地理信息局《关于开展2021测绘地理信息质量监督检查、测绘资质巡查和保密检查工作的通知》</w:t>
            </w:r>
          </w:p>
        </w:tc>
      </w:tr>
      <w:tr w14:paraId="0C8354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B701F2">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364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2F1B35A">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使用范围</w:t>
            </w:r>
          </w:p>
        </w:tc>
        <w:tc>
          <w:tcPr>
            <w:tcW w:w="5938"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CE3E3AC">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委托业务费</w:t>
            </w:r>
          </w:p>
        </w:tc>
      </w:tr>
      <w:tr w14:paraId="592E64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FAD269">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364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AAD90B7">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申报（补助）条件</w:t>
            </w:r>
          </w:p>
        </w:tc>
        <w:tc>
          <w:tcPr>
            <w:tcW w:w="5938"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2089C4F">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r>
      <w:tr w14:paraId="50263F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C1D647">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364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EF3E467">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项目起止年限</w:t>
            </w:r>
          </w:p>
        </w:tc>
        <w:tc>
          <w:tcPr>
            <w:tcW w:w="5938"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19B7B1D">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2023-2023</w:t>
            </w:r>
          </w:p>
        </w:tc>
      </w:tr>
      <w:tr w14:paraId="573DFD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1733"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28F019">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项目资金</w:t>
            </w:r>
          </w:p>
          <w:p w14:paraId="3B6944C0">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（万元）</w:t>
            </w:r>
          </w:p>
        </w:tc>
        <w:tc>
          <w:tcPr>
            <w:tcW w:w="25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6FEE44">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 xml:space="preserve">  年度资金总额：</w:t>
            </w:r>
          </w:p>
        </w:tc>
        <w:tc>
          <w:tcPr>
            <w:tcW w:w="5938"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FCF771C">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22</w:t>
            </w:r>
          </w:p>
        </w:tc>
      </w:tr>
      <w:tr w14:paraId="56C19F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173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040658">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25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9B1FF0">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 xml:space="preserve">      其中：财政拨款</w:t>
            </w:r>
          </w:p>
        </w:tc>
        <w:tc>
          <w:tcPr>
            <w:tcW w:w="5938"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04232B2">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22</w:t>
            </w:r>
          </w:p>
        </w:tc>
      </w:tr>
      <w:tr w14:paraId="7C6DA5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173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FC42EE">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25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16F24D">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 xml:space="preserve">            其他资金</w:t>
            </w:r>
          </w:p>
        </w:tc>
        <w:tc>
          <w:tcPr>
            <w:tcW w:w="5938"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94C61C0">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r>
      <w:tr w14:paraId="105253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6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F251AD">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总体 目标</w:t>
            </w:r>
          </w:p>
        </w:tc>
        <w:tc>
          <w:tcPr>
            <w:tcW w:w="9581"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D103EBD">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年度目标</w:t>
            </w:r>
          </w:p>
        </w:tc>
      </w:tr>
      <w:tr w14:paraId="0073F4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074D43">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9581"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B6BE8B1">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完成了广元市15个测绘项目测绘成果质量的监督检查，共提交报告15份，总结1份。提高全市测绘保障服务能力。</w:t>
            </w:r>
          </w:p>
          <w:p w14:paraId="3EABC175">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w:t>
            </w:r>
          </w:p>
        </w:tc>
      </w:tr>
      <w:tr w14:paraId="449CAA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652" w:type="dxa"/>
            <w:vMerge w:val="restart"/>
            <w:tcBorders>
              <w:top w:val="single" w:color="000000" w:sz="4" w:space="0"/>
              <w:left w:val="single" w:color="000000" w:sz="4" w:space="0"/>
              <w:bottom w:val="single" w:color="000000" w:sz="4" w:space="0"/>
            </w:tcBorders>
            <w:shd w:val="clear" w:color="auto" w:fill="auto"/>
            <w:vAlign w:val="center"/>
          </w:tcPr>
          <w:p w14:paraId="2CA95F21">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绩效 指标</w:t>
            </w: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EFC65">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一级指标</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3E7DC">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二级指标</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A16DD">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三级指标</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BB356">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指标性质</w:t>
            </w:r>
          </w:p>
        </w:tc>
        <w:tc>
          <w:tcPr>
            <w:tcW w:w="139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3AE2002">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指标值</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20BF3">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度量单位</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32068">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权重</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25746">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实际完成指标值</w:t>
            </w:r>
          </w:p>
        </w:tc>
      </w:tr>
      <w:tr w14:paraId="32BA7B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shd w:val="clear" w:color="auto" w:fill="auto"/>
            <w:vAlign w:val="center"/>
          </w:tcPr>
          <w:p w14:paraId="0880CEC3">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B8C2A">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产出指标</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52FC5">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数量指标</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5AA4C">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检测项目测绘产品数量</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0D511">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FE37B">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15</w:t>
            </w:r>
          </w:p>
        </w:tc>
        <w:tc>
          <w:tcPr>
            <w:tcW w:w="106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D8EE85">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个</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77D66">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20</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F33A8">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15</w:t>
            </w:r>
          </w:p>
        </w:tc>
      </w:tr>
      <w:tr w14:paraId="7D61C2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shd w:val="clear" w:color="auto" w:fill="auto"/>
            <w:vAlign w:val="center"/>
          </w:tcPr>
          <w:p w14:paraId="240AAA2A">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E8834">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产出指标</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AD37B">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质量指标</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4BA03">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测绘产品验收合格率</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6D166">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B30DA">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100</w:t>
            </w:r>
          </w:p>
        </w:tc>
        <w:tc>
          <w:tcPr>
            <w:tcW w:w="106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03C90C">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C1E6F">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20</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053BF">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100</w:t>
            </w:r>
          </w:p>
        </w:tc>
      </w:tr>
      <w:tr w14:paraId="66CFD8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shd w:val="clear" w:color="auto" w:fill="auto"/>
            <w:vAlign w:val="center"/>
          </w:tcPr>
          <w:p w14:paraId="73824C51">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49374">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产出指标</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D170C">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时效指标</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ACE24">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完成时间</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52F9E">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A42A2">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20</w:t>
            </w:r>
          </w:p>
        </w:tc>
        <w:tc>
          <w:tcPr>
            <w:tcW w:w="106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3DBDBE">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日</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A6A67">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10</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0D6D8">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20</w:t>
            </w:r>
          </w:p>
        </w:tc>
      </w:tr>
      <w:tr w14:paraId="575206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shd w:val="clear" w:color="auto" w:fill="auto"/>
            <w:vAlign w:val="center"/>
          </w:tcPr>
          <w:p w14:paraId="66305BB8">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ED947">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效益指标</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4165A">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社会效益</w:t>
            </w:r>
          </w:p>
          <w:p w14:paraId="470C3A3F">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指标</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17274">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提高测绘保障服务能力</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B21AE">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定性</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37136">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良好</w:t>
            </w:r>
          </w:p>
        </w:tc>
        <w:tc>
          <w:tcPr>
            <w:tcW w:w="106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6CC8D6">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级</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17F9D">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20</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F12B5">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良好</w:t>
            </w:r>
          </w:p>
        </w:tc>
      </w:tr>
      <w:tr w14:paraId="7D10BB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652" w:type="dxa"/>
            <w:tcBorders>
              <w:top w:val="single" w:color="000000" w:sz="4" w:space="0"/>
              <w:left w:val="single" w:color="000000" w:sz="4" w:space="0"/>
              <w:bottom w:val="single" w:color="000000" w:sz="4" w:space="0"/>
            </w:tcBorders>
            <w:shd w:val="clear" w:color="auto" w:fill="auto"/>
            <w:vAlign w:val="center"/>
          </w:tcPr>
          <w:p w14:paraId="59331C2D">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D7CD0">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满意度指标</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611E1">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满意度指标</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3C837">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测绘对象满意度</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39E41">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3F44B">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95</w:t>
            </w:r>
          </w:p>
        </w:tc>
        <w:tc>
          <w:tcPr>
            <w:tcW w:w="106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2DFCD4">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3E794">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10</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200B1">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95</w:t>
            </w:r>
          </w:p>
        </w:tc>
      </w:tr>
      <w:tr w14:paraId="292113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652" w:type="dxa"/>
            <w:tcBorders>
              <w:top w:val="single" w:color="000000" w:sz="4" w:space="0"/>
              <w:left w:val="single" w:color="000000" w:sz="4" w:space="0"/>
              <w:bottom w:val="single" w:color="000000" w:sz="4" w:space="0"/>
            </w:tcBorders>
            <w:shd w:val="clear" w:color="auto" w:fill="auto"/>
            <w:vAlign w:val="center"/>
          </w:tcPr>
          <w:p w14:paraId="74BE33DF">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6B568">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成本指标</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E5AA8">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经济成本指标</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1FD04">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预算控制数</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182C5">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FE67D">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22</w:t>
            </w:r>
          </w:p>
        </w:tc>
        <w:tc>
          <w:tcPr>
            <w:tcW w:w="106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4D6256">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万元</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4364B">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20</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BA8B2">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default" w:ascii="仿宋_GB2312" w:hAnsi="仿宋_GB2312" w:eastAsia="仿宋_GB2312" w:cs="仿宋_GB2312"/>
                <w:b w:val="0"/>
                <w:bCs w:val="0"/>
                <w:color w:val="auto"/>
                <w:sz w:val="24"/>
                <w:szCs w:val="24"/>
                <w:highlight w:val="none"/>
                <w:u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22</w:t>
            </w:r>
          </w:p>
        </w:tc>
      </w:tr>
    </w:tbl>
    <w:p w14:paraId="3B86D0F7">
      <w:pPr>
        <w:rPr>
          <w:rFonts w:hint="default"/>
          <w:lang w:val="en-US" w:eastAsia="zh-CN"/>
        </w:rPr>
      </w:pPr>
      <w:r>
        <w:rPr>
          <w:rFonts w:hint="default"/>
          <w:lang w:val="en-US" w:eastAsia="zh-CN"/>
        </w:rPr>
        <w:br w:type="page"/>
      </w:r>
    </w:p>
    <w:p w14:paraId="63FE631C">
      <w:pPr>
        <w:pStyle w:val="2"/>
        <w:rPr>
          <w:rFonts w:hint="default"/>
          <w:lang w:val="en-US" w:eastAsia="zh-CN"/>
        </w:rPr>
      </w:pPr>
    </w:p>
    <w:p w14:paraId="3FCFC7B0">
      <w:pPr>
        <w:pageBreakBefore w:val="0"/>
        <w:widowControl w:val="0"/>
        <w:shd w:val="clear"/>
        <w:kinsoku/>
        <w:wordWrap/>
        <w:overflowPunct/>
        <w:topLinePunct w:val="0"/>
        <w:bidi w:val="0"/>
        <w:spacing w:line="576" w:lineRule="exact"/>
        <w:ind w:right="0"/>
        <w:jc w:val="center"/>
        <w:textAlignment w:val="auto"/>
        <w:outlineLvl w:val="0"/>
        <w:rPr>
          <w:rStyle w:val="22"/>
          <w:rFonts w:hint="eastAsia" w:ascii="黑体" w:hAnsi="黑体" w:eastAsia="黑体"/>
          <w:b w:val="0"/>
          <w:color w:val="auto"/>
          <w:highlight w:val="none"/>
        </w:rPr>
      </w:pPr>
      <w:bookmarkStart w:id="81" w:name="_Toc15396618"/>
      <w:bookmarkStart w:id="82" w:name="_Toc21652"/>
      <w:r>
        <w:rPr>
          <w:rFonts w:hint="eastAsia" w:ascii="黑体" w:hAnsi="黑体" w:eastAsia="黑体"/>
          <w:color w:val="auto"/>
          <w:sz w:val="44"/>
          <w:szCs w:val="44"/>
          <w:highlight w:val="none"/>
        </w:rPr>
        <w:t>第</w:t>
      </w:r>
      <w:r>
        <w:rPr>
          <w:rStyle w:val="22"/>
          <w:rFonts w:hint="eastAsia" w:ascii="黑体" w:hAnsi="黑体" w:eastAsia="黑体"/>
          <w:b w:val="0"/>
          <w:color w:val="auto"/>
          <w:highlight w:val="none"/>
        </w:rPr>
        <w:t>五部分附表</w:t>
      </w:r>
      <w:bookmarkEnd w:id="77"/>
      <w:bookmarkEnd w:id="81"/>
      <w:bookmarkEnd w:id="82"/>
      <w:bookmarkStart w:id="83" w:name="_Toc15396619"/>
    </w:p>
    <w:p w14:paraId="6523620C">
      <w:pPr>
        <w:pStyle w:val="2"/>
        <w:shd w:val="clear"/>
        <w:rPr>
          <w:rFonts w:hint="eastAsia"/>
          <w:color w:val="auto"/>
          <w:highlight w:val="none"/>
        </w:rPr>
      </w:pPr>
    </w:p>
    <w:p w14:paraId="7386D055">
      <w:pPr>
        <w:pStyle w:val="4"/>
        <w:keepNext/>
        <w:keepLines/>
        <w:pageBreakBefore w:val="0"/>
        <w:widowControl w:val="0"/>
        <w:shd w:val="clear"/>
        <w:kinsoku/>
        <w:wordWrap/>
        <w:overflowPunct/>
        <w:topLinePunct w:val="0"/>
        <w:autoSpaceDE/>
        <w:autoSpaceDN/>
        <w:bidi w:val="0"/>
        <w:adjustRightInd/>
        <w:snapToGrid/>
        <w:spacing w:before="0" w:after="0" w:line="576" w:lineRule="exact"/>
        <w:ind w:left="0" w:leftChars="0" w:right="0" w:firstLine="640" w:firstLineChars="200"/>
        <w:jc w:val="both"/>
        <w:textAlignment w:val="auto"/>
        <w:rPr>
          <w:rFonts w:hint="eastAsia" w:ascii="仿宋_GB2312" w:hAnsi="仿宋_GB2312" w:eastAsia="仿宋_GB2312" w:cs="仿宋_GB2312"/>
          <w:color w:val="auto"/>
          <w:highlight w:val="none"/>
        </w:rPr>
      </w:pPr>
      <w:bookmarkStart w:id="84" w:name="_Toc26924"/>
      <w:r>
        <w:rPr>
          <w:rFonts w:hint="eastAsia" w:ascii="仿宋_GB2312" w:hAnsi="仿宋_GB2312" w:eastAsia="仿宋_GB2312" w:cs="仿宋_GB2312"/>
          <w:b w:val="0"/>
          <w:color w:val="auto"/>
          <w:highlight w:val="none"/>
        </w:rPr>
        <w:t>一、收</w:t>
      </w:r>
      <w:r>
        <w:rPr>
          <w:rStyle w:val="23"/>
          <w:rFonts w:hint="eastAsia" w:ascii="仿宋_GB2312" w:hAnsi="仿宋_GB2312" w:eastAsia="仿宋_GB2312" w:cs="仿宋_GB2312"/>
          <w:b w:val="0"/>
          <w:bCs w:val="0"/>
          <w:color w:val="auto"/>
          <w:highlight w:val="none"/>
        </w:rPr>
        <w:t>入支出决算总表</w:t>
      </w:r>
      <w:bookmarkEnd w:id="83"/>
      <w:bookmarkEnd w:id="84"/>
    </w:p>
    <w:p w14:paraId="5C55E5D5">
      <w:pPr>
        <w:pStyle w:val="4"/>
        <w:keepNext/>
        <w:keepLines/>
        <w:pageBreakBefore w:val="0"/>
        <w:widowControl w:val="0"/>
        <w:shd w:val="clear"/>
        <w:kinsoku/>
        <w:wordWrap/>
        <w:overflowPunct/>
        <w:topLinePunct w:val="0"/>
        <w:autoSpaceDE/>
        <w:autoSpaceDN/>
        <w:bidi w:val="0"/>
        <w:adjustRightInd/>
        <w:snapToGrid/>
        <w:spacing w:before="0" w:after="0" w:line="576" w:lineRule="exact"/>
        <w:ind w:left="0" w:leftChars="0" w:right="0" w:firstLine="640" w:firstLineChars="200"/>
        <w:jc w:val="both"/>
        <w:textAlignment w:val="auto"/>
        <w:rPr>
          <w:rFonts w:hint="eastAsia" w:ascii="仿宋_GB2312" w:hAnsi="仿宋_GB2312" w:eastAsia="仿宋_GB2312" w:cs="仿宋_GB2312"/>
          <w:color w:val="auto"/>
          <w:highlight w:val="none"/>
        </w:rPr>
      </w:pPr>
      <w:bookmarkStart w:id="85" w:name="_Toc15396620"/>
      <w:bookmarkStart w:id="86" w:name="_Toc28094"/>
      <w:r>
        <w:rPr>
          <w:rFonts w:hint="eastAsia" w:ascii="仿宋_GB2312" w:hAnsi="仿宋_GB2312" w:eastAsia="仿宋_GB2312" w:cs="仿宋_GB2312"/>
          <w:b w:val="0"/>
          <w:color w:val="auto"/>
          <w:highlight w:val="none"/>
        </w:rPr>
        <w:t>二、收</w:t>
      </w:r>
      <w:r>
        <w:rPr>
          <w:rStyle w:val="23"/>
          <w:rFonts w:hint="eastAsia" w:ascii="仿宋_GB2312" w:hAnsi="仿宋_GB2312" w:eastAsia="仿宋_GB2312" w:cs="仿宋_GB2312"/>
          <w:b w:val="0"/>
          <w:bCs w:val="0"/>
          <w:color w:val="auto"/>
          <w:highlight w:val="none"/>
        </w:rPr>
        <w:t>入决算表</w:t>
      </w:r>
      <w:bookmarkEnd w:id="85"/>
      <w:bookmarkEnd w:id="86"/>
    </w:p>
    <w:p w14:paraId="5CC405CD">
      <w:pPr>
        <w:pStyle w:val="4"/>
        <w:keepNext/>
        <w:keepLines/>
        <w:pageBreakBefore w:val="0"/>
        <w:widowControl w:val="0"/>
        <w:shd w:val="clear"/>
        <w:kinsoku/>
        <w:wordWrap/>
        <w:overflowPunct/>
        <w:topLinePunct w:val="0"/>
        <w:autoSpaceDE/>
        <w:autoSpaceDN/>
        <w:bidi w:val="0"/>
        <w:adjustRightInd/>
        <w:snapToGrid/>
        <w:spacing w:before="0" w:after="0" w:line="576" w:lineRule="exact"/>
        <w:ind w:left="0" w:leftChars="0" w:right="0" w:firstLine="640" w:firstLineChars="200"/>
        <w:jc w:val="both"/>
        <w:textAlignment w:val="auto"/>
        <w:rPr>
          <w:rFonts w:hint="eastAsia" w:ascii="仿宋_GB2312" w:hAnsi="仿宋_GB2312" w:eastAsia="仿宋_GB2312" w:cs="仿宋_GB2312"/>
          <w:color w:val="auto"/>
          <w:highlight w:val="none"/>
        </w:rPr>
      </w:pPr>
      <w:bookmarkStart w:id="87" w:name="_Toc18285"/>
      <w:bookmarkStart w:id="88" w:name="_Toc15396621"/>
      <w:r>
        <w:rPr>
          <w:rStyle w:val="23"/>
          <w:rFonts w:hint="eastAsia" w:ascii="仿宋_GB2312" w:hAnsi="仿宋_GB2312" w:eastAsia="仿宋_GB2312" w:cs="仿宋_GB2312"/>
          <w:b w:val="0"/>
          <w:bCs w:val="0"/>
          <w:color w:val="auto"/>
          <w:highlight w:val="none"/>
        </w:rPr>
        <w:t>三、</w:t>
      </w:r>
      <w:r>
        <w:rPr>
          <w:rFonts w:hint="eastAsia" w:ascii="仿宋_GB2312" w:hAnsi="仿宋_GB2312" w:eastAsia="仿宋_GB2312" w:cs="仿宋_GB2312"/>
          <w:b w:val="0"/>
          <w:color w:val="auto"/>
          <w:highlight w:val="none"/>
        </w:rPr>
        <w:t>支</w:t>
      </w:r>
      <w:r>
        <w:rPr>
          <w:rStyle w:val="23"/>
          <w:rFonts w:hint="eastAsia" w:ascii="仿宋_GB2312" w:hAnsi="仿宋_GB2312" w:eastAsia="仿宋_GB2312" w:cs="仿宋_GB2312"/>
          <w:b w:val="0"/>
          <w:bCs w:val="0"/>
          <w:color w:val="auto"/>
          <w:highlight w:val="none"/>
        </w:rPr>
        <w:t>出决算表</w:t>
      </w:r>
      <w:bookmarkEnd w:id="87"/>
      <w:bookmarkEnd w:id="88"/>
    </w:p>
    <w:p w14:paraId="6ED28A95">
      <w:pPr>
        <w:pStyle w:val="4"/>
        <w:keepNext/>
        <w:keepLines/>
        <w:pageBreakBefore w:val="0"/>
        <w:widowControl w:val="0"/>
        <w:shd w:val="clear"/>
        <w:kinsoku/>
        <w:wordWrap/>
        <w:overflowPunct/>
        <w:topLinePunct w:val="0"/>
        <w:autoSpaceDE/>
        <w:autoSpaceDN/>
        <w:bidi w:val="0"/>
        <w:adjustRightInd/>
        <w:snapToGrid/>
        <w:spacing w:before="0" w:after="0" w:line="576" w:lineRule="exact"/>
        <w:ind w:left="0" w:leftChars="0" w:right="0" w:firstLine="640" w:firstLineChars="200"/>
        <w:jc w:val="both"/>
        <w:textAlignment w:val="auto"/>
        <w:rPr>
          <w:rFonts w:hint="eastAsia" w:ascii="仿宋_GB2312" w:hAnsi="仿宋_GB2312" w:eastAsia="仿宋_GB2312" w:cs="仿宋_GB2312"/>
          <w:b w:val="0"/>
          <w:color w:val="auto"/>
          <w:highlight w:val="none"/>
        </w:rPr>
      </w:pPr>
      <w:bookmarkStart w:id="89" w:name="_Toc14558"/>
      <w:bookmarkStart w:id="90" w:name="_Toc15396622"/>
      <w:r>
        <w:rPr>
          <w:rStyle w:val="23"/>
          <w:rFonts w:hint="eastAsia" w:ascii="仿宋_GB2312" w:hAnsi="仿宋_GB2312" w:eastAsia="仿宋_GB2312" w:cs="仿宋_GB2312"/>
          <w:b w:val="0"/>
          <w:bCs w:val="0"/>
          <w:color w:val="auto"/>
          <w:highlight w:val="none"/>
        </w:rPr>
        <w:t>四、</w:t>
      </w:r>
      <w:r>
        <w:rPr>
          <w:rFonts w:hint="eastAsia" w:ascii="仿宋_GB2312" w:hAnsi="仿宋_GB2312" w:eastAsia="仿宋_GB2312" w:cs="仿宋_GB2312"/>
          <w:b w:val="0"/>
          <w:color w:val="auto"/>
          <w:highlight w:val="none"/>
        </w:rPr>
        <w:t>财</w:t>
      </w:r>
      <w:r>
        <w:rPr>
          <w:rStyle w:val="23"/>
          <w:rFonts w:hint="eastAsia" w:ascii="仿宋_GB2312" w:hAnsi="仿宋_GB2312" w:eastAsia="仿宋_GB2312" w:cs="仿宋_GB2312"/>
          <w:b w:val="0"/>
          <w:bCs w:val="0"/>
          <w:color w:val="auto"/>
          <w:highlight w:val="none"/>
        </w:rPr>
        <w:t>政拨款收入支出决算总表</w:t>
      </w:r>
      <w:bookmarkEnd w:id="89"/>
      <w:bookmarkEnd w:id="90"/>
    </w:p>
    <w:p w14:paraId="5CAB9675">
      <w:pPr>
        <w:pStyle w:val="4"/>
        <w:keepNext/>
        <w:keepLines/>
        <w:pageBreakBefore w:val="0"/>
        <w:widowControl w:val="0"/>
        <w:shd w:val="clear"/>
        <w:kinsoku/>
        <w:wordWrap/>
        <w:overflowPunct/>
        <w:topLinePunct w:val="0"/>
        <w:autoSpaceDE/>
        <w:autoSpaceDN/>
        <w:bidi w:val="0"/>
        <w:adjustRightInd/>
        <w:snapToGrid/>
        <w:spacing w:before="0" w:after="0" w:line="576" w:lineRule="exact"/>
        <w:ind w:left="0" w:leftChars="0" w:right="0" w:firstLine="640" w:firstLineChars="200"/>
        <w:jc w:val="both"/>
        <w:textAlignment w:val="auto"/>
        <w:rPr>
          <w:rStyle w:val="23"/>
          <w:rFonts w:hint="eastAsia" w:ascii="仿宋_GB2312" w:hAnsi="仿宋_GB2312" w:eastAsia="仿宋_GB2312" w:cs="仿宋_GB2312"/>
          <w:b w:val="0"/>
          <w:bCs w:val="0"/>
          <w:color w:val="auto"/>
          <w:highlight w:val="none"/>
        </w:rPr>
      </w:pPr>
      <w:bookmarkStart w:id="91" w:name="_Toc2813"/>
      <w:bookmarkStart w:id="92" w:name="_Toc15396623"/>
      <w:r>
        <w:rPr>
          <w:rStyle w:val="23"/>
          <w:rFonts w:hint="eastAsia" w:ascii="仿宋_GB2312" w:hAnsi="仿宋_GB2312" w:eastAsia="仿宋_GB2312" w:cs="仿宋_GB2312"/>
          <w:b w:val="0"/>
          <w:bCs w:val="0"/>
          <w:color w:val="auto"/>
          <w:highlight w:val="none"/>
        </w:rPr>
        <w:t>五、</w:t>
      </w:r>
      <w:r>
        <w:rPr>
          <w:rFonts w:hint="eastAsia" w:ascii="仿宋_GB2312" w:hAnsi="仿宋_GB2312" w:eastAsia="仿宋_GB2312" w:cs="仿宋_GB2312"/>
          <w:b w:val="0"/>
          <w:color w:val="auto"/>
          <w:highlight w:val="none"/>
        </w:rPr>
        <w:t>财</w:t>
      </w:r>
      <w:r>
        <w:rPr>
          <w:rStyle w:val="23"/>
          <w:rFonts w:hint="eastAsia" w:ascii="仿宋_GB2312" w:hAnsi="仿宋_GB2312" w:eastAsia="仿宋_GB2312" w:cs="仿宋_GB2312"/>
          <w:b w:val="0"/>
          <w:bCs w:val="0"/>
          <w:color w:val="auto"/>
          <w:highlight w:val="none"/>
        </w:rPr>
        <w:t>政拨款支出决算明细表</w:t>
      </w:r>
      <w:bookmarkEnd w:id="91"/>
      <w:bookmarkEnd w:id="92"/>
      <w:bookmarkStart w:id="93" w:name="_Toc15396624"/>
    </w:p>
    <w:p w14:paraId="085152D8">
      <w:pPr>
        <w:pStyle w:val="4"/>
        <w:keepNext/>
        <w:keepLines/>
        <w:pageBreakBefore w:val="0"/>
        <w:widowControl w:val="0"/>
        <w:shd w:val="clear"/>
        <w:kinsoku/>
        <w:wordWrap/>
        <w:overflowPunct/>
        <w:topLinePunct w:val="0"/>
        <w:autoSpaceDE/>
        <w:autoSpaceDN/>
        <w:bidi w:val="0"/>
        <w:adjustRightInd/>
        <w:snapToGrid/>
        <w:spacing w:before="0" w:after="0" w:line="576" w:lineRule="exact"/>
        <w:ind w:left="0" w:leftChars="0" w:right="0" w:firstLine="640" w:firstLineChars="200"/>
        <w:jc w:val="both"/>
        <w:textAlignment w:val="auto"/>
        <w:rPr>
          <w:rFonts w:hint="eastAsia" w:ascii="仿宋_GB2312" w:hAnsi="仿宋_GB2312" w:eastAsia="仿宋_GB2312" w:cs="仿宋_GB2312"/>
          <w:color w:val="auto"/>
          <w:highlight w:val="none"/>
        </w:rPr>
      </w:pPr>
      <w:bookmarkStart w:id="94" w:name="_Toc31612"/>
      <w:r>
        <w:rPr>
          <w:rStyle w:val="23"/>
          <w:rFonts w:hint="eastAsia" w:ascii="仿宋_GB2312" w:hAnsi="仿宋_GB2312" w:eastAsia="仿宋_GB2312" w:cs="仿宋_GB2312"/>
          <w:b w:val="0"/>
          <w:bCs w:val="0"/>
          <w:color w:val="auto"/>
          <w:highlight w:val="none"/>
        </w:rPr>
        <w:t>六、</w:t>
      </w:r>
      <w:r>
        <w:rPr>
          <w:rFonts w:hint="eastAsia" w:ascii="仿宋_GB2312" w:hAnsi="仿宋_GB2312" w:eastAsia="仿宋_GB2312" w:cs="仿宋_GB2312"/>
          <w:b w:val="0"/>
          <w:color w:val="auto"/>
          <w:highlight w:val="none"/>
        </w:rPr>
        <w:t>一</w:t>
      </w:r>
      <w:r>
        <w:rPr>
          <w:rStyle w:val="23"/>
          <w:rFonts w:hint="eastAsia" w:ascii="仿宋_GB2312" w:hAnsi="仿宋_GB2312" w:eastAsia="仿宋_GB2312" w:cs="仿宋_GB2312"/>
          <w:b w:val="0"/>
          <w:bCs w:val="0"/>
          <w:color w:val="auto"/>
          <w:highlight w:val="none"/>
        </w:rPr>
        <w:t>般公共预算财政拨款支出决算表</w:t>
      </w:r>
      <w:bookmarkEnd w:id="93"/>
      <w:bookmarkEnd w:id="94"/>
    </w:p>
    <w:p w14:paraId="15C75396">
      <w:pPr>
        <w:pStyle w:val="4"/>
        <w:keepNext/>
        <w:keepLines/>
        <w:pageBreakBefore w:val="0"/>
        <w:widowControl w:val="0"/>
        <w:shd w:val="clear"/>
        <w:kinsoku/>
        <w:wordWrap/>
        <w:overflowPunct/>
        <w:topLinePunct w:val="0"/>
        <w:autoSpaceDE/>
        <w:autoSpaceDN/>
        <w:bidi w:val="0"/>
        <w:adjustRightInd/>
        <w:snapToGrid/>
        <w:spacing w:before="0" w:after="0" w:line="576" w:lineRule="exact"/>
        <w:ind w:left="0" w:leftChars="0" w:right="0" w:firstLine="640" w:firstLineChars="200"/>
        <w:jc w:val="both"/>
        <w:textAlignment w:val="auto"/>
        <w:rPr>
          <w:rFonts w:hint="eastAsia" w:ascii="仿宋_GB2312" w:hAnsi="仿宋_GB2312" w:eastAsia="仿宋_GB2312" w:cs="仿宋_GB2312"/>
          <w:color w:val="auto"/>
          <w:highlight w:val="none"/>
        </w:rPr>
      </w:pPr>
      <w:bookmarkStart w:id="95" w:name="_Toc15396625"/>
      <w:bookmarkStart w:id="96" w:name="_Toc9942"/>
      <w:r>
        <w:rPr>
          <w:rStyle w:val="23"/>
          <w:rFonts w:hint="eastAsia" w:ascii="仿宋_GB2312" w:hAnsi="仿宋_GB2312" w:eastAsia="仿宋_GB2312" w:cs="仿宋_GB2312"/>
          <w:b w:val="0"/>
          <w:bCs w:val="0"/>
          <w:color w:val="auto"/>
          <w:highlight w:val="none"/>
        </w:rPr>
        <w:t>七、</w:t>
      </w:r>
      <w:r>
        <w:rPr>
          <w:rFonts w:hint="eastAsia" w:ascii="仿宋_GB2312" w:hAnsi="仿宋_GB2312" w:eastAsia="仿宋_GB2312" w:cs="仿宋_GB2312"/>
          <w:b w:val="0"/>
          <w:color w:val="auto"/>
          <w:highlight w:val="none"/>
        </w:rPr>
        <w:t>一</w:t>
      </w:r>
      <w:r>
        <w:rPr>
          <w:rStyle w:val="23"/>
          <w:rFonts w:hint="eastAsia" w:ascii="仿宋_GB2312" w:hAnsi="仿宋_GB2312" w:eastAsia="仿宋_GB2312" w:cs="仿宋_GB2312"/>
          <w:b w:val="0"/>
          <w:bCs w:val="0"/>
          <w:color w:val="auto"/>
          <w:highlight w:val="none"/>
        </w:rPr>
        <w:t>般公共预算财政拨款支出决算明细表</w:t>
      </w:r>
      <w:bookmarkEnd w:id="95"/>
      <w:bookmarkEnd w:id="96"/>
    </w:p>
    <w:p w14:paraId="45E1AB7F">
      <w:pPr>
        <w:pStyle w:val="4"/>
        <w:keepNext/>
        <w:keepLines/>
        <w:pageBreakBefore w:val="0"/>
        <w:widowControl w:val="0"/>
        <w:shd w:val="clear"/>
        <w:kinsoku/>
        <w:wordWrap/>
        <w:overflowPunct/>
        <w:topLinePunct w:val="0"/>
        <w:autoSpaceDE/>
        <w:autoSpaceDN/>
        <w:bidi w:val="0"/>
        <w:adjustRightInd/>
        <w:snapToGrid/>
        <w:spacing w:before="0" w:after="0" w:line="576" w:lineRule="exact"/>
        <w:ind w:left="0" w:leftChars="0" w:right="0" w:firstLine="640" w:firstLineChars="200"/>
        <w:jc w:val="both"/>
        <w:textAlignment w:val="auto"/>
        <w:rPr>
          <w:rFonts w:hint="eastAsia" w:ascii="仿宋_GB2312" w:hAnsi="仿宋_GB2312" w:eastAsia="仿宋_GB2312" w:cs="仿宋_GB2312"/>
          <w:color w:val="auto"/>
          <w:highlight w:val="none"/>
        </w:rPr>
      </w:pPr>
      <w:bookmarkStart w:id="97" w:name="_Toc15396626"/>
      <w:bookmarkStart w:id="98" w:name="_Toc23027"/>
      <w:r>
        <w:rPr>
          <w:rStyle w:val="23"/>
          <w:rFonts w:hint="eastAsia" w:ascii="仿宋_GB2312" w:hAnsi="仿宋_GB2312" w:eastAsia="仿宋_GB2312" w:cs="仿宋_GB2312"/>
          <w:b w:val="0"/>
          <w:bCs w:val="0"/>
          <w:color w:val="auto"/>
          <w:highlight w:val="none"/>
        </w:rPr>
        <w:t>八、</w:t>
      </w:r>
      <w:r>
        <w:rPr>
          <w:rFonts w:hint="eastAsia" w:ascii="仿宋_GB2312" w:hAnsi="仿宋_GB2312" w:eastAsia="仿宋_GB2312" w:cs="仿宋_GB2312"/>
          <w:b w:val="0"/>
          <w:color w:val="auto"/>
          <w:highlight w:val="none"/>
        </w:rPr>
        <w:t>一</w:t>
      </w:r>
      <w:r>
        <w:rPr>
          <w:rStyle w:val="23"/>
          <w:rFonts w:hint="eastAsia" w:ascii="仿宋_GB2312" w:hAnsi="仿宋_GB2312" w:eastAsia="仿宋_GB2312" w:cs="仿宋_GB2312"/>
          <w:b w:val="0"/>
          <w:bCs w:val="0"/>
          <w:color w:val="auto"/>
          <w:highlight w:val="none"/>
        </w:rPr>
        <w:t>般公共预算财政拨款基本支出决算表</w:t>
      </w:r>
      <w:bookmarkEnd w:id="97"/>
      <w:bookmarkEnd w:id="98"/>
    </w:p>
    <w:p w14:paraId="53369351">
      <w:pPr>
        <w:pStyle w:val="4"/>
        <w:keepNext/>
        <w:keepLines/>
        <w:pageBreakBefore w:val="0"/>
        <w:widowControl w:val="0"/>
        <w:shd w:val="clear"/>
        <w:kinsoku/>
        <w:wordWrap/>
        <w:overflowPunct/>
        <w:topLinePunct w:val="0"/>
        <w:autoSpaceDE/>
        <w:autoSpaceDN/>
        <w:bidi w:val="0"/>
        <w:adjustRightInd/>
        <w:snapToGrid/>
        <w:spacing w:before="0" w:after="0" w:line="576" w:lineRule="exact"/>
        <w:ind w:left="0" w:leftChars="0" w:right="0" w:firstLine="640" w:firstLineChars="200"/>
        <w:jc w:val="both"/>
        <w:textAlignment w:val="auto"/>
        <w:rPr>
          <w:rFonts w:hint="eastAsia" w:ascii="仿宋_GB2312" w:hAnsi="仿宋_GB2312" w:eastAsia="仿宋_GB2312" w:cs="仿宋_GB2312"/>
          <w:color w:val="auto"/>
          <w:highlight w:val="none"/>
        </w:rPr>
      </w:pPr>
      <w:bookmarkStart w:id="99" w:name="_Toc15396627"/>
      <w:bookmarkStart w:id="100" w:name="_Toc24077"/>
      <w:r>
        <w:rPr>
          <w:rStyle w:val="23"/>
          <w:rFonts w:hint="eastAsia" w:ascii="仿宋_GB2312" w:hAnsi="仿宋_GB2312" w:eastAsia="仿宋_GB2312" w:cs="仿宋_GB2312"/>
          <w:b w:val="0"/>
          <w:bCs w:val="0"/>
          <w:color w:val="auto"/>
          <w:highlight w:val="none"/>
        </w:rPr>
        <w:t>九、</w:t>
      </w:r>
      <w:r>
        <w:rPr>
          <w:rFonts w:hint="eastAsia" w:ascii="仿宋_GB2312" w:hAnsi="仿宋_GB2312" w:eastAsia="仿宋_GB2312" w:cs="仿宋_GB2312"/>
          <w:b w:val="0"/>
          <w:color w:val="auto"/>
          <w:highlight w:val="none"/>
        </w:rPr>
        <w:t>一</w:t>
      </w:r>
      <w:r>
        <w:rPr>
          <w:rStyle w:val="23"/>
          <w:rFonts w:hint="eastAsia" w:ascii="仿宋_GB2312" w:hAnsi="仿宋_GB2312" w:eastAsia="仿宋_GB2312" w:cs="仿宋_GB2312"/>
          <w:b w:val="0"/>
          <w:bCs w:val="0"/>
          <w:color w:val="auto"/>
          <w:highlight w:val="none"/>
        </w:rPr>
        <w:t>般公共预算财政拨款项目支出决算表</w:t>
      </w:r>
      <w:bookmarkEnd w:id="99"/>
      <w:bookmarkEnd w:id="100"/>
    </w:p>
    <w:p w14:paraId="7C51AEDB">
      <w:pPr>
        <w:pStyle w:val="4"/>
        <w:keepNext/>
        <w:keepLines/>
        <w:pageBreakBefore w:val="0"/>
        <w:widowControl w:val="0"/>
        <w:shd w:val="clear"/>
        <w:kinsoku/>
        <w:wordWrap/>
        <w:overflowPunct/>
        <w:topLinePunct w:val="0"/>
        <w:autoSpaceDE/>
        <w:autoSpaceDN/>
        <w:bidi w:val="0"/>
        <w:adjustRightInd/>
        <w:snapToGrid/>
        <w:spacing w:before="0" w:after="0" w:line="576" w:lineRule="exact"/>
        <w:ind w:left="0" w:leftChars="0" w:right="0" w:firstLine="640" w:firstLineChars="200"/>
        <w:jc w:val="both"/>
        <w:textAlignment w:val="auto"/>
        <w:rPr>
          <w:rFonts w:hint="eastAsia" w:ascii="仿宋_GB2312" w:hAnsi="仿宋_GB2312" w:eastAsia="仿宋_GB2312" w:cs="仿宋_GB2312"/>
          <w:color w:val="auto"/>
          <w:highlight w:val="none"/>
        </w:rPr>
      </w:pPr>
      <w:bookmarkStart w:id="101" w:name="_Toc15396628"/>
      <w:bookmarkStart w:id="102" w:name="_Toc668"/>
      <w:r>
        <w:rPr>
          <w:rStyle w:val="23"/>
          <w:rFonts w:hint="eastAsia" w:ascii="仿宋_GB2312" w:hAnsi="仿宋_GB2312" w:eastAsia="仿宋_GB2312" w:cs="仿宋_GB2312"/>
          <w:b w:val="0"/>
          <w:bCs w:val="0"/>
          <w:color w:val="auto"/>
          <w:highlight w:val="none"/>
        </w:rPr>
        <w:t>十、</w:t>
      </w:r>
      <w:bookmarkEnd w:id="101"/>
      <w:r>
        <w:rPr>
          <w:rFonts w:hint="eastAsia" w:ascii="仿宋_GB2312" w:hAnsi="仿宋_GB2312" w:eastAsia="仿宋_GB2312" w:cs="仿宋_GB2312"/>
          <w:b w:val="0"/>
          <w:color w:val="auto"/>
          <w:highlight w:val="none"/>
        </w:rPr>
        <w:t>政</w:t>
      </w:r>
      <w:r>
        <w:rPr>
          <w:rStyle w:val="23"/>
          <w:rFonts w:hint="eastAsia" w:ascii="仿宋_GB2312" w:hAnsi="仿宋_GB2312" w:eastAsia="仿宋_GB2312" w:cs="仿宋_GB2312"/>
          <w:b w:val="0"/>
          <w:bCs w:val="0"/>
          <w:color w:val="auto"/>
          <w:highlight w:val="none"/>
        </w:rPr>
        <w:t>府性基金预算财政拨款收入支出决算表</w:t>
      </w:r>
      <w:bookmarkEnd w:id="102"/>
    </w:p>
    <w:p w14:paraId="258C5F85">
      <w:pPr>
        <w:pStyle w:val="4"/>
        <w:keepNext/>
        <w:keepLines/>
        <w:pageBreakBefore w:val="0"/>
        <w:widowControl w:val="0"/>
        <w:shd w:val="clear"/>
        <w:kinsoku/>
        <w:wordWrap/>
        <w:overflowPunct/>
        <w:topLinePunct w:val="0"/>
        <w:autoSpaceDE/>
        <w:autoSpaceDN/>
        <w:bidi w:val="0"/>
        <w:adjustRightInd/>
        <w:snapToGrid/>
        <w:spacing w:before="0" w:after="0" w:line="576" w:lineRule="exact"/>
        <w:ind w:left="0" w:leftChars="0" w:right="0" w:firstLine="640" w:firstLineChars="200"/>
        <w:jc w:val="both"/>
        <w:textAlignment w:val="auto"/>
        <w:rPr>
          <w:rFonts w:hint="eastAsia" w:ascii="仿宋_GB2312" w:hAnsi="仿宋_GB2312" w:eastAsia="仿宋_GB2312" w:cs="仿宋_GB2312"/>
          <w:color w:val="auto"/>
          <w:highlight w:val="none"/>
        </w:rPr>
      </w:pPr>
      <w:bookmarkStart w:id="103" w:name="_Toc15396629"/>
      <w:bookmarkStart w:id="104" w:name="_Toc9925"/>
      <w:r>
        <w:rPr>
          <w:rStyle w:val="23"/>
          <w:rFonts w:hint="eastAsia" w:ascii="仿宋_GB2312" w:hAnsi="仿宋_GB2312" w:eastAsia="仿宋_GB2312" w:cs="仿宋_GB2312"/>
          <w:b w:val="0"/>
          <w:bCs w:val="0"/>
          <w:color w:val="auto"/>
          <w:highlight w:val="none"/>
        </w:rPr>
        <w:t>十一、</w:t>
      </w:r>
      <w:bookmarkEnd w:id="103"/>
      <w:r>
        <w:rPr>
          <w:rFonts w:hint="eastAsia" w:ascii="仿宋_GB2312" w:hAnsi="仿宋_GB2312" w:eastAsia="仿宋_GB2312" w:cs="仿宋_GB2312"/>
          <w:b w:val="0"/>
          <w:color w:val="auto"/>
          <w:highlight w:val="none"/>
        </w:rPr>
        <w:t>国</w:t>
      </w:r>
      <w:r>
        <w:rPr>
          <w:rStyle w:val="23"/>
          <w:rFonts w:hint="eastAsia" w:ascii="仿宋_GB2312" w:hAnsi="仿宋_GB2312" w:eastAsia="仿宋_GB2312" w:cs="仿宋_GB2312"/>
          <w:b w:val="0"/>
          <w:bCs w:val="0"/>
          <w:color w:val="auto"/>
          <w:highlight w:val="none"/>
        </w:rPr>
        <w:t>有资本经营预算</w:t>
      </w:r>
      <w:r>
        <w:rPr>
          <w:rStyle w:val="23"/>
          <w:rFonts w:hint="eastAsia" w:ascii="仿宋_GB2312" w:hAnsi="仿宋_GB2312" w:eastAsia="仿宋_GB2312" w:cs="仿宋_GB2312"/>
          <w:b w:val="0"/>
          <w:bCs w:val="0"/>
          <w:color w:val="auto"/>
          <w:highlight w:val="none"/>
          <w:lang w:eastAsia="zh-CN"/>
        </w:rPr>
        <w:t>财政拨款收入</w:t>
      </w:r>
      <w:r>
        <w:rPr>
          <w:rStyle w:val="23"/>
          <w:rFonts w:hint="eastAsia" w:ascii="仿宋_GB2312" w:hAnsi="仿宋_GB2312" w:eastAsia="仿宋_GB2312" w:cs="仿宋_GB2312"/>
          <w:b w:val="0"/>
          <w:bCs w:val="0"/>
          <w:color w:val="auto"/>
          <w:highlight w:val="none"/>
        </w:rPr>
        <w:t>支出决算表</w:t>
      </w:r>
      <w:bookmarkEnd w:id="104"/>
    </w:p>
    <w:p w14:paraId="417A6917">
      <w:pPr>
        <w:pStyle w:val="4"/>
        <w:keepNext/>
        <w:keepLines/>
        <w:pageBreakBefore w:val="0"/>
        <w:widowControl w:val="0"/>
        <w:shd w:val="clear"/>
        <w:kinsoku/>
        <w:wordWrap/>
        <w:overflowPunct/>
        <w:topLinePunct w:val="0"/>
        <w:autoSpaceDE/>
        <w:autoSpaceDN/>
        <w:bidi w:val="0"/>
        <w:adjustRightInd/>
        <w:snapToGrid/>
        <w:spacing w:before="0" w:after="0" w:line="576" w:lineRule="exact"/>
        <w:ind w:left="0" w:leftChars="0" w:right="0" w:firstLine="640" w:firstLineChars="200"/>
        <w:jc w:val="both"/>
        <w:textAlignment w:val="auto"/>
        <w:rPr>
          <w:rFonts w:hint="eastAsia" w:ascii="仿宋_GB2312" w:hAnsi="仿宋_GB2312" w:eastAsia="仿宋_GB2312" w:cs="仿宋_GB2312"/>
          <w:color w:val="auto"/>
          <w:highlight w:val="none"/>
        </w:rPr>
      </w:pPr>
      <w:bookmarkStart w:id="105" w:name="_Toc15396630"/>
      <w:bookmarkStart w:id="106" w:name="_Toc22396"/>
      <w:r>
        <w:rPr>
          <w:rStyle w:val="23"/>
          <w:rFonts w:hint="eastAsia" w:ascii="仿宋_GB2312" w:hAnsi="仿宋_GB2312" w:eastAsia="仿宋_GB2312" w:cs="仿宋_GB2312"/>
          <w:b w:val="0"/>
          <w:bCs w:val="0"/>
          <w:color w:val="auto"/>
          <w:highlight w:val="none"/>
        </w:rPr>
        <w:t>十二、</w:t>
      </w:r>
      <w:bookmarkEnd w:id="105"/>
      <w:r>
        <w:rPr>
          <w:rStyle w:val="23"/>
          <w:rFonts w:hint="eastAsia" w:ascii="仿宋_GB2312" w:hAnsi="仿宋_GB2312" w:eastAsia="仿宋_GB2312" w:cs="仿宋_GB2312"/>
          <w:b w:val="0"/>
          <w:bCs w:val="0"/>
          <w:color w:val="auto"/>
          <w:highlight w:val="none"/>
          <w:lang w:eastAsia="zh-CN"/>
        </w:rPr>
        <w:t>国有资本经营预算财政拨款支出决算表</w:t>
      </w:r>
      <w:bookmarkEnd w:id="106"/>
    </w:p>
    <w:p w14:paraId="3351B54D">
      <w:pPr>
        <w:pStyle w:val="4"/>
        <w:keepNext/>
        <w:keepLines/>
        <w:pageBreakBefore w:val="0"/>
        <w:widowControl w:val="0"/>
        <w:shd w:val="clear"/>
        <w:kinsoku/>
        <w:wordWrap/>
        <w:overflowPunct/>
        <w:topLinePunct w:val="0"/>
        <w:autoSpaceDE/>
        <w:autoSpaceDN/>
        <w:bidi w:val="0"/>
        <w:adjustRightInd/>
        <w:snapToGrid/>
        <w:spacing w:before="0" w:after="0" w:line="576" w:lineRule="exact"/>
        <w:ind w:left="0" w:leftChars="0" w:right="0" w:firstLine="640" w:firstLineChars="200"/>
        <w:jc w:val="both"/>
        <w:textAlignment w:val="auto"/>
        <w:rPr>
          <w:rFonts w:hint="eastAsia" w:ascii="仿宋_GB2312" w:hAnsi="仿宋_GB2312" w:eastAsia="仿宋_GB2312" w:cs="仿宋_GB2312"/>
          <w:color w:val="auto"/>
          <w:highlight w:val="none"/>
          <w:lang w:eastAsia="zh-CN"/>
        </w:rPr>
      </w:pPr>
      <w:bookmarkStart w:id="107" w:name="_Toc15396631"/>
      <w:bookmarkStart w:id="108" w:name="_Toc13747"/>
      <w:r>
        <w:rPr>
          <w:rStyle w:val="23"/>
          <w:rFonts w:hint="eastAsia" w:ascii="仿宋_GB2312" w:hAnsi="仿宋_GB2312" w:eastAsia="仿宋_GB2312" w:cs="仿宋_GB2312"/>
          <w:b w:val="0"/>
          <w:bCs w:val="0"/>
          <w:color w:val="auto"/>
          <w:highlight w:val="none"/>
        </w:rPr>
        <w:t>十三、</w:t>
      </w:r>
      <w:bookmarkEnd w:id="107"/>
      <w:r>
        <w:rPr>
          <w:rStyle w:val="23"/>
          <w:rFonts w:hint="eastAsia" w:ascii="仿宋_GB2312" w:hAnsi="仿宋_GB2312" w:eastAsia="仿宋_GB2312" w:cs="仿宋_GB2312"/>
          <w:b w:val="0"/>
          <w:bCs w:val="0"/>
          <w:color w:val="auto"/>
          <w:highlight w:val="none"/>
          <w:lang w:eastAsia="zh-CN"/>
        </w:rPr>
        <w:t>财政拨款“三公”经费支出决算表</w:t>
      </w:r>
      <w:bookmarkEnd w:id="108"/>
    </w:p>
    <w:sectPr>
      <w:footerReference r:id="rId4" w:type="first"/>
      <w:footerReference r:id="rId3" w:type="default"/>
      <w:pgSz w:w="11906" w:h="16838"/>
      <w:pgMar w:top="2098" w:right="1474" w:bottom="1984" w:left="1587" w:header="851" w:footer="992" w:gutter="0"/>
      <w:pgNumType w:fmt="decimal" w:start="1"/>
      <w:cols w:space="0" w:num="1"/>
      <w:titlePg/>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3D2A095-BD5C-491E-B26A-A3234255406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5B504627-4D90-4E34-ABDE-77066409B91A}"/>
  </w:font>
  <w:font w:name="Cambria">
    <w:panose1 w:val="02040503050406030204"/>
    <w:charset w:val="00"/>
    <w:family w:val="roman"/>
    <w:pitch w:val="default"/>
    <w:sig w:usb0="E00006FF" w:usb1="420024FF" w:usb2="02000000" w:usb3="00000000" w:csb0="2000019F" w:csb1="00000000"/>
    <w:embedRegular r:id="rId3" w:fontKey="{D8440747-D26A-490E-A600-A6802B2922C2}"/>
  </w:font>
  <w:font w:name="仿宋_GB2312">
    <w:panose1 w:val="02010609030101010101"/>
    <w:charset w:val="86"/>
    <w:family w:val="modern"/>
    <w:pitch w:val="default"/>
    <w:sig w:usb0="00000001" w:usb1="080E0000" w:usb2="00000000" w:usb3="00000000" w:csb0="00040000" w:csb1="00000000"/>
    <w:embedRegular r:id="rId4" w:fontKey="{9417C46E-D4F0-45CE-B41E-DE5012EBBACC}"/>
  </w:font>
  <w:font w:name="仿宋">
    <w:panose1 w:val="02010609060101010101"/>
    <w:charset w:val="86"/>
    <w:family w:val="auto"/>
    <w:pitch w:val="default"/>
    <w:sig w:usb0="800002BF" w:usb1="38CF7CFA" w:usb2="00000016" w:usb3="00000000" w:csb0="00040001" w:csb1="00000000"/>
    <w:embedRegular r:id="rId5" w:fontKey="{EC3EBD3F-6B63-44BF-9661-C908D2209ACD}"/>
  </w:font>
  <w:font w:name="??">
    <w:altName w:val="Times New Roman"/>
    <w:panose1 w:val="00000000000000000000"/>
    <w:charset w:val="00"/>
    <w:family w:val="roman"/>
    <w:pitch w:val="default"/>
    <w:sig w:usb0="00000000" w:usb1="00000000" w:usb2="00000000" w:usb3="00000000" w:csb0="00000000" w:csb1="00000000"/>
  </w:font>
  <w:font w:name="方正小标宋简体">
    <w:altName w:val="Arial Unicode MS"/>
    <w:panose1 w:val="02010601030101010101"/>
    <w:charset w:val="86"/>
    <w:family w:val="script"/>
    <w:pitch w:val="default"/>
    <w:sig w:usb0="00000000" w:usb1="00000000" w:usb2="00000000" w:usb3="00000000" w:csb0="00040000" w:csb1="00000000"/>
    <w:embedRegular r:id="rId6" w:fontKey="{F716B882-C7AB-4872-91C1-370B4EA2E61A}"/>
  </w:font>
  <w:font w:name="方正小标宋_GBK">
    <w:panose1 w:val="03000509000000000000"/>
    <w:charset w:val="86"/>
    <w:family w:val="script"/>
    <w:pitch w:val="default"/>
    <w:sig w:usb0="00000001" w:usb1="080E0000" w:usb2="00000000" w:usb3="00000000" w:csb0="00040000" w:csb1="00000000"/>
    <w:embedRegular r:id="rId7" w:fontKey="{EF746163-CC0D-4F7F-BF24-D0646A576DC5}"/>
  </w:font>
  <w:font w:name="楷体_GB2312">
    <w:panose1 w:val="02010609030101010101"/>
    <w:charset w:val="86"/>
    <w:family w:val="auto"/>
    <w:pitch w:val="default"/>
    <w:sig w:usb0="00000001" w:usb1="080E0000" w:usb2="00000000" w:usb3="00000000" w:csb0="00040000" w:csb1="00000000"/>
    <w:embedRegular r:id="rId8" w:fontKey="{3FE77A6E-A744-45B4-9D69-6212F93F5237}"/>
  </w:font>
  <w:font w:name="微软雅黑">
    <w:panose1 w:val="020B0503020204020204"/>
    <w:charset w:val="86"/>
    <w:family w:val="auto"/>
    <w:pitch w:val="default"/>
    <w:sig w:usb0="80000287" w:usb1="2ACF3C50" w:usb2="00000016" w:usb3="00000000" w:csb0="0004001F" w:csb1="00000000"/>
    <w:embedRegular r:id="rId9" w:fontKey="{4C3B672B-C2BA-4674-B430-3D0FA8A310ED}"/>
  </w:font>
  <w:font w:name="Wingdings 2">
    <w:panose1 w:val="05020102010507070707"/>
    <w:charset w:val="00"/>
    <w:family w:val="auto"/>
    <w:pitch w:val="default"/>
    <w:sig w:usb0="00000000" w:usb1="00000000" w:usb2="00000000" w:usb3="00000000" w:csb0="80000000" w:csb1="00000000"/>
    <w:embedRegular r:id="rId10" w:fontKey="{F601C5D0-5550-445F-85C2-9933B2493FB3}"/>
  </w:font>
  <w:font w:name="Arial Unicode MS">
    <w:panose1 w:val="020B0604020202020204"/>
    <w:charset w:val="86"/>
    <w:family w:val="auto"/>
    <w:pitch w:val="default"/>
    <w:sig w:usb0="FFFFFFFF" w:usb1="E9FFFFFF" w:usb2="0000003F" w:usb3="00000000" w:csb0="603F01FF" w:csb1="FFFF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3BEDC2">
    <w:pPr>
      <w:pStyle w:val="11"/>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646AD3">
                          <w:pPr>
                            <w:pStyle w:val="1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0D646AD3">
                    <w:pPr>
                      <w:pStyle w:val="1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867569">
    <w:pPr>
      <w:pStyle w:val="11"/>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AA2C24">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0FAA2C24">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652CEC"/>
    <w:multiLevelType w:val="singleLevel"/>
    <w:tmpl w:val="CF652CEC"/>
    <w:lvl w:ilvl="0" w:tentative="0">
      <w:start w:val="9"/>
      <w:numFmt w:val="chineseCounting"/>
      <w:suff w:val="nothing"/>
      <w:lvlText w:val="%1、"/>
      <w:lvlJc w:val="left"/>
      <w:rPr>
        <w:rFonts w:hint="eastAsia"/>
      </w:rPr>
    </w:lvl>
  </w:abstractNum>
  <w:abstractNum w:abstractNumId="1">
    <w:nsid w:val="791FB83A"/>
    <w:multiLevelType w:val="singleLevel"/>
    <w:tmpl w:val="791FB83A"/>
    <w:lvl w:ilvl="0" w:tentative="0">
      <w:start w:val="1"/>
      <w:numFmt w:val="decimal"/>
      <w:suff w:val="nothing"/>
      <w:lvlText w:val="%1．"/>
      <w:lvlJc w:val="left"/>
      <w:pPr>
        <w:ind w:left="0" w:firstLine="40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TrueTypeFonts/>
  <w:saveSubset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M1ZWZiMGQ3NTg1YmJjMGY1MmZlMmYwNjQ0Nzk3NTMifQ=="/>
  </w:docVars>
  <w:rsids>
    <w:rsidRoot w:val="00F1361C"/>
    <w:rsid w:val="000222C6"/>
    <w:rsid w:val="0002549F"/>
    <w:rsid w:val="000468DB"/>
    <w:rsid w:val="0006487A"/>
    <w:rsid w:val="00065F8F"/>
    <w:rsid w:val="00070A43"/>
    <w:rsid w:val="000768F2"/>
    <w:rsid w:val="0009184B"/>
    <w:rsid w:val="00094236"/>
    <w:rsid w:val="0009593C"/>
    <w:rsid w:val="00097322"/>
    <w:rsid w:val="000A6A92"/>
    <w:rsid w:val="000B047F"/>
    <w:rsid w:val="000B5923"/>
    <w:rsid w:val="000B5A48"/>
    <w:rsid w:val="000B6FF3"/>
    <w:rsid w:val="000C3467"/>
    <w:rsid w:val="000C3CA6"/>
    <w:rsid w:val="000D1267"/>
    <w:rsid w:val="000D1D50"/>
    <w:rsid w:val="000D5782"/>
    <w:rsid w:val="000E6613"/>
    <w:rsid w:val="000E7119"/>
    <w:rsid w:val="00114E9B"/>
    <w:rsid w:val="00142216"/>
    <w:rsid w:val="00144D6A"/>
    <w:rsid w:val="0014729F"/>
    <w:rsid w:val="00157BAB"/>
    <w:rsid w:val="001654D1"/>
    <w:rsid w:val="00174518"/>
    <w:rsid w:val="0018106D"/>
    <w:rsid w:val="001877A7"/>
    <w:rsid w:val="00191536"/>
    <w:rsid w:val="00196687"/>
    <w:rsid w:val="001C0962"/>
    <w:rsid w:val="001D7531"/>
    <w:rsid w:val="001E737D"/>
    <w:rsid w:val="001F0592"/>
    <w:rsid w:val="001F7506"/>
    <w:rsid w:val="002006CD"/>
    <w:rsid w:val="00202B36"/>
    <w:rsid w:val="00204B7A"/>
    <w:rsid w:val="00204CDE"/>
    <w:rsid w:val="0021101A"/>
    <w:rsid w:val="00220536"/>
    <w:rsid w:val="00235629"/>
    <w:rsid w:val="00260C38"/>
    <w:rsid w:val="002616C0"/>
    <w:rsid w:val="00265372"/>
    <w:rsid w:val="002662AA"/>
    <w:rsid w:val="00280496"/>
    <w:rsid w:val="00294DC9"/>
    <w:rsid w:val="00295495"/>
    <w:rsid w:val="002A31DE"/>
    <w:rsid w:val="002B2613"/>
    <w:rsid w:val="002D6D05"/>
    <w:rsid w:val="002F1818"/>
    <w:rsid w:val="002F567B"/>
    <w:rsid w:val="003216A9"/>
    <w:rsid w:val="00335A74"/>
    <w:rsid w:val="0036561B"/>
    <w:rsid w:val="0037013F"/>
    <w:rsid w:val="00380C92"/>
    <w:rsid w:val="003A484F"/>
    <w:rsid w:val="003A4883"/>
    <w:rsid w:val="003B0BE0"/>
    <w:rsid w:val="003B0C1B"/>
    <w:rsid w:val="003B688C"/>
    <w:rsid w:val="003C0291"/>
    <w:rsid w:val="003C39AE"/>
    <w:rsid w:val="003C7B60"/>
    <w:rsid w:val="003D0C0F"/>
    <w:rsid w:val="003D1FB2"/>
    <w:rsid w:val="003D66DA"/>
    <w:rsid w:val="003E1310"/>
    <w:rsid w:val="003E6F55"/>
    <w:rsid w:val="00406254"/>
    <w:rsid w:val="004223DE"/>
    <w:rsid w:val="00434489"/>
    <w:rsid w:val="00437085"/>
    <w:rsid w:val="00443880"/>
    <w:rsid w:val="004464F4"/>
    <w:rsid w:val="00471401"/>
    <w:rsid w:val="00473F31"/>
    <w:rsid w:val="0048263A"/>
    <w:rsid w:val="00487E5D"/>
    <w:rsid w:val="004A711F"/>
    <w:rsid w:val="004B199D"/>
    <w:rsid w:val="004B4690"/>
    <w:rsid w:val="004E0A2D"/>
    <w:rsid w:val="004E206B"/>
    <w:rsid w:val="004E6DF7"/>
    <w:rsid w:val="004F0FBD"/>
    <w:rsid w:val="00505A47"/>
    <w:rsid w:val="00512FDA"/>
    <w:rsid w:val="00520DA0"/>
    <w:rsid w:val="005539A0"/>
    <w:rsid w:val="005664BB"/>
    <w:rsid w:val="00566FFA"/>
    <w:rsid w:val="0057481D"/>
    <w:rsid w:val="0058486E"/>
    <w:rsid w:val="00585B33"/>
    <w:rsid w:val="0059014D"/>
    <w:rsid w:val="005B5C64"/>
    <w:rsid w:val="005C5337"/>
    <w:rsid w:val="005C6BD0"/>
    <w:rsid w:val="005D1C8B"/>
    <w:rsid w:val="005D468D"/>
    <w:rsid w:val="005D5CED"/>
    <w:rsid w:val="005F1A4C"/>
    <w:rsid w:val="00605688"/>
    <w:rsid w:val="006070AF"/>
    <w:rsid w:val="00607E6C"/>
    <w:rsid w:val="006101B1"/>
    <w:rsid w:val="00614E44"/>
    <w:rsid w:val="0062270A"/>
    <w:rsid w:val="00622830"/>
    <w:rsid w:val="00623DA0"/>
    <w:rsid w:val="00630AEF"/>
    <w:rsid w:val="006325F8"/>
    <w:rsid w:val="00633463"/>
    <w:rsid w:val="00634C9A"/>
    <w:rsid w:val="006440E4"/>
    <w:rsid w:val="0066343B"/>
    <w:rsid w:val="00664777"/>
    <w:rsid w:val="006748A4"/>
    <w:rsid w:val="00681A31"/>
    <w:rsid w:val="00683E73"/>
    <w:rsid w:val="006A3141"/>
    <w:rsid w:val="006A5E34"/>
    <w:rsid w:val="006B2422"/>
    <w:rsid w:val="006B2B9A"/>
    <w:rsid w:val="006C1937"/>
    <w:rsid w:val="006F020C"/>
    <w:rsid w:val="007127B7"/>
    <w:rsid w:val="0071798E"/>
    <w:rsid w:val="007416B6"/>
    <w:rsid w:val="00746F48"/>
    <w:rsid w:val="0075404D"/>
    <w:rsid w:val="0076182A"/>
    <w:rsid w:val="00767B7E"/>
    <w:rsid w:val="007770C3"/>
    <w:rsid w:val="00784D24"/>
    <w:rsid w:val="00785FBA"/>
    <w:rsid w:val="00786E4A"/>
    <w:rsid w:val="007875EB"/>
    <w:rsid w:val="0079426B"/>
    <w:rsid w:val="007D1682"/>
    <w:rsid w:val="007D312A"/>
    <w:rsid w:val="007D3F19"/>
    <w:rsid w:val="007E23B0"/>
    <w:rsid w:val="007E23E5"/>
    <w:rsid w:val="007F1991"/>
    <w:rsid w:val="007F2C2F"/>
    <w:rsid w:val="007F55FC"/>
    <w:rsid w:val="007F5665"/>
    <w:rsid w:val="00800112"/>
    <w:rsid w:val="00813348"/>
    <w:rsid w:val="008253BB"/>
    <w:rsid w:val="0083706E"/>
    <w:rsid w:val="008408F6"/>
    <w:rsid w:val="008423A5"/>
    <w:rsid w:val="00850625"/>
    <w:rsid w:val="00853718"/>
    <w:rsid w:val="00855221"/>
    <w:rsid w:val="00860645"/>
    <w:rsid w:val="00871F71"/>
    <w:rsid w:val="00872FD8"/>
    <w:rsid w:val="00885AF4"/>
    <w:rsid w:val="008939CD"/>
    <w:rsid w:val="008B768C"/>
    <w:rsid w:val="008C4DB1"/>
    <w:rsid w:val="008C4EAF"/>
    <w:rsid w:val="008C5176"/>
    <w:rsid w:val="008C7FD0"/>
    <w:rsid w:val="008E1DE7"/>
    <w:rsid w:val="008E707C"/>
    <w:rsid w:val="00900B08"/>
    <w:rsid w:val="00902155"/>
    <w:rsid w:val="00902FA3"/>
    <w:rsid w:val="00905C77"/>
    <w:rsid w:val="00923564"/>
    <w:rsid w:val="0092392E"/>
    <w:rsid w:val="009315F9"/>
    <w:rsid w:val="00933499"/>
    <w:rsid w:val="00935C98"/>
    <w:rsid w:val="00946945"/>
    <w:rsid w:val="00951248"/>
    <w:rsid w:val="0095152F"/>
    <w:rsid w:val="00954C49"/>
    <w:rsid w:val="00955E37"/>
    <w:rsid w:val="0097099F"/>
    <w:rsid w:val="00971997"/>
    <w:rsid w:val="00971FFC"/>
    <w:rsid w:val="0098660A"/>
    <w:rsid w:val="009931C3"/>
    <w:rsid w:val="009B2C43"/>
    <w:rsid w:val="009B4EAE"/>
    <w:rsid w:val="009B7573"/>
    <w:rsid w:val="009C22F4"/>
    <w:rsid w:val="009C2A4B"/>
    <w:rsid w:val="009C2E98"/>
    <w:rsid w:val="009D3447"/>
    <w:rsid w:val="009D4711"/>
    <w:rsid w:val="009F1185"/>
    <w:rsid w:val="009F18CD"/>
    <w:rsid w:val="009F2A13"/>
    <w:rsid w:val="009F7527"/>
    <w:rsid w:val="00A04EB0"/>
    <w:rsid w:val="00A13CC1"/>
    <w:rsid w:val="00A16847"/>
    <w:rsid w:val="00A237D8"/>
    <w:rsid w:val="00A268C4"/>
    <w:rsid w:val="00A307CD"/>
    <w:rsid w:val="00A331C8"/>
    <w:rsid w:val="00A40A00"/>
    <w:rsid w:val="00A4142F"/>
    <w:rsid w:val="00A422EB"/>
    <w:rsid w:val="00A45BB7"/>
    <w:rsid w:val="00A56DF2"/>
    <w:rsid w:val="00A56E6E"/>
    <w:rsid w:val="00A67AB5"/>
    <w:rsid w:val="00A733B2"/>
    <w:rsid w:val="00A741C2"/>
    <w:rsid w:val="00A91760"/>
    <w:rsid w:val="00A93B00"/>
    <w:rsid w:val="00A93C21"/>
    <w:rsid w:val="00AB64C9"/>
    <w:rsid w:val="00AC3C6A"/>
    <w:rsid w:val="00AD5620"/>
    <w:rsid w:val="00AD656B"/>
    <w:rsid w:val="00AD7C1B"/>
    <w:rsid w:val="00AE16BA"/>
    <w:rsid w:val="00AE1EBE"/>
    <w:rsid w:val="00B03C9D"/>
    <w:rsid w:val="00B060AE"/>
    <w:rsid w:val="00B10517"/>
    <w:rsid w:val="00B14E76"/>
    <w:rsid w:val="00B161B8"/>
    <w:rsid w:val="00B2048C"/>
    <w:rsid w:val="00B310B9"/>
    <w:rsid w:val="00B35F3F"/>
    <w:rsid w:val="00B36CBB"/>
    <w:rsid w:val="00B425E0"/>
    <w:rsid w:val="00B440AA"/>
    <w:rsid w:val="00B44B70"/>
    <w:rsid w:val="00B53C56"/>
    <w:rsid w:val="00B57DAF"/>
    <w:rsid w:val="00B77EA6"/>
    <w:rsid w:val="00B81598"/>
    <w:rsid w:val="00B841F1"/>
    <w:rsid w:val="00B944D6"/>
    <w:rsid w:val="00BB4DF0"/>
    <w:rsid w:val="00BC289F"/>
    <w:rsid w:val="00BC2D50"/>
    <w:rsid w:val="00BC5361"/>
    <w:rsid w:val="00BC5460"/>
    <w:rsid w:val="00BC6B50"/>
    <w:rsid w:val="00BD0E25"/>
    <w:rsid w:val="00BF5BD6"/>
    <w:rsid w:val="00C03E31"/>
    <w:rsid w:val="00C33E72"/>
    <w:rsid w:val="00C354B2"/>
    <w:rsid w:val="00C35554"/>
    <w:rsid w:val="00C42709"/>
    <w:rsid w:val="00C533CC"/>
    <w:rsid w:val="00C5751C"/>
    <w:rsid w:val="00C61BFC"/>
    <w:rsid w:val="00C62B85"/>
    <w:rsid w:val="00C65438"/>
    <w:rsid w:val="00C87FD8"/>
    <w:rsid w:val="00C91381"/>
    <w:rsid w:val="00C91CBB"/>
    <w:rsid w:val="00CB4E70"/>
    <w:rsid w:val="00CC09B6"/>
    <w:rsid w:val="00CC666F"/>
    <w:rsid w:val="00CD1E3F"/>
    <w:rsid w:val="00CE44F6"/>
    <w:rsid w:val="00CE49DA"/>
    <w:rsid w:val="00CE7B61"/>
    <w:rsid w:val="00D00095"/>
    <w:rsid w:val="00D114F0"/>
    <w:rsid w:val="00D20620"/>
    <w:rsid w:val="00D254F7"/>
    <w:rsid w:val="00D26091"/>
    <w:rsid w:val="00D2685C"/>
    <w:rsid w:val="00D34E7C"/>
    <w:rsid w:val="00D35489"/>
    <w:rsid w:val="00D36AFE"/>
    <w:rsid w:val="00D51276"/>
    <w:rsid w:val="00D7035F"/>
    <w:rsid w:val="00DA634F"/>
    <w:rsid w:val="00DA65AC"/>
    <w:rsid w:val="00DB1913"/>
    <w:rsid w:val="00DC410D"/>
    <w:rsid w:val="00DC5A81"/>
    <w:rsid w:val="00DC68CA"/>
    <w:rsid w:val="00DC7CBA"/>
    <w:rsid w:val="00DD5E1E"/>
    <w:rsid w:val="00DD73B7"/>
    <w:rsid w:val="00DF28BC"/>
    <w:rsid w:val="00DF34B9"/>
    <w:rsid w:val="00E01053"/>
    <w:rsid w:val="00E07ACF"/>
    <w:rsid w:val="00E331A1"/>
    <w:rsid w:val="00E33202"/>
    <w:rsid w:val="00E336A9"/>
    <w:rsid w:val="00E472B1"/>
    <w:rsid w:val="00E50624"/>
    <w:rsid w:val="00E568DF"/>
    <w:rsid w:val="00E64269"/>
    <w:rsid w:val="00E82267"/>
    <w:rsid w:val="00E853CE"/>
    <w:rsid w:val="00E867B6"/>
    <w:rsid w:val="00EA010F"/>
    <w:rsid w:val="00ED1B63"/>
    <w:rsid w:val="00ED3C1F"/>
    <w:rsid w:val="00ED4085"/>
    <w:rsid w:val="00ED420E"/>
    <w:rsid w:val="00ED6FBE"/>
    <w:rsid w:val="00EE2F57"/>
    <w:rsid w:val="00EF4C34"/>
    <w:rsid w:val="00EF77C6"/>
    <w:rsid w:val="00F05438"/>
    <w:rsid w:val="00F1361C"/>
    <w:rsid w:val="00F156F0"/>
    <w:rsid w:val="00F160C7"/>
    <w:rsid w:val="00F2408F"/>
    <w:rsid w:val="00F240E9"/>
    <w:rsid w:val="00F36D8F"/>
    <w:rsid w:val="00F417B1"/>
    <w:rsid w:val="00F45853"/>
    <w:rsid w:val="00F602DF"/>
    <w:rsid w:val="00F754A1"/>
    <w:rsid w:val="00F81FD9"/>
    <w:rsid w:val="00F841AA"/>
    <w:rsid w:val="00F84A94"/>
    <w:rsid w:val="00F87E96"/>
    <w:rsid w:val="00FA23E8"/>
    <w:rsid w:val="00FD3CC1"/>
    <w:rsid w:val="00FF1E02"/>
    <w:rsid w:val="00FF30B4"/>
    <w:rsid w:val="012C2953"/>
    <w:rsid w:val="012E0E67"/>
    <w:rsid w:val="015975B8"/>
    <w:rsid w:val="016B6FCE"/>
    <w:rsid w:val="017908B3"/>
    <w:rsid w:val="017D4F5C"/>
    <w:rsid w:val="019B651B"/>
    <w:rsid w:val="02072A78"/>
    <w:rsid w:val="02143E91"/>
    <w:rsid w:val="027068C8"/>
    <w:rsid w:val="028D7421"/>
    <w:rsid w:val="02CB619B"/>
    <w:rsid w:val="02F2666D"/>
    <w:rsid w:val="031B2C7F"/>
    <w:rsid w:val="0341645D"/>
    <w:rsid w:val="03C5162B"/>
    <w:rsid w:val="03E80D7F"/>
    <w:rsid w:val="03FB03BA"/>
    <w:rsid w:val="04194CE4"/>
    <w:rsid w:val="045F2914"/>
    <w:rsid w:val="047B6DFE"/>
    <w:rsid w:val="04A5155D"/>
    <w:rsid w:val="051F6688"/>
    <w:rsid w:val="054933A7"/>
    <w:rsid w:val="05883ED0"/>
    <w:rsid w:val="05A621D8"/>
    <w:rsid w:val="05B95961"/>
    <w:rsid w:val="05EF03F3"/>
    <w:rsid w:val="064D59E4"/>
    <w:rsid w:val="066E0107"/>
    <w:rsid w:val="066E1317"/>
    <w:rsid w:val="06B70F10"/>
    <w:rsid w:val="06F35CC1"/>
    <w:rsid w:val="072A1B9B"/>
    <w:rsid w:val="074F4C03"/>
    <w:rsid w:val="07996F6E"/>
    <w:rsid w:val="07D63264"/>
    <w:rsid w:val="07F817E1"/>
    <w:rsid w:val="080812F8"/>
    <w:rsid w:val="08AD1803"/>
    <w:rsid w:val="08D23AAF"/>
    <w:rsid w:val="08E25FED"/>
    <w:rsid w:val="09216B15"/>
    <w:rsid w:val="09220301"/>
    <w:rsid w:val="093B55D8"/>
    <w:rsid w:val="094E7C4E"/>
    <w:rsid w:val="095D7721"/>
    <w:rsid w:val="099A2423"/>
    <w:rsid w:val="09CB4CD3"/>
    <w:rsid w:val="0A2032A3"/>
    <w:rsid w:val="0A2C5771"/>
    <w:rsid w:val="0A5D1DCF"/>
    <w:rsid w:val="0A9D21CB"/>
    <w:rsid w:val="0AA01CBB"/>
    <w:rsid w:val="0B61144B"/>
    <w:rsid w:val="0B7A69B0"/>
    <w:rsid w:val="0B813C4B"/>
    <w:rsid w:val="0B923CFA"/>
    <w:rsid w:val="0C0676B5"/>
    <w:rsid w:val="0C450D6C"/>
    <w:rsid w:val="0D1129FD"/>
    <w:rsid w:val="0D355F6B"/>
    <w:rsid w:val="0DDA7292"/>
    <w:rsid w:val="0E1C78AB"/>
    <w:rsid w:val="0E9D1C3F"/>
    <w:rsid w:val="0EAF3BDB"/>
    <w:rsid w:val="0EC341CA"/>
    <w:rsid w:val="0ECE0E49"/>
    <w:rsid w:val="0ED1606F"/>
    <w:rsid w:val="0F98263C"/>
    <w:rsid w:val="101860EC"/>
    <w:rsid w:val="10246EEB"/>
    <w:rsid w:val="103906D1"/>
    <w:rsid w:val="108F5D13"/>
    <w:rsid w:val="10AD6463"/>
    <w:rsid w:val="10C055FF"/>
    <w:rsid w:val="11531836"/>
    <w:rsid w:val="118107EC"/>
    <w:rsid w:val="11BD75F7"/>
    <w:rsid w:val="11C646FD"/>
    <w:rsid w:val="11F306BE"/>
    <w:rsid w:val="12335430"/>
    <w:rsid w:val="123C0897"/>
    <w:rsid w:val="125735A8"/>
    <w:rsid w:val="12696E37"/>
    <w:rsid w:val="129427F1"/>
    <w:rsid w:val="12A367ED"/>
    <w:rsid w:val="12A52565"/>
    <w:rsid w:val="12EA69DD"/>
    <w:rsid w:val="12FE511D"/>
    <w:rsid w:val="13545D39"/>
    <w:rsid w:val="13C24A51"/>
    <w:rsid w:val="13C56DD1"/>
    <w:rsid w:val="13D43D02"/>
    <w:rsid w:val="13D50BC4"/>
    <w:rsid w:val="14322FD4"/>
    <w:rsid w:val="14373691"/>
    <w:rsid w:val="144C79BF"/>
    <w:rsid w:val="14755B91"/>
    <w:rsid w:val="147A1C07"/>
    <w:rsid w:val="14975EDD"/>
    <w:rsid w:val="14D75E2F"/>
    <w:rsid w:val="15363948"/>
    <w:rsid w:val="153951E6"/>
    <w:rsid w:val="1548435F"/>
    <w:rsid w:val="15F17635"/>
    <w:rsid w:val="162D07CF"/>
    <w:rsid w:val="16353AA0"/>
    <w:rsid w:val="1647732A"/>
    <w:rsid w:val="164E081E"/>
    <w:rsid w:val="166B13D0"/>
    <w:rsid w:val="16BB723D"/>
    <w:rsid w:val="16E3540A"/>
    <w:rsid w:val="17606A5A"/>
    <w:rsid w:val="17A70B2D"/>
    <w:rsid w:val="17C84600"/>
    <w:rsid w:val="17CD1C16"/>
    <w:rsid w:val="17EF10A1"/>
    <w:rsid w:val="17F04282"/>
    <w:rsid w:val="181066D2"/>
    <w:rsid w:val="181141F9"/>
    <w:rsid w:val="18520C2A"/>
    <w:rsid w:val="186E51A7"/>
    <w:rsid w:val="188D19A7"/>
    <w:rsid w:val="189C7F66"/>
    <w:rsid w:val="19344C26"/>
    <w:rsid w:val="19490C01"/>
    <w:rsid w:val="196E055B"/>
    <w:rsid w:val="197467ED"/>
    <w:rsid w:val="198A0064"/>
    <w:rsid w:val="19D90D46"/>
    <w:rsid w:val="1A2E2E40"/>
    <w:rsid w:val="1A323748"/>
    <w:rsid w:val="1AF51BB0"/>
    <w:rsid w:val="1B0224A6"/>
    <w:rsid w:val="1B0B13D3"/>
    <w:rsid w:val="1B446693"/>
    <w:rsid w:val="1B903686"/>
    <w:rsid w:val="1BD34424"/>
    <w:rsid w:val="1BDA6A19"/>
    <w:rsid w:val="1BE8440E"/>
    <w:rsid w:val="1BF9122C"/>
    <w:rsid w:val="1C166281"/>
    <w:rsid w:val="1C240397"/>
    <w:rsid w:val="1C4E680E"/>
    <w:rsid w:val="1C745B2B"/>
    <w:rsid w:val="1C7B4336"/>
    <w:rsid w:val="1C890A8C"/>
    <w:rsid w:val="1C896A53"/>
    <w:rsid w:val="1CC01D49"/>
    <w:rsid w:val="1CF77E57"/>
    <w:rsid w:val="1D1327C1"/>
    <w:rsid w:val="1D155CEE"/>
    <w:rsid w:val="1D7E40DE"/>
    <w:rsid w:val="1DA376A1"/>
    <w:rsid w:val="1DC1221D"/>
    <w:rsid w:val="1E1C7453"/>
    <w:rsid w:val="1E234C86"/>
    <w:rsid w:val="1E441C79"/>
    <w:rsid w:val="1E683904"/>
    <w:rsid w:val="1E8E1A9F"/>
    <w:rsid w:val="1E91399D"/>
    <w:rsid w:val="1EBB2ACE"/>
    <w:rsid w:val="1F4F2C99"/>
    <w:rsid w:val="1F954F59"/>
    <w:rsid w:val="1FC876F0"/>
    <w:rsid w:val="1FCA74DA"/>
    <w:rsid w:val="1FF35744"/>
    <w:rsid w:val="20325A09"/>
    <w:rsid w:val="20564E9E"/>
    <w:rsid w:val="20BB73F7"/>
    <w:rsid w:val="21350C35"/>
    <w:rsid w:val="2180661A"/>
    <w:rsid w:val="21937A2C"/>
    <w:rsid w:val="21AB746C"/>
    <w:rsid w:val="21D73DBD"/>
    <w:rsid w:val="22097CEF"/>
    <w:rsid w:val="22AE0442"/>
    <w:rsid w:val="22B45EAC"/>
    <w:rsid w:val="230C3F3A"/>
    <w:rsid w:val="23362D65"/>
    <w:rsid w:val="234D3B4C"/>
    <w:rsid w:val="2384170E"/>
    <w:rsid w:val="23860B96"/>
    <w:rsid w:val="23906919"/>
    <w:rsid w:val="239F6B5C"/>
    <w:rsid w:val="23C40371"/>
    <w:rsid w:val="23C967FE"/>
    <w:rsid w:val="23F9517F"/>
    <w:rsid w:val="23FA0237"/>
    <w:rsid w:val="240371BF"/>
    <w:rsid w:val="24443260"/>
    <w:rsid w:val="24480FA2"/>
    <w:rsid w:val="244F2331"/>
    <w:rsid w:val="246833F2"/>
    <w:rsid w:val="247A182C"/>
    <w:rsid w:val="2480698E"/>
    <w:rsid w:val="24B1461E"/>
    <w:rsid w:val="24B80340"/>
    <w:rsid w:val="24C36326"/>
    <w:rsid w:val="24EA3E07"/>
    <w:rsid w:val="25050C41"/>
    <w:rsid w:val="25592D3B"/>
    <w:rsid w:val="25714529"/>
    <w:rsid w:val="259B1A98"/>
    <w:rsid w:val="25D950F1"/>
    <w:rsid w:val="266B3D09"/>
    <w:rsid w:val="26B00924"/>
    <w:rsid w:val="26C26CF7"/>
    <w:rsid w:val="27421CD9"/>
    <w:rsid w:val="27547C5E"/>
    <w:rsid w:val="27802801"/>
    <w:rsid w:val="27C538EF"/>
    <w:rsid w:val="28041684"/>
    <w:rsid w:val="284B2D09"/>
    <w:rsid w:val="28F263D7"/>
    <w:rsid w:val="2967011C"/>
    <w:rsid w:val="296A3769"/>
    <w:rsid w:val="29842A7C"/>
    <w:rsid w:val="29AF561F"/>
    <w:rsid w:val="29ED20D0"/>
    <w:rsid w:val="29FD04D3"/>
    <w:rsid w:val="2A1829E9"/>
    <w:rsid w:val="2A5971BD"/>
    <w:rsid w:val="2A6B01DE"/>
    <w:rsid w:val="2A7E3970"/>
    <w:rsid w:val="2A861DB1"/>
    <w:rsid w:val="2A8D5961"/>
    <w:rsid w:val="2A9F295E"/>
    <w:rsid w:val="2AB0456A"/>
    <w:rsid w:val="2AD215C5"/>
    <w:rsid w:val="2AFA603F"/>
    <w:rsid w:val="2B1B1E80"/>
    <w:rsid w:val="2B404781"/>
    <w:rsid w:val="2B824D9A"/>
    <w:rsid w:val="2C057779"/>
    <w:rsid w:val="2C484235"/>
    <w:rsid w:val="2C8A61B5"/>
    <w:rsid w:val="2C994A91"/>
    <w:rsid w:val="2CC31B0E"/>
    <w:rsid w:val="2CDF7FCA"/>
    <w:rsid w:val="2D3D4257"/>
    <w:rsid w:val="2DA07759"/>
    <w:rsid w:val="2DAC37B8"/>
    <w:rsid w:val="2DF04E50"/>
    <w:rsid w:val="2E154931"/>
    <w:rsid w:val="2E17648F"/>
    <w:rsid w:val="2E2F0BED"/>
    <w:rsid w:val="2EFA3161"/>
    <w:rsid w:val="2F040D46"/>
    <w:rsid w:val="2F1C72B3"/>
    <w:rsid w:val="2F2B74F6"/>
    <w:rsid w:val="2F326AD7"/>
    <w:rsid w:val="2F757C4D"/>
    <w:rsid w:val="2F9F5104"/>
    <w:rsid w:val="2FB83480"/>
    <w:rsid w:val="2FC06745"/>
    <w:rsid w:val="2FE75B13"/>
    <w:rsid w:val="302F23F1"/>
    <w:rsid w:val="305746FB"/>
    <w:rsid w:val="306D4B10"/>
    <w:rsid w:val="309A4933"/>
    <w:rsid w:val="30C23E8A"/>
    <w:rsid w:val="310258EB"/>
    <w:rsid w:val="3103739A"/>
    <w:rsid w:val="31402273"/>
    <w:rsid w:val="31921AAF"/>
    <w:rsid w:val="319F7F4E"/>
    <w:rsid w:val="31D976DD"/>
    <w:rsid w:val="31EB0DC6"/>
    <w:rsid w:val="31FC5965"/>
    <w:rsid w:val="32A9493D"/>
    <w:rsid w:val="32E7038D"/>
    <w:rsid w:val="32F3178E"/>
    <w:rsid w:val="3304709D"/>
    <w:rsid w:val="333170A5"/>
    <w:rsid w:val="33462B51"/>
    <w:rsid w:val="335334BF"/>
    <w:rsid w:val="338E797F"/>
    <w:rsid w:val="33D60378"/>
    <w:rsid w:val="33DC16B1"/>
    <w:rsid w:val="342015F4"/>
    <w:rsid w:val="34CF3FF7"/>
    <w:rsid w:val="34D4418C"/>
    <w:rsid w:val="35011425"/>
    <w:rsid w:val="35156C7E"/>
    <w:rsid w:val="35616327"/>
    <w:rsid w:val="35A3428A"/>
    <w:rsid w:val="35C46889"/>
    <w:rsid w:val="35C51E40"/>
    <w:rsid w:val="35D8123B"/>
    <w:rsid w:val="36341894"/>
    <w:rsid w:val="365C2533"/>
    <w:rsid w:val="366C0B20"/>
    <w:rsid w:val="36AA33F6"/>
    <w:rsid w:val="36AA5135"/>
    <w:rsid w:val="36AA5AEC"/>
    <w:rsid w:val="36BF1BB3"/>
    <w:rsid w:val="36C070BE"/>
    <w:rsid w:val="36D2322F"/>
    <w:rsid w:val="370E607B"/>
    <w:rsid w:val="375717D0"/>
    <w:rsid w:val="37623CD1"/>
    <w:rsid w:val="37634043"/>
    <w:rsid w:val="37656303"/>
    <w:rsid w:val="376D39B2"/>
    <w:rsid w:val="379876F3"/>
    <w:rsid w:val="37C25085"/>
    <w:rsid w:val="37CF154C"/>
    <w:rsid w:val="37E16F03"/>
    <w:rsid w:val="38A00F55"/>
    <w:rsid w:val="38A071A7"/>
    <w:rsid w:val="38BA5D19"/>
    <w:rsid w:val="38C2634A"/>
    <w:rsid w:val="38C636BC"/>
    <w:rsid w:val="38D469F0"/>
    <w:rsid w:val="38FC71D8"/>
    <w:rsid w:val="38FE7A29"/>
    <w:rsid w:val="393A4F06"/>
    <w:rsid w:val="399C796E"/>
    <w:rsid w:val="39C112FD"/>
    <w:rsid w:val="3AC52930"/>
    <w:rsid w:val="3ADB2718"/>
    <w:rsid w:val="3B267DF9"/>
    <w:rsid w:val="3B3836C7"/>
    <w:rsid w:val="3B6F5C66"/>
    <w:rsid w:val="3B7C147E"/>
    <w:rsid w:val="3B8B38BD"/>
    <w:rsid w:val="3BBD2212"/>
    <w:rsid w:val="3BDF5AF0"/>
    <w:rsid w:val="3BE4741F"/>
    <w:rsid w:val="3BF13876"/>
    <w:rsid w:val="3C243FDC"/>
    <w:rsid w:val="3C5C1637"/>
    <w:rsid w:val="3CB50A4A"/>
    <w:rsid w:val="3D0025DB"/>
    <w:rsid w:val="3D0A2E41"/>
    <w:rsid w:val="3D5567B2"/>
    <w:rsid w:val="3D5C67C4"/>
    <w:rsid w:val="3D956BAE"/>
    <w:rsid w:val="3D98207C"/>
    <w:rsid w:val="3D995F73"/>
    <w:rsid w:val="3DCF498A"/>
    <w:rsid w:val="3DDE0AF1"/>
    <w:rsid w:val="3E2D4EAB"/>
    <w:rsid w:val="3E2E2EE1"/>
    <w:rsid w:val="3E78745D"/>
    <w:rsid w:val="3EA232A1"/>
    <w:rsid w:val="3EB26382"/>
    <w:rsid w:val="3F0563ED"/>
    <w:rsid w:val="3F0C35AB"/>
    <w:rsid w:val="3F60554B"/>
    <w:rsid w:val="3F636838"/>
    <w:rsid w:val="3F7C276E"/>
    <w:rsid w:val="3FB53A23"/>
    <w:rsid w:val="40154078"/>
    <w:rsid w:val="402D7572"/>
    <w:rsid w:val="40416B7A"/>
    <w:rsid w:val="405E0B0B"/>
    <w:rsid w:val="40953369"/>
    <w:rsid w:val="41265D6F"/>
    <w:rsid w:val="412C5A7C"/>
    <w:rsid w:val="416E7CC2"/>
    <w:rsid w:val="41A73354"/>
    <w:rsid w:val="41C952EA"/>
    <w:rsid w:val="41DB2FFE"/>
    <w:rsid w:val="425D1C65"/>
    <w:rsid w:val="42A653BA"/>
    <w:rsid w:val="42A87384"/>
    <w:rsid w:val="43AF2554"/>
    <w:rsid w:val="43CF573E"/>
    <w:rsid w:val="440968EA"/>
    <w:rsid w:val="441C6A36"/>
    <w:rsid w:val="44764321"/>
    <w:rsid w:val="449E3A0B"/>
    <w:rsid w:val="44E268DA"/>
    <w:rsid w:val="45132AAF"/>
    <w:rsid w:val="46712183"/>
    <w:rsid w:val="46870F1C"/>
    <w:rsid w:val="46C2744B"/>
    <w:rsid w:val="46E543AC"/>
    <w:rsid w:val="46F81F5C"/>
    <w:rsid w:val="472D60AA"/>
    <w:rsid w:val="47356D0C"/>
    <w:rsid w:val="473A4323"/>
    <w:rsid w:val="474A6C5C"/>
    <w:rsid w:val="47B61E19"/>
    <w:rsid w:val="47BE31A6"/>
    <w:rsid w:val="48C03DAA"/>
    <w:rsid w:val="490C166A"/>
    <w:rsid w:val="495871F1"/>
    <w:rsid w:val="49AF6C96"/>
    <w:rsid w:val="49BA5907"/>
    <w:rsid w:val="49BD3F99"/>
    <w:rsid w:val="4A0F5F3A"/>
    <w:rsid w:val="4A266DE0"/>
    <w:rsid w:val="4A627F82"/>
    <w:rsid w:val="4A994138"/>
    <w:rsid w:val="4AD373E7"/>
    <w:rsid w:val="4ADE4831"/>
    <w:rsid w:val="4B0E749A"/>
    <w:rsid w:val="4B4F25DA"/>
    <w:rsid w:val="4B9E2A0A"/>
    <w:rsid w:val="4BD05255"/>
    <w:rsid w:val="4BD202F5"/>
    <w:rsid w:val="4BE068DB"/>
    <w:rsid w:val="4BE937DC"/>
    <w:rsid w:val="4C621B1B"/>
    <w:rsid w:val="4CDB2104"/>
    <w:rsid w:val="4CF65190"/>
    <w:rsid w:val="4D16313C"/>
    <w:rsid w:val="4D577224"/>
    <w:rsid w:val="4D62093D"/>
    <w:rsid w:val="4D956757"/>
    <w:rsid w:val="4DFC53E1"/>
    <w:rsid w:val="4E1B457E"/>
    <w:rsid w:val="4E3A10AC"/>
    <w:rsid w:val="4E9B5FEF"/>
    <w:rsid w:val="4EAB630A"/>
    <w:rsid w:val="4ECE2238"/>
    <w:rsid w:val="4ECF3EEA"/>
    <w:rsid w:val="4F35399B"/>
    <w:rsid w:val="4F8413E5"/>
    <w:rsid w:val="502D711A"/>
    <w:rsid w:val="51256043"/>
    <w:rsid w:val="51363DAD"/>
    <w:rsid w:val="514F14C2"/>
    <w:rsid w:val="515D3A2F"/>
    <w:rsid w:val="51962A9D"/>
    <w:rsid w:val="51CB2747"/>
    <w:rsid w:val="51DB16D8"/>
    <w:rsid w:val="524E5126"/>
    <w:rsid w:val="525564B4"/>
    <w:rsid w:val="52595FA5"/>
    <w:rsid w:val="52DA6B9E"/>
    <w:rsid w:val="52E8557B"/>
    <w:rsid w:val="52ED0DE3"/>
    <w:rsid w:val="537E6D0A"/>
    <w:rsid w:val="53FF492A"/>
    <w:rsid w:val="54177EC5"/>
    <w:rsid w:val="54C811C0"/>
    <w:rsid w:val="54CF69F2"/>
    <w:rsid w:val="54E378CA"/>
    <w:rsid w:val="54E63D3C"/>
    <w:rsid w:val="556F3D31"/>
    <w:rsid w:val="558512B9"/>
    <w:rsid w:val="55D122F6"/>
    <w:rsid w:val="55F84B33"/>
    <w:rsid w:val="56854BD1"/>
    <w:rsid w:val="568B58AF"/>
    <w:rsid w:val="569A6C3F"/>
    <w:rsid w:val="56C34335"/>
    <w:rsid w:val="56DA1598"/>
    <w:rsid w:val="5755554B"/>
    <w:rsid w:val="577473DD"/>
    <w:rsid w:val="577E46FF"/>
    <w:rsid w:val="57BD5228"/>
    <w:rsid w:val="57FE1475"/>
    <w:rsid w:val="580E1A42"/>
    <w:rsid w:val="58103B43"/>
    <w:rsid w:val="58136BF6"/>
    <w:rsid w:val="584E53E8"/>
    <w:rsid w:val="58615BB3"/>
    <w:rsid w:val="5889335C"/>
    <w:rsid w:val="58D1797B"/>
    <w:rsid w:val="58DB48B3"/>
    <w:rsid w:val="58ED7447"/>
    <w:rsid w:val="58FF717A"/>
    <w:rsid w:val="5923730C"/>
    <w:rsid w:val="59402FEC"/>
    <w:rsid w:val="5948028E"/>
    <w:rsid w:val="596C50C9"/>
    <w:rsid w:val="596C588A"/>
    <w:rsid w:val="599B6EA3"/>
    <w:rsid w:val="5A1D5B0A"/>
    <w:rsid w:val="5A2A0227"/>
    <w:rsid w:val="5AA51B45"/>
    <w:rsid w:val="5AF92295"/>
    <w:rsid w:val="5B2555BE"/>
    <w:rsid w:val="5B2829B8"/>
    <w:rsid w:val="5BFD05B6"/>
    <w:rsid w:val="5C0D1BAE"/>
    <w:rsid w:val="5C961BA3"/>
    <w:rsid w:val="5CA00C74"/>
    <w:rsid w:val="5CBB6B3C"/>
    <w:rsid w:val="5CD71FC4"/>
    <w:rsid w:val="5CDB3A5A"/>
    <w:rsid w:val="5D334CB8"/>
    <w:rsid w:val="5D443CF5"/>
    <w:rsid w:val="5DC015CE"/>
    <w:rsid w:val="5E154EF5"/>
    <w:rsid w:val="5E512226"/>
    <w:rsid w:val="5E7303EE"/>
    <w:rsid w:val="5EB56C59"/>
    <w:rsid w:val="5ED76D7A"/>
    <w:rsid w:val="5F4955F3"/>
    <w:rsid w:val="5F4E6765"/>
    <w:rsid w:val="5F890FEB"/>
    <w:rsid w:val="5FB27D96"/>
    <w:rsid w:val="5FE01AB3"/>
    <w:rsid w:val="5FF11F12"/>
    <w:rsid w:val="60002155"/>
    <w:rsid w:val="607A288B"/>
    <w:rsid w:val="609D1752"/>
    <w:rsid w:val="60DD290C"/>
    <w:rsid w:val="60F33A68"/>
    <w:rsid w:val="60F931BB"/>
    <w:rsid w:val="61761FA3"/>
    <w:rsid w:val="61A92842"/>
    <w:rsid w:val="61B56F70"/>
    <w:rsid w:val="625F03AB"/>
    <w:rsid w:val="6280132C"/>
    <w:rsid w:val="62AF29BE"/>
    <w:rsid w:val="62D6114B"/>
    <w:rsid w:val="62FA0A11"/>
    <w:rsid w:val="633013CC"/>
    <w:rsid w:val="6333307E"/>
    <w:rsid w:val="637864A7"/>
    <w:rsid w:val="638C3D00"/>
    <w:rsid w:val="63984453"/>
    <w:rsid w:val="63C65464"/>
    <w:rsid w:val="63E15DFA"/>
    <w:rsid w:val="6417450F"/>
    <w:rsid w:val="64A01811"/>
    <w:rsid w:val="65090AD4"/>
    <w:rsid w:val="652D7E5E"/>
    <w:rsid w:val="653A7EB8"/>
    <w:rsid w:val="653C5B5A"/>
    <w:rsid w:val="658904F7"/>
    <w:rsid w:val="658D3B7E"/>
    <w:rsid w:val="65C0426A"/>
    <w:rsid w:val="65F20792"/>
    <w:rsid w:val="66021C4C"/>
    <w:rsid w:val="66240220"/>
    <w:rsid w:val="66486604"/>
    <w:rsid w:val="66551C00"/>
    <w:rsid w:val="66770C98"/>
    <w:rsid w:val="668934B1"/>
    <w:rsid w:val="66CD39C7"/>
    <w:rsid w:val="66D7323E"/>
    <w:rsid w:val="66E75E1D"/>
    <w:rsid w:val="671727D4"/>
    <w:rsid w:val="6736645D"/>
    <w:rsid w:val="675F3C06"/>
    <w:rsid w:val="67C107F4"/>
    <w:rsid w:val="67EA3B2C"/>
    <w:rsid w:val="68992405"/>
    <w:rsid w:val="68B27D65"/>
    <w:rsid w:val="693410C2"/>
    <w:rsid w:val="69CC12FA"/>
    <w:rsid w:val="6A0960AB"/>
    <w:rsid w:val="6A3C6480"/>
    <w:rsid w:val="6A744327"/>
    <w:rsid w:val="6A7C2519"/>
    <w:rsid w:val="6A8219B9"/>
    <w:rsid w:val="6A9E4A45"/>
    <w:rsid w:val="6AE368FC"/>
    <w:rsid w:val="6AEB3A02"/>
    <w:rsid w:val="6B182A49"/>
    <w:rsid w:val="6B1B7E43"/>
    <w:rsid w:val="6B6B029E"/>
    <w:rsid w:val="6B781BDB"/>
    <w:rsid w:val="6C2E4FFA"/>
    <w:rsid w:val="6C3670F4"/>
    <w:rsid w:val="6C4A05C8"/>
    <w:rsid w:val="6C4C4378"/>
    <w:rsid w:val="6C535E80"/>
    <w:rsid w:val="6C81017A"/>
    <w:rsid w:val="6C845EBC"/>
    <w:rsid w:val="6C9F2CF6"/>
    <w:rsid w:val="6CA63862"/>
    <w:rsid w:val="6CDE737B"/>
    <w:rsid w:val="6D286848"/>
    <w:rsid w:val="6D527259"/>
    <w:rsid w:val="6DC72505"/>
    <w:rsid w:val="6DD14348"/>
    <w:rsid w:val="6DEB78FE"/>
    <w:rsid w:val="6DF606F4"/>
    <w:rsid w:val="6DFE57FA"/>
    <w:rsid w:val="6E6C0804"/>
    <w:rsid w:val="6E7E3605"/>
    <w:rsid w:val="6E9323E7"/>
    <w:rsid w:val="6EA63EC8"/>
    <w:rsid w:val="6EBA1E30"/>
    <w:rsid w:val="6EC10D02"/>
    <w:rsid w:val="6EF72976"/>
    <w:rsid w:val="6EFD5AB2"/>
    <w:rsid w:val="6F1277AF"/>
    <w:rsid w:val="6F55769C"/>
    <w:rsid w:val="6F891E77"/>
    <w:rsid w:val="6FB603BC"/>
    <w:rsid w:val="6FC02665"/>
    <w:rsid w:val="6FC52A53"/>
    <w:rsid w:val="6FCC3E02"/>
    <w:rsid w:val="6FEE1FCA"/>
    <w:rsid w:val="6FF5CC65"/>
    <w:rsid w:val="70187047"/>
    <w:rsid w:val="70207CAA"/>
    <w:rsid w:val="704C4F43"/>
    <w:rsid w:val="70CE51A5"/>
    <w:rsid w:val="71116D4F"/>
    <w:rsid w:val="71153587"/>
    <w:rsid w:val="714B51FB"/>
    <w:rsid w:val="715C0E4B"/>
    <w:rsid w:val="71A36DE5"/>
    <w:rsid w:val="71BA7C8A"/>
    <w:rsid w:val="71EF5B86"/>
    <w:rsid w:val="72550E1D"/>
    <w:rsid w:val="72734D90"/>
    <w:rsid w:val="7276796A"/>
    <w:rsid w:val="72B3408A"/>
    <w:rsid w:val="72C232B3"/>
    <w:rsid w:val="73012015"/>
    <w:rsid w:val="730F0517"/>
    <w:rsid w:val="733A72D5"/>
    <w:rsid w:val="73883453"/>
    <w:rsid w:val="738B5D82"/>
    <w:rsid w:val="73AD73D5"/>
    <w:rsid w:val="73B40E35"/>
    <w:rsid w:val="73B6EB34"/>
    <w:rsid w:val="73CD0DC6"/>
    <w:rsid w:val="73F12089"/>
    <w:rsid w:val="74213FF1"/>
    <w:rsid w:val="7426441D"/>
    <w:rsid w:val="74387CB8"/>
    <w:rsid w:val="744731E5"/>
    <w:rsid w:val="74B3733F"/>
    <w:rsid w:val="74B82BA7"/>
    <w:rsid w:val="755F74C6"/>
    <w:rsid w:val="758E56B6"/>
    <w:rsid w:val="758F7863"/>
    <w:rsid w:val="75B5383F"/>
    <w:rsid w:val="75D71455"/>
    <w:rsid w:val="75F93477"/>
    <w:rsid w:val="76164DA4"/>
    <w:rsid w:val="76182B83"/>
    <w:rsid w:val="763B554A"/>
    <w:rsid w:val="763D4BBB"/>
    <w:rsid w:val="7668661B"/>
    <w:rsid w:val="76E3355F"/>
    <w:rsid w:val="76EC44D1"/>
    <w:rsid w:val="772269FE"/>
    <w:rsid w:val="7751762B"/>
    <w:rsid w:val="778769C8"/>
    <w:rsid w:val="779D57CF"/>
    <w:rsid w:val="780879A1"/>
    <w:rsid w:val="780E0561"/>
    <w:rsid w:val="78342545"/>
    <w:rsid w:val="78344C74"/>
    <w:rsid w:val="78485FF0"/>
    <w:rsid w:val="788E0D33"/>
    <w:rsid w:val="791505C8"/>
    <w:rsid w:val="794178B0"/>
    <w:rsid w:val="796C2221"/>
    <w:rsid w:val="798D4602"/>
    <w:rsid w:val="79907C4E"/>
    <w:rsid w:val="79B41D09"/>
    <w:rsid w:val="79EE5BA4"/>
    <w:rsid w:val="7A894339"/>
    <w:rsid w:val="7AFB559C"/>
    <w:rsid w:val="7BA75723"/>
    <w:rsid w:val="7C1C3A1B"/>
    <w:rsid w:val="7C232FFC"/>
    <w:rsid w:val="7C867831"/>
    <w:rsid w:val="7C961A20"/>
    <w:rsid w:val="7CE704CD"/>
    <w:rsid w:val="7CE742CC"/>
    <w:rsid w:val="7D0C4F28"/>
    <w:rsid w:val="7D10125B"/>
    <w:rsid w:val="7D1943FF"/>
    <w:rsid w:val="7D380D29"/>
    <w:rsid w:val="7E1075B0"/>
    <w:rsid w:val="7E257D31"/>
    <w:rsid w:val="7E5E656D"/>
    <w:rsid w:val="7E696CC0"/>
    <w:rsid w:val="7E996182"/>
    <w:rsid w:val="7E9A50CB"/>
    <w:rsid w:val="7E9C52E7"/>
    <w:rsid w:val="7EB16AF4"/>
    <w:rsid w:val="7EB82599"/>
    <w:rsid w:val="7ECB2A5E"/>
    <w:rsid w:val="7EEC797C"/>
    <w:rsid w:val="7EEF11D3"/>
    <w:rsid w:val="7EFC1014"/>
    <w:rsid w:val="7F392F26"/>
    <w:rsid w:val="7F6E0A32"/>
    <w:rsid w:val="7FA30C79"/>
    <w:rsid w:val="7FB7269E"/>
    <w:rsid w:val="7FC96657"/>
    <w:rsid w:val="7FFA4074"/>
    <w:rsid w:val="7FFF6DE6"/>
    <w:rsid w:val="D8D6DB89"/>
    <w:rsid w:val="DB6F4CAB"/>
    <w:rsid w:val="DF6F9789"/>
    <w:rsid w:val="DFEDE5E7"/>
    <w:rsid w:val="EB75812F"/>
    <w:rsid w:val="F1D71817"/>
    <w:rsid w:val="FF7B6138"/>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iPriority="99" w:semiHidden="0"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2"/>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23"/>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24"/>
    <w:unhideWhenUsed/>
    <w:qFormat/>
    <w:uiPriority w:val="9"/>
    <w:pPr>
      <w:keepNext/>
      <w:keepLines/>
      <w:spacing w:before="260" w:after="260" w:line="416" w:lineRule="auto"/>
      <w:outlineLvl w:val="2"/>
    </w:pPr>
    <w:rPr>
      <w:b/>
      <w:bCs/>
      <w:sz w:val="32"/>
      <w:szCs w:val="32"/>
    </w:rPr>
  </w:style>
  <w:style w:type="character" w:default="1" w:styleId="19">
    <w:name w:val="Default Paragraph Font"/>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1"/>
    <w:qFormat/>
    <w:uiPriority w:val="0"/>
    <w:pPr>
      <w:widowControl w:val="0"/>
      <w:ind w:firstLine="420" w:firstLineChars="200"/>
      <w:jc w:val="both"/>
    </w:pPr>
    <w:rPr>
      <w:rFonts w:ascii="Calibri" w:hAnsi="Calibri" w:eastAsia="宋体" w:cs="Times New Roman"/>
      <w:kern w:val="2"/>
      <w:sz w:val="21"/>
      <w:szCs w:val="24"/>
      <w:lang w:val="en-US" w:eastAsia="zh-CN" w:bidi="ar-SA"/>
    </w:rPr>
  </w:style>
  <w:style w:type="paragraph" w:styleId="6">
    <w:name w:val="Salutation"/>
    <w:basedOn w:val="1"/>
    <w:next w:val="1"/>
    <w:unhideWhenUsed/>
    <w:qFormat/>
    <w:uiPriority w:val="99"/>
  </w:style>
  <w:style w:type="paragraph" w:styleId="7">
    <w:name w:val="Body Text"/>
    <w:basedOn w:val="1"/>
    <w:next w:val="1"/>
    <w:link w:val="31"/>
    <w:qFormat/>
    <w:uiPriority w:val="99"/>
    <w:pPr>
      <w:spacing w:beforeLines="30"/>
    </w:pPr>
    <w:rPr>
      <w:rFonts w:ascii="仿宋_GB2312" w:eastAsia="仿宋_GB2312"/>
      <w:kern w:val="0"/>
      <w:sz w:val="30"/>
    </w:rPr>
  </w:style>
  <w:style w:type="paragraph" w:styleId="8">
    <w:name w:val="Body Text Indent"/>
    <w:basedOn w:val="1"/>
    <w:qFormat/>
    <w:uiPriority w:val="0"/>
    <w:pPr>
      <w:spacing w:after="120"/>
      <w:ind w:leftChars="200"/>
    </w:pPr>
    <w:rPr>
      <w:rFonts w:ascii="仿宋_GB2312"/>
      <w:szCs w:val="32"/>
    </w:rPr>
  </w:style>
  <w:style w:type="paragraph" w:styleId="9">
    <w:name w:val="toc 3"/>
    <w:basedOn w:val="1"/>
    <w:next w:val="1"/>
    <w:unhideWhenUsed/>
    <w:qFormat/>
    <w:uiPriority w:val="39"/>
    <w:pPr>
      <w:tabs>
        <w:tab w:val="right" w:leader="dot" w:pos="8296"/>
      </w:tabs>
      <w:ind w:left="840" w:leftChars="400"/>
    </w:pPr>
  </w:style>
  <w:style w:type="paragraph" w:styleId="10">
    <w:name w:val="Balloon Text"/>
    <w:basedOn w:val="1"/>
    <w:link w:val="35"/>
    <w:semiHidden/>
    <w:unhideWhenUsed/>
    <w:qFormat/>
    <w:uiPriority w:val="99"/>
    <w:rPr>
      <w:sz w:val="18"/>
      <w:szCs w:val="18"/>
    </w:rPr>
  </w:style>
  <w:style w:type="paragraph" w:styleId="11">
    <w:name w:val="footer"/>
    <w:basedOn w:val="1"/>
    <w:link w:val="29"/>
    <w:qFormat/>
    <w:uiPriority w:val="99"/>
    <w:pPr>
      <w:tabs>
        <w:tab w:val="center" w:pos="4153"/>
        <w:tab w:val="right" w:pos="8306"/>
      </w:tabs>
      <w:snapToGrid w:val="0"/>
      <w:jc w:val="left"/>
    </w:pPr>
    <w:rPr>
      <w:rFonts w:ascii="Calibri" w:hAnsi="Calibri"/>
      <w:kern w:val="0"/>
      <w:sz w:val="18"/>
      <w:szCs w:val="18"/>
    </w:rPr>
  </w:style>
  <w:style w:type="paragraph" w:styleId="12">
    <w:name w:val="header"/>
    <w:basedOn w:val="1"/>
    <w:link w:val="27"/>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3">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4">
    <w:name w:val="Subtitle"/>
    <w:basedOn w:val="1"/>
    <w:next w:val="1"/>
    <w:qFormat/>
    <w:uiPriority w:val="0"/>
    <w:pPr>
      <w:spacing w:before="240" w:after="60" w:line="312" w:lineRule="auto"/>
      <w:jc w:val="center"/>
      <w:outlineLvl w:val="1"/>
    </w:pPr>
    <w:rPr>
      <w:rFonts w:ascii="Arial" w:hAnsi="Arial" w:eastAsia="宋体" w:cs="Arial"/>
      <w:b/>
      <w:bCs/>
      <w:kern w:val="28"/>
      <w:sz w:val="32"/>
      <w:szCs w:val="32"/>
    </w:rPr>
  </w:style>
  <w:style w:type="paragraph" w:styleId="15">
    <w:name w:val="toc 2"/>
    <w:basedOn w:val="1"/>
    <w:next w:val="1"/>
    <w:unhideWhenUsed/>
    <w:qFormat/>
    <w:uiPriority w:val="39"/>
    <w:pPr>
      <w:tabs>
        <w:tab w:val="right" w:leader="dot" w:pos="8296"/>
      </w:tabs>
      <w:ind w:left="420" w:leftChars="200"/>
    </w:pPr>
  </w:style>
  <w:style w:type="paragraph" w:styleId="16">
    <w:name w:val="Body Text First Indent 2"/>
    <w:basedOn w:val="8"/>
    <w:unhideWhenUsed/>
    <w:qFormat/>
    <w:uiPriority w:val="99"/>
    <w:pPr>
      <w:ind w:firstLine="420" w:firstLineChars="200"/>
    </w:p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basedOn w:val="19"/>
    <w:qFormat/>
    <w:uiPriority w:val="99"/>
    <w:rPr>
      <w:b/>
    </w:rPr>
  </w:style>
  <w:style w:type="character" w:styleId="21">
    <w:name w:val="Hyperlink"/>
    <w:basedOn w:val="19"/>
    <w:unhideWhenUsed/>
    <w:qFormat/>
    <w:uiPriority w:val="99"/>
    <w:rPr>
      <w:color w:val="0000FF" w:themeColor="hyperlink"/>
      <w:u w:val="single"/>
      <w14:textFill>
        <w14:solidFill>
          <w14:schemeClr w14:val="hlink"/>
        </w14:solidFill>
      </w14:textFill>
    </w:rPr>
  </w:style>
  <w:style w:type="character" w:customStyle="1" w:styleId="22">
    <w:name w:val="标题 1 Char"/>
    <w:basedOn w:val="19"/>
    <w:link w:val="3"/>
    <w:qFormat/>
    <w:uiPriority w:val="9"/>
    <w:rPr>
      <w:rFonts w:ascii="Times New Roman" w:hAnsi="Times New Roman"/>
      <w:b/>
      <w:bCs/>
      <w:kern w:val="44"/>
      <w:sz w:val="44"/>
      <w:szCs w:val="44"/>
    </w:rPr>
  </w:style>
  <w:style w:type="character" w:customStyle="1" w:styleId="23">
    <w:name w:val="标题 2 Char"/>
    <w:basedOn w:val="19"/>
    <w:link w:val="4"/>
    <w:qFormat/>
    <w:uiPriority w:val="9"/>
    <w:rPr>
      <w:rFonts w:asciiTheme="majorHAnsi" w:hAnsiTheme="majorHAnsi" w:eastAsiaTheme="majorEastAsia" w:cstheme="majorBidi"/>
      <w:b/>
      <w:bCs/>
      <w:kern w:val="2"/>
      <w:sz w:val="32"/>
      <w:szCs w:val="32"/>
    </w:rPr>
  </w:style>
  <w:style w:type="character" w:customStyle="1" w:styleId="24">
    <w:name w:val="标题 3 Char"/>
    <w:basedOn w:val="19"/>
    <w:link w:val="5"/>
    <w:qFormat/>
    <w:uiPriority w:val="9"/>
    <w:rPr>
      <w:rFonts w:ascii="Times New Roman" w:hAnsi="Times New Roman"/>
      <w:b/>
      <w:bCs/>
      <w:kern w:val="2"/>
      <w:sz w:val="32"/>
      <w:szCs w:val="32"/>
    </w:rPr>
  </w:style>
  <w:style w:type="paragraph" w:customStyle="1" w:styleId="25">
    <w:name w:val="标题 5（有编号）（绿盟科技）"/>
    <w:next w:val="1"/>
    <w:qFormat/>
    <w:uiPriority w:val="99"/>
    <w:pPr>
      <w:keepNext/>
      <w:keepLines/>
      <w:widowControl w:val="0"/>
      <w:spacing w:before="280" w:after="156" w:line="377" w:lineRule="auto"/>
      <w:jc w:val="left"/>
      <w:outlineLvl w:val="4"/>
    </w:pPr>
    <w:rPr>
      <w:rFonts w:ascii="Arial" w:hAnsi="Arial" w:eastAsia="黑体" w:cs="Times New Roman"/>
      <w:b/>
      <w:kern w:val="2"/>
      <w:sz w:val="24"/>
      <w:szCs w:val="28"/>
      <w:lang w:val="en-US" w:eastAsia="zh-CN" w:bidi="ar-SA"/>
    </w:rPr>
  </w:style>
  <w:style w:type="character" w:customStyle="1" w:styleId="26">
    <w:name w:val="Header Char"/>
    <w:basedOn w:val="19"/>
    <w:semiHidden/>
    <w:qFormat/>
    <w:uiPriority w:val="99"/>
    <w:rPr>
      <w:rFonts w:ascii="Times New Roman" w:hAnsi="Times New Roman"/>
      <w:sz w:val="18"/>
      <w:szCs w:val="18"/>
    </w:rPr>
  </w:style>
  <w:style w:type="character" w:customStyle="1" w:styleId="27">
    <w:name w:val="页眉 Char"/>
    <w:link w:val="12"/>
    <w:semiHidden/>
    <w:qFormat/>
    <w:locked/>
    <w:uiPriority w:val="99"/>
    <w:rPr>
      <w:sz w:val="18"/>
    </w:rPr>
  </w:style>
  <w:style w:type="character" w:customStyle="1" w:styleId="28">
    <w:name w:val="Footer Char"/>
    <w:basedOn w:val="19"/>
    <w:semiHidden/>
    <w:qFormat/>
    <w:uiPriority w:val="99"/>
    <w:rPr>
      <w:rFonts w:ascii="Times New Roman" w:hAnsi="Times New Roman"/>
      <w:sz w:val="18"/>
      <w:szCs w:val="18"/>
    </w:rPr>
  </w:style>
  <w:style w:type="character" w:customStyle="1" w:styleId="29">
    <w:name w:val="页脚 Char"/>
    <w:link w:val="11"/>
    <w:qFormat/>
    <w:locked/>
    <w:uiPriority w:val="99"/>
    <w:rPr>
      <w:sz w:val="18"/>
    </w:rPr>
  </w:style>
  <w:style w:type="character" w:customStyle="1" w:styleId="30">
    <w:name w:val="Body Text Char"/>
    <w:basedOn w:val="19"/>
    <w:semiHidden/>
    <w:qFormat/>
    <w:uiPriority w:val="99"/>
    <w:rPr>
      <w:rFonts w:ascii="Times New Roman" w:hAnsi="Times New Roman"/>
      <w:szCs w:val="24"/>
    </w:rPr>
  </w:style>
  <w:style w:type="character" w:customStyle="1" w:styleId="31">
    <w:name w:val="正文文本 Char"/>
    <w:link w:val="7"/>
    <w:qFormat/>
    <w:locked/>
    <w:uiPriority w:val="99"/>
    <w:rPr>
      <w:rFonts w:ascii="仿宋_GB2312" w:hAnsi="Times New Roman" w:eastAsia="仿宋_GB2312"/>
      <w:sz w:val="24"/>
    </w:rPr>
  </w:style>
  <w:style w:type="paragraph" w:customStyle="1" w:styleId="32">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styleId="33">
    <w:name w:val="List Paragraph"/>
    <w:basedOn w:val="1"/>
    <w:qFormat/>
    <w:uiPriority w:val="34"/>
    <w:pPr>
      <w:ind w:firstLine="420" w:firstLineChars="200"/>
    </w:pPr>
  </w:style>
  <w:style w:type="paragraph" w:customStyle="1" w:styleId="34">
    <w:name w:val="TOC 标题1"/>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5">
    <w:name w:val="批注框文本 Char"/>
    <w:basedOn w:val="19"/>
    <w:link w:val="10"/>
    <w:semiHidden/>
    <w:qFormat/>
    <w:uiPriority w:val="99"/>
    <w:rPr>
      <w:rFonts w:ascii="Times New Roman" w:hAnsi="Times New Roman"/>
      <w:kern w:val="2"/>
      <w:sz w:val="18"/>
      <w:szCs w:val="18"/>
    </w:rPr>
  </w:style>
  <w:style w:type="paragraph" w:customStyle="1" w:styleId="36">
    <w:name w:val="TOC Heading"/>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37">
    <w:name w:val="四号正文"/>
    <w:basedOn w:val="1"/>
    <w:qFormat/>
    <w:uiPriority w:val="0"/>
    <w:pPr>
      <w:spacing w:line="360" w:lineRule="auto"/>
    </w:pPr>
    <w:rPr>
      <w:rFonts w:ascii="??" w:hAnsi="??" w:eastAsia="宋体"/>
      <w:color w:val="000000"/>
      <w:kern w:val="0"/>
      <w:sz w:val="28"/>
      <w:szCs w:val="21"/>
      <w:lang w:val="zh-CN" w:eastAsia="zh-CN"/>
    </w:rPr>
  </w:style>
  <w:style w:type="paragraph" w:customStyle="1" w:styleId="38">
    <w:name w:val="WPSOffice手动目录 1"/>
    <w:qFormat/>
    <w:uiPriority w:val="0"/>
    <w:pPr>
      <w:ind w:leftChars="0"/>
    </w:pPr>
    <w:rPr>
      <w:rFonts w:asciiTheme="minorHAnsi" w:hAnsiTheme="minorHAnsi" w:eastAsiaTheme="minorEastAsia" w:cstheme="minorBidi"/>
      <w:sz w:val="20"/>
      <w:szCs w:val="20"/>
    </w:rPr>
  </w:style>
  <w:style w:type="paragraph" w:customStyle="1" w:styleId="39">
    <w:name w:val="WPSOffice手动目录 2"/>
    <w:qFormat/>
    <w:uiPriority w:val="0"/>
    <w:pPr>
      <w:ind w:leftChars="200"/>
    </w:pPr>
    <w:rPr>
      <w:rFonts w:asciiTheme="minorHAnsi" w:hAnsiTheme="minorHAnsi" w:eastAsiaTheme="minorEastAsia" w:cstheme="minorBidi"/>
      <w:sz w:val="20"/>
      <w:szCs w:val="20"/>
    </w:rPr>
  </w:style>
  <w:style w:type="character" w:customStyle="1" w:styleId="40">
    <w:name w:val="15"/>
    <w:basedOn w:val="19"/>
    <w:qFormat/>
    <w:uiPriority w:val="0"/>
    <w:rPr>
      <w:rFonts w:hint="default" w:ascii="Times New Roman" w:hAnsi="Times New Roman"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chart" Target="charts/chart4.xml"/><Relationship Id="rId8" Type="http://schemas.openxmlformats.org/officeDocument/2006/relationships/chart" Target="charts/chart3.xml"/><Relationship Id="rId7" Type="http://schemas.openxmlformats.org/officeDocument/2006/relationships/chart" Target="charts/chart2.xml"/><Relationship Id="rId6" Type="http://schemas.openxmlformats.org/officeDocument/2006/relationships/chart" Target="charts/chart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chart" Target="charts/chart7.xml"/><Relationship Id="rId11" Type="http://schemas.openxmlformats.org/officeDocument/2006/relationships/chart" Target="charts/chart6.xml"/><Relationship Id="rId10" Type="http://schemas.openxmlformats.org/officeDocument/2006/relationships/chart" Target="charts/chart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24037;&#20316;&#31807;1"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24037;&#20316;&#31807;1"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24037;&#20316;&#31807;1"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24037;&#20316;&#31807;1"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24037;&#20316;&#31807;1"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oleObject" Target="&#24037;&#20316;&#31807;1" TargetMode="External"/></Relationships>
</file>

<file path=word/charts/_rels/chart7.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24037;&#20316;&#31807;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收、支决算总计变动情况图（单位：万元）</a:t>
            </a:r>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[工作簿1]Sheet1!$I$55:$J$55</c:f>
              <c:strCache>
                <c:ptCount val="2"/>
                <c:pt idx="0">
                  <c:v>2023年度收、支总计</c:v>
                </c:pt>
                <c:pt idx="1">
                  <c:v>2022年度收、支总计</c:v>
                </c:pt>
              </c:strCache>
            </c:strRef>
          </c:cat>
          <c:val>
            <c:numRef>
              <c:f>[工作簿1]Sheet1!$I$56:$J$56</c:f>
              <c:numCache>
                <c:formatCode>General</c:formatCode>
                <c:ptCount val="2"/>
                <c:pt idx="0">
                  <c:v>21933.47</c:v>
                </c:pt>
                <c:pt idx="1">
                  <c:v>28348.17</c:v>
                </c:pt>
              </c:numCache>
            </c:numRef>
          </c:val>
        </c:ser>
        <c:dLbls>
          <c:showLegendKey val="0"/>
          <c:showVal val="1"/>
          <c:showCatName val="0"/>
          <c:showSerName val="0"/>
          <c:showPercent val="0"/>
          <c:showBubbleSize val="0"/>
        </c:dLbls>
        <c:gapWidth val="246"/>
        <c:overlap val="-28"/>
        <c:axId val="800628258"/>
        <c:axId val="419154920"/>
      </c:barChart>
      <c:catAx>
        <c:axId val="80062825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19154920"/>
        <c:crosses val="autoZero"/>
        <c:auto val="1"/>
        <c:lblAlgn val="ctr"/>
        <c:lblOffset val="100"/>
        <c:noMultiLvlLbl val="0"/>
      </c:catAx>
      <c:valAx>
        <c:axId val="41915492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0062825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收入决算结构图</a:t>
            </a:r>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Lbls>
            <c:dLbl>
              <c:idx val="0"/>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lumMod val="75000"/>
                            <a:lumOff val="25000"/>
                          </a:schemeClr>
                        </a:solidFill>
                        <a:latin typeface="+mn-lt"/>
                        <a:ea typeface="+mn-ea"/>
                        <a:cs typeface="+mn-cs"/>
                      </a:defRPr>
                    </a:pPr>
                    <a:r>
                      <a:t>2</a:t>
                    </a:r>
                    <a:r>
                      <a:rPr lang="en-US" altLang="zh-CN"/>
                      <a:t>3.78</a:t>
                    </a:r>
                    <a:r>
                      <a:t>%</a:t>
                    </a:r>
                  </a:p>
                </c:rich>
              </c:tx>
              <c:dLblPos val="inEnd"/>
              <c:showLegendKey val="0"/>
              <c:showVal val="0"/>
              <c:showCatName val="0"/>
              <c:showSerName val="0"/>
              <c:showPercent val="1"/>
              <c:showBubbleSize val="0"/>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lumMod val="75000"/>
                            <a:lumOff val="25000"/>
                          </a:schemeClr>
                        </a:solidFill>
                        <a:latin typeface="+mn-lt"/>
                        <a:ea typeface="+mn-ea"/>
                        <a:cs typeface="+mn-cs"/>
                      </a:defRPr>
                    </a:pPr>
                    <a:r>
                      <a:t>75</a:t>
                    </a:r>
                    <a:r>
                      <a:rPr lang="en-US" altLang="zh-CN"/>
                      <a:t>.32</a:t>
                    </a:r>
                    <a:r>
                      <a:t>%</a:t>
                    </a:r>
                  </a:p>
                </c:rich>
              </c:tx>
              <c:dLblPos val="inEnd"/>
              <c:showLegendKey val="0"/>
              <c:showVal val="0"/>
              <c:showCatName val="0"/>
              <c:showSerName val="0"/>
              <c:showPercent val="1"/>
              <c:showBubbleSize val="0"/>
              <c:extLst>
                <c:ext xmlns:c15="http://schemas.microsoft.com/office/drawing/2012/chart" uri="{CE6537A1-D6FC-4f65-9D91-7224C49458BB}"/>
              </c:extLst>
            </c:dLbl>
            <c:dLbl>
              <c:idx val="2"/>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lumMod val="75000"/>
                            <a:lumOff val="25000"/>
                          </a:schemeClr>
                        </a:solidFill>
                        <a:latin typeface="+mn-lt"/>
                        <a:ea typeface="+mn-ea"/>
                        <a:cs typeface="+mn-cs"/>
                      </a:defRPr>
                    </a:pPr>
                    <a:r>
                      <a:rPr lang="en-US" altLang="zh-CN"/>
                      <a:t>0.9</a:t>
                    </a:r>
                    <a:r>
                      <a:t>%</a:t>
                    </a:r>
                  </a:p>
                </c:rich>
              </c:tx>
              <c:dLblPos val="inEnd"/>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[工作簿1]Sheet1!$B$9:$D$9</c:f>
              <c:strCache>
                <c:ptCount val="3"/>
                <c:pt idx="0">
                  <c:v>一般公共预算财政拨款收入5180.08万元</c:v>
                </c:pt>
                <c:pt idx="1">
                  <c:v>政府性基金预算财政拨款收入16408.70万元</c:v>
                </c:pt>
                <c:pt idx="2">
                  <c:v>其他收入195.6万元</c:v>
                </c:pt>
              </c:strCache>
            </c:strRef>
          </c:cat>
          <c:val>
            <c:numRef>
              <c:f>[工作簿1]Sheet1!$B$10:$D$10</c:f>
              <c:numCache>
                <c:formatCode>0.00%</c:formatCode>
                <c:ptCount val="3"/>
                <c:pt idx="0">
                  <c:v>0.2378</c:v>
                </c:pt>
                <c:pt idx="1">
                  <c:v>0.7532</c:v>
                </c:pt>
                <c:pt idx="2">
                  <c:v>0.009</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支出决算结构图</a:t>
            </a:r>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Lbls>
            <c:dLbl>
              <c:idx val="1"/>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lumMod val="75000"/>
                            <a:lumOff val="25000"/>
                          </a:schemeClr>
                        </a:solidFill>
                        <a:latin typeface="+mn-lt"/>
                        <a:ea typeface="+mn-ea"/>
                        <a:cs typeface="+mn-cs"/>
                      </a:defRPr>
                    </a:pPr>
                    <a:r>
                      <a:t>16</a:t>
                    </a:r>
                    <a:r>
                      <a:rPr lang="en-US" altLang="zh-CN"/>
                      <a:t>.06</a:t>
                    </a:r>
                    <a:r>
                      <a:t>%</a:t>
                    </a:r>
                  </a:p>
                </c:rich>
              </c:tx>
              <c:dLblPos val="inEnd"/>
              <c:showLegendKey val="0"/>
              <c:showVal val="0"/>
              <c:showCatName val="0"/>
              <c:showSerName val="0"/>
              <c:showPercent val="1"/>
              <c:showBubbleSize val="0"/>
              <c:extLst>
                <c:ext xmlns:c15="http://schemas.microsoft.com/office/drawing/2012/chart" uri="{CE6537A1-D6FC-4f65-9D91-7224C49458BB}"/>
              </c:extLst>
            </c:dLbl>
            <c:dLbl>
              <c:idx val="2"/>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lumMod val="75000"/>
                            <a:lumOff val="25000"/>
                          </a:schemeClr>
                        </a:solidFill>
                        <a:latin typeface="+mn-lt"/>
                        <a:ea typeface="+mn-ea"/>
                        <a:cs typeface="+mn-cs"/>
                      </a:defRPr>
                    </a:pPr>
                    <a:r>
                      <a:t>8</a:t>
                    </a:r>
                    <a:r>
                      <a:rPr lang="en-US" altLang="zh-CN"/>
                      <a:t>3.94</a:t>
                    </a:r>
                    <a:r>
                      <a:t>%</a:t>
                    </a:r>
                  </a:p>
                </c:rich>
              </c:tx>
              <c:dLblPos val="inEnd"/>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[工作簿1]Sheet1!$G$121:$I$121</c:f>
              <c:strCache>
                <c:ptCount val="3"/>
                <c:pt idx="0">
                  <c:v>2023年本年支出合计21933.47万元</c:v>
                </c:pt>
                <c:pt idx="1">
                  <c:v>基本支出3523.47万元</c:v>
                </c:pt>
                <c:pt idx="2">
                  <c:v>项目支出18410.00万元</c:v>
                </c:pt>
              </c:strCache>
            </c:strRef>
          </c:cat>
          <c:val>
            <c:numRef>
              <c:f>[工作簿1]Sheet1!$G$122:$I$122</c:f>
              <c:numCache>
                <c:formatCode>General</c:formatCode>
                <c:ptCount val="3"/>
                <c:pt idx="1" c:formatCode="0.00%">
                  <c:v>0.1606</c:v>
                </c:pt>
                <c:pt idx="2" c:formatCode="0.00%">
                  <c:v>0.8394</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财政拨款收、支决算总计变动情况（单位：万元）</a:t>
            </a:r>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[工作簿1]Sheet1!$F$55:$G$55</c:f>
              <c:strCache>
                <c:ptCount val="2"/>
                <c:pt idx="0">
                  <c:v>2023年财政拨款收、支总计</c:v>
                </c:pt>
                <c:pt idx="1">
                  <c:v>2022年财政拨款收、支总计</c:v>
                </c:pt>
              </c:strCache>
            </c:strRef>
          </c:cat>
          <c:val>
            <c:numRef>
              <c:f>[工作簿1]Sheet1!$F$56:$G$56</c:f>
              <c:numCache>
                <c:formatCode>General</c:formatCode>
                <c:ptCount val="2"/>
                <c:pt idx="0">
                  <c:v>21737.87</c:v>
                </c:pt>
                <c:pt idx="1">
                  <c:v>27677.27</c:v>
                </c:pt>
              </c:numCache>
            </c:numRef>
          </c:val>
        </c:ser>
        <c:dLbls>
          <c:showLegendKey val="0"/>
          <c:showVal val="1"/>
          <c:showCatName val="0"/>
          <c:showSerName val="0"/>
          <c:showPercent val="0"/>
          <c:showBubbleSize val="0"/>
        </c:dLbls>
        <c:gapWidth val="246"/>
        <c:overlap val="-28"/>
        <c:axId val="52575138"/>
        <c:axId val="911309415"/>
      </c:barChart>
      <c:catAx>
        <c:axId val="5257513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11309415"/>
        <c:crosses val="autoZero"/>
        <c:auto val="1"/>
        <c:lblAlgn val="ctr"/>
        <c:lblOffset val="100"/>
        <c:noMultiLvlLbl val="0"/>
      </c:catAx>
      <c:valAx>
        <c:axId val="911309415"/>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257513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一般公共预算财政拨款支出决算变动情况</a:t>
            </a:r>
          </a:p>
          <a:p>
            <a:pPr defTabSz="914400">
              <a:defRPr lang="zh-CN" sz="1400" b="1" i="0" u="none" strike="noStrike" kern="1200" baseline="0">
                <a:solidFill>
                  <a:schemeClr val="tx1">
                    <a:lumMod val="75000"/>
                    <a:lumOff val="25000"/>
                  </a:schemeClr>
                </a:solidFill>
                <a:latin typeface="+mn-lt"/>
                <a:ea typeface="+mn-ea"/>
                <a:cs typeface="+mn-cs"/>
              </a:defRPr>
            </a:pPr>
            <a:r>
              <a:t>（单位：万元）</a:t>
            </a:r>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[工作簿1]Sheet1!$B$56:$C$56</c:f>
              <c:strCache>
                <c:ptCount val="2"/>
                <c:pt idx="0">
                  <c:v>2023年一般公共预算财政拨款支出</c:v>
                </c:pt>
                <c:pt idx="1">
                  <c:v>2022年一般公共预算财政拨款支出</c:v>
                </c:pt>
              </c:strCache>
            </c:strRef>
          </c:cat>
          <c:val>
            <c:numRef>
              <c:f>[工作簿1]Sheet1!$B$57:$C$57</c:f>
              <c:numCache>
                <c:formatCode>General</c:formatCode>
                <c:ptCount val="2"/>
                <c:pt idx="0">
                  <c:v>5329.16</c:v>
                </c:pt>
                <c:pt idx="1">
                  <c:v>6900.17</c:v>
                </c:pt>
              </c:numCache>
            </c:numRef>
          </c:val>
        </c:ser>
        <c:dLbls>
          <c:showLegendKey val="0"/>
          <c:showVal val="1"/>
          <c:showCatName val="0"/>
          <c:showSerName val="0"/>
          <c:showPercent val="0"/>
          <c:showBubbleSize val="0"/>
        </c:dLbls>
        <c:gapWidth val="246"/>
        <c:overlap val="-28"/>
        <c:axId val="590861997"/>
        <c:axId val="633046925"/>
      </c:barChart>
      <c:catAx>
        <c:axId val="590861997"/>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33046925"/>
        <c:crosses val="autoZero"/>
        <c:auto val="1"/>
        <c:lblAlgn val="ctr"/>
        <c:lblOffset val="100"/>
        <c:noMultiLvlLbl val="0"/>
      </c:catAx>
      <c:valAx>
        <c:axId val="633046925"/>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9086199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一般公共预算财政拨款支出决算结构</a:t>
            </a:r>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Lbls>
            <c:dLbl>
              <c:idx val="1"/>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lumMod val="75000"/>
                            <a:lumOff val="25000"/>
                          </a:schemeClr>
                        </a:solidFill>
                        <a:latin typeface="+mn-lt"/>
                        <a:ea typeface="+mn-ea"/>
                        <a:cs typeface="+mn-cs"/>
                      </a:defRPr>
                    </a:pPr>
                    <a:r>
                      <a:rPr lang="en-US" altLang="zh-CN"/>
                      <a:t>9.81</a:t>
                    </a:r>
                    <a:r>
                      <a:t>%</a:t>
                    </a:r>
                  </a:p>
                </c:rich>
              </c:tx>
              <c:dLblPos val="inEnd"/>
              <c:showLegendKey val="0"/>
              <c:showVal val="0"/>
              <c:showCatName val="0"/>
              <c:showSerName val="0"/>
              <c:showPercent val="1"/>
              <c:showBubbleSize val="0"/>
              <c:extLst>
                <c:ext xmlns:c15="http://schemas.microsoft.com/office/drawing/2012/chart" uri="{CE6537A1-D6FC-4f65-9D91-7224C49458BB}"/>
              </c:extLst>
            </c:dLbl>
            <c:dLbl>
              <c:idx val="2"/>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lumMod val="75000"/>
                            <a:lumOff val="25000"/>
                          </a:schemeClr>
                        </a:solidFill>
                        <a:latin typeface="+mn-lt"/>
                        <a:ea typeface="+mn-ea"/>
                        <a:cs typeface="+mn-cs"/>
                      </a:defRPr>
                    </a:pPr>
                    <a:r>
                      <a:t>2</a:t>
                    </a:r>
                    <a:r>
                      <a:rPr lang="en-US" altLang="zh-CN"/>
                      <a:t>.3</a:t>
                    </a:r>
                    <a:r>
                      <a:t>%</a:t>
                    </a:r>
                  </a:p>
                </c:rich>
              </c:tx>
              <c:dLblPos val="inEnd"/>
              <c:showLegendKey val="0"/>
              <c:showVal val="0"/>
              <c:showCatName val="0"/>
              <c:showSerName val="0"/>
              <c:showPercent val="1"/>
              <c:showBubbleSize val="0"/>
              <c:extLst>
                <c:ext xmlns:c15="http://schemas.microsoft.com/office/drawing/2012/chart" uri="{CE6537A1-D6FC-4f65-9D91-7224C49458BB}">
                  <c15:layout>
                    <c:manualLayout>
                      <c:w val="0.0828750981932443"/>
                      <c:h val="0.124597701149425"/>
                    </c:manualLayout>
                  </c15:layout>
                </c:ext>
              </c:extLst>
            </c:dLbl>
            <c:dLbl>
              <c:idx val="3"/>
              <c:layout>
                <c:manualLayout>
                  <c:x val="-0.00718523209508559"/>
                  <c:y val="0.0504222470151169"/>
                </c:manualLayout>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lumMod val="75000"/>
                            <a:lumOff val="25000"/>
                          </a:schemeClr>
                        </a:solidFill>
                        <a:latin typeface="+mn-lt"/>
                        <a:ea typeface="+mn-ea"/>
                        <a:cs typeface="+mn-cs"/>
                      </a:defRPr>
                    </a:pPr>
                    <a:r>
                      <a:t>0</a:t>
                    </a:r>
                    <a:r>
                      <a:rPr lang="en-US" altLang="zh-CN"/>
                      <a:t>.26</a:t>
                    </a:r>
                    <a:r>
                      <a:t>%</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lumMod val="75000"/>
                            <a:lumOff val="25000"/>
                          </a:schemeClr>
                        </a:solidFill>
                        <a:latin typeface="+mn-lt"/>
                        <a:ea typeface="+mn-ea"/>
                        <a:cs typeface="+mn-cs"/>
                      </a:defRPr>
                    </a:pPr>
                    <a:r>
                      <a:t>8</a:t>
                    </a:r>
                    <a:r>
                      <a:rPr lang="en-US" altLang="zh-CN"/>
                      <a:t>0.64</a:t>
                    </a:r>
                    <a:r>
                      <a:t>%</a:t>
                    </a:r>
                  </a:p>
                </c:rich>
              </c:tx>
              <c:dLblPos val="inEnd"/>
              <c:showLegendKey val="0"/>
              <c:showVal val="0"/>
              <c:showCatName val="0"/>
              <c:showSerName val="0"/>
              <c:showPercent val="1"/>
              <c:showBubbleSize val="0"/>
              <c:extLst>
                <c:ext xmlns:c15="http://schemas.microsoft.com/office/drawing/2012/chart" uri="{CE6537A1-D6FC-4f65-9D91-7224C49458BB}"/>
              </c:extLst>
            </c:dLbl>
            <c:dLbl>
              <c:idx val="5"/>
              <c:layout>
                <c:manualLayout>
                  <c:x val="-0.0105634396530321"/>
                  <c:y val="0.0996144277399316"/>
                </c:manualLayout>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lumMod val="75000"/>
                            <a:lumOff val="25000"/>
                          </a:schemeClr>
                        </a:solidFill>
                        <a:latin typeface="+mn-lt"/>
                        <a:ea typeface="+mn-ea"/>
                        <a:cs typeface="+mn-cs"/>
                      </a:defRPr>
                    </a:pPr>
                    <a:r>
                      <a:t>5</a:t>
                    </a:r>
                    <a:r>
                      <a:rPr lang="en-US" altLang="zh-CN"/>
                      <a:t>.11</a:t>
                    </a:r>
                    <a:r>
                      <a:t>%</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6"/>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lumMod val="75000"/>
                            <a:lumOff val="25000"/>
                          </a:schemeClr>
                        </a:solidFill>
                        <a:latin typeface="+mn-lt"/>
                        <a:ea typeface="+mn-ea"/>
                        <a:cs typeface="+mn-cs"/>
                      </a:defRPr>
                    </a:pPr>
                    <a:r>
                      <a:t>0</a:t>
                    </a:r>
                    <a:r>
                      <a:rPr lang="en-US" altLang="zh-CN"/>
                      <a:t>.04</a:t>
                    </a:r>
                    <a:r>
                      <a:t>%</a:t>
                    </a:r>
                  </a:p>
                </c:rich>
              </c:tx>
              <c:dLblPos val="inEnd"/>
              <c:showLegendKey val="0"/>
              <c:showVal val="0"/>
              <c:showCatName val="0"/>
              <c:showSerName val="0"/>
              <c:showPercent val="1"/>
              <c:showBubbleSize val="0"/>
              <c:extLst>
                <c:ext xmlns:c15="http://schemas.microsoft.com/office/drawing/2012/chart" uri="{CE6537A1-D6FC-4f65-9D91-7224C49458BB}"/>
              </c:extLst>
            </c:dLbl>
            <c:dLbl>
              <c:idx val="7"/>
              <c:layout>
                <c:manualLayout>
                  <c:x val="0.00396845942463766"/>
                  <c:y val="0.0281240996354961"/>
                </c:manualLayout>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lumMod val="75000"/>
                            <a:lumOff val="25000"/>
                          </a:schemeClr>
                        </a:solidFill>
                        <a:latin typeface="+mn-lt"/>
                        <a:ea typeface="+mn-ea"/>
                        <a:cs typeface="+mn-cs"/>
                      </a:defRPr>
                    </a:pPr>
                    <a:r>
                      <a:rPr lang="en-US" altLang="zh-CN"/>
                      <a:t>1.84</a:t>
                    </a:r>
                    <a:r>
                      <a:t>%</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[工作簿1]Sheet1!$B$121:$I$121</c:f>
              <c:strCache>
                <c:ptCount val="8"/>
                <c:pt idx="0">
                  <c:v>2023年一般公共预算财政拨款支出5329.16万元</c:v>
                </c:pt>
                <c:pt idx="1">
                  <c:v>社会保障和就业支出522.86万元</c:v>
                </c:pt>
                <c:pt idx="2">
                  <c:v>卫生健康支出122.62万元</c:v>
                </c:pt>
                <c:pt idx="3">
                  <c:v>节能环保支出13.72万元</c:v>
                </c:pt>
                <c:pt idx="4">
                  <c:v>自然资源海洋气象等支出4297.64万元</c:v>
                </c:pt>
                <c:pt idx="5">
                  <c:v>住房保障支出272.17万元</c:v>
                </c:pt>
                <c:pt idx="6">
                  <c:v>粮油物资储备支出2.03万元</c:v>
                </c:pt>
                <c:pt idx="7">
                  <c:v>灾害防治及应急管理支出98.12万元</c:v>
                </c:pt>
              </c:strCache>
            </c:strRef>
          </c:cat>
          <c:val>
            <c:numRef>
              <c:f>[工作簿1]Sheet1!$B$122:$I$122</c:f>
              <c:numCache>
                <c:formatCode>General</c:formatCode>
                <c:ptCount val="8"/>
                <c:pt idx="1" c:formatCode="0.00%">
                  <c:v>0.0981</c:v>
                </c:pt>
                <c:pt idx="2" c:formatCode="0.00%">
                  <c:v>0.023</c:v>
                </c:pt>
                <c:pt idx="3" c:formatCode="0.00%">
                  <c:v>0.0026</c:v>
                </c:pt>
                <c:pt idx="4" c:formatCode="0.00%">
                  <c:v>0.8064</c:v>
                </c:pt>
                <c:pt idx="5" c:formatCode="0.00%">
                  <c:v>0.0511</c:v>
                </c:pt>
                <c:pt idx="6" c:formatCode="0.00%">
                  <c:v>0.0004</c:v>
                </c:pt>
                <c:pt idx="7" c:formatCode="0.00%">
                  <c:v>0.0184</c:v>
                </c:pt>
              </c:numCache>
            </c:numRef>
          </c:val>
        </c:ser>
        <c:ser>
          <c:idx val="1"/>
          <c:order val="1"/>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[工作簿1]Sheet1!$B$121:$I$121</c:f>
              <c:strCache>
                <c:ptCount val="8"/>
                <c:pt idx="0">
                  <c:v>2023年一般公共预算财政拨款支出5329.16万元</c:v>
                </c:pt>
                <c:pt idx="1">
                  <c:v>社会保障和就业支出522.86万元</c:v>
                </c:pt>
                <c:pt idx="2">
                  <c:v>卫生健康支出122.62万元</c:v>
                </c:pt>
                <c:pt idx="3">
                  <c:v>节能环保支出13.72万元</c:v>
                </c:pt>
                <c:pt idx="4">
                  <c:v>自然资源海洋气象等支出4297.64万元</c:v>
                </c:pt>
                <c:pt idx="5">
                  <c:v>住房保障支出272.17万元</c:v>
                </c:pt>
                <c:pt idx="6">
                  <c:v>粮油物资储备支出2.03万元</c:v>
                </c:pt>
                <c:pt idx="7">
                  <c:v>灾害防治及应急管理支出98.12万元</c:v>
                </c:pt>
              </c:strCache>
            </c:strRef>
          </c:cat>
          <c:val>
            <c:numRef>
              <c:f>[工作簿1]Sheet1!$B$123:$I$123</c:f>
              <c:numCache>
                <c:formatCode>General</c:formatCode>
                <c:ptCount val="8"/>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“三公”经费财政拨款支出结构</a:t>
            </a:r>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Lbls>
            <c:dLbl>
              <c:idx val="1"/>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lumMod val="75000"/>
                            <a:lumOff val="25000"/>
                          </a:schemeClr>
                        </a:solidFill>
                        <a:latin typeface="+mn-lt"/>
                        <a:ea typeface="+mn-ea"/>
                        <a:cs typeface="+mn-cs"/>
                      </a:defRPr>
                    </a:pPr>
                    <a:r>
                      <a:t>72</a:t>
                    </a:r>
                    <a:r>
                      <a:rPr lang="en-US" altLang="zh-CN"/>
                      <a:t>.07</a:t>
                    </a:r>
                    <a:r>
                      <a:t>%</a:t>
                    </a:r>
                  </a:p>
                </c:rich>
              </c:tx>
              <c:dLblPos val="inEnd"/>
              <c:showLegendKey val="0"/>
              <c:showVal val="0"/>
              <c:showCatName val="0"/>
              <c:showSerName val="0"/>
              <c:showPercent val="1"/>
              <c:showBubbleSize val="0"/>
              <c:extLst>
                <c:ext xmlns:c15="http://schemas.microsoft.com/office/drawing/2012/chart" uri="{CE6537A1-D6FC-4f65-9D91-7224C49458BB}"/>
              </c:extLst>
            </c:dLbl>
            <c:dLbl>
              <c:idx val="2"/>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lumMod val="75000"/>
                            <a:lumOff val="25000"/>
                          </a:schemeClr>
                        </a:solidFill>
                        <a:latin typeface="+mn-lt"/>
                        <a:ea typeface="+mn-ea"/>
                        <a:cs typeface="+mn-cs"/>
                      </a:defRPr>
                    </a:pPr>
                    <a:r>
                      <a:t>2</a:t>
                    </a:r>
                    <a:r>
                      <a:rPr lang="en-US" altLang="zh-CN"/>
                      <a:t>7.93</a:t>
                    </a:r>
                    <a:r>
                      <a:t>%</a:t>
                    </a:r>
                  </a:p>
                </c:rich>
              </c:tx>
              <c:dLblPos val="inEnd"/>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[工作簿1]Sheet1!$N$121:$P$121</c:f>
              <c:strCache>
                <c:ptCount val="3"/>
                <c:pt idx="0">
                  <c:v>因公出国（境）费支出决算0万元</c:v>
                </c:pt>
                <c:pt idx="1">
                  <c:v>公务用车购置及运行维护费支出决算37.8万元</c:v>
                </c:pt>
                <c:pt idx="2">
                  <c:v>公务接待费支出决算14.65万元</c:v>
                </c:pt>
              </c:strCache>
            </c:strRef>
          </c:cat>
          <c:val>
            <c:numRef>
              <c:f>[工作簿1]Sheet1!$N$122:$P$122</c:f>
              <c:numCache>
                <c:formatCode>General</c:formatCode>
                <c:ptCount val="3"/>
                <c:pt idx="1" c:formatCode="0.00%">
                  <c:v>0.7207</c:v>
                </c:pt>
                <c:pt idx="2" c:formatCode="0.00%">
                  <c:v>0.2793</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四川省财政厅</Company>
  <Pages>150</Pages>
  <Words>64116</Words>
  <Characters>68523</Characters>
  <Lines>61</Lines>
  <Paragraphs>17</Paragraphs>
  <TotalTime>30</TotalTime>
  <ScaleCrop>false</ScaleCrop>
  <LinksUpToDate>false</LinksUpToDate>
  <CharactersWithSpaces>69362</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2020-08-05T17:49:00Z</dcterms:created>
  <dc:creator>曹颖</dc:creator>
  <cp:lastModifiedBy>Administrator</cp:lastModifiedBy>
  <cp:lastPrinted>2023-09-22T20:00:00Z</cp:lastPrinted>
  <dcterms:modified xsi:type="dcterms:W3CDTF">2024-09-30T02:35:38Z</dcterms:modified>
  <dc:title>四川省***</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F4822B42093C4CB29AFD4484F9E9E76E_13</vt:lpwstr>
  </property>
</Properties>
</file>