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机房消防设备及OA协同办公系统保障经费</w:t>
      </w:r>
    </w:p>
    <w:p>
      <w:pPr>
        <w:keepNext w:val="0"/>
        <w:keepLines w:val="0"/>
        <w:pageBreakBefore w:val="0"/>
        <w:widowControl w:val="0"/>
        <w:kinsoku/>
        <w:wordWrap/>
        <w:overflowPunct/>
        <w:topLinePunct w:val="0"/>
        <w:autoSpaceDE/>
        <w:autoSpaceDN/>
        <w:bidi w:val="0"/>
        <w:adjustRightInd w:val="0"/>
        <w:snapToGrid w:val="0"/>
        <w:spacing w:line="540" w:lineRule="exact"/>
        <w:ind w:right="0" w:rightChars="0"/>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项目支出绩效自评报告</w:t>
      </w:r>
    </w:p>
    <w:p>
      <w:pPr>
        <w:pStyle w:val="2"/>
        <w:keepNext w:val="0"/>
        <w:keepLines w:val="0"/>
        <w:pageBreakBefore w:val="0"/>
        <w:widowControl w:val="0"/>
        <w:kinsoku/>
        <w:wordWrap/>
        <w:overflowPunct/>
        <w:topLinePunct w:val="0"/>
        <w:autoSpaceDE/>
        <w:autoSpaceDN/>
        <w:bidi w:val="0"/>
        <w:spacing w:line="54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rPr>
          <w:rFonts w:hint="eastAsia" w:ascii="黑体" w:hAnsi="黑体" w:eastAsia="黑体" w:cs="黑体"/>
          <w:b w:val="0"/>
          <w:bCs w:val="0"/>
          <w:sz w:val="32"/>
          <w:szCs w:val="32"/>
          <w:lang w:val="zh-CN"/>
        </w:rPr>
      </w:pP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lang w:val="zh-CN"/>
        </w:rPr>
        <w:t>项目概况</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rPr>
      </w:pPr>
      <w:r>
        <w:rPr>
          <w:rFonts w:hint="eastAsia" w:ascii="楷体_GB2312" w:hAnsi="楷体_GB2312" w:eastAsia="楷体_GB2312" w:cs="楷体_GB2312"/>
          <w:b w:val="0"/>
          <w:bCs w:val="0"/>
          <w:sz w:val="32"/>
          <w:szCs w:val="32"/>
          <w:lang w:val="zh-CN"/>
        </w:rPr>
        <w:t>（</w:t>
      </w:r>
      <w:r>
        <w:rPr>
          <w:rFonts w:hint="eastAsia" w:ascii="楷体_GB2312" w:hAnsi="楷体_GB2312" w:eastAsia="楷体_GB2312" w:cs="楷体_GB2312"/>
          <w:b w:val="0"/>
          <w:bCs w:val="0"/>
          <w:sz w:val="32"/>
          <w:szCs w:val="32"/>
          <w:lang w:val="en-US" w:eastAsia="zh-CN"/>
        </w:rPr>
        <w:t>一</w:t>
      </w:r>
      <w:r>
        <w:rPr>
          <w:rFonts w:hint="eastAsia" w:ascii="楷体_GB2312" w:hAnsi="楷体_GB2312" w:eastAsia="楷体_GB2312" w:cs="楷体_GB2312"/>
          <w:b w:val="0"/>
          <w:bCs w:val="0"/>
          <w:sz w:val="32"/>
          <w:szCs w:val="32"/>
          <w:lang w:val="zh-CN"/>
        </w:rPr>
        <w:t>）项目基本情况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1、项目主管部门职能职责。</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sz w:val="32"/>
          <w:szCs w:val="32"/>
          <w:lang w:val="en-US" w:eastAsia="zh-CN"/>
        </w:rPr>
        <w:t>我</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局信息中心在开展该项目的职能职责是</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Cs/>
          <w:color w:val="000000" w:themeColor="text1"/>
          <w:sz w:val="32"/>
          <w:szCs w:val="32"/>
          <w14:textFill>
            <w14:solidFill>
              <w14:schemeClr w14:val="tx1"/>
            </w14:solidFill>
          </w14:textFill>
        </w:rPr>
        <w:t>组织广元市自然资源局OA办公系统适配国产电脑项目的采购</w:t>
      </w:r>
      <w:r>
        <w:rPr>
          <w:rFonts w:hint="eastAsia" w:ascii="仿宋_GB2312" w:hAnsi="仿宋_GB2312" w:eastAsia="仿宋_GB2312" w:cs="仿宋_GB2312"/>
          <w:color w:val="000000" w:themeColor="text1"/>
          <w:sz w:val="32"/>
          <w:szCs w:val="32"/>
          <w14:textFill>
            <w14:solidFill>
              <w14:schemeClr w14:val="tx1"/>
            </w14:solidFill>
          </w14:textFill>
        </w:rPr>
        <w:t>，对有能力承担的公司发出竞争性磋商邀请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以及</w:t>
      </w:r>
      <w:r>
        <w:rPr>
          <w:rFonts w:hint="eastAsia" w:ascii="仿宋_GB2312" w:hAnsi="仿宋_GB2312" w:eastAsia="仿宋_GB2312" w:cs="仿宋_GB2312"/>
          <w:color w:val="000000" w:themeColor="text1"/>
          <w:sz w:val="32"/>
          <w:szCs w:val="32"/>
          <w14:textFill>
            <w14:solidFill>
              <w14:schemeClr w14:val="tx1"/>
            </w14:solidFill>
          </w14:textFill>
        </w:rPr>
        <w:t>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机房消防设备检修更换进行自行采购。</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2、项目立项、资金申报的依据。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kern w:val="2"/>
          <w:sz w:val="32"/>
          <w:szCs w:val="32"/>
          <w:lang w:val="en-US" w:eastAsia="zh-CN" w:bidi="ar-SA"/>
        </w:rPr>
        <w:t>一是经排查我局机房消防设备存在安全隐患，灭火剂瓶组压力指针处于红色警戒区域，气压不达标，七氟丙烷气体严重不足，存在安全隐患</w:t>
      </w:r>
      <w:r>
        <w:rPr>
          <w:rFonts w:hint="eastAsia" w:ascii="仿宋_GB2312" w:hAnsi="仿宋_GB2312" w:cs="仿宋_GB2312"/>
          <w:kern w:val="2"/>
          <w:sz w:val="32"/>
          <w:szCs w:val="32"/>
          <w:lang w:val="en-US" w:eastAsia="zh-CN" w:bidi="ar-SA"/>
        </w:rPr>
        <w:t>，需更换机房消防设备一套；</w:t>
      </w:r>
      <w:r>
        <w:rPr>
          <w:rFonts w:hint="eastAsia" w:ascii="仿宋_GB2312" w:hAnsi="仿宋_GB2312" w:eastAsia="仿宋_GB2312" w:cs="仿宋_GB2312"/>
          <w:kern w:val="2"/>
          <w:sz w:val="32"/>
          <w:szCs w:val="32"/>
          <w:lang w:val="en-US" w:eastAsia="zh-CN" w:bidi="ar-SA"/>
        </w:rPr>
        <w:t>二是</w:t>
      </w:r>
      <w:r>
        <w:rPr>
          <w:rFonts w:hint="eastAsia" w:ascii="仿宋_GB2312" w:hAnsi="仿宋_GB2312" w:eastAsia="仿宋_GB2312" w:cs="仿宋_GB2312"/>
          <w:color w:val="000000" w:themeColor="text1"/>
          <w:sz w:val="32"/>
          <w:szCs w:val="32"/>
          <w14:textFill>
            <w14:solidFill>
              <w14:schemeClr w14:val="tx1"/>
            </w14:solidFill>
          </w14:textFill>
        </w:rPr>
        <w:t>OA 办公系统适配国产电脑</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spacing w:val="0"/>
          <w:sz w:val="32"/>
          <w:szCs w:val="32"/>
          <w:lang w:val="en-US" w:eastAsia="zh-CN"/>
        </w:rPr>
        <w:t>根据《中华人民共和国网络安全法》“ 建设、运营网络或者通过网络提供服务，应当依照法律、行政法规的规定和国家标准的强制性要求，采取技术措施和其他必要措施，保障网络安全、稳定运行，有效应对网络安全事件，防范网络违法犯罪活动，维护网络数据的完整性、保密性和可用性”相关要求，</w:t>
      </w:r>
      <w:r>
        <w:rPr>
          <w:rFonts w:hint="eastAsia" w:ascii="仿宋_GB2312" w:hAnsi="仿宋_GB2312" w:cs="仿宋_GB2312"/>
          <w:spacing w:val="0"/>
          <w:sz w:val="32"/>
          <w:szCs w:val="32"/>
          <w:lang w:val="en-US" w:eastAsia="zh-CN"/>
        </w:rPr>
        <w:t>为加快推进项目开展，广元市自然资源局申请了该项目</w:t>
      </w:r>
      <w:r>
        <w:rPr>
          <w:rFonts w:hint="eastAsia" w:ascii="仿宋_GB2312" w:hAnsi="仿宋_GB2312" w:eastAsia="仿宋_GB2312" w:cs="仿宋_GB2312"/>
          <w:b w:val="0"/>
          <w:bCs w:val="0"/>
          <w:sz w:val="32"/>
          <w:szCs w:val="32"/>
          <w:lang w:val="en-US" w:eastAsia="zh-CN"/>
        </w:rPr>
        <w:t>经费62万元。</w:t>
      </w:r>
    </w:p>
    <w:p>
      <w:pPr>
        <w:pStyle w:val="6"/>
        <w:keepNext w:val="0"/>
        <w:keepLines w:val="0"/>
        <w:pageBreakBefore w:val="0"/>
        <w:widowControl w:val="0"/>
        <w:numPr>
          <w:ilvl w:val="0"/>
          <w:numId w:val="0"/>
        </w:numPr>
        <w:kinsoku/>
        <w:wordWrap/>
        <w:overflowPunct/>
        <w:topLinePunct w:val="0"/>
        <w:autoSpaceDE/>
        <w:autoSpaceDN/>
        <w:bidi w:val="0"/>
        <w:spacing w:line="540" w:lineRule="exact"/>
        <w:ind w:left="0" w:leftChars="0" w:right="0" w:rightChars="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3、资金或项目管理办法制定情况。</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广元</w:t>
      </w:r>
      <w:r>
        <w:rPr>
          <w:rFonts w:hint="eastAsia" w:ascii="仿宋_GB2312" w:hAnsi="仿宋_GB2312" w:eastAsia="仿宋_GB2312" w:cs="仿宋_GB2312"/>
          <w:sz w:val="32"/>
          <w:szCs w:val="32"/>
          <w:lang w:val="en-US" w:eastAsia="zh-CN"/>
        </w:rPr>
        <w:t>市自然资源局</w:t>
      </w:r>
      <w:r>
        <w:rPr>
          <w:rFonts w:hint="eastAsia" w:ascii="仿宋_GB2312" w:hAnsi="仿宋_GB2312" w:eastAsia="仿宋_GB2312" w:cs="仿宋_GB2312"/>
          <w:sz w:val="32"/>
          <w:szCs w:val="32"/>
        </w:rPr>
        <w:t>严格按照财务管理相关制度规定，建立健全财务管理制度及内控制度，加强对</w:t>
      </w:r>
      <w:r>
        <w:rPr>
          <w:rFonts w:hint="eastAsia" w:ascii="仿宋_GB2312" w:hAnsi="仿宋_GB2312" w:eastAsia="仿宋_GB2312" w:cs="仿宋_GB2312"/>
          <w:sz w:val="32"/>
          <w:szCs w:val="32"/>
          <w:lang w:val="en-US" w:eastAsia="zh-CN"/>
        </w:rPr>
        <w:t>该项目</w:t>
      </w:r>
      <w:r>
        <w:rPr>
          <w:rFonts w:hint="eastAsia" w:ascii="仿宋_GB2312" w:hAnsi="仿宋_GB2312" w:eastAsia="仿宋_GB2312" w:cs="仿宋_GB2312"/>
          <w:sz w:val="32"/>
          <w:szCs w:val="32"/>
        </w:rPr>
        <w:t>工作经费的使用管理，按照专项资金管理办法做好项目实施和监管，及时、规范进行账务处理及会计核算。切实做到专款专用，最大可能发挥专项资金作用。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4.资金分配的原则与考虑因数。</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000000"/>
          <w:sz w:val="32"/>
          <w:szCs w:val="32"/>
          <w:lang w:val="en-US" w:eastAsia="zh-CN"/>
        </w:rPr>
        <w:t>该项目属于广元市自然资源局实施的项目，财政根据相关文件和程序拨付，我局按照合同约定直接支付作业单位</w:t>
      </w:r>
      <w:r>
        <w:rPr>
          <w:rFonts w:hint="eastAsia" w:ascii="仿宋_GB2312" w:hAnsi="仿宋_GB2312" w:eastAsia="仿宋_GB2312" w:cs="仿宋_GB2312"/>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rPr>
      </w:pPr>
      <w:r>
        <w:rPr>
          <w:rFonts w:hint="eastAsia" w:ascii="楷体_GB2312" w:hAnsi="楷体_GB2312" w:eastAsia="楷体_GB2312" w:cs="楷体_GB2312"/>
          <w:b w:val="0"/>
          <w:bCs w:val="0"/>
          <w:sz w:val="32"/>
          <w:szCs w:val="32"/>
          <w:lang w:val="zh-CN"/>
        </w:rPr>
        <w:t>（</w:t>
      </w:r>
      <w:r>
        <w:rPr>
          <w:rFonts w:hint="eastAsia" w:ascii="楷体_GB2312" w:hAnsi="楷体_GB2312" w:eastAsia="楷体_GB2312" w:cs="楷体_GB2312"/>
          <w:b w:val="0"/>
          <w:bCs w:val="0"/>
          <w:sz w:val="32"/>
          <w:szCs w:val="32"/>
          <w:lang w:val="en-US" w:eastAsia="zh-CN"/>
        </w:rPr>
        <w:t>二</w:t>
      </w:r>
      <w:r>
        <w:rPr>
          <w:rFonts w:hint="eastAsia" w:ascii="楷体_GB2312" w:hAnsi="楷体_GB2312" w:eastAsia="楷体_GB2312" w:cs="楷体_GB2312"/>
          <w:b w:val="0"/>
          <w:bCs w:val="0"/>
          <w:sz w:val="32"/>
          <w:szCs w:val="32"/>
          <w:lang w:val="zh-CN"/>
        </w:rPr>
        <w:t>）项目绩效目标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1.项目主要内容。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国产电脑适配及规划执法等职能职责划转增加办公设备，解决当前协同办公系统与国产电脑不适配的问题。更新UPS电源1套，更换机房消防设备1套。</w:t>
      </w:r>
    </w:p>
    <w:p>
      <w:pPr>
        <w:keepNext w:val="0"/>
        <w:keepLines w:val="0"/>
        <w:pageBreakBefore w:val="0"/>
        <w:widowControl w:val="0"/>
        <w:numPr>
          <w:ilvl w:val="0"/>
          <w:numId w:val="1"/>
        </w:numPr>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项目预计实现的目标。</w:t>
      </w:r>
    </w:p>
    <w:p>
      <w:pPr>
        <w:keepNext w:val="0"/>
        <w:keepLines w:val="0"/>
        <w:pageBreakBefore w:val="0"/>
        <w:widowControl w:val="0"/>
        <w:numPr>
          <w:ilvl w:val="0"/>
          <w:numId w:val="0"/>
        </w:numPr>
        <w:kinsoku/>
        <w:wordWrap/>
        <w:overflowPunct/>
        <w:topLinePunct w:val="0"/>
        <w:autoSpaceDE/>
        <w:autoSpaceDN/>
        <w:bidi w:val="0"/>
        <w:spacing w:line="540" w:lineRule="exact"/>
        <w:ind w:left="0" w:leftChars="0" w:right="0" w:righ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color w:val="000000"/>
          <w:sz w:val="32"/>
          <w:szCs w:val="32"/>
          <w:lang w:val="en-US" w:eastAsia="zh-CN"/>
        </w:rPr>
        <w:t>解决当前协同办公系统与国产电脑不适配的问题，</w:t>
      </w:r>
      <w:r>
        <w:rPr>
          <w:rFonts w:hint="eastAsia" w:ascii="仿宋_GB2312" w:hAnsi="仿宋_GB2312" w:eastAsia="仿宋_GB2312" w:cs="仿宋_GB2312"/>
          <w:b w:val="0"/>
          <w:bCs w:val="0"/>
          <w:sz w:val="32"/>
          <w:szCs w:val="32"/>
          <w:lang w:val="en-US" w:eastAsia="zh-CN"/>
        </w:rPr>
        <w:t>完成机房消防设备检修和更换</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color w:val="000000"/>
          <w:sz w:val="32"/>
          <w:szCs w:val="32"/>
          <w:lang w:val="en-US" w:eastAsia="zh-CN"/>
        </w:rPr>
        <w:t>保</w:t>
      </w:r>
      <w:r>
        <w:rPr>
          <w:rFonts w:hint="eastAsia" w:ascii="仿宋_GB2312" w:hAnsi="仿宋_GB2312" w:cs="仿宋_GB2312"/>
          <w:color w:val="000000"/>
          <w:sz w:val="32"/>
          <w:szCs w:val="32"/>
          <w:lang w:val="en-US" w:eastAsia="zh-CN"/>
        </w:rPr>
        <w:t>障</w:t>
      </w:r>
      <w:r>
        <w:rPr>
          <w:rFonts w:hint="eastAsia" w:ascii="仿宋_GB2312" w:hAnsi="仿宋_GB2312" w:eastAsia="仿宋_GB2312" w:cs="仿宋_GB2312"/>
          <w:color w:val="000000"/>
          <w:sz w:val="32"/>
          <w:szCs w:val="32"/>
          <w:lang w:val="en-US" w:eastAsia="zh-CN"/>
        </w:rPr>
        <w:t>系统公文正常流转</w:t>
      </w:r>
      <w:r>
        <w:rPr>
          <w:rFonts w:hint="eastAsia" w:ascii="仿宋_GB2312" w:hAnsi="仿宋_GB2312" w:cs="仿宋_GB2312"/>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3.分析评价项目申报内容是否与实际相符、申报目标是否合理可行。</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en-US" w:eastAsia="zh-CN"/>
        </w:rPr>
        <w:t>该</w:t>
      </w:r>
      <w:r>
        <w:rPr>
          <w:rFonts w:hint="eastAsia" w:ascii="仿宋_GB2312" w:hAnsi="仿宋_GB2312" w:eastAsia="仿宋_GB2312" w:cs="仿宋_GB2312"/>
          <w:color w:val="000000"/>
          <w:sz w:val="32"/>
          <w:szCs w:val="32"/>
          <w:lang w:val="zh-CN"/>
        </w:rPr>
        <w:t>项目计划实施内容与项目预算实施内容完全相符，不存在擅自调整项目情况，项目申报的目标合理可行。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en-US" w:eastAsia="zh-CN"/>
        </w:rPr>
        <w:t>（三）</w:t>
      </w:r>
      <w:r>
        <w:rPr>
          <w:rFonts w:hint="eastAsia" w:ascii="楷体_GB2312" w:hAnsi="楷体_GB2312" w:eastAsia="楷体_GB2312" w:cs="楷体_GB2312"/>
          <w:b w:val="0"/>
          <w:bCs w:val="0"/>
          <w:sz w:val="32"/>
          <w:szCs w:val="32"/>
          <w:lang w:val="zh-CN" w:eastAsia="zh-CN"/>
        </w:rPr>
        <w:t>项目自评步骤及方法</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按照项目评价要求，明确自评责任人，组织验收小组，通过验收报告资料等形式严格自评，做到自评真实。</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rPr>
          <w:rFonts w:hint="eastAsia" w:ascii="黑体" w:hAnsi="黑体" w:eastAsia="黑体" w:cs="黑体"/>
          <w:b w:val="0"/>
          <w:bCs w:val="0"/>
          <w:sz w:val="32"/>
          <w:szCs w:val="32"/>
          <w:lang w:val="zh-CN"/>
        </w:rPr>
      </w:pP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lang w:val="zh-CN"/>
        </w:rPr>
        <w:t>项目资金申报及使用情况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rPr>
      </w:pPr>
      <w:r>
        <w:rPr>
          <w:rFonts w:hint="eastAsia" w:ascii="楷体_GB2312" w:hAnsi="楷体_GB2312" w:eastAsia="楷体_GB2312" w:cs="楷体_GB2312"/>
          <w:b w:val="0"/>
          <w:bCs w:val="0"/>
          <w:sz w:val="32"/>
          <w:szCs w:val="32"/>
          <w:lang w:val="zh-CN"/>
        </w:rPr>
        <w:t>（</w:t>
      </w:r>
      <w:r>
        <w:rPr>
          <w:rFonts w:hint="eastAsia" w:ascii="楷体_GB2312" w:hAnsi="楷体_GB2312" w:eastAsia="楷体_GB2312" w:cs="楷体_GB2312"/>
          <w:b w:val="0"/>
          <w:bCs w:val="0"/>
          <w:sz w:val="32"/>
          <w:szCs w:val="32"/>
          <w:lang w:val="en-US" w:eastAsia="zh-CN"/>
        </w:rPr>
        <w:t>一</w:t>
      </w:r>
      <w:r>
        <w:rPr>
          <w:rFonts w:hint="eastAsia" w:ascii="楷体_GB2312" w:hAnsi="楷体_GB2312" w:eastAsia="楷体_GB2312" w:cs="楷体_GB2312"/>
          <w:b w:val="0"/>
          <w:bCs w:val="0"/>
          <w:sz w:val="32"/>
          <w:szCs w:val="32"/>
          <w:lang w:val="zh-CN"/>
        </w:rPr>
        <w:t>）项目资金申报及批复情况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rPr>
          <w:rFonts w:hint="default" w:ascii="仿宋_GB2312" w:hAnsi="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按照一般公共预算管理要求，通过申报资金预算，由市财政局下达机房消防设备及OA协同办公系统保障经费62万元。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rPr>
      </w:pPr>
      <w:r>
        <w:rPr>
          <w:rFonts w:hint="eastAsia" w:ascii="楷体_GB2312" w:hAnsi="楷体_GB2312" w:eastAsia="楷体_GB2312" w:cs="楷体_GB2312"/>
          <w:b w:val="0"/>
          <w:bCs w:val="0"/>
          <w:sz w:val="32"/>
          <w:szCs w:val="32"/>
          <w:lang w:val="zh-CN"/>
        </w:rPr>
        <w:t>（</w:t>
      </w:r>
      <w:r>
        <w:rPr>
          <w:rFonts w:hint="eastAsia" w:ascii="楷体_GB2312" w:hAnsi="楷体_GB2312" w:eastAsia="楷体_GB2312" w:cs="楷体_GB2312"/>
          <w:b w:val="0"/>
          <w:bCs w:val="0"/>
          <w:sz w:val="32"/>
          <w:szCs w:val="32"/>
          <w:lang w:val="en-US" w:eastAsia="zh-CN"/>
        </w:rPr>
        <w:t>二</w:t>
      </w:r>
      <w:r>
        <w:rPr>
          <w:rFonts w:hint="eastAsia" w:ascii="楷体_GB2312" w:hAnsi="楷体_GB2312" w:eastAsia="楷体_GB2312" w:cs="楷体_GB2312"/>
          <w:b w:val="0"/>
          <w:bCs w:val="0"/>
          <w:sz w:val="32"/>
          <w:szCs w:val="32"/>
          <w:lang w:val="zh-CN"/>
        </w:rPr>
        <w:t>）资金计划、到位及使用情况</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val="zh-CN"/>
        </w:rPr>
        <w:t>资金计划。</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该项目预算</w:t>
      </w:r>
      <w:r>
        <w:rPr>
          <w:rFonts w:hint="eastAsia" w:ascii="仿宋_GB2312" w:hAnsi="仿宋_GB2312" w:cs="仿宋_GB2312"/>
          <w:b w:val="0"/>
          <w:bCs w:val="0"/>
          <w:sz w:val="32"/>
          <w:szCs w:val="32"/>
          <w:lang w:val="en-US" w:eastAsia="zh-CN"/>
        </w:rPr>
        <w:t>指标</w:t>
      </w:r>
      <w:r>
        <w:rPr>
          <w:rFonts w:hint="eastAsia" w:ascii="仿宋_GB2312" w:hAnsi="仿宋_GB2312" w:eastAsia="仿宋_GB2312" w:cs="仿宋_GB2312"/>
          <w:b w:val="0"/>
          <w:bCs w:val="0"/>
          <w:sz w:val="32"/>
          <w:szCs w:val="32"/>
          <w:lang w:val="en-US" w:eastAsia="zh-CN"/>
        </w:rPr>
        <w:t>62万元，其中市财政资金62万元。</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val="zh-CN"/>
        </w:rPr>
        <w:t>资金到位。</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截止</w:t>
      </w:r>
      <w:r>
        <w:rPr>
          <w:rFonts w:hint="eastAsia"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年12月31日，</w:t>
      </w:r>
      <w:r>
        <w:rPr>
          <w:rFonts w:hint="eastAsia" w:ascii="仿宋_GB2312" w:hAnsi="仿宋_GB2312" w:eastAsia="仿宋_GB2312" w:cs="仿宋_GB2312"/>
          <w:b w:val="0"/>
          <w:bCs w:val="0"/>
          <w:sz w:val="32"/>
          <w:szCs w:val="32"/>
          <w:lang w:val="en-US" w:eastAsia="zh-CN"/>
        </w:rPr>
        <w:t>该</w:t>
      </w:r>
      <w:r>
        <w:rPr>
          <w:rFonts w:hint="eastAsia" w:ascii="仿宋_GB2312" w:hAnsi="仿宋_GB2312" w:eastAsia="仿宋_GB2312" w:cs="仿宋_GB2312"/>
          <w:b w:val="0"/>
          <w:bCs w:val="0"/>
          <w:sz w:val="32"/>
          <w:szCs w:val="32"/>
        </w:rPr>
        <w:t>项目到位资金</w:t>
      </w:r>
      <w:r>
        <w:rPr>
          <w:rFonts w:hint="eastAsia" w:ascii="仿宋_GB2312" w:hAnsi="仿宋_GB2312" w:eastAsia="仿宋_GB2312" w:cs="仿宋_GB2312"/>
          <w:b w:val="0"/>
          <w:bCs w:val="0"/>
          <w:sz w:val="32"/>
          <w:szCs w:val="32"/>
          <w:lang w:val="en-US" w:eastAsia="zh-CN"/>
        </w:rPr>
        <w:t>62</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val="en-US" w:eastAsia="zh-CN"/>
        </w:rPr>
        <w:t>其中市财政资金</w:t>
      </w:r>
      <w:r>
        <w:rPr>
          <w:rFonts w:hint="eastAsia" w:ascii="仿宋_GB2312" w:hAnsi="仿宋_GB2312" w:cs="仿宋_GB2312"/>
          <w:b w:val="0"/>
          <w:bCs w:val="0"/>
          <w:sz w:val="32"/>
          <w:szCs w:val="32"/>
          <w:lang w:val="en-US" w:eastAsia="zh-CN"/>
        </w:rPr>
        <w:t>6</w:t>
      </w:r>
      <w:r>
        <w:rPr>
          <w:rFonts w:hint="eastAsia" w:ascii="仿宋_GB2312" w:hAnsi="仿宋_GB2312" w:eastAsia="仿宋_GB2312" w:cs="仿宋_GB2312"/>
          <w:b w:val="0"/>
          <w:bCs w:val="0"/>
          <w:sz w:val="32"/>
          <w:szCs w:val="32"/>
          <w:lang w:val="en-US" w:eastAsia="zh-CN"/>
        </w:rPr>
        <w:t>2万元。</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val="zh-CN"/>
        </w:rPr>
        <w:t>资金使用。</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该项目2022年使用</w:t>
      </w:r>
      <w:r>
        <w:rPr>
          <w:rFonts w:hint="eastAsia" w:ascii="仿宋_GB2312" w:hAnsi="仿宋_GB2312" w:eastAsia="仿宋_GB2312" w:cs="仿宋_GB2312"/>
          <w:b w:val="0"/>
          <w:bCs w:val="0"/>
          <w:sz w:val="32"/>
          <w:szCs w:val="32"/>
          <w:lang w:val="en-US" w:eastAsia="zh-CN"/>
        </w:rPr>
        <w:t>30.07</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val="en-US" w:eastAsia="zh-CN"/>
        </w:rPr>
        <w:t>预算完成48.5%</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资金使用安全，符合规定，资金支付范围、支付标准、支付进度、支付依据等合规合法，与预算相符。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rPr>
      </w:pPr>
      <w:r>
        <w:rPr>
          <w:rFonts w:hint="eastAsia" w:ascii="楷体_GB2312" w:hAnsi="楷体_GB2312" w:eastAsia="楷体_GB2312" w:cs="楷体_GB2312"/>
          <w:b w:val="0"/>
          <w:bCs w:val="0"/>
          <w:sz w:val="32"/>
          <w:szCs w:val="32"/>
          <w:lang w:val="zh-CN"/>
        </w:rPr>
        <w:t>（三）项目财务管理情况</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我局</w:t>
      </w:r>
      <w:r>
        <w:rPr>
          <w:rFonts w:hint="eastAsia" w:ascii="仿宋_GB2312" w:hAnsi="仿宋_GB2312" w:eastAsia="仿宋_GB2312" w:cs="仿宋_GB2312"/>
          <w:sz w:val="32"/>
          <w:szCs w:val="32"/>
        </w:rPr>
        <w:t>严格按照财务管理相关制度规定，建立健全财务管理制度及内控制度，加强对</w:t>
      </w:r>
      <w:r>
        <w:rPr>
          <w:rFonts w:hint="eastAsia" w:ascii="仿宋_GB2312" w:hAnsi="仿宋_GB2312" w:cs="仿宋_GB2312"/>
          <w:sz w:val="32"/>
          <w:szCs w:val="32"/>
          <w:lang w:val="en-US" w:eastAsia="zh-CN"/>
        </w:rPr>
        <w:t>该项目</w:t>
      </w:r>
      <w:r>
        <w:rPr>
          <w:rFonts w:hint="eastAsia" w:ascii="仿宋_GB2312" w:hAnsi="仿宋_GB2312" w:eastAsia="仿宋_GB2312" w:cs="仿宋_GB2312"/>
          <w:color w:val="000000"/>
          <w:sz w:val="32"/>
          <w:szCs w:val="32"/>
          <w:lang w:val="en-US" w:eastAsia="zh-CN"/>
        </w:rPr>
        <w:t>工作经费</w:t>
      </w:r>
      <w:r>
        <w:rPr>
          <w:rFonts w:hint="eastAsia" w:ascii="仿宋_GB2312" w:hAnsi="仿宋_GB2312" w:eastAsia="仿宋_GB2312" w:cs="仿宋_GB2312"/>
          <w:sz w:val="32"/>
          <w:szCs w:val="32"/>
        </w:rPr>
        <w:t>的使用管理，按照专项资金管理办法做好项目实施和监管，及时、规范进行账务处理及会计核算。切实做到专款专用，最大可能发挥专项资金作用。</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rPr>
          <w:rFonts w:hint="eastAsia" w:ascii="黑体" w:hAnsi="黑体" w:eastAsia="黑体" w:cs="黑体"/>
          <w:sz w:val="32"/>
          <w:szCs w:val="32"/>
        </w:rPr>
      </w:pPr>
      <w:r>
        <w:rPr>
          <w:rFonts w:hint="eastAsia" w:ascii="黑体" w:hAnsi="黑体" w:eastAsia="黑体" w:cs="黑体"/>
          <w:b w:val="0"/>
          <w:bCs w:val="0"/>
          <w:sz w:val="32"/>
          <w:szCs w:val="32"/>
          <w:lang w:val="zh-CN"/>
        </w:rPr>
        <w:t>三、项目实施及管理情况</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我局</w:t>
      </w:r>
      <w:r>
        <w:rPr>
          <w:rFonts w:hint="eastAsia" w:ascii="仿宋_GB2312" w:hAnsi="仿宋_GB2312" w:eastAsia="仿宋_GB2312" w:cs="仿宋_GB2312"/>
          <w:sz w:val="32"/>
          <w:szCs w:val="32"/>
        </w:rPr>
        <w:t>严格按照项目管理有关规定管理专项经费，为保障项目资金安全，确保资金专款专用， 从资金申请、资金使用、会计核算三个环节加强资金管理，在项目资金申请环节，严格按照国库集中支付流程申请财政资金；在资金使用环节，严格遵守相关法律法规规定，严格按照单位财务管理审批流程办理款项支付；在会计核算环节，对本项目资金实行单独核算，确保专款专用。</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rPr>
          <w:rFonts w:hint="eastAsia" w:ascii="黑体" w:hAnsi="黑体" w:eastAsia="黑体" w:cs="黑体"/>
          <w:b w:val="0"/>
          <w:bCs w:val="0"/>
          <w:sz w:val="32"/>
          <w:szCs w:val="32"/>
          <w:lang w:val="zh-CN"/>
        </w:rPr>
      </w:pP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lang w:val="zh-CN"/>
        </w:rPr>
        <w:t>项目绩效情况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rPr>
      </w:pPr>
      <w:r>
        <w:rPr>
          <w:rFonts w:hint="eastAsia" w:ascii="楷体_GB2312" w:hAnsi="楷体_GB2312" w:eastAsia="楷体_GB2312" w:cs="楷体_GB2312"/>
          <w:b w:val="0"/>
          <w:bCs w:val="0"/>
          <w:sz w:val="32"/>
          <w:szCs w:val="32"/>
          <w:lang w:val="zh-CN"/>
        </w:rPr>
        <w:t>（</w:t>
      </w:r>
      <w:r>
        <w:rPr>
          <w:rFonts w:hint="eastAsia" w:ascii="楷体_GB2312" w:hAnsi="楷体_GB2312" w:eastAsia="楷体_GB2312" w:cs="楷体_GB2312"/>
          <w:b w:val="0"/>
          <w:bCs w:val="0"/>
          <w:sz w:val="32"/>
          <w:szCs w:val="32"/>
          <w:lang w:val="en-US" w:eastAsia="zh-CN"/>
        </w:rPr>
        <w:t>一</w:t>
      </w:r>
      <w:r>
        <w:rPr>
          <w:rFonts w:hint="eastAsia" w:ascii="楷体_GB2312" w:hAnsi="楷体_GB2312" w:eastAsia="楷体_GB2312" w:cs="楷体_GB2312"/>
          <w:b w:val="0"/>
          <w:bCs w:val="0"/>
          <w:sz w:val="32"/>
          <w:szCs w:val="32"/>
          <w:lang w:val="zh-CN"/>
        </w:rPr>
        <w:t>）项目完成情况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sz w:val="32"/>
          <w:szCs w:val="32"/>
          <w:lang w:val="en-US" w:eastAsia="zh-CN"/>
        </w:rPr>
        <w:t>1.完成机房消防设备检修和更换；2.按照保密机要工作要求，</w:t>
      </w:r>
      <w:r>
        <w:rPr>
          <w:rFonts w:hint="eastAsia" w:ascii="仿宋_GB2312" w:hAnsi="仿宋_GB2312" w:cs="仿宋_GB2312"/>
          <w:b w:val="0"/>
          <w:bCs w:val="0"/>
          <w:sz w:val="32"/>
          <w:szCs w:val="32"/>
          <w:lang w:val="en-US" w:eastAsia="zh-CN"/>
        </w:rPr>
        <w:t>完成</w:t>
      </w:r>
      <w:r>
        <w:rPr>
          <w:rFonts w:hint="eastAsia" w:ascii="仿宋_GB2312" w:hAnsi="仿宋_GB2312" w:eastAsia="仿宋_GB2312" w:cs="仿宋_GB2312"/>
          <w:b w:val="0"/>
          <w:bCs w:val="0"/>
          <w:sz w:val="32"/>
          <w:szCs w:val="32"/>
          <w:lang w:val="en-US" w:eastAsia="zh-CN"/>
        </w:rPr>
        <w:t>对我局104台国产电脑</w:t>
      </w:r>
      <w:r>
        <w:rPr>
          <w:rFonts w:hint="eastAsia" w:ascii="仿宋_GB2312" w:hAnsi="仿宋_GB2312" w:cs="仿宋_GB2312"/>
          <w:b w:val="0"/>
          <w:bCs w:val="0"/>
          <w:sz w:val="32"/>
          <w:szCs w:val="32"/>
          <w:lang w:val="en-US" w:eastAsia="zh-CN"/>
        </w:rPr>
        <w:t>与OA协同办公</w:t>
      </w:r>
      <w:r>
        <w:rPr>
          <w:rFonts w:hint="eastAsia" w:ascii="仿宋_GB2312" w:hAnsi="仿宋_GB2312" w:eastAsia="仿宋_GB2312" w:cs="仿宋_GB2312"/>
          <w:b w:val="0"/>
          <w:bCs w:val="0"/>
          <w:sz w:val="32"/>
          <w:szCs w:val="32"/>
          <w:lang w:val="en-US" w:eastAsia="zh-CN"/>
        </w:rPr>
        <w:t>进行适配。</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rPr>
      </w:pPr>
      <w:r>
        <w:rPr>
          <w:rFonts w:hint="eastAsia" w:ascii="楷体_GB2312" w:hAnsi="楷体_GB2312" w:eastAsia="楷体_GB2312" w:cs="楷体_GB2312"/>
          <w:b w:val="0"/>
          <w:bCs w:val="0"/>
          <w:sz w:val="32"/>
          <w:szCs w:val="32"/>
          <w:lang w:val="zh-CN"/>
        </w:rPr>
        <w:t>（</w:t>
      </w:r>
      <w:r>
        <w:rPr>
          <w:rFonts w:hint="eastAsia" w:ascii="楷体_GB2312" w:hAnsi="楷体_GB2312" w:eastAsia="楷体_GB2312" w:cs="楷体_GB2312"/>
          <w:b w:val="0"/>
          <w:bCs w:val="0"/>
          <w:sz w:val="32"/>
          <w:szCs w:val="32"/>
          <w:lang w:val="en-US" w:eastAsia="zh-CN"/>
        </w:rPr>
        <w:t>二</w:t>
      </w:r>
      <w:r>
        <w:rPr>
          <w:rFonts w:hint="eastAsia" w:ascii="楷体_GB2312" w:hAnsi="楷体_GB2312" w:eastAsia="楷体_GB2312" w:cs="楷体_GB2312"/>
          <w:b w:val="0"/>
          <w:bCs w:val="0"/>
          <w:sz w:val="32"/>
          <w:szCs w:val="32"/>
          <w:lang w:val="zh-CN"/>
        </w:rPr>
        <w:t>）项目效益情况</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color w:val="000000"/>
          <w:sz w:val="32"/>
          <w:szCs w:val="32"/>
          <w:lang w:val="en-US" w:eastAsia="zh-CN"/>
        </w:rPr>
        <w:t>解决了当前协同办公系统与国产电脑不适配的问题，保障系统公文正常流转以及</w:t>
      </w:r>
      <w:r>
        <w:rPr>
          <w:rFonts w:hint="eastAsia" w:ascii="仿宋_GB2312" w:hAnsi="仿宋_GB2312" w:eastAsia="仿宋_GB2312" w:cs="仿宋_GB2312"/>
          <w:spacing w:val="0"/>
          <w:sz w:val="32"/>
          <w:szCs w:val="32"/>
          <w:lang w:val="en-US" w:eastAsia="zh-CN"/>
        </w:rPr>
        <w:t>网络安全、稳定运行</w:t>
      </w:r>
      <w:r>
        <w:rPr>
          <w:rFonts w:hint="eastAsia" w:ascii="仿宋_GB2312" w:hAnsi="仿宋_GB2312" w:eastAsia="仿宋_GB2312" w:cs="仿宋_GB2312"/>
          <w:b w:val="0"/>
          <w:bCs w:val="0"/>
          <w:kern w:val="2"/>
          <w:sz w:val="32"/>
          <w:szCs w:val="32"/>
          <w:lang w:val="en-US" w:eastAsia="zh-CN" w:bidi="ar-SA"/>
        </w:rPr>
        <w:t>，确保局内人员生命和财产安全。</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rPr>
          <w:rFonts w:hint="eastAsia" w:ascii="黑体" w:hAnsi="黑体" w:eastAsia="黑体" w:cs="黑体"/>
          <w:b w:val="0"/>
          <w:bCs w:val="0"/>
          <w:sz w:val="32"/>
          <w:szCs w:val="32"/>
          <w:lang w:val="zh-CN"/>
        </w:rPr>
      </w:pP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lang w:val="zh-CN"/>
        </w:rPr>
        <w:t>评价结论及建议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rPr>
      </w:pPr>
      <w:r>
        <w:rPr>
          <w:rFonts w:hint="eastAsia" w:ascii="楷体_GB2312" w:hAnsi="楷体_GB2312" w:eastAsia="楷体_GB2312" w:cs="楷体_GB2312"/>
          <w:b w:val="0"/>
          <w:bCs w:val="0"/>
          <w:sz w:val="32"/>
          <w:szCs w:val="32"/>
          <w:lang w:val="zh-CN"/>
        </w:rPr>
        <w:t>（</w:t>
      </w:r>
      <w:r>
        <w:rPr>
          <w:rFonts w:hint="eastAsia" w:ascii="楷体_GB2312" w:hAnsi="楷体_GB2312" w:eastAsia="楷体_GB2312" w:cs="楷体_GB2312"/>
          <w:b w:val="0"/>
          <w:bCs w:val="0"/>
          <w:sz w:val="32"/>
          <w:szCs w:val="32"/>
          <w:lang w:val="en-US" w:eastAsia="zh-CN"/>
        </w:rPr>
        <w:t>一</w:t>
      </w:r>
      <w:r>
        <w:rPr>
          <w:rFonts w:hint="eastAsia" w:ascii="楷体_GB2312" w:hAnsi="楷体_GB2312" w:eastAsia="楷体_GB2312" w:cs="楷体_GB2312"/>
          <w:b w:val="0"/>
          <w:bCs w:val="0"/>
          <w:sz w:val="32"/>
          <w:szCs w:val="32"/>
          <w:lang w:val="zh-CN"/>
        </w:rPr>
        <w:t>）评价结论</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通过该项目的实施，</w:t>
      </w:r>
      <w:r>
        <w:rPr>
          <w:rFonts w:hint="eastAsia" w:ascii="仿宋_GB2312" w:hAnsi="仿宋_GB2312" w:eastAsia="仿宋_GB2312" w:cs="仿宋_GB2312"/>
          <w:color w:val="000000"/>
          <w:sz w:val="32"/>
          <w:szCs w:val="32"/>
          <w:lang w:val="en-US" w:eastAsia="zh-CN"/>
        </w:rPr>
        <w:t>解决了当前协同办公系统与国产电脑不适配的问题，保障系统公文正常流转以及</w:t>
      </w:r>
      <w:r>
        <w:rPr>
          <w:rFonts w:hint="eastAsia" w:ascii="仿宋_GB2312" w:hAnsi="仿宋_GB2312" w:eastAsia="仿宋_GB2312" w:cs="仿宋_GB2312"/>
          <w:spacing w:val="0"/>
          <w:sz w:val="32"/>
          <w:szCs w:val="32"/>
          <w:lang w:val="en-US" w:eastAsia="zh-CN"/>
        </w:rPr>
        <w:t>网络安全、稳定运行</w:t>
      </w:r>
      <w:r>
        <w:rPr>
          <w:rFonts w:hint="eastAsia" w:ascii="仿宋_GB2312" w:hAnsi="仿宋_GB2312" w:eastAsia="仿宋_GB2312" w:cs="仿宋_GB2312"/>
          <w:b w:val="0"/>
          <w:bCs w:val="0"/>
          <w:kern w:val="2"/>
          <w:sz w:val="32"/>
          <w:szCs w:val="32"/>
          <w:lang w:val="en-US" w:eastAsia="zh-CN" w:bidi="ar-SA"/>
        </w:rPr>
        <w:t>，确保局内人员生命和财产安全。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rPr>
      </w:pPr>
      <w:r>
        <w:rPr>
          <w:rFonts w:hint="eastAsia" w:ascii="楷体_GB2312" w:hAnsi="楷体_GB2312" w:eastAsia="楷体_GB2312" w:cs="楷体_GB2312"/>
          <w:b w:val="0"/>
          <w:bCs w:val="0"/>
          <w:sz w:val="32"/>
          <w:szCs w:val="32"/>
          <w:lang w:val="zh-CN"/>
        </w:rPr>
        <w:t>（</w:t>
      </w:r>
      <w:r>
        <w:rPr>
          <w:rFonts w:hint="eastAsia" w:ascii="楷体_GB2312" w:hAnsi="楷体_GB2312" w:eastAsia="楷体_GB2312" w:cs="楷体_GB2312"/>
          <w:b w:val="0"/>
          <w:bCs w:val="0"/>
          <w:sz w:val="32"/>
          <w:szCs w:val="32"/>
          <w:lang w:val="en-US" w:eastAsia="zh-CN"/>
        </w:rPr>
        <w:t>二</w:t>
      </w:r>
      <w:r>
        <w:rPr>
          <w:rFonts w:hint="eastAsia" w:ascii="楷体_GB2312" w:hAnsi="楷体_GB2312" w:eastAsia="楷体_GB2312" w:cs="楷体_GB2312"/>
          <w:b w:val="0"/>
          <w:bCs w:val="0"/>
          <w:sz w:val="32"/>
          <w:szCs w:val="32"/>
          <w:lang w:val="zh-CN"/>
        </w:rPr>
        <w:t>）相关建议</w:t>
      </w:r>
    </w:p>
    <w:p>
      <w:pPr>
        <w:keepNext w:val="0"/>
        <w:keepLines w:val="0"/>
        <w:pageBreakBefore w:val="0"/>
        <w:widowControl w:val="0"/>
        <w:kinsoku/>
        <w:wordWrap/>
        <w:overflowPunct/>
        <w:topLinePunct w:val="0"/>
        <w:autoSpaceDE/>
        <w:autoSpaceDN/>
        <w:bidi w:val="0"/>
        <w:spacing w:line="540" w:lineRule="exact"/>
        <w:ind w:left="0" w:leftChars="0" w:right="0" w:rightChars="0"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希望</w:t>
      </w:r>
      <w:r>
        <w:rPr>
          <w:rFonts w:hint="eastAsia" w:ascii="仿宋_GB2312" w:hAnsi="仿宋_GB2312" w:eastAsia="仿宋_GB2312" w:cs="仿宋_GB2312"/>
          <w:sz w:val="32"/>
          <w:szCs w:val="32"/>
          <w:lang w:eastAsia="zh-CN"/>
        </w:rPr>
        <w:t>财政部门加强对预算单位绩效评价工作的培训和指导，</w:t>
      </w:r>
      <w:r>
        <w:rPr>
          <w:rFonts w:hint="eastAsia" w:ascii="仿宋_GB2312" w:hAnsi="仿宋_GB2312" w:eastAsia="仿宋_GB2312" w:cs="仿宋_GB2312"/>
          <w:color w:val="000000"/>
          <w:kern w:val="0"/>
          <w:sz w:val="32"/>
          <w:szCs w:val="32"/>
          <w:shd w:val="clear" w:color="auto" w:fill="FFFFFF"/>
          <w:lang w:val="zh-CN"/>
        </w:rPr>
        <w:t>规范部门预算收支核算，切实提高部门预算收支管理水平，</w:t>
      </w:r>
      <w:r>
        <w:rPr>
          <w:rFonts w:hint="eastAsia" w:ascii="仿宋_GB2312" w:hAnsi="仿宋_GB2312" w:eastAsia="仿宋_GB2312" w:cs="仿宋_GB2312"/>
          <w:sz w:val="32"/>
          <w:szCs w:val="32"/>
          <w:lang w:eastAsia="zh-CN"/>
        </w:rPr>
        <w:t>进一步优化项目绩效考核指标体系，做到合理性与可操作性的有机统一。</w:t>
      </w:r>
    </w:p>
    <w:p>
      <w:pPr>
        <w:rPr>
          <w:rFonts w:hint="eastAsia" w:ascii="仿宋_GB2312" w:hAnsi="仿宋_GB2312" w:eastAsia="仿宋_GB2312" w:cs="仿宋_GB2312"/>
          <w:sz w:val="32"/>
          <w:szCs w:val="32"/>
          <w:lang w:val="en-US" w:eastAsia="zh-CN"/>
        </w:rPr>
      </w:pPr>
    </w:p>
    <w:p>
      <w:pPr>
        <w:pStyle w:val="2"/>
        <w:rPr>
          <w:rFonts w:hint="eastAsia"/>
          <w:lang w:val="en-US" w:eastAsia="zh-CN"/>
        </w:rPr>
      </w:pPr>
    </w:p>
    <w:p>
      <w:pPr>
        <w:pStyle w:val="2"/>
        <w:ind w:firstLine="5120" w:firstLineChars="16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广元市自然资源局</w:t>
      </w:r>
    </w:p>
    <w:p>
      <w:pPr>
        <w:pStyle w:val="2"/>
        <w:ind w:firstLine="5120" w:firstLineChars="1600"/>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pPr>
      <w:r>
        <w:rPr>
          <w:rFonts w:hint="eastAsia" w:ascii="仿宋_GB2312" w:hAnsi="仿宋_GB2312" w:eastAsia="仿宋_GB2312" w:cs="仿宋_GB2312"/>
          <w:sz w:val="32"/>
          <w:szCs w:val="32"/>
          <w:lang w:val="en-US" w:eastAsia="zh-CN"/>
        </w:rPr>
        <w:t>2023年4月28日</w:t>
      </w: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br w:type="page"/>
      </w:r>
    </w:p>
    <w:p>
      <w:pPr>
        <w:pStyle w:val="12"/>
        <w:keepNext w:val="0"/>
        <w:keepLines w:val="0"/>
        <w:pageBreakBefore w:val="0"/>
        <w:widowControl w:val="0"/>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rPr>
          <w:rFonts w:hint="eastAsia" w:ascii="黑体" w:hAnsi="黑体" w:eastAsia="黑体" w:cs="黑体"/>
          <w:b w:val="0"/>
          <w:bCs w:val="0"/>
          <w:color w:val="auto"/>
          <w:kern w:val="0"/>
          <w:sz w:val="32"/>
          <w:szCs w:val="32"/>
          <w:highlight w:val="none"/>
          <w:u w:val="none"/>
          <w:shd w:val="clear" w:color="auto" w:fill="FFFFFF"/>
          <w:lang w:val="zh-CN" w:eastAsia="zh-CN"/>
        </w:rPr>
      </w:pPr>
      <w:r>
        <w:rPr>
          <w:rFonts w:hint="eastAsia" w:ascii="黑体" w:hAnsi="黑体" w:eastAsia="黑体" w:cs="黑体"/>
          <w:b w:val="0"/>
          <w:bCs w:val="0"/>
          <w:color w:val="auto"/>
          <w:kern w:val="0"/>
          <w:sz w:val="32"/>
          <w:szCs w:val="32"/>
          <w:highlight w:val="none"/>
          <w:u w:val="none"/>
          <w:shd w:val="clear" w:color="auto" w:fill="FFFFFF"/>
          <w:lang w:val="zh-CN" w:eastAsia="zh-CN"/>
        </w:rPr>
        <w:t>附表</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市级主管部门（单位）项目资金分配涉及</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所有点位自评得分情况表</w:t>
      </w:r>
    </w:p>
    <w:tbl>
      <w:tblPr>
        <w:tblStyle w:val="10"/>
        <w:tblW w:w="8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0"/>
        <w:gridCol w:w="2625"/>
        <w:gridCol w:w="2622"/>
        <w:gridCol w:w="1319"/>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r>
              <w:rPr>
                <w:rFonts w:hint="eastAsia" w:ascii="仿宋_GB2312" w:hAnsi="仿宋_GB2312" w:eastAsia="仿宋_GB2312" w:cs="仿宋_GB2312"/>
                <w:b w:val="0"/>
                <w:bCs w:val="0"/>
                <w:color w:val="auto"/>
                <w:sz w:val="24"/>
                <w:szCs w:val="24"/>
                <w:highlight w:val="none"/>
                <w:u w:val="none"/>
                <w:vertAlign w:val="baseline"/>
                <w:lang w:val="en-US" w:eastAsia="zh-CN"/>
              </w:rPr>
              <w:t>序号</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r>
              <w:rPr>
                <w:rFonts w:hint="eastAsia" w:ascii="仿宋_GB2312" w:hAnsi="仿宋_GB2312" w:eastAsia="仿宋_GB2312" w:cs="仿宋_GB2312"/>
                <w:b w:val="0"/>
                <w:bCs w:val="0"/>
                <w:color w:val="auto"/>
                <w:sz w:val="24"/>
                <w:szCs w:val="24"/>
                <w:highlight w:val="none"/>
                <w:u w:val="none"/>
                <w:vertAlign w:val="baseline"/>
                <w:lang w:val="en-US" w:eastAsia="zh-CN"/>
              </w:rPr>
              <w:t>项目资金末端分配点位</w:t>
            </w: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r>
              <w:rPr>
                <w:rFonts w:hint="eastAsia" w:ascii="仿宋_GB2312" w:hAnsi="仿宋_GB2312" w:eastAsia="仿宋_GB2312" w:cs="仿宋_GB2312"/>
                <w:b w:val="0"/>
                <w:bCs w:val="0"/>
                <w:color w:val="auto"/>
                <w:sz w:val="24"/>
                <w:szCs w:val="24"/>
                <w:highlight w:val="none"/>
                <w:u w:val="none"/>
                <w:vertAlign w:val="baseline"/>
                <w:lang w:val="en" w:eastAsia="zh-CN"/>
              </w:rPr>
              <w:t>自评得分（百分制）</w:t>
            </w: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r>
              <w:rPr>
                <w:rFonts w:hint="eastAsia" w:ascii="仿宋_GB2312" w:hAnsi="仿宋_GB2312" w:eastAsia="仿宋_GB2312" w:cs="仿宋_GB2312"/>
                <w:b w:val="0"/>
                <w:bCs w:val="0"/>
                <w:color w:val="auto"/>
                <w:sz w:val="24"/>
                <w:szCs w:val="24"/>
                <w:highlight w:val="none"/>
                <w:u w:val="none"/>
                <w:vertAlign w:val="baseline"/>
                <w:lang w:val="en-US" w:eastAsia="zh-CN"/>
              </w:rPr>
              <w:t>财政科室审核得分</w:t>
            </w: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r>
              <w:rPr>
                <w:rFonts w:hint="eastAsia" w:ascii="仿宋_GB2312" w:hAnsi="仿宋_GB2312" w:eastAsia="仿宋_GB2312" w:cs="仿宋_GB2312"/>
                <w:b w:val="0"/>
                <w:bCs w:val="0"/>
                <w:color w:val="auto"/>
                <w:sz w:val="24"/>
                <w:szCs w:val="24"/>
                <w:highlight w:val="none"/>
                <w:u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1</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r>
              <w:rPr>
                <w:rFonts w:hint="eastAsia" w:ascii="仿宋_GB2312" w:hAnsi="仿宋_GB2312" w:eastAsia="仿宋_GB2312" w:cs="仿宋_GB2312"/>
                <w:b w:val="0"/>
                <w:bCs w:val="0"/>
                <w:color w:val="auto"/>
                <w:sz w:val="24"/>
                <w:szCs w:val="24"/>
                <w:highlight w:val="none"/>
                <w:u w:val="none"/>
                <w:vertAlign w:val="baseline"/>
                <w:lang w:val="en-US" w:eastAsia="zh-CN"/>
              </w:rPr>
              <w:t>广元市自然资源局局机关</w:t>
            </w: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仿宋_GB2312" w:hAnsi="仿宋_GB2312" w:eastAsia="仿宋_GB2312" w:cs="仿宋_GB2312"/>
                <w:b w:val="0"/>
                <w:bCs w:val="0"/>
                <w:color w:val="auto"/>
                <w:sz w:val="24"/>
                <w:szCs w:val="24"/>
                <w:highlight w:val="none"/>
                <w:u w:val="none"/>
                <w:vertAlign w:val="baseline"/>
                <w:lang w:val="en-US" w:eastAsia="zh-CN"/>
              </w:rPr>
            </w:pPr>
            <w:r>
              <w:rPr>
                <w:rFonts w:hint="eastAsia" w:ascii="仿宋_GB2312" w:hAnsi="仿宋_GB2312" w:cs="仿宋_GB2312"/>
                <w:b w:val="0"/>
                <w:bCs w:val="0"/>
                <w:color w:val="auto"/>
                <w:sz w:val="24"/>
                <w:szCs w:val="24"/>
                <w:highlight w:val="none"/>
                <w:u w:val="none"/>
                <w:vertAlign w:val="baseline"/>
                <w:lang w:val="en-US" w:eastAsia="zh-CN"/>
              </w:rPr>
              <w:t>100</w:t>
            </w: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2</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3</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4</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5</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6</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7</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8</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rPr>
          <w:rFonts w:hint="eastAsia" w:ascii="仿宋_GB2312" w:hAnsi="仿宋_GB2312" w:eastAsia="仿宋_GB2312" w:cs="仿宋_GB2312"/>
          <w:b w:val="0"/>
          <w:bCs w:val="0"/>
          <w:color w:val="auto"/>
          <w:sz w:val="32"/>
          <w:szCs w:val="32"/>
          <w:highlight w:val="none"/>
          <w:u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rPr>
          <w:rFonts w:hint="eastAsia" w:ascii="仿宋_GB2312" w:hAnsi="仿宋_GB2312" w:eastAsia="仿宋_GB2312" w:cs="仿宋_GB2312"/>
          <w:b w:val="0"/>
          <w:bCs w:val="0"/>
          <w:color w:val="auto"/>
          <w:sz w:val="32"/>
          <w:szCs w:val="32"/>
          <w:highlight w:val="none"/>
          <w:u w:val="none"/>
          <w:vertAlign w:val="baseline"/>
          <w:lang w:val="en-US" w:eastAsia="zh-CN"/>
        </w:rPr>
      </w:pPr>
      <w:r>
        <w:rPr>
          <w:rFonts w:hint="eastAsia" w:ascii="仿宋_GB2312" w:hAnsi="仿宋_GB2312" w:eastAsia="仿宋_GB2312" w:cs="仿宋_GB2312"/>
          <w:b w:val="0"/>
          <w:bCs w:val="0"/>
          <w:color w:val="auto"/>
          <w:sz w:val="32"/>
          <w:szCs w:val="32"/>
          <w:highlight w:val="none"/>
          <w:u w:val="none"/>
          <w:vertAlign w:val="baseline"/>
          <w:lang w:val="en-US" w:eastAsia="zh-CN"/>
        </w:rPr>
        <w:t>备注：1、项目资金末端分配点位包括县（区）、市级部门下属单位及一次性单位等。</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left="0" w:leftChars="0" w:right="0" w:rightChars="0" w:firstLine="0" w:firstLineChars="0"/>
        <w:jc w:val="both"/>
        <w:textAlignment w:val="auto"/>
        <w:rPr>
          <w:rFonts w:hint="eastAsia" w:ascii="仿宋_GB2312" w:hAnsi="仿宋_GB2312" w:eastAsia="仿宋_GB2312" w:cs="仿宋_GB2312"/>
          <w:b w:val="0"/>
          <w:bCs w:val="0"/>
          <w:color w:val="auto"/>
          <w:sz w:val="32"/>
          <w:szCs w:val="32"/>
          <w:highlight w:val="none"/>
          <w:u w:val="none"/>
          <w:vertAlign w:val="baseline"/>
          <w:lang w:val="en-US" w:eastAsia="zh-CN"/>
        </w:rPr>
      </w:pPr>
      <w:r>
        <w:rPr>
          <w:rFonts w:hint="eastAsia" w:ascii="仿宋_GB2312" w:hAnsi="仿宋_GB2312" w:eastAsia="仿宋_GB2312" w:cs="仿宋_GB2312"/>
          <w:b w:val="0"/>
          <w:bCs w:val="0"/>
          <w:color w:val="auto"/>
          <w:sz w:val="32"/>
          <w:szCs w:val="32"/>
          <w:highlight w:val="none"/>
          <w:u w:val="none"/>
          <w:vertAlign w:val="baseline"/>
          <w:lang w:val="en-US" w:eastAsia="zh-CN"/>
        </w:rPr>
        <w:t>自评得分（百分制）从高到低划分为优、良、中、差四个档次，各个档次数量占比分别为20%、20%、55%、5%，且不同档次间得分分值应体现差异化，同档次得分分值相同的比例不超过该档次总数量的10%。</w:t>
      </w:r>
    </w:p>
    <w:p>
      <w:pPr>
        <w:pStyle w:val="2"/>
        <w:rPr>
          <w:rFonts w:hint="eastAsia"/>
          <w:lang w:val="en-US" w:eastAsia="zh-CN"/>
        </w:rPr>
      </w:pPr>
    </w:p>
    <w:p>
      <w:pPr>
        <w:rPr>
          <w:rFonts w:hint="eastAsia" w:ascii="仿宋_GB2312" w:hAnsi="仿宋_GB2312" w:eastAsia="仿宋_GB2312" w:cs="仿宋_GB2312"/>
          <w:b w:val="0"/>
          <w:bCs w:val="0"/>
          <w:color w:val="000000"/>
          <w:kern w:val="0"/>
          <w:sz w:val="32"/>
          <w:szCs w:val="32"/>
          <w:lang w:val="en-US" w:eastAsia="zh-CN"/>
        </w:rPr>
        <w:sectPr>
          <w:footerReference r:id="rId3" w:type="default"/>
          <w:pgSz w:w="11906" w:h="16838"/>
          <w:pgMar w:top="2098" w:right="1474" w:bottom="1984" w:left="1587" w:header="851" w:footer="992" w:gutter="0"/>
          <w:pgNumType w:fmt="decimal"/>
          <w:cols w:space="425" w:num="1"/>
          <w:docGrid w:type="lines" w:linePitch="312" w:charSpace="0"/>
        </w:sectPr>
      </w:pPr>
    </w:p>
    <w:p>
      <w:pPr>
        <w:pStyle w:val="2"/>
        <w:ind w:left="0" w:leftChars="0" w:firstLine="0" w:firstLineChars="0"/>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附件5</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2023年市级专项资金预算项目支出绩效评价指标体系</w:t>
      </w:r>
    </w:p>
    <w:tbl>
      <w:tblPr>
        <w:tblStyle w:val="9"/>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9"/>
        <w:gridCol w:w="448"/>
        <w:gridCol w:w="657"/>
        <w:gridCol w:w="439"/>
        <w:gridCol w:w="1266"/>
        <w:gridCol w:w="1379"/>
        <w:gridCol w:w="1996"/>
        <w:gridCol w:w="1048"/>
        <w:gridCol w:w="752"/>
        <w:gridCol w:w="752"/>
        <w:gridCol w:w="752"/>
        <w:gridCol w:w="979"/>
        <w:gridCol w:w="837"/>
        <w:gridCol w:w="4247"/>
        <w:gridCol w:w="513"/>
        <w:gridCol w:w="522"/>
        <w:gridCol w:w="513"/>
        <w:gridCol w:w="522"/>
        <w:gridCol w:w="491"/>
        <w:gridCol w:w="491"/>
        <w:gridCol w:w="491"/>
        <w:gridCol w:w="613"/>
        <w:gridCol w:w="610"/>
        <w:gridCol w:w="492"/>
        <w:gridCol w:w="3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blHeader/>
        </w:trPr>
        <w:tc>
          <w:tcPr>
            <w:tcW w:w="1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分值权重</w:t>
            </w:r>
          </w:p>
        </w:tc>
        <w:tc>
          <w:tcPr>
            <w:tcW w:w="963" w:type="pct"/>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分层分类指标</w:t>
            </w:r>
          </w:p>
        </w:tc>
        <w:tc>
          <w:tcPr>
            <w:tcW w:w="4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指标解释</w:t>
            </w:r>
          </w:p>
        </w:tc>
        <w:tc>
          <w:tcPr>
            <w:tcW w:w="1177" w:type="pct"/>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评分方法</w:t>
            </w:r>
          </w:p>
        </w:tc>
        <w:tc>
          <w:tcPr>
            <w:tcW w:w="97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评价要点及说明</w:t>
            </w:r>
          </w:p>
        </w:tc>
        <w:tc>
          <w:tcPr>
            <w:tcW w:w="237" w:type="pct"/>
            <w:gridSpan w:val="2"/>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评价方式</w:t>
            </w:r>
          </w:p>
        </w:tc>
        <w:tc>
          <w:tcPr>
            <w:tcW w:w="23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评价属性</w:t>
            </w:r>
          </w:p>
        </w:tc>
        <w:tc>
          <w:tcPr>
            <w:tcW w:w="619" w:type="pct"/>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定量评价标准</w:t>
            </w:r>
          </w:p>
        </w:tc>
        <w:tc>
          <w:tcPr>
            <w:tcW w:w="1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自评得分</w:t>
            </w:r>
          </w:p>
        </w:tc>
        <w:tc>
          <w:tcPr>
            <w:tcW w:w="9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blHeader/>
        </w:trPr>
        <w:tc>
          <w:tcPr>
            <w:tcW w:w="1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963"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4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77" w:type="pct"/>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9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37" w:type="pct"/>
            <w:gridSpan w:val="2"/>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3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619"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blHeader/>
        </w:trPr>
        <w:tc>
          <w:tcPr>
            <w:tcW w:w="1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分层指标</w:t>
            </w:r>
          </w:p>
        </w:tc>
        <w:tc>
          <w:tcPr>
            <w:tcW w:w="252"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适用范围</w:t>
            </w:r>
          </w:p>
        </w:tc>
        <w:tc>
          <w:tcPr>
            <w:tcW w:w="29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一级指标</w:t>
            </w:r>
          </w:p>
        </w:tc>
        <w:tc>
          <w:tcPr>
            <w:tcW w:w="3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二级指标</w:t>
            </w:r>
          </w:p>
        </w:tc>
        <w:tc>
          <w:tcPr>
            <w:tcW w:w="4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方法归类</w:t>
            </w:r>
          </w:p>
        </w:tc>
        <w:tc>
          <w:tcPr>
            <w:tcW w:w="9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计算公式</w:t>
            </w:r>
          </w:p>
        </w:tc>
        <w:tc>
          <w:tcPr>
            <w:tcW w:w="9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整体评价</w:t>
            </w:r>
          </w:p>
        </w:tc>
        <w:tc>
          <w:tcPr>
            <w:tcW w:w="1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样本评价</w:t>
            </w:r>
          </w:p>
        </w:tc>
        <w:tc>
          <w:tcPr>
            <w:tcW w:w="1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定性评价</w:t>
            </w:r>
          </w:p>
        </w:tc>
        <w:tc>
          <w:tcPr>
            <w:tcW w:w="1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定量评价</w:t>
            </w:r>
          </w:p>
        </w:tc>
        <w:tc>
          <w:tcPr>
            <w:tcW w:w="11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国家标准</w:t>
            </w:r>
          </w:p>
        </w:tc>
        <w:tc>
          <w:tcPr>
            <w:tcW w:w="11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行业标准</w:t>
            </w:r>
          </w:p>
        </w:tc>
        <w:tc>
          <w:tcPr>
            <w:tcW w:w="11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地方标准</w:t>
            </w:r>
          </w:p>
        </w:tc>
        <w:tc>
          <w:tcPr>
            <w:tcW w:w="1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申报标准</w:t>
            </w:r>
          </w:p>
        </w:tc>
        <w:tc>
          <w:tcPr>
            <w:tcW w:w="1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历史均值</w:t>
            </w:r>
          </w:p>
        </w:tc>
        <w:tc>
          <w:tcPr>
            <w:tcW w:w="1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blHeader/>
        </w:trPr>
        <w:tc>
          <w:tcPr>
            <w:tcW w:w="1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5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4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0</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0.3</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0.6</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0.8</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w:t>
            </w:r>
          </w:p>
        </w:tc>
        <w:tc>
          <w:tcPr>
            <w:tcW w:w="9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0" w:hRule="atLeast"/>
        </w:trPr>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w:t>
            </w:r>
          </w:p>
        </w:tc>
        <w:tc>
          <w:tcPr>
            <w:tcW w:w="1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通用指标</w:t>
            </w:r>
          </w:p>
        </w:tc>
        <w:tc>
          <w:tcPr>
            <w:tcW w:w="252"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所有项目</w:t>
            </w:r>
          </w:p>
        </w:tc>
        <w:tc>
          <w:tcPr>
            <w:tcW w:w="291"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项目决策</w:t>
            </w:r>
          </w:p>
        </w:tc>
        <w:tc>
          <w:tcPr>
            <w:tcW w:w="317"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程序严密</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项目设立是否经过严格评估论证和集体决策，是否与部门职责相符，是否属于公共财政支持范围，是否符合地方事权支出责任划分原则，是否与相关部门同类项目或部门内部相关项目重复</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不完善</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较完善</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完善</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专项项目设立是否经过事前评估或可行性论证，是否符合专项设立的基本规范和程序要求。项目设立是否属于部门职责相符，是否属于公共财政支持范围，符合地方事权支出责任划分原则，是否与相关部门同类项目或部门内部相关项目重复。存在一项不符合的为较完善，存在两项及两项以上不符合的为不完善</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w:t>
            </w: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w:t>
            </w: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5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91"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7"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规划合理★</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项目规划是否符合省委、省政府重大决策部署，是否与项目年度目标一致</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不合理</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较合理</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合理</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项目设立依据是否充分，符合省委、省政府重大决策部署和宏观政策规划，项目年度绩效目标与中长期规划是否一致，项目绩效目标是否具有合理性。样本评价中，规划是否与现实需求匹配，是否存在因规划不够合理导致项目效益欠佳的情况</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w:t>
            </w: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0" w:hRule="atLeast"/>
        </w:trPr>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w:t>
            </w: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5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91"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7"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制度完备</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项目指导意见、管理办法、申报指南、实施细则等管理制度是否完善，是否存在脱离实际、缺陷、漏洞导致执行偏离预期</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缺（错）项扣分法</w:t>
            </w:r>
          </w:p>
        </w:tc>
        <w:tc>
          <w:tcPr>
            <w:tcW w:w="9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发现一处扣0.5分，直至扣完</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主要查看项目的相关管理制度机制是否健全完善，在项目执行过程中，是否存在管理制度有悖于实际的情况，是否存在难以操作、无法落地、执行不畅的情况，是否存在不能满足实际需求，未及时动态调整的情况</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w:t>
            </w: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0" w:hRule="atLeast"/>
        </w:trPr>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w:t>
            </w: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5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9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项目实施</w:t>
            </w:r>
          </w:p>
        </w:tc>
        <w:tc>
          <w:tcPr>
            <w:tcW w:w="317"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分配合理★</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项目资金分配结果是否与规划计划一致；是否按规定及时分配专项预算资金</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是否评分法</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项目法分配的项目，以所有项目点实施完成情况与规划计划情况进行对比。按因素法分配的项目和据实据效分配的项目，将资金分配方向与规划计划支持方向进行对比；省级接到中央一般性转移支付和专项转移支付后，应当在30日内正式下达到本行政区域县级以上各级政府；县级以上地方各级预算安排对下级政府的一般性转移支付和专项转移支付，应当分别在本级人民代表大会批准预算后的30日和60日内正式下达；《预算法》其他规定；分配依据充分的得分，明显不充分扣分。两种情况分值权重各占一半</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4</w:t>
            </w: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w:t>
            </w: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5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7"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使用合规</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项目资金使用是否符合相关的财务管理制度规定</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缺（错）项扣分法</w:t>
            </w:r>
          </w:p>
        </w:tc>
        <w:tc>
          <w:tcPr>
            <w:tcW w:w="9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发现一处扣0.5分，直至扣完</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项目资金是否符合国家财经法规和财务管理制度及有关专项资金管理办法规定；资金拨付是否有完整的审批程序和手续；是否符合项目预算批复或合同规定用途；是否存在截留、挤占、挪用、虚列支出等情况</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w:t>
            </w: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w:t>
            </w: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5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7"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执行有效</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项目实施是否符合相关管理制度规定</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缺（错）项扣分法</w:t>
            </w:r>
          </w:p>
        </w:tc>
        <w:tc>
          <w:tcPr>
            <w:tcW w:w="9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发现一处扣0.5分，直至扣完</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项目实施是否遵守相关法律法规；项目调整手续是否完备；项目合同、验收报告、技术鉴定等资料是否齐全并及时归档；项目实施的人员条件、场地设备、信息支撑等是否落实到位</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w:t>
            </w: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0" w:hRule="atLeast"/>
        </w:trPr>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w:t>
            </w: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5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完成结果</w:t>
            </w:r>
          </w:p>
        </w:tc>
        <w:tc>
          <w:tcPr>
            <w:tcW w:w="317"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预算完成★</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项目资金拨付到具体支持对象企业、项目（人）的情况</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9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指标得分=项目实际到位金额/承诺到位金额×100%*指标分值</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主要查看项目资金拨付到人到户、到项目、到企业与资金总量的对比，配套预算到位率。</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w:t>
            </w: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0" w:hRule="atLeast"/>
        </w:trPr>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10%</w:t>
            </w:r>
          </w:p>
        </w:tc>
        <w:tc>
          <w:tcPr>
            <w:tcW w:w="1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通用指标</w:t>
            </w:r>
          </w:p>
        </w:tc>
        <w:tc>
          <w:tcPr>
            <w:tcW w:w="252"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所有项目</w:t>
            </w:r>
          </w:p>
        </w:tc>
        <w:tc>
          <w:tcPr>
            <w:tcW w:w="29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完成结果</w:t>
            </w:r>
          </w:p>
        </w:tc>
        <w:tc>
          <w:tcPr>
            <w:tcW w:w="317"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资金结余★</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项目资金结余的情况</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9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指标得分=（1-结余率/0.2）*指标分值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结余率大于等于0.2，指标得0分                             结余率=结余金额/省级财政资金预算数×100%                                                                                               </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结余资金是指项目实施周期已结束、项目目标完成或项目提前终止，尚未列支的项目支出预算资金；因项目实施计划调整，不需要继续支出的预算资金；预算批复后连续两年未用完的预算资金。</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0</w:t>
            </w: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0" w:hRule="atLeast"/>
        </w:trPr>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w:t>
            </w: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bCs/>
                <w:i w:val="0"/>
                <w:iCs w:val="0"/>
                <w:color w:val="000000"/>
                <w:sz w:val="21"/>
                <w:szCs w:val="21"/>
                <w:u w:val="none"/>
              </w:rPr>
            </w:pPr>
          </w:p>
        </w:tc>
        <w:tc>
          <w:tcPr>
            <w:tcW w:w="25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7"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目标完成★</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项目实施后是否完成预期目标</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9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指标得分=实际完成任务量/绩效目标设定任务量×100%*指标分值  </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主要查看项目实施后产出数量指标完成情况。以样本点资金量为权重，加权计算指标得分。当实际完成任务量/绩效目标设定任务量&gt;1时按1计算</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4</w:t>
            </w: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0" w:hRule="atLeast"/>
        </w:trPr>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w:t>
            </w: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bCs/>
                <w:i w:val="0"/>
                <w:iCs w:val="0"/>
                <w:color w:val="000000"/>
                <w:sz w:val="21"/>
                <w:szCs w:val="21"/>
                <w:u w:val="none"/>
              </w:rPr>
            </w:pPr>
          </w:p>
        </w:tc>
        <w:tc>
          <w:tcPr>
            <w:tcW w:w="25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7"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完成及时</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项目实际完成时间与计划完成时间的比较，用以反映和考核项目产出实效目标的实现程度</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9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指标得分=(1-(实际完成时间-计划完成时间)/计划完成时间)×100%*指标分值  </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主要查看项目实际计划完成时间情况，一般以天数、月数或年数为单位。当实际完成时间-计划完成时间小于等于0时得满分；实际完成时间超过计划完成时间1倍时得0分</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4</w:t>
            </w: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w:t>
            </w: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bCs/>
                <w:i w:val="0"/>
                <w:iCs w:val="0"/>
                <w:color w:val="000000"/>
                <w:sz w:val="21"/>
                <w:szCs w:val="21"/>
                <w:u w:val="none"/>
              </w:rPr>
            </w:pPr>
          </w:p>
        </w:tc>
        <w:tc>
          <w:tcPr>
            <w:tcW w:w="25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7"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违规记录</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项目管理是否合规</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不合规</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3处及以上不合规</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2处不合规</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1处不合规</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合规</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根据审计监督、财政检查结果反映专项管理是否合规</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w:t>
            </w: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1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20%</w:t>
            </w:r>
          </w:p>
        </w:tc>
        <w:tc>
          <w:tcPr>
            <w:tcW w:w="1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共性指标</w:t>
            </w:r>
          </w:p>
        </w:tc>
        <w:tc>
          <w:tcPr>
            <w:tcW w:w="252"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产业发展项目</w:t>
            </w:r>
          </w:p>
        </w:tc>
        <w:tc>
          <w:tcPr>
            <w:tcW w:w="29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项目效果</w:t>
            </w:r>
          </w:p>
        </w:tc>
        <w:tc>
          <w:tcPr>
            <w:tcW w:w="317"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符合性</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项目实施效果是否与绩效目标或申报目标符合</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9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指标得分=项目实施符合的点位数/所有选点总数×100%*指标分值</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根据项目现场评价实施效果与绩效目标进行对比，汇总所有样本点情况综合分析政策整体吻合度</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20</w:t>
            </w: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0" w:hRule="atLeast"/>
        </w:trPr>
        <w:tc>
          <w:tcPr>
            <w:tcW w:w="1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5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成长性★</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反映不同类型产业政策实施对相关行业企业成长性的促进作用，主要反映支持对象的创新、创造、创业能力情况，产业结构情况，持续盈利能力情况</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9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指标得分=各项具体指标得分的平均分</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根据产业政策实施对象的主营业务收入增长率、净利润增长率或税收增长率等情况综合判断，统计年鉴相关数据为准（主要查看企业2018年度、2019年度财报，2020年根据实际情况收集）</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1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52"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民生保障项目</w:t>
            </w:r>
          </w:p>
        </w:tc>
        <w:tc>
          <w:tcPr>
            <w:tcW w:w="291" w:type="pct"/>
            <w:vMerge w:val="restar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项目效果</w:t>
            </w:r>
          </w:p>
        </w:tc>
        <w:tc>
          <w:tcPr>
            <w:tcW w:w="317"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区域均衡性</w:t>
            </w:r>
          </w:p>
        </w:tc>
        <w:tc>
          <w:tcPr>
            <w:tcW w:w="458"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项目资金分配体现的均衡公平情况</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不均衡</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较均衡</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均衡</w:t>
            </w:r>
          </w:p>
        </w:tc>
        <w:tc>
          <w:tcPr>
            <w:tcW w:w="97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按实际分配结果选择客观因素测算验证资金分配方法制定、分配要素设定、基础数据应用、测算依据选取等是否科学合理</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0" w:hRule="atLeast"/>
        </w:trPr>
        <w:tc>
          <w:tcPr>
            <w:tcW w:w="1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5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91" w:type="pct"/>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7"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对象公平性★</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项目资金分配结果是否公平合理，是否充分考虑地域条件、经济条件等</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不公平</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公平</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主要查看项目资金分配和实施结果是否体现公平公正性，在支持</w:t>
            </w:r>
            <w:r>
              <w:rPr>
                <w:rStyle w:val="15"/>
                <w:rFonts w:hint="eastAsia" w:ascii="宋体" w:hAnsi="宋体" w:eastAsia="宋体" w:cs="宋体"/>
                <w:sz w:val="21"/>
                <w:szCs w:val="21"/>
                <w:lang w:val="en-US" w:eastAsia="zh-CN" w:bidi="ar"/>
              </w:rPr>
              <w:t>范围、标准、程序</w:t>
            </w:r>
            <w:r>
              <w:rPr>
                <w:rStyle w:val="14"/>
                <w:rFonts w:hint="eastAsia" w:ascii="宋体" w:hAnsi="宋体" w:eastAsia="宋体" w:cs="宋体"/>
                <w:sz w:val="21"/>
                <w:szCs w:val="21"/>
                <w:lang w:val="en-US" w:eastAsia="zh-CN" w:bidi="ar"/>
              </w:rPr>
              <w:t>上是否存在明显的排他性和歧视性规定，是否做到大多数和少数的协调统一，统筹兼顾。标黑因素存在一项不公平的按一般档次计算分值，存在两项因素不公平的得0分</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1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5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91" w:type="pct"/>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7"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社会满意度</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相关群体满意度调查情况</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9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按根据实际满意度与满意度标准值的比率计算指标得分</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主要调研政策和项目相关方在政策实施过程中的满意值，通过不满意情况汇总分析政策在顶层设计、制度构建、管理实施及成效各环节的情况</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1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52"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基础设施（设备购置）项目</w:t>
            </w:r>
          </w:p>
        </w:tc>
        <w:tc>
          <w:tcPr>
            <w:tcW w:w="29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项目效果</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功能性★</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反映公共基础设施建设功能是否达到计划能力，建成后是否正常并良好运行，延续性是否达到预期</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9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发现基础设施功能明显未实现预期的，发现一项扣1分，直至扣完</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主要查看建设项目是否实施方案实现预期功能，是否能够持续良好地运作，有效地维护，特别是公共设施类的项目，是否能有效满足人民群众的现实需要</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iCs w:val="0"/>
                <w:color w:val="000000"/>
                <w:sz w:val="21"/>
                <w:szCs w:val="21"/>
                <w:u w:val="none"/>
                <w:lang w:val="en-US" w:eastAsia="zh-CN"/>
              </w:rPr>
            </w:pP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1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5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7"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配套性★</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项目建成后相关工程、点位是否相关协调，配套设施是否整体协调，是否全面衔接发挥整体效益</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差</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较差</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较好</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好</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重点查看区域内建设规划在空间分布、功能配套整合、土地利用等方面是否存在明显有违常理，不科学合理的情况</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iCs w:val="0"/>
                <w:color w:val="000000"/>
                <w:sz w:val="21"/>
                <w:szCs w:val="21"/>
                <w:u w:val="none"/>
                <w:lang w:val="en-US" w:eastAsia="zh-CN"/>
              </w:rPr>
            </w:pP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1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30%</w:t>
            </w:r>
          </w:p>
        </w:tc>
        <w:tc>
          <w:tcPr>
            <w:tcW w:w="1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特性指标</w:t>
            </w:r>
          </w:p>
        </w:tc>
        <w:tc>
          <w:tcPr>
            <w:tcW w:w="15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产业发展项目</w:t>
            </w:r>
          </w:p>
        </w:tc>
        <w:tc>
          <w:tcPr>
            <w:tcW w:w="1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工业产业（包括技术改造）</w:t>
            </w:r>
          </w:p>
        </w:tc>
        <w:tc>
          <w:tcPr>
            <w:tcW w:w="29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经济效益</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利税增长率</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项目实施单位利税增长情况</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9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指标得分=利税增长率/标准值*指标分值（利税增长率/标准值＞1按1计算，负值按0计算）</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评价年度前三年利税平均增长率（不含评价当年，不足三年按实际存续年限计算）</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iCs w:val="0"/>
                <w:color w:val="000000"/>
                <w:sz w:val="21"/>
                <w:szCs w:val="21"/>
                <w:u w:val="none"/>
                <w:lang w:val="en-US" w:eastAsia="zh-CN"/>
              </w:rPr>
            </w:pP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1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投资回报率</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项目投产后回报情况</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9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指标得分=投资回报率/标准值*指标得分（投资回报率/标准值＞1按1计算，负值按0计算）</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投资回报率=项目年新增利税额/项目投入资金总额</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trPr>
        <w:tc>
          <w:tcPr>
            <w:tcW w:w="1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9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社会贡献率</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企业运用资产为社会创造价值的能力</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9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指标得分=社会贡献率/标准值*指标分值（社会贡献率/标准值＞1按1计算，负值按0计算）</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社会贡献率=社会贡献额/资产总额 ×100%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社会贡献额=工资总额+主营业务税金及附加+利润总额+五险一金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资产总额=（期初资产总额+期末资产总额）/2 </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1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就业贡献率</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企业就业人数增量变化</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9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指标得分=就业贡献率/标准值*指标分值（就业贡献率/标准值＞1按1计算，负值按0计算）</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就业贡献率=企业三年平均新增就业人数/行业新增就业总人数×100%</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1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农业产业（包括林业产业）</w:t>
            </w:r>
          </w:p>
        </w:tc>
        <w:tc>
          <w:tcPr>
            <w:tcW w:w="29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经济效益</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增加值提升</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项目实施涉及产值增长情况</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9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指标得分=三年产值平均增长率/标准值*指标分值</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产值增长率=当年涉农产值增量/上一年度涉农产值总量×100%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重点查看项目实施区域涉农增加值变动情况</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1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年均收入变动率</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项目实施后农户收入变动情况</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9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指标得分=三年人均年收入增长率/标准值*指标分值（三年人均年收入增长率/标准值负值为0，＞1按1计算）</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人均年收入增长率=（项目实施后人均年收入-项目实施前人均年收入）/项目实施前人均年收入×100%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重点查看三年来农民人均年收入增长变化情况</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1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从业带动能力</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项目带动周边从事相关行业情况</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9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指标得分=三年平均新增带动就业户数/标准值*指标分值</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通过实地走访、调研、收集带动就业户数相关基础数据进行对比分析</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1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服务业</w:t>
            </w:r>
          </w:p>
        </w:tc>
        <w:tc>
          <w:tcPr>
            <w:tcW w:w="29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经济效益</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消费增长</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项目支持区域内社会消费品零售总额增长情况</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9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指标得分根据三年社会消费品零售增长变化计算得分，社会消费品零售增长≥标准值的得满分，＜标准值80%的不得分，其余按比值计算得分</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重点收集三年来区域内社会消费品零售增长数据，主要通过官方统计数据采集，同时结合实地调查对比，综合计算指标得分</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增加值增长率</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项目实施涉及增加值增长情况</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9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指标得分=三年增加值平均增长率/标准值*指标分值</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增加值增长率=当年服务业增加值增量/上一年度服务业增加值总量×100%。重点查看项目实施区域服务业增加值变动情况</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服务效能</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区域内相关事务处理能力提升情况</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差</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较差</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较好</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好</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重点查看区域内相关事务处理能力提升状况，通过资料记录查询，现场持续跟踪，走访调研了解等手段综合判断</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30%</w:t>
            </w:r>
          </w:p>
        </w:tc>
        <w:tc>
          <w:tcPr>
            <w:tcW w:w="1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特性指标</w:t>
            </w:r>
          </w:p>
        </w:tc>
        <w:tc>
          <w:tcPr>
            <w:tcW w:w="15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民生保障项目</w:t>
            </w:r>
          </w:p>
        </w:tc>
        <w:tc>
          <w:tcPr>
            <w:tcW w:w="1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社会保障与就业</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基础管理</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审核把关</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项目申报是否真实准确</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9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指标得分=基础数据真实客观的人数/项目受益总人数×100%*指标分值，基础数据真实客观的人数/项目受益总人数小于70%不得分</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主要查看项目受益人群的精准性和客观性，是否存在因制度机制缺陷或管理疏漏导致审核把关不严的情况</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资金使用率</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项目资金支付使用情况</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9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指标得分=资金实际使用金额/资金实际拨付金额×100%*指标分值</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主要查看财政资金实际支付使用，是否存在因制度机制、操作流程、管理疏漏、数据缺失等导致的资金结余，闲置浪费的情况</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医疗卫生计生</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基础管理</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服务质量提升</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反映服务安全、便捷、规范情况</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差</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较差</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较好</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好</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主要调查医疗卫生计生机构提供服务的安全性、便捷程度和规范性</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1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健康状况改善</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反映区域内居民健康状况改善情况</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差</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较差</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较好</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好</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主要包括健康档案使用率、新生儿死亡率、高血压患者控制率等，通过几个主要的维度综合衡量区域内居民健康状况改善情况</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教育文化</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基础管理</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对象覆盖全面</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项目区域范围内实施对象覆盖情况</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明显疏漏</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基本覆盖</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全面覆盖</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主要查看项目实施对相关群体的覆盖情况，是否充分考虑主要群体和特殊个体的统一，做到全面覆盖</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1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项目效果</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教学（文化）设备利用率</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反映教育（文化）设备使用情况</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9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设备使用率=设备使用时间/设备计划用时（分钟、小时、日、月）×100%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指标得分=设备使用率/标准值*指标分值</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主要调查设备工作状态及工作效率的情况，和绩效目标及相关标准对比</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基础设施（设备购置）项目</w:t>
            </w:r>
          </w:p>
        </w:tc>
        <w:tc>
          <w:tcPr>
            <w:tcW w:w="1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交通运输</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完成质量</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是否符合验收标准，达到行业基准水平</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9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指标得分=项目达标数/实施项目总数×100%*指标分值</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质量达标率＞100%时按100%计算；当质量达标率＜90%时，指标不得分</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1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道路通行能力提升</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项目区域内道路通行能力提升情况</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9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指标得分=实际通行能力/计划通行能力×100%*指标分值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（实际通行能力/计划通行能力＞1按1计算）</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通行能力=设计每小时通车数量，按照各种等级道路通行能力标准测算</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住房保障</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完成质量</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是否符合验收标准，达到行业基准水平</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9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指标得分=项目达标数/实施项目总数×100%*指标分值</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质量达标率＞100%时按100%计算；当质量达标率＜90%时，指标不得分</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保障实现率</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项目区域内应保家庭住房保障实现情况</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满意值赋分法</w:t>
            </w:r>
          </w:p>
        </w:tc>
        <w:tc>
          <w:tcPr>
            <w:tcW w:w="9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保障实现率达到标准值得满分，每低一个百分点扣1分</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住房保障率=已保家庭户数/应保家庭户数*100%</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城乡社区</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完成质量</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是否符合验收标准，达到行业基准水平</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9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指标得分=项目达标数/实施项目总数×100%*指标分值</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质量达标率＞100%时按100%计算；当质量达标率＜90%时，指标不得分</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trPr>
        <w:tc>
          <w:tcPr>
            <w:tcW w:w="1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运行效率</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城乡社区公共设施正常运转情况</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9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指标得分=运转效率/标准值*指标正分值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（运转效率/标准值＞1按1计算）</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运转效率=政策运转设施个数/设计正常运转设施个数*100%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主要包括城乡社区公共交通、照明、燃气、环境保护、娱乐、体育等相关公共设施正常运转情况</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水利设施</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完成质量</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是否符合验收标准，达到行业基准水平</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9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指标得分=项目达标数/实施项目总数×100%*指标分值</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质量达标率＞100%时按100%计算；当质量达标率＜90%时，指标不得分</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00" w:hRule="atLeast"/>
        </w:trPr>
        <w:tc>
          <w:tcPr>
            <w:tcW w:w="1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能力实现率</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水利设施设计能实现情况</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9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指标得分=能力实现率/标准值*指标正分值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（能力实现率/标准值＞1按1计算）</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能力实现率=实现设计能力水利设施个数/水利设施总个数*100%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主要包括水利系统建设用于堤防、河道、水库、水利枢纽、涵闸、灌区、供水、蓄滞洪区等水利工程建设及设备、设施改造维护后能力实现情况</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3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设备购置</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运行状况</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购置的设备常态化运行情况</w:t>
            </w: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差</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较差</w:t>
            </w: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较好</w:t>
            </w: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好</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重点查看购置设备日常使用频率及正常运转情况</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30</w:t>
            </w: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10%</w:t>
            </w:r>
          </w:p>
        </w:tc>
        <w:tc>
          <w:tcPr>
            <w:tcW w:w="2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个性指标</w:t>
            </w:r>
          </w:p>
        </w:tc>
        <w:tc>
          <w:tcPr>
            <w:tcW w:w="1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trPr>
        <w:tc>
          <w:tcPr>
            <w:tcW w:w="4795" w:type="pct"/>
            <w:gridSpan w:val="23"/>
            <w:vMerge w:val="restart"/>
            <w:tcBorders>
              <w:top w:val="single" w:color="000000" w:sz="4" w:space="0"/>
              <w:left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Style w:val="16"/>
                <w:rFonts w:hint="eastAsia" w:ascii="宋体" w:hAnsi="宋体" w:eastAsia="宋体" w:cs="宋体"/>
                <w:sz w:val="21"/>
                <w:szCs w:val="21"/>
                <w:lang w:val="en-US" w:eastAsia="zh-CN" w:bidi="ar"/>
              </w:rPr>
            </w:pPr>
            <w:r>
              <w:rPr>
                <w:rStyle w:val="16"/>
                <w:rFonts w:hint="eastAsia" w:ascii="宋体" w:hAnsi="宋体" w:eastAsia="宋体" w:cs="宋体"/>
                <w:sz w:val="21"/>
                <w:szCs w:val="21"/>
                <w:lang w:val="en-US" w:eastAsia="zh-CN" w:bidi="ar"/>
              </w:rPr>
              <w:t>1、评分方法归为六类：（1）是否评分法：</w:t>
            </w:r>
            <w:r>
              <w:rPr>
                <w:rStyle w:val="17"/>
                <w:rFonts w:hint="eastAsia" w:ascii="宋体" w:hAnsi="宋体" w:eastAsia="宋体" w:cs="宋体"/>
                <w:sz w:val="21"/>
                <w:szCs w:val="21"/>
                <w:lang w:val="en-US" w:eastAsia="zh-CN" w:bidi="ar"/>
              </w:rPr>
              <w:t>适用于合规性等正反判断指标，正向满分，反向0分。</w:t>
            </w:r>
            <w:r>
              <w:rPr>
                <w:rStyle w:val="16"/>
                <w:rFonts w:hint="eastAsia" w:ascii="宋体" w:hAnsi="宋体" w:eastAsia="宋体" w:cs="宋体"/>
                <w:sz w:val="21"/>
                <w:szCs w:val="21"/>
                <w:lang w:val="en-US" w:eastAsia="zh-CN" w:bidi="ar"/>
              </w:rPr>
              <w:t>（2）分级评分法：</w:t>
            </w:r>
            <w:r>
              <w:rPr>
                <w:rStyle w:val="17"/>
                <w:rFonts w:hint="eastAsia" w:ascii="宋体" w:hAnsi="宋体" w:eastAsia="宋体" w:cs="宋体"/>
                <w:sz w:val="21"/>
                <w:szCs w:val="21"/>
                <w:lang w:val="en-US" w:eastAsia="zh-CN" w:bidi="ar"/>
              </w:rPr>
              <w:t>指标评分设置n级权重，指标得分按指标值所处区间的权重计算。</w:t>
            </w:r>
            <w:r>
              <w:rPr>
                <w:rStyle w:val="16"/>
                <w:rFonts w:hint="eastAsia" w:ascii="宋体" w:hAnsi="宋体" w:eastAsia="宋体" w:cs="宋体"/>
                <w:sz w:val="21"/>
                <w:szCs w:val="21"/>
                <w:lang w:val="en-US" w:eastAsia="zh-CN" w:bidi="ar"/>
              </w:rPr>
              <w:t>（3）比率分值法：</w:t>
            </w:r>
            <w:r>
              <w:rPr>
                <w:rStyle w:val="17"/>
                <w:rFonts w:hint="eastAsia" w:ascii="宋体" w:hAnsi="宋体" w:eastAsia="宋体" w:cs="宋体"/>
                <w:sz w:val="21"/>
                <w:szCs w:val="21"/>
                <w:lang w:val="en-US" w:eastAsia="zh-CN" w:bidi="ar"/>
              </w:rPr>
              <w:t>对存在连续性比率的指标，按比率乘以指标分值计算得分。</w:t>
            </w:r>
            <w:r>
              <w:rPr>
                <w:rStyle w:val="16"/>
                <w:rFonts w:hint="eastAsia" w:ascii="宋体" w:hAnsi="宋体" w:eastAsia="宋体" w:cs="宋体"/>
                <w:sz w:val="21"/>
                <w:szCs w:val="21"/>
                <w:lang w:val="en-US" w:eastAsia="zh-CN" w:bidi="ar"/>
              </w:rPr>
              <w:t>（4）缺（错）项扣分法：</w:t>
            </w:r>
            <w:r>
              <w:rPr>
                <w:rStyle w:val="17"/>
                <w:rFonts w:hint="eastAsia" w:ascii="宋体" w:hAnsi="宋体" w:eastAsia="宋体" w:cs="宋体"/>
                <w:sz w:val="21"/>
                <w:szCs w:val="21"/>
                <w:lang w:val="en-US" w:eastAsia="zh-CN" w:bidi="ar"/>
              </w:rPr>
              <w:t>按照要求所具备的事项计算，全部具备得满分，缺少一项扣X分。</w:t>
            </w:r>
            <w:r>
              <w:rPr>
                <w:rStyle w:val="16"/>
                <w:rFonts w:hint="eastAsia" w:ascii="宋体" w:hAnsi="宋体" w:eastAsia="宋体" w:cs="宋体"/>
                <w:sz w:val="21"/>
                <w:szCs w:val="21"/>
                <w:lang w:val="en-US" w:eastAsia="zh-CN" w:bidi="ar"/>
              </w:rPr>
              <w:t>（5）满意值赋分法：</w:t>
            </w:r>
            <w:r>
              <w:rPr>
                <w:rStyle w:val="17"/>
                <w:rFonts w:hint="eastAsia" w:ascii="宋体" w:hAnsi="宋体" w:eastAsia="宋体" w:cs="宋体"/>
                <w:sz w:val="21"/>
                <w:szCs w:val="21"/>
                <w:lang w:val="en-US" w:eastAsia="zh-CN" w:bidi="ar"/>
              </w:rPr>
              <w:t>设置一个满意值，指标值达到满意值得满分，未达到不得分或扣分。</w:t>
            </w:r>
            <w:r>
              <w:rPr>
                <w:rStyle w:val="16"/>
                <w:rFonts w:hint="eastAsia" w:ascii="宋体" w:hAnsi="宋体" w:eastAsia="宋体" w:cs="宋体"/>
                <w:sz w:val="21"/>
                <w:szCs w:val="21"/>
                <w:lang w:val="en-US" w:eastAsia="zh-CN" w:bidi="ar"/>
              </w:rPr>
              <w:t>（6）按数累加法：</w:t>
            </w:r>
            <w:r>
              <w:rPr>
                <w:rStyle w:val="17"/>
                <w:rFonts w:hint="eastAsia" w:ascii="宋体" w:hAnsi="宋体" w:eastAsia="宋体" w:cs="宋体"/>
                <w:sz w:val="21"/>
                <w:szCs w:val="21"/>
                <w:lang w:val="en-US" w:eastAsia="zh-CN" w:bidi="ar"/>
              </w:rPr>
              <w:t>若有必要用于加分项指标。</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bCs/>
                <w:i w:val="0"/>
                <w:iCs w:val="0"/>
                <w:color w:val="000000"/>
                <w:sz w:val="21"/>
                <w:szCs w:val="21"/>
                <w:u w:val="none"/>
              </w:rPr>
            </w:pPr>
            <w:r>
              <w:rPr>
                <w:rStyle w:val="16"/>
                <w:rFonts w:hint="eastAsia" w:ascii="宋体" w:hAnsi="宋体" w:eastAsia="宋体" w:cs="宋体"/>
                <w:sz w:val="21"/>
                <w:szCs w:val="21"/>
                <w:lang w:val="en-US" w:eastAsia="zh-CN" w:bidi="ar"/>
              </w:rPr>
              <w:t>2、预算绩效指标标准：</w:t>
            </w:r>
            <w:r>
              <w:rPr>
                <w:rStyle w:val="16"/>
                <w:rFonts w:hint="eastAsia" w:ascii="宋体" w:hAnsi="宋体" w:eastAsia="宋体" w:cs="宋体"/>
                <w:sz w:val="21"/>
                <w:szCs w:val="21"/>
                <w:lang w:val="en-US" w:eastAsia="zh-CN" w:bidi="ar"/>
              </w:rPr>
              <w:br w:type="textWrapping"/>
            </w:r>
            <w:r>
              <w:rPr>
                <w:rStyle w:val="16"/>
                <w:rFonts w:hint="eastAsia" w:ascii="宋体" w:hAnsi="宋体" w:eastAsia="宋体" w:cs="宋体"/>
                <w:sz w:val="21"/>
                <w:szCs w:val="21"/>
                <w:lang w:val="en-US" w:eastAsia="zh-CN" w:bidi="ar"/>
              </w:rPr>
              <w:t>（1）定性指标标准：</w:t>
            </w:r>
            <w:r>
              <w:rPr>
                <w:rStyle w:val="17"/>
                <w:rFonts w:hint="eastAsia" w:ascii="宋体" w:hAnsi="宋体" w:eastAsia="宋体" w:cs="宋体"/>
                <w:sz w:val="21"/>
                <w:szCs w:val="21"/>
                <w:lang w:val="en-US" w:eastAsia="zh-CN" w:bidi="ar"/>
              </w:rPr>
              <w:t>根据客观依据判断指标得分，一般采用是否评分法。</w:t>
            </w:r>
            <w:r>
              <w:rPr>
                <w:rStyle w:val="17"/>
                <w:rFonts w:hint="eastAsia" w:ascii="宋体" w:hAnsi="宋体" w:eastAsia="宋体" w:cs="宋体"/>
                <w:sz w:val="21"/>
                <w:szCs w:val="21"/>
                <w:lang w:val="en-US" w:eastAsia="zh-CN" w:bidi="ar"/>
              </w:rPr>
              <w:br w:type="textWrapping"/>
            </w:r>
            <w:r>
              <w:rPr>
                <w:rStyle w:val="16"/>
                <w:rFonts w:hint="eastAsia" w:ascii="宋体" w:hAnsi="宋体" w:eastAsia="宋体" w:cs="宋体"/>
                <w:sz w:val="21"/>
                <w:szCs w:val="21"/>
                <w:lang w:val="en-US" w:eastAsia="zh-CN" w:bidi="ar"/>
              </w:rPr>
              <w:t>（2）定量指标标准：</w:t>
            </w:r>
            <w:r>
              <w:rPr>
                <w:rStyle w:val="17"/>
                <w:rFonts w:hint="eastAsia" w:ascii="宋体" w:hAnsi="宋体" w:eastAsia="宋体" w:cs="宋体"/>
                <w:sz w:val="21"/>
                <w:szCs w:val="21"/>
                <w:lang w:val="en-US" w:eastAsia="zh-CN" w:bidi="ar"/>
              </w:rPr>
              <w:t>（技术标准、管理标准、工作标准）：</w:t>
            </w:r>
            <w:r>
              <w:rPr>
                <w:rStyle w:val="17"/>
                <w:rFonts w:hint="eastAsia" w:ascii="宋体" w:hAnsi="宋体" w:eastAsia="宋体" w:cs="宋体"/>
                <w:sz w:val="21"/>
                <w:szCs w:val="21"/>
                <w:lang w:val="en-US" w:eastAsia="zh-CN" w:bidi="ar"/>
              </w:rPr>
              <w:br w:type="textWrapping"/>
            </w:r>
            <w:r>
              <w:rPr>
                <w:rStyle w:val="16"/>
                <w:rFonts w:hint="eastAsia" w:ascii="宋体" w:hAnsi="宋体" w:eastAsia="宋体" w:cs="宋体"/>
                <w:sz w:val="21"/>
                <w:szCs w:val="21"/>
                <w:lang w:val="en-US" w:eastAsia="zh-CN" w:bidi="ar"/>
              </w:rPr>
              <w:t>国家标准：</w:t>
            </w:r>
            <w:r>
              <w:rPr>
                <w:rStyle w:val="17"/>
                <w:rFonts w:hint="eastAsia" w:ascii="宋体" w:hAnsi="宋体" w:eastAsia="宋体" w:cs="宋体"/>
                <w:sz w:val="21"/>
                <w:szCs w:val="21"/>
                <w:lang w:val="en-US" w:eastAsia="zh-CN" w:bidi="ar"/>
              </w:rPr>
              <w:t>国家质量技术监督总局与国家标准化管理委员会制定，全国范围内适用，其他各级别标准不得与其抵触。</w:t>
            </w:r>
            <w:r>
              <w:rPr>
                <w:rStyle w:val="17"/>
                <w:rFonts w:hint="eastAsia" w:ascii="宋体" w:hAnsi="宋体" w:eastAsia="宋体" w:cs="宋体"/>
                <w:sz w:val="21"/>
                <w:szCs w:val="21"/>
                <w:lang w:val="en-US" w:eastAsia="zh-CN" w:bidi="ar"/>
              </w:rPr>
              <w:br w:type="textWrapping"/>
            </w:r>
            <w:r>
              <w:rPr>
                <w:rStyle w:val="16"/>
                <w:rFonts w:hint="eastAsia" w:ascii="宋体" w:hAnsi="宋体" w:eastAsia="宋体" w:cs="宋体"/>
                <w:sz w:val="21"/>
                <w:szCs w:val="21"/>
                <w:lang w:val="en-US" w:eastAsia="zh-CN" w:bidi="ar"/>
              </w:rPr>
              <w:t>行业标准：</w:t>
            </w:r>
            <w:r>
              <w:rPr>
                <w:rStyle w:val="17"/>
                <w:rFonts w:hint="eastAsia" w:ascii="宋体" w:hAnsi="宋体" w:eastAsia="宋体" w:cs="宋体"/>
                <w:sz w:val="21"/>
                <w:szCs w:val="21"/>
                <w:lang w:val="en-US" w:eastAsia="zh-CN" w:bidi="ar"/>
              </w:rPr>
              <w:t>国务院行政主管部门制定，行业标准用于特定行业。</w:t>
            </w:r>
            <w:r>
              <w:rPr>
                <w:rStyle w:val="17"/>
                <w:rFonts w:hint="eastAsia" w:ascii="宋体" w:hAnsi="宋体" w:eastAsia="宋体" w:cs="宋体"/>
                <w:sz w:val="21"/>
                <w:szCs w:val="21"/>
                <w:lang w:val="en-US" w:eastAsia="zh-CN" w:bidi="ar"/>
              </w:rPr>
              <w:br w:type="textWrapping"/>
            </w:r>
            <w:r>
              <w:rPr>
                <w:rStyle w:val="16"/>
                <w:rFonts w:hint="eastAsia" w:ascii="宋体" w:hAnsi="宋体" w:eastAsia="宋体" w:cs="宋体"/>
                <w:sz w:val="21"/>
                <w:szCs w:val="21"/>
                <w:lang w:val="en-US" w:eastAsia="zh-CN" w:bidi="ar"/>
              </w:rPr>
              <w:t>地方标准：</w:t>
            </w:r>
            <w:r>
              <w:rPr>
                <w:rStyle w:val="17"/>
                <w:rFonts w:hint="eastAsia" w:ascii="宋体" w:hAnsi="宋体" w:eastAsia="宋体" w:cs="宋体"/>
                <w:sz w:val="21"/>
                <w:szCs w:val="21"/>
                <w:lang w:val="en-US" w:eastAsia="zh-CN" w:bidi="ar"/>
              </w:rPr>
              <w:t>在没有国家标准和行业标准的情况下，地方政府、省级主管部门、财政部门可根据历史数据、统计数据、调研数据等设定绩效标准，可根据四川的实际情况按经济片区分设标准。</w:t>
            </w:r>
            <w:r>
              <w:rPr>
                <w:rStyle w:val="17"/>
                <w:rFonts w:hint="eastAsia" w:ascii="宋体" w:hAnsi="宋体" w:eastAsia="宋体" w:cs="宋体"/>
                <w:sz w:val="21"/>
                <w:szCs w:val="21"/>
                <w:lang w:val="en-US" w:eastAsia="zh-CN" w:bidi="ar"/>
              </w:rPr>
              <w:br w:type="textWrapping"/>
            </w:r>
            <w:r>
              <w:rPr>
                <w:rStyle w:val="16"/>
                <w:rFonts w:hint="eastAsia" w:ascii="宋体" w:hAnsi="宋体" w:eastAsia="宋体" w:cs="宋体"/>
                <w:sz w:val="21"/>
                <w:szCs w:val="21"/>
                <w:lang w:val="en-US" w:eastAsia="zh-CN" w:bidi="ar"/>
              </w:rPr>
              <w:t>申报标准：</w:t>
            </w:r>
            <w:r>
              <w:rPr>
                <w:rStyle w:val="17"/>
                <w:rFonts w:hint="eastAsia" w:ascii="宋体" w:hAnsi="宋体" w:eastAsia="宋体" w:cs="宋体"/>
                <w:sz w:val="21"/>
                <w:szCs w:val="21"/>
                <w:lang w:val="en-US" w:eastAsia="zh-CN" w:bidi="ar"/>
              </w:rPr>
              <w:t>对新实施的政策项目且相关基础数据匮乏的基础上，各方根据试点探索商定绩效标准，并在以后年度动态修订完善。</w:t>
            </w:r>
            <w:r>
              <w:rPr>
                <w:rStyle w:val="17"/>
                <w:rFonts w:hint="eastAsia" w:ascii="宋体" w:hAnsi="宋体" w:eastAsia="宋体" w:cs="宋体"/>
                <w:sz w:val="21"/>
                <w:szCs w:val="21"/>
                <w:lang w:val="en-US" w:eastAsia="zh-CN" w:bidi="ar"/>
              </w:rPr>
              <w:br w:type="textWrapping"/>
            </w:r>
            <w:r>
              <w:rPr>
                <w:rStyle w:val="17"/>
                <w:rFonts w:hint="eastAsia" w:ascii="宋体" w:hAnsi="宋体" w:eastAsia="宋体" w:cs="宋体"/>
                <w:sz w:val="21"/>
                <w:szCs w:val="21"/>
                <w:lang w:val="en-US" w:eastAsia="zh-CN" w:bidi="ar"/>
              </w:rPr>
              <w:t>3、★为核心指标，需要评价组重点关注深入分析。未涉及个性指标的项目，其分值权重按比例调整到其他效果指标。</w:t>
            </w:r>
          </w:p>
        </w:tc>
        <w:tc>
          <w:tcPr>
            <w:tcW w:w="113"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bCs/>
                <w:i w:val="0"/>
                <w:iCs w:val="0"/>
                <w:color w:val="000000"/>
                <w:sz w:val="21"/>
                <w:szCs w:val="21"/>
                <w:u w:val="none"/>
              </w:rPr>
            </w:pPr>
          </w:p>
        </w:tc>
        <w:tc>
          <w:tcPr>
            <w:tcW w:w="91"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0" w:hRule="atLeast"/>
        </w:trPr>
        <w:tc>
          <w:tcPr>
            <w:tcW w:w="4795" w:type="pct"/>
            <w:gridSpan w:val="23"/>
            <w:vMerge w:val="continue"/>
            <w:tcBorders>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bCs/>
                <w:i w:val="0"/>
                <w:iCs w:val="0"/>
                <w:color w:val="000000"/>
                <w:sz w:val="21"/>
                <w:szCs w:val="21"/>
                <w:u w:val="none"/>
              </w:rPr>
            </w:pPr>
          </w:p>
        </w:tc>
        <w:tc>
          <w:tcPr>
            <w:tcW w:w="113"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bCs/>
                <w:i w:val="0"/>
                <w:iCs w:val="0"/>
                <w:color w:val="000000"/>
                <w:sz w:val="21"/>
                <w:szCs w:val="21"/>
                <w:u w:val="none"/>
              </w:rPr>
            </w:pPr>
          </w:p>
        </w:tc>
        <w:tc>
          <w:tcPr>
            <w:tcW w:w="91"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bCs/>
                <w:i w:val="0"/>
                <w:iCs w:val="0"/>
                <w:color w:val="000000"/>
                <w:sz w:val="21"/>
                <w:szCs w:val="21"/>
                <w:u w:val="none"/>
              </w:rPr>
            </w:pPr>
          </w:p>
        </w:tc>
      </w:tr>
    </w:tbl>
    <w:p>
      <w:pPr>
        <w:pStyle w:val="2"/>
        <w:rPr>
          <w:rFonts w:hint="eastAsia"/>
          <w:lang w:val="en-US" w:eastAsia="zh-CN"/>
        </w:rPr>
      </w:pPr>
    </w:p>
    <w:p>
      <w:pPr>
        <w:pStyle w:val="2"/>
        <w:rPr>
          <w:rFonts w:hint="eastAsia"/>
          <w:lang w:val="en-US" w:eastAsia="zh-CN"/>
        </w:rPr>
        <w:sectPr>
          <w:pgSz w:w="23811" w:h="16838" w:orient="landscape"/>
          <w:pgMar w:top="1134" w:right="1134" w:bottom="1134" w:left="1134"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自然资源视频会议系统升级经费项目支出绩效自评报告</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一、项目概况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1.项目主管部门基本职能</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val="0"/>
          <w:bCs w:val="0"/>
          <w:sz w:val="32"/>
          <w:szCs w:val="32"/>
          <w:lang w:val="en-US" w:eastAsia="zh-CN"/>
        </w:rPr>
        <w:t>我局信息中心在开展该项目的职能职责是：加强会务平台建设，保障自然资源部、省自然资源厅等联席视频会议通畅。</w:t>
      </w:r>
    </w:p>
    <w:p>
      <w:pPr>
        <w:pStyle w:val="6"/>
        <w:keepNext w:val="0"/>
        <w:keepLines w:val="0"/>
        <w:pageBreakBefore w:val="0"/>
        <w:widowControl w:val="0"/>
        <w:numPr>
          <w:ilvl w:val="0"/>
          <w:numId w:val="0"/>
        </w:numPr>
        <w:kinsoku/>
        <w:wordWrap/>
        <w:overflowPunct/>
        <w:topLinePunct w:val="0"/>
        <w:autoSpaceDE/>
        <w:autoSpaceDN/>
        <w:bidi w:val="0"/>
        <w:spacing w:line="576" w:lineRule="exact"/>
        <w:ind w:left="0" w:leftChars="0" w:right="0" w:rightChars="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2、项目立项、资金申报的依据。</w:t>
      </w:r>
    </w:p>
    <w:p>
      <w:pPr>
        <w:keepNext w:val="0"/>
        <w:keepLines w:val="0"/>
        <w:pageBreakBefore w:val="0"/>
        <w:widowControl w:val="0"/>
        <w:kinsoku/>
        <w:wordWrap/>
        <w:overflowPunct/>
        <w:topLinePunct w:val="0"/>
        <w:autoSpaceDE/>
        <w:autoSpaceDN/>
        <w:bidi w:val="0"/>
        <w:spacing w:line="576"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0"/>
          <w:kern w:val="2"/>
          <w:sz w:val="32"/>
          <w:szCs w:val="32"/>
          <w:lang w:val="en-US" w:eastAsia="zh-CN" w:bidi="ar-SA"/>
        </w:rPr>
        <w:t>为满足省自然资源厅，市局，县区局视频会议应用及强化省厅，市，县视频会议系统运行保障工作，实现“会用、能用、好用”的信息化建设理念，本项目主要对自然资源局市局视频会议平台及2个主会场进行升级改造，同时接入7个县区局分会场的视频会议终端设备，实现市县全高清视频会议，同时保证与省厅无缝衔接,</w:t>
      </w:r>
      <w:r>
        <w:rPr>
          <w:rFonts w:hint="eastAsia" w:ascii="仿宋_GB2312" w:hAnsi="仿宋_GB2312" w:cs="仿宋_GB2312"/>
          <w:spacing w:val="0"/>
          <w:kern w:val="2"/>
          <w:sz w:val="32"/>
          <w:szCs w:val="32"/>
          <w:lang w:val="en-US" w:eastAsia="zh-CN" w:bidi="ar-SA"/>
        </w:rPr>
        <w:t>为加快推进该项目建设，广元市自然资源局</w:t>
      </w:r>
      <w:r>
        <w:rPr>
          <w:rFonts w:hint="eastAsia" w:ascii="仿宋_GB2312" w:hAnsi="仿宋_GB2312" w:eastAsia="仿宋_GB2312" w:cs="仿宋_GB2312"/>
          <w:spacing w:val="0"/>
          <w:kern w:val="2"/>
          <w:sz w:val="32"/>
          <w:szCs w:val="32"/>
          <w:lang w:val="en-US" w:eastAsia="zh-CN" w:bidi="ar-SA"/>
        </w:rPr>
        <w:t>申</w:t>
      </w:r>
      <w:r>
        <w:rPr>
          <w:rFonts w:hint="eastAsia" w:ascii="仿宋_GB2312" w:hAnsi="仿宋_GB2312" w:cs="仿宋_GB2312"/>
          <w:spacing w:val="0"/>
          <w:kern w:val="2"/>
          <w:sz w:val="32"/>
          <w:szCs w:val="32"/>
          <w:lang w:val="en-US" w:eastAsia="zh-CN" w:bidi="ar-SA"/>
        </w:rPr>
        <w:t>请了该项目经费38万元。</w:t>
      </w:r>
    </w:p>
    <w:p>
      <w:pPr>
        <w:pStyle w:val="6"/>
        <w:keepNext w:val="0"/>
        <w:keepLines w:val="0"/>
        <w:pageBreakBefore w:val="0"/>
        <w:widowControl w:val="0"/>
        <w:numPr>
          <w:ilvl w:val="0"/>
          <w:numId w:val="0"/>
        </w:numPr>
        <w:kinsoku/>
        <w:wordWrap/>
        <w:overflowPunct/>
        <w:topLinePunct w:val="0"/>
        <w:autoSpaceDE/>
        <w:autoSpaceDN/>
        <w:bidi w:val="0"/>
        <w:spacing w:line="576" w:lineRule="exact"/>
        <w:ind w:left="0" w:leftChars="0" w:right="0" w:rightChars="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3、资金或项目管理办法制定情况。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sz w:val="32"/>
          <w:szCs w:val="32"/>
          <w:lang w:eastAsia="zh-CN"/>
        </w:rPr>
        <w:t>广元</w:t>
      </w:r>
      <w:r>
        <w:rPr>
          <w:rFonts w:hint="eastAsia" w:ascii="仿宋_GB2312" w:hAnsi="仿宋_GB2312" w:eastAsia="仿宋_GB2312" w:cs="仿宋_GB2312"/>
          <w:sz w:val="32"/>
          <w:szCs w:val="32"/>
          <w:lang w:val="en-US" w:eastAsia="zh-CN"/>
        </w:rPr>
        <w:t>市自然资源局</w:t>
      </w:r>
      <w:r>
        <w:rPr>
          <w:rFonts w:hint="eastAsia" w:ascii="仿宋_GB2312" w:hAnsi="仿宋_GB2312" w:eastAsia="仿宋_GB2312" w:cs="仿宋_GB2312"/>
          <w:sz w:val="32"/>
          <w:szCs w:val="32"/>
        </w:rPr>
        <w:t>严格按照财务管理相关制度规定，建立健全财务管理制度及内控制度，加强对</w:t>
      </w:r>
      <w:r>
        <w:rPr>
          <w:rFonts w:hint="eastAsia" w:ascii="仿宋_GB2312" w:hAnsi="仿宋_GB2312" w:eastAsia="仿宋_GB2312" w:cs="仿宋_GB2312"/>
          <w:sz w:val="32"/>
          <w:szCs w:val="32"/>
          <w:lang w:val="en-US" w:eastAsia="zh-CN"/>
        </w:rPr>
        <w:t>该项目</w:t>
      </w:r>
      <w:r>
        <w:rPr>
          <w:rFonts w:hint="eastAsia" w:ascii="仿宋_GB2312" w:hAnsi="仿宋_GB2312" w:eastAsia="仿宋_GB2312" w:cs="仿宋_GB2312"/>
          <w:sz w:val="32"/>
          <w:szCs w:val="32"/>
        </w:rPr>
        <w:t>工作经费的使用管理，按照专项资金管理办法做好项目实施和监管，及时、规范进行账务处理及会计核算。切实做到专款专用，最大可能发挥专项资金作用。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Chars="200" w:right="0" w:rightChars="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4、</w:t>
      </w:r>
      <w:r>
        <w:rPr>
          <w:rFonts w:hint="eastAsia" w:ascii="仿宋_GB2312" w:hAnsi="仿宋_GB2312" w:eastAsia="仿宋_GB2312" w:cs="仿宋_GB2312"/>
          <w:b w:val="0"/>
          <w:bCs w:val="0"/>
          <w:sz w:val="32"/>
          <w:szCs w:val="32"/>
          <w:lang w:val="en-US" w:eastAsia="zh-CN"/>
        </w:rPr>
        <w:t>资金分配的原则与考虑因数。</w:t>
      </w:r>
    </w:p>
    <w:p>
      <w:pPr>
        <w:pStyle w:val="6"/>
        <w:keepNext w:val="0"/>
        <w:keepLines w:val="0"/>
        <w:pageBreakBefore w:val="0"/>
        <w:widowControl w:val="0"/>
        <w:numPr>
          <w:ilvl w:val="0"/>
          <w:numId w:val="0"/>
        </w:numPr>
        <w:kinsoku/>
        <w:wordWrap/>
        <w:overflowPunct/>
        <w:topLinePunct w:val="0"/>
        <w:autoSpaceDE/>
        <w:autoSpaceDN/>
        <w:bidi w:val="0"/>
        <w:spacing w:line="576"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该项目属于广元市自然资源局实施的项目，财政根据相关文件和程序拨付，我局按照</w:t>
      </w:r>
      <w:r>
        <w:rPr>
          <w:rFonts w:hint="eastAsia" w:ascii="仿宋_GB2312" w:hAnsi="仿宋_GB2312" w:cs="仿宋_GB2312"/>
          <w:color w:val="000000"/>
          <w:sz w:val="32"/>
          <w:szCs w:val="32"/>
          <w:lang w:val="en-US" w:eastAsia="zh-CN"/>
        </w:rPr>
        <w:t>政府采购及</w:t>
      </w:r>
      <w:r>
        <w:rPr>
          <w:rFonts w:hint="eastAsia" w:ascii="仿宋_GB2312" w:hAnsi="仿宋_GB2312" w:eastAsia="仿宋_GB2312" w:cs="仿宋_GB2312"/>
          <w:color w:val="000000"/>
          <w:sz w:val="32"/>
          <w:szCs w:val="32"/>
          <w:lang w:val="en-US" w:eastAsia="zh-CN"/>
        </w:rPr>
        <w:t>合同约定直接支付作业单位</w:t>
      </w:r>
      <w:r>
        <w:rPr>
          <w:rFonts w:hint="eastAsia" w:ascii="仿宋_GB2312" w:hAnsi="仿宋_GB2312" w:eastAsia="仿宋_GB2312" w:cs="仿宋_GB2312"/>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zh-CN"/>
        </w:rPr>
        <w:t>（</w:t>
      </w:r>
      <w:r>
        <w:rPr>
          <w:rFonts w:hint="eastAsia" w:ascii="楷体_GB2312" w:hAnsi="楷体_GB2312" w:eastAsia="楷体_GB2312" w:cs="楷体_GB2312"/>
          <w:b w:val="0"/>
          <w:bCs w:val="0"/>
          <w:sz w:val="32"/>
          <w:szCs w:val="32"/>
          <w:lang w:val="en-US" w:eastAsia="zh-CN"/>
        </w:rPr>
        <w:t>二</w:t>
      </w:r>
      <w:r>
        <w:rPr>
          <w:rFonts w:hint="eastAsia" w:ascii="楷体_GB2312" w:hAnsi="楷体_GB2312" w:eastAsia="楷体_GB2312" w:cs="楷体_GB2312"/>
          <w:b w:val="0"/>
          <w:bCs w:val="0"/>
          <w:sz w:val="32"/>
          <w:szCs w:val="32"/>
          <w:lang w:val="zh-CN"/>
        </w:rPr>
        <w:t>）项目绩效目标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Chars="200" w:right="0" w:rightChars="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1.</w:t>
      </w:r>
      <w:r>
        <w:rPr>
          <w:rFonts w:hint="eastAsia" w:ascii="仿宋_GB2312" w:hAnsi="仿宋_GB2312" w:eastAsia="仿宋_GB2312" w:cs="仿宋_GB2312"/>
          <w:b w:val="0"/>
          <w:bCs w:val="0"/>
          <w:sz w:val="32"/>
          <w:szCs w:val="32"/>
          <w:lang w:val="en-US" w:eastAsia="zh-CN"/>
        </w:rPr>
        <w:t>项目主要内容：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主要</w:t>
      </w:r>
      <w:r>
        <w:rPr>
          <w:rFonts w:hint="eastAsia" w:ascii="仿宋_GB2312" w:hAnsi="仿宋_GB2312" w:cs="仿宋_GB2312"/>
          <w:spacing w:val="0"/>
          <w:kern w:val="2"/>
          <w:sz w:val="32"/>
          <w:szCs w:val="32"/>
          <w:lang w:val="en-US" w:eastAsia="zh-CN" w:bidi="ar-SA"/>
        </w:rPr>
        <w:t>对</w:t>
      </w:r>
      <w:r>
        <w:rPr>
          <w:rFonts w:hint="eastAsia" w:ascii="仿宋_GB2312" w:hAnsi="仿宋_GB2312" w:eastAsia="仿宋_GB2312" w:cs="仿宋_GB2312"/>
          <w:b w:val="0"/>
          <w:bCs w:val="0"/>
          <w:sz w:val="32"/>
          <w:szCs w:val="32"/>
          <w:lang w:val="en-US" w:eastAsia="zh-CN"/>
        </w:rPr>
        <w:t>自然资源视频会议系统</w:t>
      </w:r>
      <w:r>
        <w:rPr>
          <w:rFonts w:hint="eastAsia" w:ascii="仿宋_GB2312" w:hAnsi="仿宋_GB2312" w:eastAsia="仿宋_GB2312" w:cs="仿宋_GB2312"/>
          <w:spacing w:val="0"/>
          <w:kern w:val="2"/>
          <w:sz w:val="32"/>
          <w:szCs w:val="32"/>
          <w:lang w:val="en-US" w:eastAsia="zh-CN" w:bidi="ar-SA"/>
        </w:rPr>
        <w:t>平台及2个主会场进行升级改造，同时接入7个县区局分会场的视频会议终端设备，实现市县全高清视频会议，同时保证与省厅无缝衔接</w:t>
      </w:r>
      <w:r>
        <w:rPr>
          <w:rFonts w:hint="eastAsia" w:ascii="仿宋_GB2312" w:hAnsi="仿宋_GB2312" w:cs="仿宋_GB2312"/>
          <w:spacing w:val="0"/>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2.项目预计实现的目标：保障自然资源部、省自然资源厅等联席视频会议通畅。</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3.项目申报内容与具体实施内容相符、申报目标合理可行。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en-US" w:eastAsia="zh-CN"/>
        </w:rPr>
        <w:t>（三）</w:t>
      </w:r>
      <w:r>
        <w:rPr>
          <w:rFonts w:hint="eastAsia" w:ascii="楷体_GB2312" w:hAnsi="楷体_GB2312" w:eastAsia="楷体_GB2312" w:cs="楷体_GB2312"/>
          <w:b w:val="0"/>
          <w:bCs w:val="0"/>
          <w:sz w:val="32"/>
          <w:szCs w:val="32"/>
          <w:lang w:val="zh-CN" w:eastAsia="zh-CN"/>
        </w:rPr>
        <w:t>项目自评步骤及方法</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按照项目评价要求，明确自评责任人，组织验收小组，通过验收报告资料等形式严格自评，做到自评真实。</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二、项目资金申报及使用情况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w:t>
      </w:r>
      <w:r>
        <w:rPr>
          <w:rFonts w:hint="eastAsia" w:ascii="楷体_GB2312" w:hAnsi="楷体_GB2312" w:eastAsia="楷体_GB2312" w:cs="楷体_GB2312"/>
          <w:b w:val="0"/>
          <w:bCs w:val="0"/>
          <w:sz w:val="32"/>
          <w:szCs w:val="32"/>
          <w:lang w:val="en-US" w:eastAsia="zh-CN"/>
        </w:rPr>
        <w:t>一</w:t>
      </w:r>
      <w:r>
        <w:rPr>
          <w:rFonts w:hint="eastAsia" w:ascii="楷体_GB2312" w:hAnsi="楷体_GB2312" w:eastAsia="楷体_GB2312" w:cs="楷体_GB2312"/>
          <w:b w:val="0"/>
          <w:bCs w:val="0"/>
          <w:sz w:val="32"/>
          <w:szCs w:val="32"/>
          <w:lang w:val="zh-CN" w:eastAsia="zh-CN"/>
        </w:rPr>
        <w:t>）项目资金申报及批复情况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default" w:ascii="仿宋_GB2312" w:hAnsi="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按照一般公共预算管理要求，通过申报资金预算，由市财政局下达自然资源视频会议系统升级经费38万元。</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val="zh-CN"/>
        </w:rPr>
        <w:t>资金计划、到位及使用情况</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val="zh-CN"/>
        </w:rPr>
        <w:t>）资金计划。</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该项目预算</w:t>
      </w:r>
      <w:r>
        <w:rPr>
          <w:rFonts w:hint="eastAsia" w:ascii="仿宋_GB2312" w:hAnsi="仿宋_GB2312" w:cs="仿宋_GB2312"/>
          <w:b w:val="0"/>
          <w:bCs w:val="0"/>
          <w:sz w:val="32"/>
          <w:szCs w:val="32"/>
          <w:lang w:val="en-US" w:eastAsia="zh-CN"/>
        </w:rPr>
        <w:t>指标</w:t>
      </w:r>
      <w:r>
        <w:rPr>
          <w:rFonts w:hint="eastAsia" w:ascii="仿宋_GB2312" w:hAnsi="仿宋_GB2312" w:eastAsia="仿宋_GB2312" w:cs="仿宋_GB2312"/>
          <w:b w:val="0"/>
          <w:bCs w:val="0"/>
          <w:sz w:val="32"/>
          <w:szCs w:val="32"/>
          <w:lang w:val="en-US" w:eastAsia="zh-CN"/>
        </w:rPr>
        <w:t>38万元，其中市财政资金38万元。</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zh-CN"/>
        </w:rPr>
        <w:t>资金到位。</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截止</w:t>
      </w:r>
      <w:r>
        <w:rPr>
          <w:rFonts w:hint="eastAsia"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年12月31日，</w:t>
      </w:r>
      <w:r>
        <w:rPr>
          <w:rFonts w:hint="eastAsia" w:ascii="仿宋_GB2312" w:hAnsi="仿宋_GB2312" w:eastAsia="仿宋_GB2312" w:cs="仿宋_GB2312"/>
          <w:b w:val="0"/>
          <w:bCs w:val="0"/>
          <w:sz w:val="32"/>
          <w:szCs w:val="32"/>
          <w:lang w:val="en-US" w:eastAsia="zh-CN"/>
        </w:rPr>
        <w:t>该</w:t>
      </w:r>
      <w:r>
        <w:rPr>
          <w:rFonts w:hint="eastAsia" w:ascii="仿宋_GB2312" w:hAnsi="仿宋_GB2312" w:eastAsia="仿宋_GB2312" w:cs="仿宋_GB2312"/>
          <w:b w:val="0"/>
          <w:bCs w:val="0"/>
          <w:sz w:val="32"/>
          <w:szCs w:val="32"/>
        </w:rPr>
        <w:t>项目到位资金</w:t>
      </w:r>
      <w:r>
        <w:rPr>
          <w:rFonts w:hint="eastAsia" w:ascii="仿宋_GB2312" w:hAnsi="仿宋_GB2312" w:eastAsia="仿宋_GB2312" w:cs="仿宋_GB2312"/>
          <w:b w:val="0"/>
          <w:bCs w:val="0"/>
          <w:sz w:val="32"/>
          <w:szCs w:val="32"/>
          <w:lang w:val="en-US" w:eastAsia="zh-CN"/>
        </w:rPr>
        <w:t>38</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val="en-US" w:eastAsia="zh-CN"/>
        </w:rPr>
        <w:t>其中市财政资金</w:t>
      </w:r>
      <w:r>
        <w:rPr>
          <w:rFonts w:hint="eastAsia" w:ascii="仿宋_GB2312" w:hAnsi="仿宋_GB2312" w:cs="仿宋_GB2312"/>
          <w:b w:val="0"/>
          <w:bCs w:val="0"/>
          <w:sz w:val="32"/>
          <w:szCs w:val="32"/>
          <w:lang w:val="en-US" w:eastAsia="zh-CN"/>
        </w:rPr>
        <w:t>38</w:t>
      </w:r>
      <w:r>
        <w:rPr>
          <w:rFonts w:hint="eastAsia" w:ascii="仿宋_GB2312" w:hAnsi="仿宋_GB2312" w:eastAsia="仿宋_GB2312" w:cs="仿宋_GB2312"/>
          <w:b w:val="0"/>
          <w:bCs w:val="0"/>
          <w:sz w:val="32"/>
          <w:szCs w:val="32"/>
          <w:lang w:val="en-US" w:eastAsia="zh-CN"/>
        </w:rPr>
        <w:t>万元。</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zh-CN"/>
        </w:rPr>
        <w:t>资金使用。</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zh-CN"/>
        </w:rPr>
        <w:t>全年支付合计</w:t>
      </w:r>
      <w:r>
        <w:rPr>
          <w:rFonts w:hint="eastAsia" w:ascii="仿宋_GB2312" w:hAnsi="仿宋_GB2312" w:eastAsia="仿宋_GB2312" w:cs="仿宋_GB2312"/>
          <w:b w:val="0"/>
          <w:bCs w:val="0"/>
          <w:sz w:val="32"/>
          <w:szCs w:val="32"/>
          <w:lang w:val="en-US" w:eastAsia="zh-CN"/>
        </w:rPr>
        <w:t>0万元</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val="en-US" w:eastAsia="zh-CN"/>
        </w:rPr>
        <w:t>预算完成0%，主要原因是</w:t>
      </w:r>
      <w:r>
        <w:rPr>
          <w:rFonts w:hint="eastAsia" w:ascii="仿宋_GB2312" w:hAnsi="仿宋_GB2312" w:cs="仿宋_GB2312"/>
          <w:b w:val="0"/>
          <w:bCs w:val="0"/>
          <w:sz w:val="32"/>
          <w:szCs w:val="32"/>
          <w:lang w:val="en-US" w:eastAsia="zh-CN"/>
        </w:rPr>
        <w:t>项目前期工作已开展，但</w:t>
      </w:r>
      <w:r>
        <w:rPr>
          <w:rFonts w:hint="eastAsia" w:ascii="仿宋_GB2312" w:hAnsi="仿宋_GB2312" w:eastAsia="仿宋_GB2312" w:cs="仿宋_GB2312"/>
          <w:b w:val="0"/>
          <w:bCs w:val="0"/>
          <w:sz w:val="32"/>
          <w:szCs w:val="32"/>
          <w:lang w:val="en-US" w:eastAsia="zh-CN"/>
        </w:rPr>
        <w:t>受新冠疫情影响，政府采购延期开展，导致资金使用进度缓慢，来年继续支付。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（三）项目财务管理情况</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我局</w:t>
      </w:r>
      <w:r>
        <w:rPr>
          <w:rFonts w:hint="eastAsia" w:ascii="仿宋_GB2312" w:hAnsi="仿宋_GB2312" w:eastAsia="仿宋_GB2312" w:cs="仿宋_GB2312"/>
          <w:sz w:val="32"/>
          <w:szCs w:val="32"/>
        </w:rPr>
        <w:t>严格按照财务管理相关制度规定，建立健全财务管理制度及内控制度，加强对</w:t>
      </w:r>
      <w:r>
        <w:rPr>
          <w:rFonts w:hint="eastAsia" w:ascii="仿宋_GB2312" w:hAnsi="仿宋_GB2312" w:eastAsia="仿宋_GB2312" w:cs="仿宋_GB2312"/>
          <w:b w:val="0"/>
          <w:bCs w:val="0"/>
          <w:sz w:val="32"/>
          <w:szCs w:val="32"/>
          <w:lang w:val="en-US" w:eastAsia="zh-CN"/>
        </w:rPr>
        <w:t>自然资源视频会议系统升级</w:t>
      </w:r>
      <w:r>
        <w:rPr>
          <w:rFonts w:hint="eastAsia" w:ascii="仿宋_GB2312" w:hAnsi="仿宋_GB2312" w:eastAsia="仿宋_GB2312" w:cs="仿宋_GB2312"/>
          <w:sz w:val="32"/>
          <w:szCs w:val="32"/>
          <w:lang w:val="zh-CN"/>
        </w:rPr>
        <w:t>工作经费</w:t>
      </w:r>
      <w:r>
        <w:rPr>
          <w:rFonts w:hint="eastAsia" w:ascii="仿宋_GB2312" w:hAnsi="仿宋_GB2312" w:eastAsia="仿宋_GB2312" w:cs="仿宋_GB2312"/>
          <w:sz w:val="32"/>
          <w:szCs w:val="32"/>
        </w:rPr>
        <w:t>的使用管理，按照专项资金管理办法做好项目实施和监管，及时、规范进行账务处理及会计核算。切实做到专款专用，最大可能发挥专项资金作用。</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zh-CN" w:eastAsia="zh-CN"/>
        </w:rPr>
        <w:t>三、项目实施及管理情况</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我局</w:t>
      </w:r>
      <w:r>
        <w:rPr>
          <w:rFonts w:hint="eastAsia" w:ascii="仿宋_GB2312" w:hAnsi="仿宋_GB2312" w:eastAsia="仿宋_GB2312" w:cs="仿宋_GB2312"/>
          <w:sz w:val="32"/>
          <w:szCs w:val="32"/>
        </w:rPr>
        <w:t>严格按照项目管理有关规定管理专项经费，为保障项目资金安全，确保资金专款专用， 从资金申请、资金使用、会计核算三个环节加强资金管理，在项目资金申请环节，严格按照国库集中支付流程申请财政资金；在资金使用环节，严格遵守相关法律法规规定，严格按照单位财务管理审批流程办理款项支付；在会计核算环节，对本项目资金实行单独核算，确保专款专用。</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黑体" w:hAnsi="黑体" w:eastAsia="黑体" w:cs="黑体"/>
          <w:b w:val="0"/>
          <w:bCs w:val="0"/>
          <w:sz w:val="32"/>
          <w:szCs w:val="32"/>
          <w:lang w:val="zh-CN" w:eastAsia="zh-CN"/>
        </w:rPr>
      </w:pPr>
      <w:r>
        <w:rPr>
          <w:rFonts w:hint="eastAsia" w:ascii="黑体" w:hAnsi="黑体" w:eastAsia="黑体" w:cs="黑体"/>
          <w:b w:val="0"/>
          <w:bCs w:val="0"/>
          <w:sz w:val="32"/>
          <w:szCs w:val="32"/>
          <w:lang w:val="en-US" w:eastAsia="zh-CN"/>
        </w:rPr>
        <w:t>四、项目绩效情况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w:t>
      </w:r>
      <w:r>
        <w:rPr>
          <w:rFonts w:hint="eastAsia" w:ascii="楷体_GB2312" w:hAnsi="楷体_GB2312" w:eastAsia="楷体_GB2312" w:cs="楷体_GB2312"/>
          <w:b w:val="0"/>
          <w:bCs w:val="0"/>
          <w:sz w:val="32"/>
          <w:szCs w:val="32"/>
          <w:lang w:val="en-US" w:eastAsia="zh-CN"/>
        </w:rPr>
        <w:t>一</w:t>
      </w:r>
      <w:r>
        <w:rPr>
          <w:rFonts w:hint="eastAsia" w:ascii="楷体_GB2312" w:hAnsi="楷体_GB2312" w:eastAsia="楷体_GB2312" w:cs="楷体_GB2312"/>
          <w:b w:val="0"/>
          <w:bCs w:val="0"/>
          <w:sz w:val="32"/>
          <w:szCs w:val="32"/>
          <w:lang w:val="zh-CN" w:eastAsia="zh-CN"/>
        </w:rPr>
        <w:t>）项目完成情况</w:t>
      </w:r>
    </w:p>
    <w:p>
      <w:pPr>
        <w:keepNext w:val="0"/>
        <w:keepLines w:val="0"/>
        <w:pageBreakBefore w:val="0"/>
        <w:widowControl w:val="0"/>
        <w:numPr>
          <w:ilvl w:val="0"/>
          <w:numId w:val="0"/>
        </w:numPr>
        <w:kinsoku/>
        <w:wordWrap/>
        <w:overflowPunct/>
        <w:topLinePunct w:val="0"/>
        <w:autoSpaceDE/>
        <w:autoSpaceDN/>
        <w:bidi w:val="0"/>
        <w:spacing w:line="576" w:lineRule="exact"/>
        <w:ind w:left="0" w:leftChars="0" w:right="0" w:righ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完成项目立项</w:t>
      </w:r>
      <w:r>
        <w:rPr>
          <w:rFonts w:hint="eastAsia" w:ascii="仿宋_GB2312" w:hAnsi="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报经信委技术方案备案批准，并报局党委会批准实施，完成招标文件撰写，但受新冠疫情影响政府采购延期开展。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w:t>
      </w:r>
      <w:r>
        <w:rPr>
          <w:rFonts w:hint="eastAsia" w:ascii="楷体_GB2312" w:hAnsi="楷体_GB2312" w:eastAsia="楷体_GB2312" w:cs="楷体_GB2312"/>
          <w:b w:val="0"/>
          <w:bCs w:val="0"/>
          <w:sz w:val="32"/>
          <w:szCs w:val="32"/>
          <w:lang w:val="en-US" w:eastAsia="zh-CN"/>
        </w:rPr>
        <w:t>二</w:t>
      </w:r>
      <w:r>
        <w:rPr>
          <w:rFonts w:hint="eastAsia" w:ascii="楷体_GB2312" w:hAnsi="楷体_GB2312" w:eastAsia="楷体_GB2312" w:cs="楷体_GB2312"/>
          <w:b w:val="0"/>
          <w:bCs w:val="0"/>
          <w:sz w:val="32"/>
          <w:szCs w:val="32"/>
          <w:lang w:val="zh-CN" w:eastAsia="zh-CN"/>
        </w:rPr>
        <w:t>）项目效益情况</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通过该项目的实施，主要是加强会务平台建设，保障自然资源部、省自然资源厅等联席视频会议通常，确保自然资源管理工作正常有序开展。</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黑体" w:hAnsi="黑体" w:eastAsia="黑体" w:cs="黑体"/>
          <w:b w:val="0"/>
          <w:bCs w:val="0"/>
          <w:sz w:val="32"/>
          <w:szCs w:val="32"/>
          <w:lang w:val="zh-CN" w:eastAsia="zh-CN"/>
        </w:rPr>
      </w:pP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lang w:val="zh-CN" w:eastAsia="zh-CN"/>
        </w:rPr>
        <w:t>评价结论及建议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w:t>
      </w:r>
      <w:r>
        <w:rPr>
          <w:rFonts w:hint="eastAsia" w:ascii="楷体_GB2312" w:hAnsi="楷体_GB2312" w:eastAsia="楷体_GB2312" w:cs="楷体_GB2312"/>
          <w:b w:val="0"/>
          <w:bCs w:val="0"/>
          <w:sz w:val="32"/>
          <w:szCs w:val="32"/>
          <w:lang w:val="en-US" w:eastAsia="zh-CN"/>
        </w:rPr>
        <w:t>一</w:t>
      </w:r>
      <w:r>
        <w:rPr>
          <w:rFonts w:hint="eastAsia" w:ascii="楷体_GB2312" w:hAnsi="楷体_GB2312" w:eastAsia="楷体_GB2312" w:cs="楷体_GB2312"/>
          <w:b w:val="0"/>
          <w:bCs w:val="0"/>
          <w:sz w:val="32"/>
          <w:szCs w:val="32"/>
          <w:lang w:val="zh-CN" w:eastAsia="zh-CN"/>
        </w:rPr>
        <w:t>）评价结论</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通过该项目的实施，加强了会务平台建设，保障自然资源部、省自然资源厅等联席视频会议通常，确保自然资源管理工作正常有序开展。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en-US" w:eastAsia="zh-CN"/>
        </w:rPr>
        <w:t>（二）</w:t>
      </w:r>
      <w:r>
        <w:rPr>
          <w:rFonts w:hint="eastAsia" w:ascii="楷体_GB2312" w:hAnsi="楷体_GB2312" w:eastAsia="楷体_GB2312" w:cs="楷体_GB2312"/>
          <w:b w:val="0"/>
          <w:bCs w:val="0"/>
          <w:sz w:val="32"/>
          <w:szCs w:val="32"/>
          <w:lang w:val="zh-CN" w:eastAsia="zh-CN"/>
        </w:rPr>
        <w:t>相关建议</w:t>
      </w:r>
    </w:p>
    <w:p>
      <w:pPr>
        <w:keepNext w:val="0"/>
        <w:keepLines w:val="0"/>
        <w:pageBreakBefore w:val="0"/>
        <w:widowControl w:val="0"/>
        <w:kinsoku/>
        <w:wordWrap/>
        <w:overflowPunct/>
        <w:topLinePunct w:val="0"/>
        <w:autoSpaceDE/>
        <w:autoSpaceDN/>
        <w:bidi w:val="0"/>
        <w:spacing w:line="576"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希望</w:t>
      </w:r>
      <w:r>
        <w:rPr>
          <w:rFonts w:hint="eastAsia" w:ascii="仿宋_GB2312" w:hAnsi="仿宋_GB2312" w:eastAsia="仿宋_GB2312" w:cs="仿宋_GB2312"/>
          <w:sz w:val="32"/>
          <w:szCs w:val="32"/>
          <w:lang w:eastAsia="zh-CN"/>
        </w:rPr>
        <w:t>财政部门加强对预算单位绩效评价工作的培训和指导，</w:t>
      </w:r>
      <w:r>
        <w:rPr>
          <w:rFonts w:hint="eastAsia" w:ascii="仿宋_GB2312" w:hAnsi="仿宋_GB2312" w:eastAsia="仿宋_GB2312" w:cs="仿宋_GB2312"/>
          <w:color w:val="000000"/>
          <w:kern w:val="0"/>
          <w:sz w:val="32"/>
          <w:szCs w:val="32"/>
          <w:shd w:val="clear" w:color="auto" w:fill="FFFFFF"/>
          <w:lang w:val="zh-CN"/>
        </w:rPr>
        <w:t>规范部门预算收支核算，切实提高部门预算收支管理水平，</w:t>
      </w:r>
      <w:r>
        <w:rPr>
          <w:rFonts w:hint="eastAsia" w:ascii="仿宋_GB2312" w:hAnsi="仿宋_GB2312" w:eastAsia="仿宋_GB2312" w:cs="仿宋_GB2312"/>
          <w:sz w:val="32"/>
          <w:szCs w:val="32"/>
          <w:lang w:eastAsia="zh-CN"/>
        </w:rPr>
        <w:t>进一步优化项目绩效考核指标体系，做到合理性与可操作性的有机统一。</w:t>
      </w:r>
    </w:p>
    <w:p>
      <w:pPr>
        <w:rPr>
          <w:rFonts w:hint="eastAsia" w:ascii="仿宋_GB2312" w:hAnsi="仿宋_GB2312" w:eastAsia="仿宋_GB2312" w:cs="仿宋_GB2312"/>
          <w:sz w:val="32"/>
          <w:szCs w:val="32"/>
          <w:lang w:val="en-US" w:eastAsia="zh-CN"/>
        </w:rPr>
      </w:pPr>
    </w:p>
    <w:p>
      <w:pPr>
        <w:pStyle w:val="2"/>
        <w:rPr>
          <w:rFonts w:hint="eastAsia"/>
          <w:lang w:val="en-US" w:eastAsia="zh-CN"/>
        </w:rPr>
      </w:pPr>
    </w:p>
    <w:p>
      <w:pPr>
        <w:pStyle w:val="2"/>
        <w:ind w:firstLine="5120" w:firstLineChars="16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广元市自然资源局</w:t>
      </w:r>
    </w:p>
    <w:p>
      <w:pPr>
        <w:pStyle w:val="2"/>
        <w:ind w:firstLine="5120" w:firstLineChars="1600"/>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pPr>
      <w:r>
        <w:rPr>
          <w:rFonts w:hint="eastAsia" w:ascii="仿宋_GB2312" w:hAnsi="仿宋_GB2312" w:eastAsia="仿宋_GB2312" w:cs="仿宋_GB2312"/>
          <w:sz w:val="32"/>
          <w:szCs w:val="32"/>
          <w:lang w:val="en-US" w:eastAsia="zh-CN"/>
        </w:rPr>
        <w:t>2023年4月28日</w:t>
      </w:r>
    </w:p>
    <w:p>
      <w:pPr>
        <w:pageBreakBefore w:val="0"/>
        <w:widowControl w:val="0"/>
        <w:kinsoku/>
        <w:wordWrap/>
        <w:overflowPunct/>
        <w:topLinePunct w:val="0"/>
        <w:autoSpaceDE/>
        <w:autoSpaceDN/>
        <w:bidi w:val="0"/>
        <w:spacing w:line="576" w:lineRule="exact"/>
        <w:ind w:left="0" w:leftChars="0" w:right="0" w:rightChars="0" w:firstLine="0" w:firstLineChars="0"/>
        <w:jc w:val="both"/>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pP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br w:type="page"/>
      </w:r>
    </w:p>
    <w:p>
      <w:pPr>
        <w:pStyle w:val="12"/>
        <w:keepNext w:val="0"/>
        <w:keepLines w:val="0"/>
        <w:pageBreakBefore w:val="0"/>
        <w:widowControl w:val="0"/>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rPr>
          <w:rFonts w:hint="eastAsia" w:ascii="黑体" w:hAnsi="黑体" w:eastAsia="黑体" w:cs="黑体"/>
          <w:b w:val="0"/>
          <w:bCs w:val="0"/>
          <w:color w:val="auto"/>
          <w:kern w:val="0"/>
          <w:sz w:val="32"/>
          <w:szCs w:val="32"/>
          <w:highlight w:val="none"/>
          <w:u w:val="none"/>
          <w:shd w:val="clear" w:color="auto" w:fill="FFFFFF"/>
          <w:lang w:val="zh-CN" w:eastAsia="zh-CN"/>
        </w:rPr>
      </w:pPr>
      <w:r>
        <w:rPr>
          <w:rFonts w:hint="eastAsia" w:ascii="黑体" w:hAnsi="黑体" w:eastAsia="黑体" w:cs="黑体"/>
          <w:b w:val="0"/>
          <w:bCs w:val="0"/>
          <w:color w:val="auto"/>
          <w:kern w:val="0"/>
          <w:sz w:val="32"/>
          <w:szCs w:val="32"/>
          <w:highlight w:val="none"/>
          <w:u w:val="none"/>
          <w:shd w:val="clear" w:color="auto" w:fill="FFFFFF"/>
          <w:lang w:val="zh-CN" w:eastAsia="zh-CN"/>
        </w:rPr>
        <w:t>附表</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市级主管部门（单位）项目资金分配涉及</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所有点位自评得分情况表</w:t>
      </w:r>
    </w:p>
    <w:tbl>
      <w:tblPr>
        <w:tblStyle w:val="10"/>
        <w:tblW w:w="8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0"/>
        <w:gridCol w:w="2625"/>
        <w:gridCol w:w="2622"/>
        <w:gridCol w:w="1319"/>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r>
              <w:rPr>
                <w:rFonts w:hint="eastAsia" w:ascii="仿宋_GB2312" w:hAnsi="仿宋_GB2312" w:eastAsia="仿宋_GB2312" w:cs="仿宋_GB2312"/>
                <w:b w:val="0"/>
                <w:bCs w:val="0"/>
                <w:color w:val="auto"/>
                <w:sz w:val="24"/>
                <w:szCs w:val="24"/>
                <w:highlight w:val="none"/>
                <w:u w:val="none"/>
                <w:vertAlign w:val="baseline"/>
                <w:lang w:val="en-US" w:eastAsia="zh-CN"/>
              </w:rPr>
              <w:t>序号</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r>
              <w:rPr>
                <w:rFonts w:hint="eastAsia" w:ascii="仿宋_GB2312" w:hAnsi="仿宋_GB2312" w:eastAsia="仿宋_GB2312" w:cs="仿宋_GB2312"/>
                <w:b w:val="0"/>
                <w:bCs w:val="0"/>
                <w:color w:val="auto"/>
                <w:sz w:val="24"/>
                <w:szCs w:val="24"/>
                <w:highlight w:val="none"/>
                <w:u w:val="none"/>
                <w:vertAlign w:val="baseline"/>
                <w:lang w:val="en-US" w:eastAsia="zh-CN"/>
              </w:rPr>
              <w:t>项目资金末端分配点位</w:t>
            </w: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r>
              <w:rPr>
                <w:rFonts w:hint="eastAsia" w:ascii="仿宋_GB2312" w:hAnsi="仿宋_GB2312" w:eastAsia="仿宋_GB2312" w:cs="仿宋_GB2312"/>
                <w:b w:val="0"/>
                <w:bCs w:val="0"/>
                <w:color w:val="auto"/>
                <w:sz w:val="24"/>
                <w:szCs w:val="24"/>
                <w:highlight w:val="none"/>
                <w:u w:val="none"/>
                <w:vertAlign w:val="baseline"/>
                <w:lang w:val="en" w:eastAsia="zh-CN"/>
              </w:rPr>
              <w:t>自评得分（百分制）</w:t>
            </w: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r>
              <w:rPr>
                <w:rFonts w:hint="eastAsia" w:ascii="仿宋_GB2312" w:hAnsi="仿宋_GB2312" w:eastAsia="仿宋_GB2312" w:cs="仿宋_GB2312"/>
                <w:b w:val="0"/>
                <w:bCs w:val="0"/>
                <w:color w:val="auto"/>
                <w:sz w:val="24"/>
                <w:szCs w:val="24"/>
                <w:highlight w:val="none"/>
                <w:u w:val="none"/>
                <w:vertAlign w:val="baseline"/>
                <w:lang w:val="en-US" w:eastAsia="zh-CN"/>
              </w:rPr>
              <w:t>财政科室审核得分</w:t>
            </w: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r>
              <w:rPr>
                <w:rFonts w:hint="eastAsia" w:ascii="仿宋_GB2312" w:hAnsi="仿宋_GB2312" w:eastAsia="仿宋_GB2312" w:cs="仿宋_GB2312"/>
                <w:b w:val="0"/>
                <w:bCs w:val="0"/>
                <w:color w:val="auto"/>
                <w:sz w:val="24"/>
                <w:szCs w:val="24"/>
                <w:highlight w:val="none"/>
                <w:u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1</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r>
              <w:rPr>
                <w:rFonts w:hint="eastAsia" w:ascii="仿宋_GB2312" w:hAnsi="仿宋_GB2312" w:eastAsia="仿宋_GB2312" w:cs="仿宋_GB2312"/>
                <w:b w:val="0"/>
                <w:bCs w:val="0"/>
                <w:color w:val="auto"/>
                <w:sz w:val="24"/>
                <w:szCs w:val="24"/>
                <w:highlight w:val="none"/>
                <w:u w:val="none"/>
                <w:vertAlign w:val="baseline"/>
                <w:lang w:val="en-US" w:eastAsia="zh-CN"/>
              </w:rPr>
              <w:t>广元市自然资源局局机关</w:t>
            </w: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仿宋_GB2312" w:hAnsi="仿宋_GB2312" w:eastAsia="仿宋_GB2312" w:cs="仿宋_GB2312"/>
                <w:b w:val="0"/>
                <w:bCs w:val="0"/>
                <w:color w:val="auto"/>
                <w:sz w:val="24"/>
                <w:szCs w:val="24"/>
                <w:highlight w:val="none"/>
                <w:u w:val="none"/>
                <w:vertAlign w:val="baseline"/>
                <w:lang w:val="en-US" w:eastAsia="zh-CN"/>
              </w:rPr>
            </w:pPr>
            <w:r>
              <w:rPr>
                <w:rFonts w:hint="eastAsia" w:ascii="仿宋_GB2312" w:hAnsi="仿宋_GB2312" w:eastAsia="仿宋_GB2312" w:cs="仿宋_GB2312"/>
                <w:b w:val="0"/>
                <w:bCs w:val="0"/>
                <w:color w:val="auto"/>
                <w:sz w:val="24"/>
                <w:szCs w:val="24"/>
                <w:highlight w:val="none"/>
                <w:u w:val="none"/>
                <w:vertAlign w:val="baseline"/>
                <w:lang w:val="en-US" w:eastAsia="zh-CN"/>
              </w:rPr>
              <w:t>9</w:t>
            </w:r>
            <w:r>
              <w:rPr>
                <w:rFonts w:hint="eastAsia" w:ascii="仿宋_GB2312" w:hAnsi="仿宋_GB2312" w:cs="仿宋_GB2312"/>
                <w:b w:val="0"/>
                <w:bCs w:val="0"/>
                <w:color w:val="auto"/>
                <w:sz w:val="24"/>
                <w:szCs w:val="24"/>
                <w:highlight w:val="none"/>
                <w:u w:val="none"/>
                <w:vertAlign w:val="baseline"/>
                <w:lang w:val="en-US" w:eastAsia="zh-CN"/>
              </w:rPr>
              <w:t>0</w:t>
            </w: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2</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3</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4</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5</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6</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7</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8</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rPr>
          <w:rFonts w:hint="eastAsia" w:ascii="仿宋_GB2312" w:hAnsi="仿宋_GB2312" w:eastAsia="仿宋_GB2312" w:cs="仿宋_GB2312"/>
          <w:b w:val="0"/>
          <w:bCs w:val="0"/>
          <w:color w:val="auto"/>
          <w:sz w:val="32"/>
          <w:szCs w:val="32"/>
          <w:highlight w:val="none"/>
          <w:u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rPr>
          <w:rFonts w:hint="eastAsia" w:ascii="仿宋_GB2312" w:hAnsi="仿宋_GB2312" w:eastAsia="仿宋_GB2312" w:cs="仿宋_GB2312"/>
          <w:b w:val="0"/>
          <w:bCs w:val="0"/>
          <w:color w:val="auto"/>
          <w:sz w:val="32"/>
          <w:szCs w:val="32"/>
          <w:highlight w:val="none"/>
          <w:u w:val="none"/>
          <w:vertAlign w:val="baseline"/>
          <w:lang w:val="en-US" w:eastAsia="zh-CN"/>
        </w:rPr>
      </w:pPr>
      <w:r>
        <w:rPr>
          <w:rFonts w:hint="eastAsia" w:ascii="仿宋_GB2312" w:hAnsi="仿宋_GB2312" w:eastAsia="仿宋_GB2312" w:cs="仿宋_GB2312"/>
          <w:b w:val="0"/>
          <w:bCs w:val="0"/>
          <w:color w:val="auto"/>
          <w:sz w:val="32"/>
          <w:szCs w:val="32"/>
          <w:highlight w:val="none"/>
          <w:u w:val="none"/>
          <w:vertAlign w:val="baseline"/>
          <w:lang w:val="en-US" w:eastAsia="zh-CN"/>
        </w:rPr>
        <w:t>备注：1、项目资金末端分配点位包括县（区）、市级部门下属单位及一次性单位等。</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left="0" w:leftChars="0" w:right="0" w:rightChars="0" w:firstLine="0" w:firstLineChars="0"/>
        <w:jc w:val="both"/>
        <w:textAlignment w:val="auto"/>
        <w:rPr>
          <w:rFonts w:hint="eastAsia" w:ascii="仿宋_GB2312" w:hAnsi="仿宋_GB2312" w:eastAsia="仿宋_GB2312" w:cs="仿宋_GB2312"/>
          <w:b w:val="0"/>
          <w:bCs w:val="0"/>
          <w:color w:val="auto"/>
          <w:sz w:val="32"/>
          <w:szCs w:val="32"/>
          <w:highlight w:val="none"/>
          <w:u w:val="none"/>
          <w:vertAlign w:val="baseline"/>
          <w:lang w:val="en-US" w:eastAsia="zh-CN"/>
        </w:rPr>
      </w:pPr>
      <w:r>
        <w:rPr>
          <w:rFonts w:hint="eastAsia" w:ascii="仿宋_GB2312" w:hAnsi="仿宋_GB2312" w:eastAsia="仿宋_GB2312" w:cs="仿宋_GB2312"/>
          <w:b w:val="0"/>
          <w:bCs w:val="0"/>
          <w:color w:val="auto"/>
          <w:sz w:val="32"/>
          <w:szCs w:val="32"/>
          <w:highlight w:val="none"/>
          <w:u w:val="none"/>
          <w:vertAlign w:val="baseline"/>
          <w:lang w:val="en-US" w:eastAsia="zh-CN"/>
        </w:rPr>
        <w:t>自评得分（百分制）从高到低划分为优、良、中、差四个档次，各个档次数量占比分别为20%、20%、55%、5%，且不同档次间得分分值应体现差异化，同档次得分分值相同的比例不超过该档次总数量的10%。</w:t>
      </w:r>
    </w:p>
    <w:p>
      <w:pPr>
        <w:pageBreakBefore w:val="0"/>
        <w:widowControl w:val="0"/>
        <w:kinsoku/>
        <w:wordWrap/>
        <w:overflowPunct/>
        <w:topLinePunct w:val="0"/>
        <w:autoSpaceDE/>
        <w:autoSpaceDN/>
        <w:bidi w:val="0"/>
        <w:spacing w:line="576" w:lineRule="exact"/>
        <w:ind w:left="0" w:leftChars="0" w:right="0" w:rightChars="0" w:firstLine="0" w:firstLineChars="0"/>
        <w:jc w:val="both"/>
        <w:rPr>
          <w:rFonts w:hint="eastAsia" w:ascii="仿宋_GB2312" w:hAnsi="仿宋_GB2312" w:eastAsia="仿宋_GB2312" w:cs="仿宋_GB2312"/>
          <w:b w:val="0"/>
          <w:bCs w:val="0"/>
          <w:color w:val="000000"/>
          <w:kern w:val="0"/>
          <w:sz w:val="32"/>
          <w:szCs w:val="32"/>
          <w:lang w:val="en-US" w:eastAsia="zh-CN"/>
        </w:rPr>
        <w:sectPr>
          <w:pgSz w:w="11906" w:h="16838"/>
          <w:pgMar w:top="2098" w:right="1474" w:bottom="1984" w:left="1587" w:header="851" w:footer="992" w:gutter="0"/>
          <w:pgNumType w:fmt="decimal"/>
          <w:cols w:space="425" w:num="1"/>
          <w:docGrid w:type="lines" w:linePitch="312" w:charSpace="0"/>
        </w:sectPr>
      </w:pPr>
    </w:p>
    <w:p>
      <w:pPr>
        <w:pStyle w:val="2"/>
        <w:ind w:left="0" w:leftChars="0" w:firstLine="0" w:firstLineChars="0"/>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附件5</w:t>
      </w:r>
    </w:p>
    <w:p>
      <w:pPr>
        <w:pStyle w:val="2"/>
        <w:ind w:left="0" w:leftChars="0" w:firstLine="0" w:firstLineChars="0"/>
        <w:jc w:val="cente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pPr>
      <w: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t>2023年市级专项资金预算项目支出绩效评价指标体系</w:t>
      </w:r>
    </w:p>
    <w:tbl>
      <w:tblPr>
        <w:tblStyle w:val="9"/>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42"/>
        <w:gridCol w:w="450"/>
        <w:gridCol w:w="655"/>
        <w:gridCol w:w="842"/>
        <w:gridCol w:w="868"/>
        <w:gridCol w:w="1377"/>
        <w:gridCol w:w="1999"/>
        <w:gridCol w:w="1052"/>
        <w:gridCol w:w="756"/>
        <w:gridCol w:w="756"/>
        <w:gridCol w:w="756"/>
        <w:gridCol w:w="982"/>
        <w:gridCol w:w="1125"/>
        <w:gridCol w:w="3948"/>
        <w:gridCol w:w="517"/>
        <w:gridCol w:w="521"/>
        <w:gridCol w:w="517"/>
        <w:gridCol w:w="521"/>
        <w:gridCol w:w="495"/>
        <w:gridCol w:w="495"/>
        <w:gridCol w:w="495"/>
        <w:gridCol w:w="617"/>
        <w:gridCol w:w="538"/>
        <w:gridCol w:w="495"/>
        <w:gridCol w:w="4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blHeader/>
        </w:trPr>
        <w:tc>
          <w:tcPr>
            <w:tcW w:w="1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分值权重</w:t>
            </w:r>
          </w:p>
        </w:tc>
        <w:tc>
          <w:tcPr>
            <w:tcW w:w="966" w:type="pct"/>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分层分类指标</w:t>
            </w:r>
          </w:p>
        </w:tc>
        <w:tc>
          <w:tcPr>
            <w:tcW w:w="4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指标解释</w:t>
            </w:r>
          </w:p>
        </w:tc>
        <w:tc>
          <w:tcPr>
            <w:tcW w:w="1249" w:type="pct"/>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评分方法</w:t>
            </w:r>
          </w:p>
        </w:tc>
        <w:tc>
          <w:tcPr>
            <w:tcW w:w="9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评价要点及说明</w:t>
            </w:r>
          </w:p>
        </w:tc>
        <w:tc>
          <w:tcPr>
            <w:tcW w:w="239" w:type="pct"/>
            <w:gridSpan w:val="2"/>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评价方式</w:t>
            </w:r>
          </w:p>
        </w:tc>
        <w:tc>
          <w:tcPr>
            <w:tcW w:w="23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评价属性</w:t>
            </w:r>
          </w:p>
        </w:tc>
        <w:tc>
          <w:tcPr>
            <w:tcW w:w="598" w:type="pct"/>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定量评价标准</w:t>
            </w:r>
          </w:p>
        </w:tc>
        <w:tc>
          <w:tcPr>
            <w:tcW w:w="1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自评得分</w:t>
            </w:r>
          </w:p>
        </w:tc>
        <w:tc>
          <w:tcPr>
            <w:tcW w:w="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blHeader/>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966"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249" w:type="pct"/>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9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39" w:type="pct"/>
            <w:gridSpan w:val="2"/>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3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598"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blHeader/>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分层指标</w:t>
            </w:r>
          </w:p>
        </w:tc>
        <w:tc>
          <w:tcPr>
            <w:tcW w:w="34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适用范围</w:t>
            </w: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一级指标</w:t>
            </w:r>
          </w:p>
        </w:tc>
        <w:tc>
          <w:tcPr>
            <w:tcW w:w="31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二级指标</w:t>
            </w: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4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方法归类</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计算公式</w:t>
            </w:r>
          </w:p>
        </w:tc>
        <w:tc>
          <w:tcPr>
            <w:tcW w:w="9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整体评价</w:t>
            </w:r>
          </w:p>
        </w:tc>
        <w:tc>
          <w:tcPr>
            <w:tcW w:w="1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样本评价</w:t>
            </w:r>
          </w:p>
        </w:tc>
        <w:tc>
          <w:tcPr>
            <w:tcW w:w="1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定性评价</w:t>
            </w:r>
          </w:p>
        </w:tc>
        <w:tc>
          <w:tcPr>
            <w:tcW w:w="1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定量评价</w:t>
            </w:r>
          </w:p>
        </w:tc>
        <w:tc>
          <w:tcPr>
            <w:tcW w:w="1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国家标准</w:t>
            </w:r>
          </w:p>
        </w:tc>
        <w:tc>
          <w:tcPr>
            <w:tcW w:w="1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行业标准</w:t>
            </w:r>
          </w:p>
        </w:tc>
        <w:tc>
          <w:tcPr>
            <w:tcW w:w="1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地方标准</w:t>
            </w:r>
          </w:p>
        </w:tc>
        <w:tc>
          <w:tcPr>
            <w:tcW w:w="14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申报标准</w:t>
            </w:r>
          </w:p>
        </w:tc>
        <w:tc>
          <w:tcPr>
            <w:tcW w:w="1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历史均值</w:t>
            </w:r>
          </w:p>
        </w:tc>
        <w:tc>
          <w:tcPr>
            <w:tcW w:w="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blHeader/>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0.3</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0.6</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0.8</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w:t>
            </w:r>
          </w:p>
        </w:tc>
        <w:tc>
          <w:tcPr>
            <w:tcW w:w="9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w:t>
            </w:r>
          </w:p>
        </w:tc>
        <w:tc>
          <w:tcPr>
            <w:tcW w:w="1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通用指标</w:t>
            </w:r>
          </w:p>
        </w:tc>
        <w:tc>
          <w:tcPr>
            <w:tcW w:w="34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所有项目</w:t>
            </w:r>
          </w:p>
        </w:tc>
        <w:tc>
          <w:tcPr>
            <w:tcW w:w="200"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项目决策</w:t>
            </w: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程序严密</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项目设立是否经过严格评估论证和集体决策，是否与部门职责相符，是否属于公共财政支持范围，是否符合地方事权支出责任划分原则，是否与相关部门同类项目或部门内部相关项目重复</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不完善</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较完善</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完善</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专项项目设立是否经过事前评估或可行性论证，是否符合专项设立的基本规范和程序要求。项目设立是否属于部门职责相符，是否属于公共财政支持范围，符合地方事权支出责任划分原则，是否与相关部门同类项目或部门内部相关项目重复。存在一项不符合的为较完善，存在两项及两项以上不符合的为不完善</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规划合理★</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项目规划是否符合省委、省政府重大决策部署，是否与项目年度目标一致</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不合理</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较合理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合理</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项目设立依据是否充分，符合省委、省政府重大决策部署和宏观政策规划，项目年度绩效目标与中长期规划是否一致，项目绩效目标是否具有合理性。样本评价中，规划是否与现实需求匹配，是否存在因规划不够合理导致项目效益欠佳的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制度完备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项目指导意见、管理办法、申报指南、实施细则等管理制度是否完善，是否存在脱离实际、缺陷、漏洞导致执行偏离预期</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缺（错）项扣分法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发现一处扣0.5分，直至扣完</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主要查看项目的相关管理制度机制是否健全完善，在项目执行过程中，是否存在管理制度有悖于实际的情况，是否存在难以操作、无法落地、执行不畅的情况，是否存在不能满足实际需求，未及时动态调整的情况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项目实施</w:t>
            </w: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分配合理★</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项目资金分配结果是否与规划计划一致；是否按规定及时分配专项预算资金</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项目法分配的项目，以所有项目点实施完成情况与规划计划情况进行对比。按因素法分配的项目和据实据效分配的项目，将资金分配方向与规划计划支持方向进行对比；省级接到中央一般性转移支付和专项转移支付后，应当在30日内正式下达到本行政区域县级以上各级政府；县级以上地方各级预算安排对下级政府的一般性转移支付和专项转移支付，应当分别在本级人民代表大会批准预算后的30日和60日内正式下达；《预算法》其他规定；分配依据充分的得分，明显不充分扣分。两种情况分值权重各占一半</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4</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使用合规</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项目资金使用是否符合相关的财务管理制度规定</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缺（错）项扣分法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发现一处扣0.5分，直至扣完</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项目资金是否符合国家财经法规和财务管理制度及有关专项资金管理办法规定；资金拨付是否有完整的审批程序和手续；是否符合项目预算批复或合同规定用途；是否存在截留、挤占、挪用、虚列支出等情况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执行有效</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项目实施是否符合相关管理制度规定</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缺（错）项扣分法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发现一处扣0.5分，直至扣完</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项目实施是否遵守相关法律法规；项目调整手续是否完备；项目合同、验收报告、技术鉴定等资料是否齐全并及时归档；项目实施的人员条件、场地设备、信息支撑等是否落实到位</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完成结果</w:t>
            </w: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预算完成★</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项目资金拨付到具体支持对象企业、项目（人）的情况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指标得分=项目实际到位金额/承诺到位金额×100%*指标分值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主要查看项目资金拨付到人到户、到项目、到企业与资金总量的对比，配套预算到位率。</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10%</w:t>
            </w:r>
          </w:p>
        </w:tc>
        <w:tc>
          <w:tcPr>
            <w:tcW w:w="1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通用指标</w:t>
            </w:r>
          </w:p>
        </w:tc>
        <w:tc>
          <w:tcPr>
            <w:tcW w:w="34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所有项目</w:t>
            </w: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完成结果</w:t>
            </w: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资金结余★</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项目资金结余的情况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指标得分=（1-结余率/0.2）*指标分值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结余率大于等于0.2，指标得0分                             结余率=结余金额/省级财政资金预算数×100%                                                                                               </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结余资金是指项目实施周期已结束、项目目标完成或项目提前终止，尚未列支的项目支出预算资金；因项目实施计划调整，不需要继续支出的预算资金；预算批复后连续两年未用完的预算资金。</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10</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目标完成★</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项目实施后是否完成预期目标</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指标得分=实际完成任务量/绩效目标设定任务量×100%*指标分值  </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主要查看项目实施后产出数量指标完成情况。以样本点资金量为权重，加权计算指标得分。当实际完成任务量/绩效目标设定任务量&gt;1时按1计算</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4</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完成及时</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项目实际完成时间与计划完成时间的比较，用以反映和考核项目产出实效目标的实现程度</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指标得分=(1-(实际完成时间-计划完成时间)/计划完成时间)×100%*指标分值  </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主要查看项目实际计划完成时间情况，一般以天数、月数或年数为单位。当实际完成时间-计划完成时间小于等于0时得满分；实际完成时间超过计划完成时间1倍时得0分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4</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违规记录</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项目管理是否合规</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不合规</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3处及以上不合规</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2处不合规</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1处不合规</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合规</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根据审计监督、财政检查结果反映专项管理是否合规</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1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20%</w:t>
            </w:r>
          </w:p>
        </w:tc>
        <w:tc>
          <w:tcPr>
            <w:tcW w:w="1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共性指标</w:t>
            </w:r>
          </w:p>
        </w:tc>
        <w:tc>
          <w:tcPr>
            <w:tcW w:w="34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产业发展项目</w:t>
            </w: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项目效果</w:t>
            </w: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符合性</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项目实施效果是否与绩效目标或申报目标符合</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指标得分=项目实施符合的点位数/所有选点总数×100%*指标分值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根据项目现场评价实施效果与绩效目标进行对比，汇总所有样本点情况综合分析政策整体吻合度</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20</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成长性★</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反映不同类型产业政策实施对相关行业企业成长性的促进作用，主要反映支持对象的创新、创造、创业能力情况，产业结构情况，持续盈利能力情况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指标得分=各项具体指标得分的平均分</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根据产业政策实施对象的主营业务收入增长率、净利润增长率或税收增长率等情况综合判断，统计年鉴相关数据为准（主要查看企业2018年度、2019年度财报，2020年根据实际情况收集）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民生保障项目</w:t>
            </w:r>
          </w:p>
        </w:tc>
        <w:tc>
          <w:tcPr>
            <w:tcW w:w="200" w:type="pct"/>
            <w:vMerge w:val="restar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项目效果</w:t>
            </w: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区域均衡性</w:t>
            </w:r>
          </w:p>
        </w:tc>
        <w:tc>
          <w:tcPr>
            <w:tcW w:w="46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项目资金分配体现的均衡公平情况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不均衡</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较均衡</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均衡</w:t>
            </w:r>
          </w:p>
        </w:tc>
        <w:tc>
          <w:tcPr>
            <w:tcW w:w="908"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按实际分配结果选择客观因素测算验证资金分配方法制定、分配要素设定、基础数据应用、测算依据选取等是否科学合理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对象公平性★</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项目资金分配结果是否公平合理，是否充分考虑地域条件、经济条件等</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不公平</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公平</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主要查看项目资金分配和实施结果是否体现公平公正性，在支持</w:t>
            </w:r>
            <w:r>
              <w:rPr>
                <w:rStyle w:val="15"/>
                <w:rFonts w:hint="eastAsia" w:ascii="宋体" w:hAnsi="宋体" w:eastAsia="宋体" w:cs="宋体"/>
                <w:sz w:val="21"/>
                <w:szCs w:val="21"/>
                <w:lang w:val="en-US" w:eastAsia="zh-CN" w:bidi="ar"/>
              </w:rPr>
              <w:t>范围、标准、程序</w:t>
            </w:r>
            <w:r>
              <w:rPr>
                <w:rStyle w:val="14"/>
                <w:rFonts w:hint="eastAsia" w:ascii="宋体" w:hAnsi="宋体" w:eastAsia="宋体" w:cs="宋体"/>
                <w:sz w:val="21"/>
                <w:szCs w:val="21"/>
                <w:lang w:val="en-US" w:eastAsia="zh-CN" w:bidi="ar"/>
              </w:rPr>
              <w:t>上是否存在明显的排他性和歧视性规定，是否做到大多数和少数的协调统一，统筹兼顾。标黑因素存在一项不公平的按一般档次计算分值，存在两项因素不公平的得0分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社会满意度</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相关群体满意度调查情况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按根据实际满意度与满意度标准值的比率计算指标得分</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主要调研政策和项目相关方在政策实施过程中的满意值，通过不满意情况汇总分析政策在顶层设计、制度构建、管理实施及成效各环节的情况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基础设施（设备购置）项目</w:t>
            </w: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项目效果</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功能性★</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反映公共基础设施建设功能是否达到计划能力，建成后是否正常并良好运行，延续性是否达到预期</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发现基础设施功能明显未实现预期的，发现一项扣1分，直至扣完</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主要查看建设项目是否实施方案实现预期功能，是否能够持续良好地运作，有效地维护，特别是公共设施类的项目，是否能有效满足人民群众的现实需要</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配套性★</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项目建成后相关工程、点位是否相关协调，配套设施是否整体协调，是否全面衔接发挥整体效益</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较好</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好</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重点查看区域内建设规划在空间分布、功能配套整合、土地利用等方面是否存在明显有违常理，不科学合理的情况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1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30%</w:t>
            </w:r>
          </w:p>
        </w:tc>
        <w:tc>
          <w:tcPr>
            <w:tcW w:w="1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特性指标</w:t>
            </w:r>
          </w:p>
        </w:tc>
        <w:tc>
          <w:tcPr>
            <w:tcW w:w="1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产业发展项目</w:t>
            </w: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工业产业（包括技术改造）</w:t>
            </w: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经济效益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利税增长率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项目实施单位利税增长情况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指标得分=利税增长率/标准值*指标分值（利税增长率/标准值＞1按1计算，负值按0计算）</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评价年度前三年利税平均增长率（不含评价当年，不足三年按实际存续年限计算）</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投资回报率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项目投产后回报情况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指标得分=投资回报率/标准值*指标得分（投资回报率/标准值＞1按1计算，负值按0计算）</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投资回报率=项目年新增利税额/项目投入资金总额</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社会贡献率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企业运用资产为社会创造价值的能力</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指标得分=社会贡献率/标准值*指标分值（社会贡献率/标准值＞1按1计算，负值按0计算）</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社会贡献率=社会贡献额/资产总额 ×100%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社会贡献额=工资总额+主营业务税金及附加+利润总额+五险一金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资产总额=（期初资产总额+期末资产总额）/2 </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就业贡献率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企业就业人数增量变化</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指标得分=就业贡献率/标准值*指标分值（就业贡献率/标准值＞1按1计算，负值按0计算）</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就业贡献率=企业三年平均新增就业人数/行业新增就业总人数×100%</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农业产业（包括林业产业）</w:t>
            </w: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经济效益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增加值提升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项目实施涉及产值增长情况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指标得分=三年产值平均增长率/标准值*指标分值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产值增长率=当年涉农产值增量/上一年度涉农产值总量×100%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重点查看项目实施区域涉农增加值变动情况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年均收入变动率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项目实施后农户收入变动情况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指标得分=三年人均年收入增长率/标准值*指标分值（三年人均年收入增长率/标准值负值为0，＞1按1计算）</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人均年收入增长率=（项目实施后人均年收入-项目实施前人均年收入）/项目实施前人均年收入×100%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重点查看三年来农民人均年收入增长变化情况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从业带动能力</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项目带动周边从事相关行业情况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指标得分=三年平均新增带动就业户数/标准值*指标分值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通过实地走访、调研、收集带动就业户数相关基础数据进行对比分析</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服务业</w:t>
            </w: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经济效益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消费增长</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项目支持区域内社会消费品零售总额增长情况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指标得分根据三年社会消费品零售增长变化计算得分，社会消费品零售增长≥标准值的得满分，＜标准值80%的不得分，其余按比值计算得分</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重点收集三年来区域内社会消费品零售增长数据，主要通过官方统计数据采集，同时结合实地调查对比，综合计算指标得分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增加值增长率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项目实施涉及增加值增长情况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指标得分=三年增加值平均增长率/标准值*指标分值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增加值增长率=当年服务业增加值增量/上一年度服务业增加值总量×100%。重点查看项目实施区域服务业增加值变动情况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服务效能</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区域内相关事务处理能力提升情况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较好</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好</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重点查看区域内相关事务处理能力提升状况，通过资料记录查询，现场持续跟踪，走访调研了解等手段综合判断</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30%</w:t>
            </w:r>
          </w:p>
        </w:tc>
        <w:tc>
          <w:tcPr>
            <w:tcW w:w="1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特性指标</w:t>
            </w:r>
          </w:p>
        </w:tc>
        <w:tc>
          <w:tcPr>
            <w:tcW w:w="1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民生保障项目</w:t>
            </w: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社会保障与就业</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基础管理</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审核把关</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项目申报是否真实准确</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指标得分=基础数据真实客观的人数/项目受益总人数×100%*指标分值，基础数据真实客观的人数/项目受益总人数小于70%不得分</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主要查看项目受益人群的精准性和客观性，是否存在因制度机制缺陷或管理疏漏导致审核把关不严的情况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资金使用率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项目资金支付使用情况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指标得分=资金实际使用金额/资金实际拨付金额×100%*指标分值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主要查看财政资金实际支付使用，是否存在因制度机制、操作流程、管理疏漏、数据缺失等导致的资金结余，闲置浪费的情况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医疗卫生计生</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基础管理</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服务质量提升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反映服务安全、便捷、规范情况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较好</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好</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主要调查医疗卫生计生机构提供服务的安全性、便捷程度和规范性</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健康状况改善</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反映区域内居民健康状况改善情况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较好</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好</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主要包括健康档案使用率、新生儿死亡率、高血压患者控制率等，通过几个主要的维度综合衡量区域内居民健康状况改善情况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教育文化</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基础管理</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对象覆盖全面</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项目区域范围内实施对象覆盖情况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明显疏漏</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基本覆盖</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全面覆盖</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主要查看项目实施对相关群体的覆盖情况，是否充分考虑主要群体和特殊个体的统一，做到全面覆盖</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项目效果</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教学（文化）设备利用率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反映教育（文化）设备使用情况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设备使用率=设备使用时间/设备计划用时（分钟、小时、日、月）×100%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指标得分=设备使用率/标准值*指标分值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主要调查设备工作状态及工作效率的情况，和绩效目标及相关标准对比</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基础设施（设备购置）项目</w:t>
            </w: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交通运输</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完成质量</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是否符合验收标准，达到行业基准水平</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指标得分=项目达标数/实施项目总数×100%*指标分值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质量达标率＞100%时按100%计算；当质量达标率＜90%时，指标不得分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道路通行能力提升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项目区域内道路通行能力提升情况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指标得分=实际通行能力/计划通行能力×100%*指标分值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（实际通行能力/计划通行能力＞1按1计算）</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通行能力=设计每小时通车数量，按照各种等级道路通行能力标准测算</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住房保障</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完成质量</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是否符合验收标准，达到行业基准水平</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指标得分=项目达标数/实施项目总数×100%*指标分值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质量达标率＞100%时按100%计算；当质量达标率＜90%时，指标不得分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保障实现率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项目区域内应保家庭住房保障实现情况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满意值赋分法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保障实现率达到标准值得满分，每低一个百分点扣1分</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住房保障率=已保家庭户数/应保家庭户数*100%</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城乡社区</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完成质量</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是否符合验收标准，达到行业基准水平</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指标得分=项目达标数/实施项目总数×100%*指标分值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质量达标率＞100%时按100%计算；当质量达标率＜90%时，指标不得分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运行效率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城乡社区公共设施正常运转情况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指标得分=运转效率/标准值*指标正分值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（运转效率/标准值＞1按1计算）</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运转效率=政策运转设施个数/设计正常运转设施个数*100%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主要包括城乡社区公共交通、照明、燃气、环境保护、娱乐、体育等相关公共设施正常运转情况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水利设施</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完成质量</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是否符合验收标准，达到行业基准水平</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指标得分=项目达标数/实施项目总数×100%*指标分值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质量达标率＞100%时按100%计算；当质量达标率＜90%时，指标不得分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0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能力实现率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水利设施设计能实现情况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指标得分=能力实现率/标准值*指标正分值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（能力实现率/标准值＞1按1计算）</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能力实现率=实现设计能力水利设施个数/水利设施总个数*100%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主要包括水利系统建设用于堤防、河道、水库、水利枢纽、涵闸、灌区、供水、蓄滞洪区等水利工程建设及设备、设施改造维护后能力实现情况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设备购置</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运行状况</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购置的设备常态化运行情况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较好</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好</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重点查看购置设备日常使用频率及正常运转情况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30</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10%</w:t>
            </w:r>
          </w:p>
        </w:tc>
        <w:tc>
          <w:tcPr>
            <w:tcW w:w="2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个性指标</w:t>
            </w: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10</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4787" w:type="pct"/>
            <w:gridSpan w:val="23"/>
            <w:vMerge w:val="restart"/>
            <w:tcBorders>
              <w:top w:val="single" w:color="000000" w:sz="4" w:space="0"/>
              <w:left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Style w:val="16"/>
                <w:rFonts w:hint="eastAsia" w:ascii="宋体" w:hAnsi="宋体" w:eastAsia="宋体" w:cs="宋体"/>
                <w:sz w:val="21"/>
                <w:szCs w:val="21"/>
                <w:lang w:val="en-US" w:eastAsia="zh-CN" w:bidi="ar"/>
              </w:rPr>
            </w:pPr>
            <w:r>
              <w:rPr>
                <w:rStyle w:val="16"/>
                <w:rFonts w:hint="eastAsia" w:ascii="宋体" w:hAnsi="宋体" w:eastAsia="宋体" w:cs="宋体"/>
                <w:sz w:val="21"/>
                <w:szCs w:val="21"/>
                <w:lang w:val="en-US" w:eastAsia="zh-CN" w:bidi="ar"/>
              </w:rPr>
              <w:t>1、评分方法归为六类：（1）是否评分法：</w:t>
            </w:r>
            <w:r>
              <w:rPr>
                <w:rStyle w:val="17"/>
                <w:rFonts w:hint="eastAsia" w:ascii="宋体" w:hAnsi="宋体" w:eastAsia="宋体" w:cs="宋体"/>
                <w:sz w:val="21"/>
                <w:szCs w:val="21"/>
                <w:lang w:val="en-US" w:eastAsia="zh-CN" w:bidi="ar"/>
              </w:rPr>
              <w:t>适用于合规性等正反判断指标，正向满分，反向0分。</w:t>
            </w:r>
            <w:r>
              <w:rPr>
                <w:rStyle w:val="16"/>
                <w:rFonts w:hint="eastAsia" w:ascii="宋体" w:hAnsi="宋体" w:eastAsia="宋体" w:cs="宋体"/>
                <w:sz w:val="21"/>
                <w:szCs w:val="21"/>
                <w:lang w:val="en-US" w:eastAsia="zh-CN" w:bidi="ar"/>
              </w:rPr>
              <w:t>（2）分级评分法：</w:t>
            </w:r>
            <w:r>
              <w:rPr>
                <w:rStyle w:val="17"/>
                <w:rFonts w:hint="eastAsia" w:ascii="宋体" w:hAnsi="宋体" w:eastAsia="宋体" w:cs="宋体"/>
                <w:sz w:val="21"/>
                <w:szCs w:val="21"/>
                <w:lang w:val="en-US" w:eastAsia="zh-CN" w:bidi="ar"/>
              </w:rPr>
              <w:t>指标评分设置n级权重，指标得分按指标值所处区间的权重计算。</w:t>
            </w:r>
            <w:r>
              <w:rPr>
                <w:rStyle w:val="16"/>
                <w:rFonts w:hint="eastAsia" w:ascii="宋体" w:hAnsi="宋体" w:eastAsia="宋体" w:cs="宋体"/>
                <w:sz w:val="21"/>
                <w:szCs w:val="21"/>
                <w:lang w:val="en-US" w:eastAsia="zh-CN" w:bidi="ar"/>
              </w:rPr>
              <w:t>（3）比率分值法：</w:t>
            </w:r>
            <w:r>
              <w:rPr>
                <w:rStyle w:val="17"/>
                <w:rFonts w:hint="eastAsia" w:ascii="宋体" w:hAnsi="宋体" w:eastAsia="宋体" w:cs="宋体"/>
                <w:sz w:val="21"/>
                <w:szCs w:val="21"/>
                <w:lang w:val="en-US" w:eastAsia="zh-CN" w:bidi="ar"/>
              </w:rPr>
              <w:t>对存在连续性比率的指标，按比率乘以指标分值计算得分。</w:t>
            </w:r>
            <w:r>
              <w:rPr>
                <w:rStyle w:val="16"/>
                <w:rFonts w:hint="eastAsia" w:ascii="宋体" w:hAnsi="宋体" w:eastAsia="宋体" w:cs="宋体"/>
                <w:sz w:val="21"/>
                <w:szCs w:val="21"/>
                <w:lang w:val="en-US" w:eastAsia="zh-CN" w:bidi="ar"/>
              </w:rPr>
              <w:t>（4）缺（错）项扣分法：</w:t>
            </w:r>
            <w:r>
              <w:rPr>
                <w:rStyle w:val="17"/>
                <w:rFonts w:hint="eastAsia" w:ascii="宋体" w:hAnsi="宋体" w:eastAsia="宋体" w:cs="宋体"/>
                <w:sz w:val="21"/>
                <w:szCs w:val="21"/>
                <w:lang w:val="en-US" w:eastAsia="zh-CN" w:bidi="ar"/>
              </w:rPr>
              <w:t>按照要求所具备的事项计算，全部具备得满分，缺少一项扣X分。</w:t>
            </w:r>
            <w:r>
              <w:rPr>
                <w:rStyle w:val="16"/>
                <w:rFonts w:hint="eastAsia" w:ascii="宋体" w:hAnsi="宋体" w:eastAsia="宋体" w:cs="宋体"/>
                <w:sz w:val="21"/>
                <w:szCs w:val="21"/>
                <w:lang w:val="en-US" w:eastAsia="zh-CN" w:bidi="ar"/>
              </w:rPr>
              <w:t>（5）满意值赋分法：</w:t>
            </w:r>
            <w:r>
              <w:rPr>
                <w:rStyle w:val="17"/>
                <w:rFonts w:hint="eastAsia" w:ascii="宋体" w:hAnsi="宋体" w:eastAsia="宋体" w:cs="宋体"/>
                <w:sz w:val="21"/>
                <w:szCs w:val="21"/>
                <w:lang w:val="en-US" w:eastAsia="zh-CN" w:bidi="ar"/>
              </w:rPr>
              <w:t>设置一个满意值，指标值达到满意值得满分，未达到不得分或扣分。</w:t>
            </w:r>
            <w:r>
              <w:rPr>
                <w:rStyle w:val="16"/>
                <w:rFonts w:hint="eastAsia" w:ascii="宋体" w:hAnsi="宋体" w:eastAsia="宋体" w:cs="宋体"/>
                <w:sz w:val="21"/>
                <w:szCs w:val="21"/>
                <w:lang w:val="en-US" w:eastAsia="zh-CN" w:bidi="ar"/>
              </w:rPr>
              <w:t>（6）按数累加法：</w:t>
            </w:r>
            <w:r>
              <w:rPr>
                <w:rStyle w:val="17"/>
                <w:rFonts w:hint="eastAsia" w:ascii="宋体" w:hAnsi="宋体" w:eastAsia="宋体" w:cs="宋体"/>
                <w:sz w:val="21"/>
                <w:szCs w:val="21"/>
                <w:lang w:val="en-US" w:eastAsia="zh-CN" w:bidi="ar"/>
              </w:rPr>
              <w:t>若有必要用于加分项指标。</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bCs/>
                <w:i w:val="0"/>
                <w:iCs w:val="0"/>
                <w:color w:val="000000"/>
                <w:sz w:val="21"/>
                <w:szCs w:val="21"/>
                <w:u w:val="none"/>
              </w:rPr>
            </w:pPr>
            <w:r>
              <w:rPr>
                <w:rStyle w:val="16"/>
                <w:rFonts w:hint="eastAsia" w:ascii="宋体" w:hAnsi="宋体" w:eastAsia="宋体" w:cs="宋体"/>
                <w:sz w:val="21"/>
                <w:szCs w:val="21"/>
                <w:lang w:val="en-US" w:eastAsia="zh-CN" w:bidi="ar"/>
              </w:rPr>
              <w:t>2、预算绩效指标标准：</w:t>
            </w:r>
            <w:r>
              <w:rPr>
                <w:rStyle w:val="16"/>
                <w:rFonts w:hint="eastAsia" w:ascii="宋体" w:hAnsi="宋体" w:eastAsia="宋体" w:cs="宋体"/>
                <w:sz w:val="21"/>
                <w:szCs w:val="21"/>
                <w:lang w:val="en-US" w:eastAsia="zh-CN" w:bidi="ar"/>
              </w:rPr>
              <w:br w:type="textWrapping"/>
            </w:r>
            <w:r>
              <w:rPr>
                <w:rStyle w:val="16"/>
                <w:rFonts w:hint="eastAsia" w:ascii="宋体" w:hAnsi="宋体" w:eastAsia="宋体" w:cs="宋体"/>
                <w:sz w:val="21"/>
                <w:szCs w:val="21"/>
                <w:lang w:val="en-US" w:eastAsia="zh-CN" w:bidi="ar"/>
              </w:rPr>
              <w:t>（1）定性指标标准：</w:t>
            </w:r>
            <w:r>
              <w:rPr>
                <w:rStyle w:val="17"/>
                <w:rFonts w:hint="eastAsia" w:ascii="宋体" w:hAnsi="宋体" w:eastAsia="宋体" w:cs="宋体"/>
                <w:sz w:val="21"/>
                <w:szCs w:val="21"/>
                <w:lang w:val="en-US" w:eastAsia="zh-CN" w:bidi="ar"/>
              </w:rPr>
              <w:t>根据客观依据判断指标得分，一般采用是否评分法。</w:t>
            </w:r>
            <w:r>
              <w:rPr>
                <w:rStyle w:val="17"/>
                <w:rFonts w:hint="eastAsia" w:ascii="宋体" w:hAnsi="宋体" w:eastAsia="宋体" w:cs="宋体"/>
                <w:sz w:val="21"/>
                <w:szCs w:val="21"/>
                <w:lang w:val="en-US" w:eastAsia="zh-CN" w:bidi="ar"/>
              </w:rPr>
              <w:br w:type="textWrapping"/>
            </w:r>
            <w:r>
              <w:rPr>
                <w:rStyle w:val="16"/>
                <w:rFonts w:hint="eastAsia" w:ascii="宋体" w:hAnsi="宋体" w:eastAsia="宋体" w:cs="宋体"/>
                <w:sz w:val="21"/>
                <w:szCs w:val="21"/>
                <w:lang w:val="en-US" w:eastAsia="zh-CN" w:bidi="ar"/>
              </w:rPr>
              <w:t>（2）定量指标标准：</w:t>
            </w:r>
            <w:r>
              <w:rPr>
                <w:rStyle w:val="17"/>
                <w:rFonts w:hint="eastAsia" w:ascii="宋体" w:hAnsi="宋体" w:eastAsia="宋体" w:cs="宋体"/>
                <w:sz w:val="21"/>
                <w:szCs w:val="21"/>
                <w:lang w:val="en-US" w:eastAsia="zh-CN" w:bidi="ar"/>
              </w:rPr>
              <w:t>（技术标准、管理标准、工作标准）：</w:t>
            </w:r>
            <w:r>
              <w:rPr>
                <w:rStyle w:val="17"/>
                <w:rFonts w:hint="eastAsia" w:ascii="宋体" w:hAnsi="宋体" w:eastAsia="宋体" w:cs="宋体"/>
                <w:sz w:val="21"/>
                <w:szCs w:val="21"/>
                <w:lang w:val="en-US" w:eastAsia="zh-CN" w:bidi="ar"/>
              </w:rPr>
              <w:br w:type="textWrapping"/>
            </w:r>
            <w:r>
              <w:rPr>
                <w:rStyle w:val="16"/>
                <w:rFonts w:hint="eastAsia" w:ascii="宋体" w:hAnsi="宋体" w:eastAsia="宋体" w:cs="宋体"/>
                <w:sz w:val="21"/>
                <w:szCs w:val="21"/>
                <w:lang w:val="en-US" w:eastAsia="zh-CN" w:bidi="ar"/>
              </w:rPr>
              <w:t>国家标准：</w:t>
            </w:r>
            <w:r>
              <w:rPr>
                <w:rStyle w:val="17"/>
                <w:rFonts w:hint="eastAsia" w:ascii="宋体" w:hAnsi="宋体" w:eastAsia="宋体" w:cs="宋体"/>
                <w:sz w:val="21"/>
                <w:szCs w:val="21"/>
                <w:lang w:val="en-US" w:eastAsia="zh-CN" w:bidi="ar"/>
              </w:rPr>
              <w:t>国家质量技术监督总局与国家标准化管理委员会制定，全国范围内适用，其他各级别标准不得与其抵触。</w:t>
            </w:r>
            <w:r>
              <w:rPr>
                <w:rStyle w:val="17"/>
                <w:rFonts w:hint="eastAsia" w:ascii="宋体" w:hAnsi="宋体" w:eastAsia="宋体" w:cs="宋体"/>
                <w:sz w:val="21"/>
                <w:szCs w:val="21"/>
                <w:lang w:val="en-US" w:eastAsia="zh-CN" w:bidi="ar"/>
              </w:rPr>
              <w:br w:type="textWrapping"/>
            </w:r>
            <w:r>
              <w:rPr>
                <w:rStyle w:val="16"/>
                <w:rFonts w:hint="eastAsia" w:ascii="宋体" w:hAnsi="宋体" w:eastAsia="宋体" w:cs="宋体"/>
                <w:sz w:val="21"/>
                <w:szCs w:val="21"/>
                <w:lang w:val="en-US" w:eastAsia="zh-CN" w:bidi="ar"/>
              </w:rPr>
              <w:t>行业标准：</w:t>
            </w:r>
            <w:r>
              <w:rPr>
                <w:rStyle w:val="17"/>
                <w:rFonts w:hint="eastAsia" w:ascii="宋体" w:hAnsi="宋体" w:eastAsia="宋体" w:cs="宋体"/>
                <w:sz w:val="21"/>
                <w:szCs w:val="21"/>
                <w:lang w:val="en-US" w:eastAsia="zh-CN" w:bidi="ar"/>
              </w:rPr>
              <w:t>国务院行政主管部门制定，行业标准用于特定行业。</w:t>
            </w:r>
            <w:r>
              <w:rPr>
                <w:rStyle w:val="17"/>
                <w:rFonts w:hint="eastAsia" w:ascii="宋体" w:hAnsi="宋体" w:eastAsia="宋体" w:cs="宋体"/>
                <w:sz w:val="21"/>
                <w:szCs w:val="21"/>
                <w:lang w:val="en-US" w:eastAsia="zh-CN" w:bidi="ar"/>
              </w:rPr>
              <w:br w:type="textWrapping"/>
            </w:r>
            <w:r>
              <w:rPr>
                <w:rStyle w:val="16"/>
                <w:rFonts w:hint="eastAsia" w:ascii="宋体" w:hAnsi="宋体" w:eastAsia="宋体" w:cs="宋体"/>
                <w:sz w:val="21"/>
                <w:szCs w:val="21"/>
                <w:lang w:val="en-US" w:eastAsia="zh-CN" w:bidi="ar"/>
              </w:rPr>
              <w:t>地方标准：</w:t>
            </w:r>
            <w:r>
              <w:rPr>
                <w:rStyle w:val="17"/>
                <w:rFonts w:hint="eastAsia" w:ascii="宋体" w:hAnsi="宋体" w:eastAsia="宋体" w:cs="宋体"/>
                <w:sz w:val="21"/>
                <w:szCs w:val="21"/>
                <w:lang w:val="en-US" w:eastAsia="zh-CN" w:bidi="ar"/>
              </w:rPr>
              <w:t>在没有国家标准和行业标准的情况下，地方政府、省级主管部门、财政部门可根据历史数据、统计数据、调研数据等设定绩效标准，可根据四川的实际情况按经济片区分设标准。</w:t>
            </w:r>
            <w:r>
              <w:rPr>
                <w:rStyle w:val="17"/>
                <w:rFonts w:hint="eastAsia" w:ascii="宋体" w:hAnsi="宋体" w:eastAsia="宋体" w:cs="宋体"/>
                <w:sz w:val="21"/>
                <w:szCs w:val="21"/>
                <w:lang w:val="en-US" w:eastAsia="zh-CN" w:bidi="ar"/>
              </w:rPr>
              <w:br w:type="textWrapping"/>
            </w:r>
            <w:r>
              <w:rPr>
                <w:rStyle w:val="16"/>
                <w:rFonts w:hint="eastAsia" w:ascii="宋体" w:hAnsi="宋体" w:eastAsia="宋体" w:cs="宋体"/>
                <w:sz w:val="21"/>
                <w:szCs w:val="21"/>
                <w:lang w:val="en-US" w:eastAsia="zh-CN" w:bidi="ar"/>
              </w:rPr>
              <w:t>申报标准：</w:t>
            </w:r>
            <w:r>
              <w:rPr>
                <w:rStyle w:val="17"/>
                <w:rFonts w:hint="eastAsia" w:ascii="宋体" w:hAnsi="宋体" w:eastAsia="宋体" w:cs="宋体"/>
                <w:sz w:val="21"/>
                <w:szCs w:val="21"/>
                <w:lang w:val="en-US" w:eastAsia="zh-CN" w:bidi="ar"/>
              </w:rPr>
              <w:t>对新实施的政策项目且相关基础数据匮乏的基础上，各方根据试点探索商定绩效标准，并在以后年度动态修订完善。</w:t>
            </w:r>
            <w:r>
              <w:rPr>
                <w:rStyle w:val="17"/>
                <w:rFonts w:hint="eastAsia" w:ascii="宋体" w:hAnsi="宋体" w:eastAsia="宋体" w:cs="宋体"/>
                <w:sz w:val="21"/>
                <w:szCs w:val="21"/>
                <w:lang w:val="en-US" w:eastAsia="zh-CN" w:bidi="ar"/>
              </w:rPr>
              <w:br w:type="textWrapping"/>
            </w:r>
            <w:r>
              <w:rPr>
                <w:rStyle w:val="17"/>
                <w:rFonts w:hint="eastAsia" w:ascii="宋体" w:hAnsi="宋体" w:eastAsia="宋体" w:cs="宋体"/>
                <w:sz w:val="21"/>
                <w:szCs w:val="21"/>
                <w:lang w:val="en-US" w:eastAsia="zh-CN" w:bidi="ar"/>
              </w:rPr>
              <w:t>3、★为核心指标，需要评价组重点关注深入分析。未涉及个性指标的项目，其分值权重按比例调整到其他效果指标。</w:t>
            </w:r>
          </w:p>
        </w:tc>
        <w:tc>
          <w:tcPr>
            <w:tcW w:w="114"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bCs/>
                <w:i w:val="0"/>
                <w:iCs w:val="0"/>
                <w:color w:val="000000"/>
                <w:sz w:val="21"/>
                <w:szCs w:val="21"/>
                <w:u w:val="none"/>
              </w:rPr>
            </w:pPr>
          </w:p>
        </w:tc>
        <w:tc>
          <w:tcPr>
            <w:tcW w:w="98"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0" w:hRule="atLeast"/>
        </w:trPr>
        <w:tc>
          <w:tcPr>
            <w:tcW w:w="4787" w:type="pct"/>
            <w:gridSpan w:val="23"/>
            <w:vMerge w:val="continue"/>
            <w:tcBorders>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bCs/>
                <w:i w:val="0"/>
                <w:iCs w:val="0"/>
                <w:color w:val="000000"/>
                <w:sz w:val="21"/>
                <w:szCs w:val="21"/>
                <w:u w:val="none"/>
              </w:rPr>
            </w:pPr>
          </w:p>
        </w:tc>
        <w:tc>
          <w:tcPr>
            <w:tcW w:w="114"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bCs/>
                <w:i w:val="0"/>
                <w:iCs w:val="0"/>
                <w:color w:val="000000"/>
                <w:sz w:val="21"/>
                <w:szCs w:val="21"/>
                <w:u w:val="none"/>
              </w:rPr>
            </w:pPr>
          </w:p>
        </w:tc>
        <w:tc>
          <w:tcPr>
            <w:tcW w:w="98"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bCs/>
                <w:i w:val="0"/>
                <w:iCs w:val="0"/>
                <w:color w:val="000000"/>
                <w:sz w:val="21"/>
                <w:szCs w:val="21"/>
                <w:u w:val="none"/>
              </w:rPr>
            </w:pPr>
          </w:p>
        </w:tc>
      </w:tr>
    </w:tbl>
    <w:p>
      <w:pPr>
        <w:pageBreakBefore w:val="0"/>
        <w:widowControl w:val="0"/>
        <w:kinsoku/>
        <w:wordWrap/>
        <w:overflowPunct/>
        <w:topLinePunct w:val="0"/>
        <w:autoSpaceDE/>
        <w:autoSpaceDN/>
        <w:bidi w:val="0"/>
        <w:spacing w:line="576" w:lineRule="exact"/>
        <w:ind w:left="0" w:leftChars="0" w:right="0" w:rightChars="0" w:firstLine="0" w:firstLineChars="0"/>
        <w:jc w:val="both"/>
        <w:rPr>
          <w:rFonts w:hint="eastAsia" w:ascii="仿宋_GB2312" w:hAnsi="仿宋_GB2312" w:eastAsia="仿宋_GB2312" w:cs="仿宋_GB2312"/>
          <w:b w:val="0"/>
          <w:bCs w:val="0"/>
          <w:color w:val="000000"/>
          <w:kern w:val="0"/>
          <w:sz w:val="32"/>
          <w:szCs w:val="32"/>
          <w:lang w:val="en-US" w:eastAsia="zh-CN"/>
        </w:rPr>
        <w:sectPr>
          <w:pgSz w:w="23811" w:h="16838" w:orient="landscape"/>
          <w:pgMar w:top="1134" w:right="1134" w:bottom="1134" w:left="1134" w:header="851" w:footer="992" w:gutter="0"/>
          <w:pgNumType w:fmt="decimal"/>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广元市市级国土空间规划“一张图”建设项目项目支出绩效自评报告</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一、项目概况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w:t>
      </w:r>
      <w:r>
        <w:rPr>
          <w:rFonts w:hint="eastAsia" w:ascii="仿宋_GB2312" w:hAnsi="仿宋_GB2312" w:cs="仿宋_GB2312"/>
          <w:b w:val="0"/>
          <w:bCs w:val="0"/>
          <w:sz w:val="32"/>
          <w:szCs w:val="32"/>
          <w:lang w:val="en-US" w:eastAsia="zh-CN"/>
        </w:rPr>
        <w:t>项目主管部门基本职责。为贯彻落实自然资源部办公厅《关于开展国土空间规划“一张图”建设和现状评估工作的通知》（自然资资办发[2019]38号）文件要求，实现国土空间规划“一张底板、一个系统、一套数据”目标，建设广元市市级国土空间规划“一张图”建设项目，服务于国土空间规划编制、规划审批、实施和监督全过程，形成覆盖全市、动态更新、权威统一的国土空间规划“一张图”。为推进项目开展，我局空间规划管理科负责组织实施该项目，经过发改委批准立项，项目编号：5108012021000060，并于2021年3月通过公开招投标，中标单位：上海数慧系统技术有限公司,中标金额408万元。</w:t>
      </w:r>
    </w:p>
    <w:p>
      <w:pPr>
        <w:pStyle w:val="13"/>
        <w:pageBreakBefore w:val="0"/>
        <w:widowControl w:val="0"/>
        <w:numPr>
          <w:ilvl w:val="0"/>
          <w:numId w:val="0"/>
        </w:numPr>
        <w:kinsoku/>
        <w:wordWrap/>
        <w:overflowPunct/>
        <w:topLinePunct w:val="0"/>
        <w:autoSpaceDE/>
        <w:autoSpaceDN/>
        <w:bidi w:val="0"/>
        <w:spacing w:line="576" w:lineRule="exact"/>
        <w:ind w:left="0" w:leftChars="0"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2.项目立项、资金申报的依据。</w:t>
      </w:r>
    </w:p>
    <w:p>
      <w:pPr>
        <w:pStyle w:val="13"/>
        <w:pageBreakBefore w:val="0"/>
        <w:widowControl w:val="0"/>
        <w:numPr>
          <w:ilvl w:val="0"/>
          <w:numId w:val="0"/>
        </w:numPr>
        <w:kinsoku/>
        <w:wordWrap/>
        <w:overflowPunct/>
        <w:topLinePunct w:val="0"/>
        <w:autoSpaceDE/>
        <w:autoSpaceDN/>
        <w:bidi w:val="0"/>
        <w:spacing w:line="576" w:lineRule="exact"/>
        <w:ind w:left="0" w:leftChars="0" w:right="0" w:righ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项目立项的依据：</w:t>
      </w:r>
    </w:p>
    <w:p>
      <w:pPr>
        <w:pStyle w:val="13"/>
        <w:pageBreakBefore w:val="0"/>
        <w:widowControl w:val="0"/>
        <w:numPr>
          <w:ilvl w:val="0"/>
          <w:numId w:val="0"/>
        </w:numPr>
        <w:kinsoku/>
        <w:wordWrap/>
        <w:overflowPunct/>
        <w:topLinePunct w:val="0"/>
        <w:autoSpaceDE/>
        <w:autoSpaceDN/>
        <w:bidi w:val="0"/>
        <w:spacing w:line="576" w:lineRule="exact"/>
        <w:ind w:left="0" w:leftChars="0" w:right="0" w:rightChars="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自然资源部关于以“多规合一”为基础推进规划用地 “多审合一、多证合一”改革的通知（自然资规[2019]2号）</w:t>
      </w:r>
      <w:r>
        <w:rPr>
          <w:rFonts w:hint="eastAsia" w:ascii="仿宋_GB2312" w:hAnsi="仿宋_GB2312" w:eastAsia="仿宋_GB2312" w:cs="仿宋_GB2312"/>
          <w:sz w:val="32"/>
          <w:szCs w:val="32"/>
          <w:lang w:eastAsia="zh-CN"/>
        </w:rPr>
        <w:t>。</w:t>
      </w:r>
    </w:p>
    <w:p>
      <w:pPr>
        <w:pStyle w:val="13"/>
        <w:pageBreakBefore w:val="0"/>
        <w:widowControl w:val="0"/>
        <w:kinsoku/>
        <w:wordWrap/>
        <w:overflowPunct/>
        <w:topLinePunct w:val="0"/>
        <w:autoSpaceDE/>
        <w:autoSpaceDN/>
        <w:bidi w:val="0"/>
        <w:spacing w:line="576" w:lineRule="exact"/>
        <w:ind w:left="0" w:leftChars="0" w:right="0" w:righ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《中共中央国务院关于建立国土空间规划体系并监督实施的若干意见》（中发〔2019〕18号，2019年1月23日）；</w:t>
      </w:r>
    </w:p>
    <w:p>
      <w:pPr>
        <w:pStyle w:val="13"/>
        <w:pageBreakBefore w:val="0"/>
        <w:widowControl w:val="0"/>
        <w:kinsoku/>
        <w:wordWrap/>
        <w:overflowPunct/>
        <w:topLinePunct w:val="0"/>
        <w:autoSpaceDE/>
        <w:autoSpaceDN/>
        <w:bidi w:val="0"/>
        <w:spacing w:line="576" w:lineRule="exact"/>
        <w:ind w:left="0" w:leftChars="0" w:right="0" w:rightChars="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《关于全面开展工程建设项目审批制度改革的实施意见》（国办发〔2019〕11号）</w:t>
      </w:r>
      <w:r>
        <w:rPr>
          <w:rFonts w:hint="eastAsia" w:ascii="仿宋_GB2312" w:hAnsi="仿宋_GB2312" w:eastAsia="仿宋_GB2312" w:cs="仿宋_GB2312"/>
          <w:sz w:val="32"/>
          <w:szCs w:val="32"/>
          <w:lang w:eastAsia="zh-CN"/>
        </w:rPr>
        <w:t>。</w:t>
      </w:r>
    </w:p>
    <w:p>
      <w:pPr>
        <w:pStyle w:val="13"/>
        <w:pageBreakBefore w:val="0"/>
        <w:widowControl w:val="0"/>
        <w:kinsoku/>
        <w:wordWrap/>
        <w:overflowPunct/>
        <w:topLinePunct w:val="0"/>
        <w:autoSpaceDE/>
        <w:autoSpaceDN/>
        <w:bidi w:val="0"/>
        <w:spacing w:line="576" w:lineRule="exact"/>
        <w:ind w:left="0" w:leftChars="0" w:right="0" w:rightChars="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《关于全面开展国土空间规划工作的通知》 （自然资发〔2019〕87号，2019年5月28日）</w:t>
      </w:r>
      <w:r>
        <w:rPr>
          <w:rFonts w:hint="eastAsia" w:ascii="仿宋_GB2312" w:hAnsi="仿宋_GB2312" w:eastAsia="仿宋_GB2312" w:cs="仿宋_GB2312"/>
          <w:sz w:val="32"/>
          <w:szCs w:val="32"/>
          <w:lang w:eastAsia="zh-CN"/>
        </w:rPr>
        <w:t>。</w:t>
      </w:r>
    </w:p>
    <w:p>
      <w:pPr>
        <w:pStyle w:val="13"/>
        <w:pageBreakBefore w:val="0"/>
        <w:widowControl w:val="0"/>
        <w:kinsoku/>
        <w:wordWrap/>
        <w:overflowPunct/>
        <w:topLinePunct w:val="0"/>
        <w:autoSpaceDE/>
        <w:autoSpaceDN/>
        <w:bidi w:val="0"/>
        <w:spacing w:line="576" w:lineRule="exact"/>
        <w:ind w:left="0" w:leftChars="0" w:right="0" w:rightChars="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《自然资源部办公厅印发&lt;关于开展国土空间规划“一张图”建设和现状评估工作&gt;的通知》（自然资办发〔2019〕38号，2019年7月18日）</w:t>
      </w:r>
      <w:r>
        <w:rPr>
          <w:rFonts w:hint="eastAsia" w:ascii="仿宋_GB2312" w:hAnsi="仿宋_GB2312" w:eastAsia="仿宋_GB2312" w:cs="仿宋_GB2312"/>
          <w:sz w:val="32"/>
          <w:szCs w:val="32"/>
          <w:lang w:eastAsia="zh-CN"/>
        </w:rPr>
        <w:t>。</w:t>
      </w:r>
    </w:p>
    <w:p>
      <w:pPr>
        <w:pStyle w:val="13"/>
        <w:pageBreakBefore w:val="0"/>
        <w:widowControl w:val="0"/>
        <w:kinsoku/>
        <w:wordWrap/>
        <w:overflowPunct/>
        <w:topLinePunct w:val="0"/>
        <w:autoSpaceDE/>
        <w:autoSpaceDN/>
        <w:bidi w:val="0"/>
        <w:spacing w:line="576" w:lineRule="exact"/>
        <w:ind w:left="0" w:leftChars="0" w:right="0" w:rightChars="0"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《关于全面开展国土空间规划“一张图”建设和现状评估工作的通知》（川自然资办发〔2019〕25号）</w:t>
      </w:r>
      <w:r>
        <w:rPr>
          <w:rFonts w:hint="eastAsia" w:ascii="仿宋_GB2312" w:hAnsi="仿宋_GB2312" w:eastAsia="仿宋_GB2312" w:cs="仿宋_GB2312"/>
          <w:sz w:val="32"/>
          <w:szCs w:val="32"/>
          <w:lang w:eastAsia="zh-CN"/>
        </w:rPr>
        <w:t>。</w:t>
      </w:r>
    </w:p>
    <w:p>
      <w:pPr>
        <w:pStyle w:val="6"/>
        <w:pageBreakBefore w:val="0"/>
        <w:widowControl w:val="0"/>
        <w:numPr>
          <w:ilvl w:val="0"/>
          <w:numId w:val="0"/>
        </w:numPr>
        <w:kinsoku/>
        <w:wordWrap/>
        <w:overflowPunct/>
        <w:topLinePunct w:val="0"/>
        <w:autoSpaceDE/>
        <w:autoSpaceDN/>
        <w:bidi w:val="0"/>
        <w:spacing w:line="576" w:lineRule="exact"/>
        <w:ind w:left="0" w:leftChars="0" w:right="0" w:rightChars="0" w:firstLine="640" w:firstLineChars="200"/>
        <w:jc w:val="both"/>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（7）《关于进一步做好国土空间规划“一张图”实施监督信息系统建设工作的通知》（川自然资函〔2019〕679号）。</w:t>
      </w:r>
    </w:p>
    <w:p>
      <w:pPr>
        <w:pStyle w:val="6"/>
        <w:pageBreakBefore w:val="0"/>
        <w:widowControl w:val="0"/>
        <w:numPr>
          <w:ilvl w:val="0"/>
          <w:numId w:val="0"/>
        </w:numPr>
        <w:kinsoku/>
        <w:wordWrap/>
        <w:overflowPunct/>
        <w:topLinePunct w:val="0"/>
        <w:autoSpaceDE/>
        <w:autoSpaceDN/>
        <w:bidi w:val="0"/>
        <w:spacing w:line="576" w:lineRule="exact"/>
        <w:ind w:left="0" w:leftChars="0" w:right="0" w:rightChars="0" w:firstLine="640" w:firstLineChars="200"/>
        <w:jc w:val="both"/>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资金申报的依据：</w:t>
      </w:r>
    </w:p>
    <w:p>
      <w:pPr>
        <w:pStyle w:val="6"/>
        <w:pageBreakBefore w:val="0"/>
        <w:widowControl w:val="0"/>
        <w:numPr>
          <w:ilvl w:val="0"/>
          <w:numId w:val="0"/>
        </w:numPr>
        <w:kinsoku/>
        <w:wordWrap/>
        <w:overflowPunct/>
        <w:topLinePunct w:val="0"/>
        <w:autoSpaceDE/>
        <w:autoSpaceDN/>
        <w:bidi w:val="0"/>
        <w:spacing w:line="576" w:lineRule="exact"/>
        <w:ind w:left="0" w:leftChars="0" w:right="0" w:rightChars="0" w:firstLine="640" w:firstLineChars="200"/>
        <w:jc w:val="both"/>
        <w:rPr>
          <w:rFonts w:hint="eastAsia" w:ascii="仿宋_GB2312" w:hAnsi="仿宋_GB2312" w:cs="仿宋_GB2312"/>
          <w:kern w:val="0"/>
          <w:sz w:val="32"/>
          <w:szCs w:val="32"/>
          <w:lang w:val="en-US" w:eastAsia="zh-CN" w:bidi="ar-SA"/>
        </w:rPr>
      </w:pPr>
      <w:r>
        <w:rPr>
          <w:rFonts w:hint="eastAsia" w:ascii="仿宋_GB2312" w:hAnsi="仿宋_GB2312" w:cs="仿宋_GB2312"/>
          <w:kern w:val="0"/>
          <w:sz w:val="32"/>
          <w:szCs w:val="32"/>
          <w:lang w:val="en-US" w:eastAsia="zh-CN" w:bidi="ar-SA"/>
        </w:rPr>
        <w:t>该项目已于2021年3月通过公开招投标，我局与上海数慧系统技术有限公司签订了《广元市市级国土空间规划“一张图”建设项目采购合同》，按照合同约定，该项目分四期支付，即合同签订后10日内支付合同金额的10%，金额81.6万元，我局2021年已支付；2021年10月，作业单位上海数慧公司已完成广元市市级国土空间规划“一张图”建设项目系统全部功能开发，并与2021年7月开始上线试运行，同时对国土空间规划科、行政审批科、信息中心等相关科室部门提出意见建议进行及时完善，该系统已达到运行条件，按照采购合同约定，我局申报该项目第二批付款金额122.4万元。</w:t>
      </w:r>
    </w:p>
    <w:p>
      <w:pPr>
        <w:pStyle w:val="6"/>
        <w:pageBreakBefore w:val="0"/>
        <w:widowControl w:val="0"/>
        <w:numPr>
          <w:ilvl w:val="0"/>
          <w:numId w:val="0"/>
        </w:numPr>
        <w:kinsoku/>
        <w:wordWrap/>
        <w:overflowPunct/>
        <w:topLinePunct w:val="0"/>
        <w:autoSpaceDE/>
        <w:autoSpaceDN/>
        <w:bidi w:val="0"/>
        <w:spacing w:line="576" w:lineRule="exact"/>
        <w:ind w:left="0" w:leftChars="0" w:right="0" w:rightChars="0" w:firstLine="640" w:firstLineChars="200"/>
        <w:jc w:val="both"/>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3、资金或项目管理办法制定情况。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sz w:val="32"/>
          <w:szCs w:val="32"/>
          <w:lang w:eastAsia="zh-CN"/>
        </w:rPr>
        <w:t>广元</w:t>
      </w:r>
      <w:r>
        <w:rPr>
          <w:rFonts w:hint="eastAsia" w:ascii="仿宋_GB2312" w:hAnsi="仿宋_GB2312" w:eastAsia="仿宋_GB2312" w:cs="仿宋_GB2312"/>
          <w:sz w:val="32"/>
          <w:szCs w:val="32"/>
          <w:lang w:val="en-US" w:eastAsia="zh-CN"/>
        </w:rPr>
        <w:t>市自然资源局</w:t>
      </w:r>
      <w:r>
        <w:rPr>
          <w:rFonts w:hint="eastAsia" w:ascii="仿宋_GB2312" w:hAnsi="仿宋_GB2312" w:eastAsia="仿宋_GB2312" w:cs="仿宋_GB2312"/>
          <w:sz w:val="32"/>
          <w:szCs w:val="32"/>
        </w:rPr>
        <w:t>严格按照财务管理相关制度规定，建立健全财务管理制度及内控制度，加强对</w:t>
      </w:r>
      <w:r>
        <w:rPr>
          <w:rFonts w:hint="eastAsia" w:ascii="仿宋_GB2312" w:hAnsi="仿宋_GB2312" w:eastAsia="仿宋_GB2312" w:cs="仿宋_GB2312"/>
          <w:sz w:val="32"/>
          <w:szCs w:val="32"/>
          <w:lang w:val="en-US" w:eastAsia="zh-CN"/>
        </w:rPr>
        <w:t>该项目</w:t>
      </w:r>
      <w:r>
        <w:rPr>
          <w:rFonts w:hint="eastAsia" w:ascii="仿宋_GB2312" w:hAnsi="仿宋_GB2312" w:eastAsia="仿宋_GB2312" w:cs="仿宋_GB2312"/>
          <w:sz w:val="32"/>
          <w:szCs w:val="32"/>
        </w:rPr>
        <w:t>工作经费的使用管理，按照专项资金管理办法做好项目实施和监管，及时、规范进行账务处理及会计核算。切实做到专款专用，最大可能发挥专项资金作用。</w:t>
      </w:r>
    </w:p>
    <w:p>
      <w:pPr>
        <w:pStyle w:val="6"/>
        <w:keepNext w:val="0"/>
        <w:keepLines w:val="0"/>
        <w:pageBreakBefore w:val="0"/>
        <w:widowControl w:val="0"/>
        <w:numPr>
          <w:ilvl w:val="0"/>
          <w:numId w:val="0"/>
        </w:numPr>
        <w:kinsoku/>
        <w:wordWrap/>
        <w:overflowPunct/>
        <w:topLinePunct w:val="0"/>
        <w:autoSpaceDE/>
        <w:autoSpaceDN/>
        <w:bidi w:val="0"/>
        <w:spacing w:line="576"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4.资金分配的原则与考虑因数</w:t>
      </w:r>
      <w:r>
        <w:rPr>
          <w:rFonts w:hint="eastAsia" w:ascii="仿宋_GB2312" w:hAnsi="仿宋_GB2312" w:cs="仿宋_GB2312"/>
          <w:b w:val="0"/>
          <w:bCs w:val="0"/>
          <w:sz w:val="32"/>
          <w:szCs w:val="32"/>
          <w:lang w:val="en-US" w:eastAsia="zh-CN"/>
        </w:rPr>
        <w:t>。</w:t>
      </w:r>
    </w:p>
    <w:p>
      <w:pPr>
        <w:pStyle w:val="6"/>
        <w:keepNext w:val="0"/>
        <w:keepLines w:val="0"/>
        <w:pageBreakBefore w:val="0"/>
        <w:widowControl w:val="0"/>
        <w:numPr>
          <w:ilvl w:val="0"/>
          <w:numId w:val="0"/>
        </w:numPr>
        <w:kinsoku/>
        <w:wordWrap/>
        <w:overflowPunct/>
        <w:topLinePunct w:val="0"/>
        <w:autoSpaceDE/>
        <w:autoSpaceDN/>
        <w:bidi w:val="0"/>
        <w:spacing w:line="576"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该项目属于广元市自然资源局实施的项目，财政根据相关文件和程序拨付，我局按照</w:t>
      </w:r>
      <w:r>
        <w:rPr>
          <w:rFonts w:hint="eastAsia" w:ascii="仿宋_GB2312" w:hAnsi="仿宋_GB2312" w:cs="仿宋_GB2312"/>
          <w:color w:val="000000"/>
          <w:sz w:val="32"/>
          <w:szCs w:val="32"/>
          <w:lang w:val="en-US" w:eastAsia="zh-CN"/>
        </w:rPr>
        <w:t>政府采购及</w:t>
      </w:r>
      <w:r>
        <w:rPr>
          <w:rFonts w:hint="eastAsia" w:ascii="仿宋_GB2312" w:hAnsi="仿宋_GB2312" w:eastAsia="仿宋_GB2312" w:cs="仿宋_GB2312"/>
          <w:color w:val="000000"/>
          <w:sz w:val="32"/>
          <w:szCs w:val="32"/>
          <w:lang w:val="en-US" w:eastAsia="zh-CN"/>
        </w:rPr>
        <w:t>合同约定直接支付作业单位</w:t>
      </w:r>
      <w:r>
        <w:rPr>
          <w:rFonts w:hint="eastAsia" w:ascii="仿宋_GB2312" w:hAnsi="仿宋_GB2312" w:eastAsia="仿宋_GB2312" w:cs="仿宋_GB2312"/>
          <w:color w:val="000000"/>
          <w:sz w:val="32"/>
          <w:szCs w:val="32"/>
          <w:lang w:eastAsia="zh-CN"/>
        </w:rPr>
        <w:t>。</w:t>
      </w:r>
    </w:p>
    <w:p>
      <w:pPr>
        <w:pStyle w:val="6"/>
        <w:pageBreakBefore w:val="0"/>
        <w:widowControl w:val="0"/>
        <w:numPr>
          <w:ilvl w:val="0"/>
          <w:numId w:val="0"/>
        </w:numPr>
        <w:kinsoku/>
        <w:wordWrap/>
        <w:overflowPunct/>
        <w:topLinePunct w:val="0"/>
        <w:autoSpaceDE/>
        <w:autoSpaceDN/>
        <w:bidi w:val="0"/>
        <w:spacing w:line="576" w:lineRule="exact"/>
        <w:ind w:left="0" w:leftChars="0" w:right="0" w:rightChars="0" w:firstLine="640" w:firstLineChars="200"/>
        <w:jc w:val="both"/>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w:t>
      </w:r>
      <w:r>
        <w:rPr>
          <w:rFonts w:hint="eastAsia" w:ascii="楷体_GB2312" w:hAnsi="楷体_GB2312" w:eastAsia="楷体_GB2312" w:cs="楷体_GB2312"/>
          <w:b w:val="0"/>
          <w:bCs w:val="0"/>
          <w:sz w:val="32"/>
          <w:szCs w:val="32"/>
          <w:lang w:val="en-US" w:eastAsia="zh-CN"/>
        </w:rPr>
        <w:t>二</w:t>
      </w:r>
      <w:r>
        <w:rPr>
          <w:rFonts w:hint="eastAsia" w:ascii="楷体_GB2312" w:hAnsi="楷体_GB2312" w:eastAsia="楷体_GB2312" w:cs="楷体_GB2312"/>
          <w:b w:val="0"/>
          <w:bCs w:val="0"/>
          <w:sz w:val="32"/>
          <w:szCs w:val="32"/>
          <w:lang w:val="zh-CN" w:eastAsia="zh-CN"/>
        </w:rPr>
        <w:t>）项目绩效目标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1.项目主要内容：</w:t>
      </w:r>
      <w:r>
        <w:rPr>
          <w:rFonts w:hint="eastAsia" w:ascii="仿宋_GB2312" w:hAnsi="仿宋_GB2312" w:eastAsia="仿宋_GB2312" w:cs="仿宋_GB2312"/>
          <w:sz w:val="32"/>
          <w:szCs w:val="32"/>
        </w:rPr>
        <w:t>数据标准规范建设、配套数据质检工具建设、国土空间规划数据资源建设、国土空间规划指标模型库建设、国土空间基础信息平台、国土空间规划“一张图”实施监督信息系统、自然资源业务审批系统、系统接口建设以及配套硬件设备采购。</w:t>
      </w:r>
      <w:r>
        <w:rPr>
          <w:rFonts w:hint="eastAsia" w:ascii="仿宋_GB2312" w:hAnsi="仿宋_GB2312" w:eastAsia="仿宋_GB2312" w:cs="仿宋_GB2312"/>
          <w:sz w:val="32"/>
          <w:szCs w:val="32"/>
          <w:lang w:val="en-US" w:eastAsia="zh-CN"/>
        </w:rPr>
        <w:t>具体为：数据标准规范建设；配套数据质检工具建设；国土空间规划指标模型库建设；国土空间规划数据库建设；市县国土空间规划基础信息平台建设；市自然资源国土空间规划一张图实施监督信息系统建设；市自然资源业务审批系统建设；系统接口建设。</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项目预计实现的目标：推进多验合一、多测合一，简化报件审批材料，加快信息化建设实现信息共享。确保实现各类空间管控要素精准落地，形成覆盖全市、动态更新、权威统一的全市国土空间规划“一张图”目标。</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3.项目申报内容与具体实施内容相符、申报目标合理可行。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en-US" w:eastAsia="zh-CN"/>
        </w:rPr>
        <w:t>（三）</w:t>
      </w:r>
      <w:r>
        <w:rPr>
          <w:rFonts w:hint="eastAsia" w:ascii="楷体_GB2312" w:hAnsi="楷体_GB2312" w:eastAsia="楷体_GB2312" w:cs="楷体_GB2312"/>
          <w:b w:val="0"/>
          <w:bCs w:val="0"/>
          <w:sz w:val="32"/>
          <w:szCs w:val="32"/>
          <w:lang w:val="zh-CN" w:eastAsia="zh-CN"/>
        </w:rPr>
        <w:t>项目自评步骤及方法</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按照项目评价要求，明确自评责任人，组织验收小组，通过验收报告资料等形式严格自评，做到自评真实。</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二、项目资金申报及使用情况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w:t>
      </w:r>
      <w:r>
        <w:rPr>
          <w:rFonts w:hint="eastAsia" w:ascii="楷体_GB2312" w:hAnsi="楷体_GB2312" w:eastAsia="楷体_GB2312" w:cs="楷体_GB2312"/>
          <w:b w:val="0"/>
          <w:bCs w:val="0"/>
          <w:sz w:val="32"/>
          <w:szCs w:val="32"/>
          <w:lang w:val="en-US" w:eastAsia="zh-CN"/>
        </w:rPr>
        <w:t>一</w:t>
      </w:r>
      <w:r>
        <w:rPr>
          <w:rFonts w:hint="eastAsia" w:ascii="楷体_GB2312" w:hAnsi="楷体_GB2312" w:eastAsia="楷体_GB2312" w:cs="楷体_GB2312"/>
          <w:b w:val="0"/>
          <w:bCs w:val="0"/>
          <w:sz w:val="32"/>
          <w:szCs w:val="32"/>
          <w:lang w:val="zh-CN" w:eastAsia="zh-CN"/>
        </w:rPr>
        <w:t>）项目资金申报及批复情况</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2022年我局申报财政资金</w:t>
      </w:r>
      <w:r>
        <w:rPr>
          <w:rFonts w:hint="eastAsia" w:ascii="仿宋_GB2312" w:hAnsi="仿宋_GB2312" w:cs="仿宋_GB2312"/>
          <w:b w:val="0"/>
          <w:bCs w:val="0"/>
          <w:sz w:val="32"/>
          <w:szCs w:val="32"/>
          <w:lang w:val="en-US" w:eastAsia="zh-CN"/>
        </w:rPr>
        <w:t>122.4</w:t>
      </w:r>
      <w:r>
        <w:rPr>
          <w:rFonts w:hint="eastAsia" w:ascii="仿宋_GB2312" w:hAnsi="仿宋_GB2312" w:eastAsia="仿宋_GB2312" w:cs="仿宋_GB2312"/>
          <w:b w:val="0"/>
          <w:bCs w:val="0"/>
          <w:sz w:val="32"/>
          <w:szCs w:val="32"/>
          <w:lang w:val="en-US" w:eastAsia="zh-CN"/>
        </w:rPr>
        <w:t>万元，财政按照工程进度2022年批复拨付122.4万元。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w:t>
      </w:r>
      <w:r>
        <w:rPr>
          <w:rFonts w:hint="eastAsia" w:ascii="楷体_GB2312" w:hAnsi="楷体_GB2312" w:eastAsia="楷体_GB2312" w:cs="楷体_GB2312"/>
          <w:b w:val="0"/>
          <w:bCs w:val="0"/>
          <w:sz w:val="32"/>
          <w:szCs w:val="32"/>
          <w:lang w:val="en-US" w:eastAsia="zh-CN"/>
        </w:rPr>
        <w:t>二</w:t>
      </w:r>
      <w:r>
        <w:rPr>
          <w:rFonts w:hint="eastAsia" w:ascii="楷体_GB2312" w:hAnsi="楷体_GB2312" w:eastAsia="楷体_GB2312" w:cs="楷体_GB2312"/>
          <w:b w:val="0"/>
          <w:bCs w:val="0"/>
          <w:sz w:val="32"/>
          <w:szCs w:val="32"/>
          <w:lang w:val="zh-CN" w:eastAsia="zh-CN"/>
        </w:rPr>
        <w:t>）资金计划、到位及使用情况</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val="zh-CN"/>
        </w:rPr>
        <w:t>）资金计划。</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2022年资金计划</w:t>
      </w:r>
      <w:r>
        <w:rPr>
          <w:rFonts w:hint="eastAsia" w:ascii="仿宋_GB2312" w:hAnsi="仿宋_GB2312" w:cs="仿宋_GB2312"/>
          <w:b w:val="0"/>
          <w:bCs w:val="0"/>
          <w:sz w:val="32"/>
          <w:szCs w:val="32"/>
          <w:lang w:val="en-US" w:eastAsia="zh-CN"/>
        </w:rPr>
        <w:t>122.4</w:t>
      </w:r>
      <w:r>
        <w:rPr>
          <w:rFonts w:hint="eastAsia" w:ascii="仿宋_GB2312" w:hAnsi="仿宋_GB2312" w:eastAsia="仿宋_GB2312" w:cs="仿宋_GB2312"/>
          <w:b w:val="0"/>
          <w:bCs w:val="0"/>
          <w:sz w:val="32"/>
          <w:szCs w:val="32"/>
          <w:lang w:val="en-US" w:eastAsia="zh-CN"/>
        </w:rPr>
        <w:t>万元，其中市财政资金</w:t>
      </w:r>
      <w:r>
        <w:rPr>
          <w:rFonts w:hint="eastAsia" w:ascii="仿宋_GB2312" w:hAnsi="仿宋_GB2312" w:cs="仿宋_GB2312"/>
          <w:b w:val="0"/>
          <w:bCs w:val="0"/>
          <w:sz w:val="32"/>
          <w:szCs w:val="32"/>
          <w:lang w:val="en-US" w:eastAsia="zh-CN"/>
        </w:rPr>
        <w:t>122.4</w:t>
      </w:r>
      <w:r>
        <w:rPr>
          <w:rFonts w:hint="eastAsia" w:ascii="仿宋_GB2312" w:hAnsi="仿宋_GB2312" w:eastAsia="仿宋_GB2312" w:cs="仿宋_GB2312"/>
          <w:b w:val="0"/>
          <w:bCs w:val="0"/>
          <w:sz w:val="32"/>
          <w:szCs w:val="32"/>
          <w:lang w:val="en-US" w:eastAsia="zh-CN"/>
        </w:rPr>
        <w:t>万元。</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zh-CN"/>
        </w:rPr>
        <w:t>资金到位。</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截止</w:t>
      </w:r>
      <w:r>
        <w:rPr>
          <w:rFonts w:hint="eastAsia"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年12月31日，</w:t>
      </w:r>
      <w:r>
        <w:rPr>
          <w:rFonts w:hint="eastAsia" w:ascii="仿宋_GB2312" w:hAnsi="仿宋_GB2312" w:eastAsia="仿宋_GB2312" w:cs="仿宋_GB2312"/>
          <w:b w:val="0"/>
          <w:bCs w:val="0"/>
          <w:sz w:val="32"/>
          <w:szCs w:val="32"/>
          <w:lang w:val="en-US" w:eastAsia="zh-CN"/>
        </w:rPr>
        <w:t>该</w:t>
      </w:r>
      <w:r>
        <w:rPr>
          <w:rFonts w:hint="eastAsia" w:ascii="仿宋_GB2312" w:hAnsi="仿宋_GB2312" w:eastAsia="仿宋_GB2312" w:cs="仿宋_GB2312"/>
          <w:b w:val="0"/>
          <w:bCs w:val="0"/>
          <w:sz w:val="32"/>
          <w:szCs w:val="32"/>
        </w:rPr>
        <w:t>项目到位资金</w:t>
      </w:r>
      <w:r>
        <w:rPr>
          <w:rFonts w:hint="eastAsia" w:ascii="仿宋_GB2312" w:hAnsi="仿宋_GB2312" w:eastAsia="仿宋_GB2312" w:cs="仿宋_GB2312"/>
          <w:b w:val="0"/>
          <w:bCs w:val="0"/>
          <w:sz w:val="32"/>
          <w:szCs w:val="32"/>
          <w:lang w:val="en-US" w:eastAsia="zh-CN"/>
        </w:rPr>
        <w:t>122.4</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val="en-US" w:eastAsia="zh-CN"/>
        </w:rPr>
        <w:t>其中市财政资金122.4万元。</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zh-CN"/>
        </w:rPr>
        <w:t>资金使用。</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zh-CN"/>
        </w:rPr>
        <w:t>全年支付合计</w:t>
      </w:r>
      <w:r>
        <w:rPr>
          <w:rFonts w:hint="eastAsia" w:ascii="仿宋_GB2312" w:hAnsi="仿宋_GB2312" w:eastAsia="仿宋_GB2312" w:cs="仿宋_GB2312"/>
          <w:b w:val="0"/>
          <w:bCs w:val="0"/>
          <w:sz w:val="32"/>
          <w:szCs w:val="32"/>
          <w:lang w:val="en-US" w:eastAsia="zh-CN"/>
        </w:rPr>
        <w:t>122.4万元</w:t>
      </w:r>
      <w:r>
        <w:rPr>
          <w:rFonts w:hint="eastAsia" w:ascii="仿宋_GB2312" w:hAnsi="仿宋_GB2312" w:eastAsia="仿宋_GB2312" w:cs="仿宋_GB2312"/>
          <w:b w:val="0"/>
          <w:bCs w:val="0"/>
          <w:sz w:val="32"/>
          <w:szCs w:val="32"/>
        </w:rPr>
        <w:t>万元，</w:t>
      </w:r>
      <w:r>
        <w:rPr>
          <w:rFonts w:hint="eastAsia" w:ascii="仿宋_GB2312" w:hAnsi="仿宋_GB2312" w:cs="仿宋_GB2312"/>
          <w:b w:val="0"/>
          <w:bCs w:val="0"/>
          <w:sz w:val="32"/>
          <w:szCs w:val="32"/>
          <w:lang w:val="en-US" w:eastAsia="zh-CN"/>
        </w:rPr>
        <w:t>支付率</w:t>
      </w:r>
      <w:r>
        <w:rPr>
          <w:rFonts w:hint="eastAsia" w:ascii="仿宋_GB2312" w:hAnsi="仿宋_GB2312" w:eastAsia="仿宋_GB2312" w:cs="仿宋_GB2312"/>
          <w:b w:val="0"/>
          <w:bCs w:val="0"/>
          <w:sz w:val="32"/>
          <w:szCs w:val="32"/>
          <w:lang w:val="en-US" w:eastAsia="zh-CN"/>
        </w:rPr>
        <w:t>100%，项目资金专款专用。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（三）项目财务管理情况</w:t>
      </w:r>
    </w:p>
    <w:p>
      <w:pPr>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我局</w:t>
      </w:r>
      <w:r>
        <w:rPr>
          <w:rFonts w:hint="eastAsia" w:ascii="仿宋_GB2312" w:hAnsi="仿宋_GB2312" w:eastAsia="仿宋_GB2312" w:cs="仿宋_GB2312"/>
          <w:sz w:val="32"/>
          <w:szCs w:val="32"/>
        </w:rPr>
        <w:t>严格按照财务管理相关制度规定，建立健全财务管理制度及内控制度，加强对</w:t>
      </w:r>
      <w:r>
        <w:rPr>
          <w:rFonts w:hint="eastAsia" w:ascii="仿宋_GB2312" w:hAnsi="仿宋_GB2312" w:eastAsia="仿宋_GB2312" w:cs="仿宋_GB2312"/>
          <w:sz w:val="32"/>
          <w:szCs w:val="32"/>
          <w:lang w:val="en-US" w:eastAsia="zh-CN"/>
        </w:rPr>
        <w:t>国土空间一张图建设项目</w:t>
      </w:r>
      <w:r>
        <w:rPr>
          <w:rFonts w:hint="eastAsia" w:ascii="仿宋_GB2312" w:hAnsi="仿宋_GB2312" w:eastAsia="仿宋_GB2312" w:cs="仿宋_GB2312"/>
          <w:sz w:val="32"/>
          <w:szCs w:val="32"/>
        </w:rPr>
        <w:t>的使用管理，按照专项资金管理办法做好项目实施和监管，及时、规范进行账务处理及会计核算。切实做到专款专用，最大可能发挥专项资金作用。</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zh-CN" w:eastAsia="zh-CN"/>
        </w:rPr>
        <w:t>三、项目实施及管理情况</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我局</w:t>
      </w:r>
      <w:r>
        <w:rPr>
          <w:rFonts w:hint="eastAsia" w:ascii="仿宋_GB2312" w:hAnsi="仿宋_GB2312" w:eastAsia="仿宋_GB2312" w:cs="仿宋_GB2312"/>
          <w:sz w:val="32"/>
          <w:szCs w:val="32"/>
        </w:rPr>
        <w:t>严格按照项目管理有关规定管理专项经费，为保障项目资金安全，确保资金专款专用， 从资金申请、资金使用、会计核算三个环节加强资金管理，在项目资金申请环节，严格按照国库集中支付流程申请财政资金；在资金使用环节，严格遵守相关法律法规规定，严格按照单位财务管理审批流程办理款项支付；在会计核算环节，对本项目资金实行单独核算，确保专款专用。</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黑体" w:hAnsi="黑体" w:eastAsia="黑体" w:cs="黑体"/>
          <w:b w:val="0"/>
          <w:bCs w:val="0"/>
          <w:sz w:val="32"/>
          <w:szCs w:val="32"/>
          <w:lang w:val="zh-CN" w:eastAsia="zh-CN"/>
        </w:rPr>
      </w:pPr>
      <w:r>
        <w:rPr>
          <w:rFonts w:hint="eastAsia" w:ascii="黑体" w:hAnsi="黑体" w:eastAsia="黑体" w:cs="黑体"/>
          <w:b w:val="0"/>
          <w:bCs w:val="0"/>
          <w:sz w:val="32"/>
          <w:szCs w:val="32"/>
          <w:lang w:val="en-US" w:eastAsia="zh-CN"/>
        </w:rPr>
        <w:t>四、项目绩效情况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w:t>
      </w:r>
      <w:r>
        <w:rPr>
          <w:rFonts w:hint="eastAsia" w:ascii="楷体_GB2312" w:hAnsi="楷体_GB2312" w:eastAsia="楷体_GB2312" w:cs="楷体_GB2312"/>
          <w:b w:val="0"/>
          <w:bCs w:val="0"/>
          <w:sz w:val="32"/>
          <w:szCs w:val="32"/>
          <w:lang w:val="en-US" w:eastAsia="zh-CN"/>
        </w:rPr>
        <w:t>一</w:t>
      </w:r>
      <w:r>
        <w:rPr>
          <w:rFonts w:hint="eastAsia" w:ascii="楷体_GB2312" w:hAnsi="楷体_GB2312" w:eastAsia="楷体_GB2312" w:cs="楷体_GB2312"/>
          <w:b w:val="0"/>
          <w:bCs w:val="0"/>
          <w:sz w:val="32"/>
          <w:szCs w:val="32"/>
          <w:lang w:val="zh-CN" w:eastAsia="zh-CN"/>
        </w:rPr>
        <w:t>）项目完成情况</w:t>
      </w:r>
    </w:p>
    <w:p>
      <w:pPr>
        <w:keepNext w:val="0"/>
        <w:keepLines w:val="0"/>
        <w:pageBreakBefore w:val="0"/>
        <w:widowControl w:val="0"/>
        <w:numPr>
          <w:ilvl w:val="0"/>
          <w:numId w:val="0"/>
        </w:numPr>
        <w:kinsoku/>
        <w:wordWrap/>
        <w:overflowPunct/>
        <w:topLinePunct w:val="0"/>
        <w:autoSpaceDE/>
        <w:autoSpaceDN/>
        <w:bidi w:val="0"/>
        <w:spacing w:line="576" w:lineRule="exact"/>
        <w:ind w:left="0" w:leftChars="0" w:right="0" w:rightChars="0" w:firstLine="640" w:firstLineChars="200"/>
        <w:jc w:val="both"/>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1.持续完善“一张图”实施监督信息系统建设。目前系统功能基本建成，共</w:t>
      </w:r>
      <w:r>
        <w:rPr>
          <w:rFonts w:hint="eastAsia" w:ascii="仿宋_GB2312" w:hAnsi="仿宋_GB2312" w:eastAsia="仿宋_GB2312" w:cs="仿宋_GB2312"/>
          <w:b w:val="0"/>
          <w:bCs w:val="0"/>
          <w:kern w:val="2"/>
          <w:sz w:val="32"/>
          <w:szCs w:val="32"/>
        </w:rPr>
        <w:t>汇集各类</w:t>
      </w:r>
      <w:r>
        <w:rPr>
          <w:rFonts w:hint="eastAsia" w:ascii="仿宋_GB2312" w:hAnsi="仿宋_GB2312" w:eastAsia="仿宋_GB2312" w:cs="仿宋_GB2312"/>
          <w:b w:val="0"/>
          <w:bCs w:val="0"/>
          <w:kern w:val="2"/>
          <w:sz w:val="32"/>
          <w:szCs w:val="32"/>
          <w:lang w:val="en-US" w:eastAsia="zh-CN"/>
        </w:rPr>
        <w:t>现状数据</w:t>
      </w:r>
      <w:r>
        <w:rPr>
          <w:rFonts w:hint="eastAsia" w:ascii="仿宋_GB2312" w:hAnsi="仿宋_GB2312" w:eastAsia="仿宋_GB2312" w:cs="仿宋_GB2312"/>
          <w:b w:val="0"/>
          <w:bCs w:val="0"/>
          <w:kern w:val="2"/>
          <w:sz w:val="32"/>
          <w:szCs w:val="32"/>
        </w:rPr>
        <w:t>、</w:t>
      </w:r>
      <w:r>
        <w:rPr>
          <w:rFonts w:hint="eastAsia" w:ascii="仿宋_GB2312" w:hAnsi="仿宋_GB2312" w:eastAsia="仿宋_GB2312" w:cs="仿宋_GB2312"/>
          <w:b w:val="0"/>
          <w:bCs w:val="0"/>
          <w:kern w:val="2"/>
          <w:sz w:val="32"/>
          <w:szCs w:val="32"/>
          <w:lang w:val="en-US" w:eastAsia="zh-CN"/>
        </w:rPr>
        <w:t>管理数据，社会经济数据，规划管控数据等共包含4大类、25中类、72小类，并</w:t>
      </w:r>
      <w:r>
        <w:rPr>
          <w:rFonts w:hint="eastAsia" w:ascii="仿宋_GB2312" w:hAnsi="仿宋_GB2312" w:eastAsia="仿宋_GB2312" w:cs="仿宋_GB2312"/>
          <w:b w:val="0"/>
          <w:bCs/>
          <w:kern w:val="2"/>
          <w:sz w:val="32"/>
          <w:szCs w:val="32"/>
          <w:lang w:val="en-US" w:eastAsia="zh-CN" w:bidi="ar-SA"/>
        </w:rPr>
        <w:t>将最新“三区三线”划定成果入库。</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2.按照“统一底图、统一标准，统一规划、同一平台”的指示要求，高标准、高质量的完成了省厅下发的建设任务，在全省的初步评定中获得90分并取得等级为“优”的优秀成绩，同时在省自然资源厅微信公众号上以“数字、智能、智慧！广元绘就国土空间规划‘一张图’”为题发布文章，作为先进典型在全省推广交流分享经验做法，同时在省厅初步评定会上将广元市市本级和县级系统的数据交汇模式作为全省试点运行。相关建设信息先后两次被我市《广元要情》采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w:t>
      </w:r>
      <w:r>
        <w:rPr>
          <w:rFonts w:hint="eastAsia" w:ascii="楷体_GB2312" w:hAnsi="楷体_GB2312" w:eastAsia="楷体_GB2312" w:cs="楷体_GB2312"/>
          <w:b w:val="0"/>
          <w:bCs w:val="0"/>
          <w:sz w:val="32"/>
          <w:szCs w:val="32"/>
          <w:lang w:val="en-US" w:eastAsia="zh-CN"/>
        </w:rPr>
        <w:t>二</w:t>
      </w:r>
      <w:r>
        <w:rPr>
          <w:rFonts w:hint="eastAsia" w:ascii="楷体_GB2312" w:hAnsi="楷体_GB2312" w:eastAsia="楷体_GB2312" w:cs="楷体_GB2312"/>
          <w:b w:val="0"/>
          <w:bCs w:val="0"/>
          <w:sz w:val="32"/>
          <w:szCs w:val="32"/>
          <w:lang w:val="zh-CN" w:eastAsia="zh-CN"/>
        </w:rPr>
        <w:t>）项目效益情况</w:t>
      </w:r>
    </w:p>
    <w:p>
      <w:pPr>
        <w:pStyle w:val="3"/>
        <w:pageBreakBefore w:val="0"/>
        <w:widowControl w:val="0"/>
        <w:numPr>
          <w:ilvl w:val="1"/>
          <w:numId w:val="3"/>
        </w:numPr>
        <w:kinsoku/>
        <w:wordWrap/>
        <w:overflowPunct/>
        <w:topLinePunct w:val="0"/>
        <w:autoSpaceDE/>
        <w:autoSpaceDN/>
        <w:bidi w:val="0"/>
        <w:spacing w:before="0" w:after="0" w:line="576" w:lineRule="exact"/>
        <w:ind w:left="0" w:leftChars="0" w:right="0" w:rightChars="0" w:firstLine="643" w:firstLineChars="200"/>
        <w:jc w:val="both"/>
        <w:rPr>
          <w:rFonts w:hint="eastAsia" w:ascii="仿宋_GB2312" w:hAnsi="仿宋_GB2312" w:eastAsia="仿宋_GB2312" w:cs="仿宋_GB2312"/>
          <w:sz w:val="32"/>
          <w:szCs w:val="32"/>
        </w:rPr>
      </w:pPr>
      <w:bookmarkStart w:id="0" w:name="_Toc37231824"/>
      <w:r>
        <w:rPr>
          <w:rFonts w:hint="eastAsia" w:ascii="仿宋_GB2312" w:hAnsi="仿宋_GB2312" w:eastAsia="仿宋_GB2312" w:cs="仿宋_GB2312"/>
          <w:sz w:val="32"/>
          <w:szCs w:val="32"/>
        </w:rPr>
        <w:t>经济效益分析</w:t>
      </w:r>
      <w:bookmarkEnd w:id="0"/>
    </w:p>
    <w:p>
      <w:pPr>
        <w:pStyle w:val="13"/>
        <w:pageBreakBefore w:val="0"/>
        <w:widowControl w:val="0"/>
        <w:kinsoku/>
        <w:wordWrap/>
        <w:overflowPunct/>
        <w:topLinePunct w:val="0"/>
        <w:autoSpaceDE/>
        <w:autoSpaceDN/>
        <w:bidi w:val="0"/>
        <w:spacing w:line="576" w:lineRule="exact"/>
        <w:ind w:left="0" w:leftChars="0" w:right="0" w:righ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本次信息化建设，进一步促进国土空间规划部门对于内部技术资源的优化配置，使其能够适应社会经济快速发展现状和规划管理工作发展的新趋势、新特点、新要求，强化信息化管理的方法和手段，用更加简便的方式，更加有效、准确地达成业务管理目标，从整体上节省规划管理的时间、人力成本，间接创造更多经济效益。</w:t>
      </w:r>
    </w:p>
    <w:p>
      <w:pPr>
        <w:pStyle w:val="3"/>
        <w:pageBreakBefore w:val="0"/>
        <w:widowControl w:val="0"/>
        <w:numPr>
          <w:ilvl w:val="1"/>
          <w:numId w:val="3"/>
        </w:numPr>
        <w:kinsoku/>
        <w:wordWrap/>
        <w:overflowPunct/>
        <w:topLinePunct w:val="0"/>
        <w:autoSpaceDE/>
        <w:autoSpaceDN/>
        <w:bidi w:val="0"/>
        <w:spacing w:before="0" w:after="0" w:line="576" w:lineRule="exact"/>
        <w:ind w:left="0" w:leftChars="0" w:right="0" w:rightChars="0" w:firstLine="643" w:firstLineChars="200"/>
        <w:jc w:val="both"/>
        <w:rPr>
          <w:rFonts w:hint="eastAsia" w:ascii="仿宋_GB2312" w:hAnsi="仿宋_GB2312" w:eastAsia="仿宋_GB2312" w:cs="仿宋_GB2312"/>
          <w:sz w:val="32"/>
          <w:szCs w:val="32"/>
        </w:rPr>
      </w:pPr>
      <w:bookmarkStart w:id="1" w:name="_Toc37231825"/>
      <w:r>
        <w:rPr>
          <w:rFonts w:hint="eastAsia" w:ascii="仿宋_GB2312" w:hAnsi="仿宋_GB2312" w:eastAsia="仿宋_GB2312" w:cs="仿宋_GB2312"/>
          <w:sz w:val="32"/>
          <w:szCs w:val="32"/>
        </w:rPr>
        <w:t>社会效益分析</w:t>
      </w:r>
      <w:bookmarkEnd w:id="1"/>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建设进一步深入解决全市国土空间规划信息分散、无法有效互通互联的问题，持续提升各部门协作效率和应用便捷性，巩固和提升规划管理工作的整体协作性，推进各部门管理目标的一致性，强化国土空间规划的政策落地执行力，进而为区域发展提供有序的管控和权威的指导。</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黑体" w:hAnsi="黑体" w:eastAsia="黑体" w:cs="黑体"/>
          <w:b w:val="0"/>
          <w:bCs w:val="0"/>
          <w:sz w:val="32"/>
          <w:szCs w:val="32"/>
          <w:lang w:val="zh-CN" w:eastAsia="zh-CN"/>
        </w:rPr>
      </w:pP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lang w:val="zh-CN" w:eastAsia="zh-CN"/>
        </w:rPr>
        <w:t>评价结论及建议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w:t>
      </w:r>
      <w:r>
        <w:rPr>
          <w:rFonts w:hint="eastAsia" w:ascii="楷体_GB2312" w:hAnsi="楷体_GB2312" w:eastAsia="楷体_GB2312" w:cs="楷体_GB2312"/>
          <w:b w:val="0"/>
          <w:bCs w:val="0"/>
          <w:sz w:val="32"/>
          <w:szCs w:val="32"/>
          <w:lang w:val="en-US" w:eastAsia="zh-CN"/>
        </w:rPr>
        <w:t>一</w:t>
      </w:r>
      <w:r>
        <w:rPr>
          <w:rFonts w:hint="eastAsia" w:ascii="楷体_GB2312" w:hAnsi="楷体_GB2312" w:eastAsia="楷体_GB2312" w:cs="楷体_GB2312"/>
          <w:b w:val="0"/>
          <w:bCs w:val="0"/>
          <w:sz w:val="32"/>
          <w:szCs w:val="32"/>
          <w:lang w:val="zh-CN" w:eastAsia="zh-CN"/>
        </w:rPr>
        <w:t>）评价结论。</w:t>
      </w:r>
    </w:p>
    <w:p>
      <w:pPr>
        <w:pStyle w:val="13"/>
        <w:pageBreakBefore w:val="0"/>
        <w:widowControl w:val="0"/>
        <w:kinsoku/>
        <w:wordWrap/>
        <w:overflowPunct/>
        <w:topLinePunct w:val="0"/>
        <w:autoSpaceDE/>
        <w:autoSpaceDN/>
        <w:bidi w:val="0"/>
        <w:spacing w:line="576" w:lineRule="exact"/>
        <w:ind w:left="0" w:leftChars="0" w:right="0" w:rightChars="0"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通过该项目的实施，实现与省、下辖县区系统以及实际平行部门的系统对接和数据共享交换，实现各级系统纵向互联互通。</w:t>
      </w:r>
      <w:r>
        <w:rPr>
          <w:rFonts w:hint="eastAsia" w:ascii="仿宋_GB2312" w:hAnsi="仿宋_GB2312" w:eastAsia="仿宋_GB2312" w:cs="仿宋_GB2312"/>
          <w:sz w:val="32"/>
          <w:szCs w:val="32"/>
          <w:lang w:val="en-US" w:eastAsia="zh-CN"/>
        </w:rPr>
        <w:t>该项目</w:t>
      </w:r>
      <w:r>
        <w:rPr>
          <w:rFonts w:hint="eastAsia" w:ascii="仿宋_GB2312" w:hAnsi="仿宋_GB2312" w:eastAsia="仿宋_GB2312" w:cs="仿宋_GB2312"/>
          <w:b w:val="0"/>
          <w:bCs w:val="0"/>
          <w:sz w:val="32"/>
          <w:szCs w:val="32"/>
          <w:lang w:val="en-US" w:eastAsia="zh-CN"/>
        </w:rPr>
        <w:t>预算编制完整，预算执行到位，做到了财务公开，会计核算真实、完整、规范，无截留和挪用现象，未在项目申报中弄虚作假，套取财政资金的行为。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w:t>
      </w:r>
      <w:r>
        <w:rPr>
          <w:rFonts w:hint="eastAsia" w:ascii="楷体_GB2312" w:hAnsi="楷体_GB2312" w:eastAsia="楷体_GB2312" w:cs="楷体_GB2312"/>
          <w:b w:val="0"/>
          <w:bCs w:val="0"/>
          <w:sz w:val="32"/>
          <w:szCs w:val="32"/>
          <w:lang w:val="en-US" w:eastAsia="zh-CN"/>
        </w:rPr>
        <w:t>二</w:t>
      </w:r>
      <w:r>
        <w:rPr>
          <w:rFonts w:hint="eastAsia" w:ascii="楷体_GB2312" w:hAnsi="楷体_GB2312" w:eastAsia="楷体_GB2312" w:cs="楷体_GB2312"/>
          <w:b w:val="0"/>
          <w:bCs w:val="0"/>
          <w:sz w:val="32"/>
          <w:szCs w:val="32"/>
          <w:lang w:val="zh-CN" w:eastAsia="zh-CN"/>
        </w:rPr>
        <w:t>）相关建议</w:t>
      </w:r>
    </w:p>
    <w:p>
      <w:pPr>
        <w:pStyle w:val="12"/>
        <w:keepNext w:val="0"/>
        <w:keepLines w:val="0"/>
        <w:pageBreakBefore w:val="0"/>
        <w:widowControl w:val="0"/>
        <w:kinsoku/>
        <w:wordWrap/>
        <w:overflowPunct/>
        <w:topLinePunct w:val="0"/>
        <w:autoSpaceDE/>
        <w:autoSpaceDN/>
        <w:bidi w:val="0"/>
        <w:adjustRightInd/>
        <w:snapToGrid/>
        <w:spacing w:before="0" w:after="0" w:line="576" w:lineRule="exact"/>
        <w:ind w:left="0" w:leftChars="0" w:right="0" w:rightChars="0" w:firstLine="640" w:firstLineChars="200"/>
        <w:jc w:val="both"/>
        <w:textAlignment w:val="auto"/>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希望财政部门加强对预算单位绩效评价工作的培训和指导，</w:t>
      </w:r>
      <w:r>
        <w:rPr>
          <w:rFonts w:hint="eastAsia" w:ascii="仿宋_GB2312" w:hAnsi="仿宋_GB2312" w:eastAsia="仿宋_GB2312" w:cs="仿宋_GB2312"/>
          <w:b w:val="0"/>
          <w:bCs w:val="0"/>
          <w:kern w:val="0"/>
          <w:sz w:val="32"/>
          <w:szCs w:val="32"/>
          <w:lang w:val="zh-CN" w:eastAsia="zh-CN" w:bidi="ar-SA"/>
        </w:rPr>
        <w:t>规范部门预算收支核算，切实提高部门预算收支管理水平，</w:t>
      </w:r>
      <w:r>
        <w:rPr>
          <w:rFonts w:hint="eastAsia" w:ascii="仿宋_GB2312" w:hAnsi="仿宋_GB2312" w:eastAsia="仿宋_GB2312" w:cs="仿宋_GB2312"/>
          <w:b w:val="0"/>
          <w:bCs w:val="0"/>
          <w:kern w:val="0"/>
          <w:sz w:val="32"/>
          <w:szCs w:val="32"/>
          <w:lang w:val="en-US" w:eastAsia="zh-CN" w:bidi="ar-SA"/>
        </w:rPr>
        <w:t>进一步优化项目绩效考核指标体系，做到合理性与可操作性的有机统一。</w:t>
      </w:r>
    </w:p>
    <w:p>
      <w:pPr>
        <w:rPr>
          <w:rFonts w:hint="eastAsia" w:ascii="仿宋_GB2312" w:hAnsi="仿宋_GB2312" w:eastAsia="仿宋_GB2312" w:cs="仿宋_GB2312"/>
          <w:b w:val="0"/>
          <w:bCs w:val="0"/>
          <w:kern w:val="0"/>
          <w:sz w:val="32"/>
          <w:szCs w:val="32"/>
          <w:lang w:val="en-US" w:eastAsia="zh-CN" w:bidi="ar-SA"/>
        </w:rPr>
      </w:pPr>
    </w:p>
    <w:p>
      <w:pPr>
        <w:rPr>
          <w:rFonts w:hint="eastAsia" w:ascii="仿宋_GB2312" w:hAnsi="仿宋_GB2312" w:eastAsia="仿宋_GB2312" w:cs="仿宋_GB2312"/>
          <w:sz w:val="32"/>
          <w:szCs w:val="32"/>
          <w:lang w:val="en-US" w:eastAsia="zh-CN"/>
        </w:rPr>
      </w:pPr>
    </w:p>
    <w:p>
      <w:pPr>
        <w:pStyle w:val="2"/>
        <w:ind w:firstLine="5120" w:firstLineChars="16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广元市自然资源局</w:t>
      </w:r>
    </w:p>
    <w:p>
      <w:pPr>
        <w:pStyle w:val="2"/>
        <w:ind w:firstLine="5120" w:firstLineChars="1600"/>
        <w:rPr>
          <w:rFonts w:hint="eastAsia"/>
          <w:lang w:val="en-US" w:eastAsia="zh-CN"/>
        </w:rPr>
      </w:pPr>
      <w:r>
        <w:rPr>
          <w:rFonts w:hint="eastAsia" w:ascii="仿宋_GB2312" w:hAnsi="仿宋_GB2312" w:eastAsia="仿宋_GB2312" w:cs="仿宋_GB2312"/>
          <w:sz w:val="32"/>
          <w:szCs w:val="32"/>
          <w:lang w:val="en-US" w:eastAsia="zh-CN"/>
        </w:rPr>
        <w:t>2023年4月28日</w:t>
      </w:r>
    </w:p>
    <w:p>
      <w:pP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pP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br w:type="page"/>
      </w:r>
    </w:p>
    <w:p>
      <w:pPr>
        <w:pStyle w:val="12"/>
        <w:keepNext w:val="0"/>
        <w:keepLines w:val="0"/>
        <w:pageBreakBefore w:val="0"/>
        <w:widowControl w:val="0"/>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rPr>
          <w:rFonts w:hint="eastAsia" w:ascii="黑体" w:hAnsi="黑体" w:eastAsia="黑体" w:cs="黑体"/>
          <w:b w:val="0"/>
          <w:bCs w:val="0"/>
          <w:color w:val="auto"/>
          <w:kern w:val="0"/>
          <w:sz w:val="32"/>
          <w:szCs w:val="32"/>
          <w:highlight w:val="none"/>
          <w:u w:val="none"/>
          <w:shd w:val="clear" w:color="auto" w:fill="FFFFFF"/>
          <w:lang w:val="zh-CN" w:eastAsia="zh-CN"/>
        </w:rPr>
      </w:pPr>
      <w:r>
        <w:rPr>
          <w:rFonts w:hint="eastAsia" w:ascii="黑体" w:hAnsi="黑体" w:eastAsia="黑体" w:cs="黑体"/>
          <w:b w:val="0"/>
          <w:bCs w:val="0"/>
          <w:color w:val="auto"/>
          <w:kern w:val="0"/>
          <w:sz w:val="32"/>
          <w:szCs w:val="32"/>
          <w:highlight w:val="none"/>
          <w:u w:val="none"/>
          <w:shd w:val="clear" w:color="auto" w:fill="FFFFFF"/>
          <w:lang w:val="zh-CN" w:eastAsia="zh-CN"/>
        </w:rPr>
        <w:t>附表</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市级主管部门（单位）项目资金分配涉及</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所有点位自评得分情况表</w:t>
      </w:r>
    </w:p>
    <w:tbl>
      <w:tblPr>
        <w:tblStyle w:val="10"/>
        <w:tblW w:w="8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0"/>
        <w:gridCol w:w="2625"/>
        <w:gridCol w:w="2622"/>
        <w:gridCol w:w="1319"/>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r>
              <w:rPr>
                <w:rFonts w:hint="eastAsia" w:ascii="仿宋_GB2312" w:hAnsi="仿宋_GB2312" w:eastAsia="仿宋_GB2312" w:cs="仿宋_GB2312"/>
                <w:b w:val="0"/>
                <w:bCs w:val="0"/>
                <w:color w:val="auto"/>
                <w:sz w:val="24"/>
                <w:szCs w:val="24"/>
                <w:highlight w:val="none"/>
                <w:u w:val="none"/>
                <w:vertAlign w:val="baseline"/>
                <w:lang w:val="en-US" w:eastAsia="zh-CN"/>
              </w:rPr>
              <w:t>序号</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r>
              <w:rPr>
                <w:rFonts w:hint="eastAsia" w:ascii="仿宋_GB2312" w:hAnsi="仿宋_GB2312" w:eastAsia="仿宋_GB2312" w:cs="仿宋_GB2312"/>
                <w:b w:val="0"/>
                <w:bCs w:val="0"/>
                <w:color w:val="auto"/>
                <w:sz w:val="24"/>
                <w:szCs w:val="24"/>
                <w:highlight w:val="none"/>
                <w:u w:val="none"/>
                <w:vertAlign w:val="baseline"/>
                <w:lang w:val="en-US" w:eastAsia="zh-CN"/>
              </w:rPr>
              <w:t>项目资金末端分配点位</w:t>
            </w: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r>
              <w:rPr>
                <w:rFonts w:hint="eastAsia" w:ascii="仿宋_GB2312" w:hAnsi="仿宋_GB2312" w:eastAsia="仿宋_GB2312" w:cs="仿宋_GB2312"/>
                <w:b w:val="0"/>
                <w:bCs w:val="0"/>
                <w:color w:val="auto"/>
                <w:sz w:val="24"/>
                <w:szCs w:val="24"/>
                <w:highlight w:val="none"/>
                <w:u w:val="none"/>
                <w:vertAlign w:val="baseline"/>
                <w:lang w:val="en" w:eastAsia="zh-CN"/>
              </w:rPr>
              <w:t>自评得分（百分制）</w:t>
            </w: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r>
              <w:rPr>
                <w:rFonts w:hint="eastAsia" w:ascii="仿宋_GB2312" w:hAnsi="仿宋_GB2312" w:eastAsia="仿宋_GB2312" w:cs="仿宋_GB2312"/>
                <w:b w:val="0"/>
                <w:bCs w:val="0"/>
                <w:color w:val="auto"/>
                <w:sz w:val="24"/>
                <w:szCs w:val="24"/>
                <w:highlight w:val="none"/>
                <w:u w:val="none"/>
                <w:vertAlign w:val="baseline"/>
                <w:lang w:val="en-US" w:eastAsia="zh-CN"/>
              </w:rPr>
              <w:t>财政科室审核得分</w:t>
            </w: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r>
              <w:rPr>
                <w:rFonts w:hint="eastAsia" w:ascii="仿宋_GB2312" w:hAnsi="仿宋_GB2312" w:eastAsia="仿宋_GB2312" w:cs="仿宋_GB2312"/>
                <w:b w:val="0"/>
                <w:bCs w:val="0"/>
                <w:color w:val="auto"/>
                <w:sz w:val="24"/>
                <w:szCs w:val="24"/>
                <w:highlight w:val="none"/>
                <w:u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1</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r>
              <w:rPr>
                <w:rFonts w:hint="eastAsia" w:ascii="仿宋_GB2312" w:hAnsi="仿宋_GB2312" w:eastAsia="仿宋_GB2312" w:cs="仿宋_GB2312"/>
                <w:b w:val="0"/>
                <w:bCs w:val="0"/>
                <w:color w:val="auto"/>
                <w:sz w:val="24"/>
                <w:szCs w:val="24"/>
                <w:highlight w:val="none"/>
                <w:u w:val="none"/>
                <w:vertAlign w:val="baseline"/>
                <w:lang w:val="en-US" w:eastAsia="zh-CN"/>
              </w:rPr>
              <w:t>广元市自然资源局局机关</w:t>
            </w: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仿宋_GB2312" w:hAnsi="仿宋_GB2312" w:eastAsia="仿宋_GB2312" w:cs="仿宋_GB2312"/>
                <w:b w:val="0"/>
                <w:bCs w:val="0"/>
                <w:color w:val="auto"/>
                <w:sz w:val="24"/>
                <w:szCs w:val="24"/>
                <w:highlight w:val="none"/>
                <w:u w:val="none"/>
                <w:vertAlign w:val="baseline"/>
                <w:lang w:val="en-US" w:eastAsia="zh-CN"/>
              </w:rPr>
            </w:pPr>
            <w:r>
              <w:rPr>
                <w:rFonts w:hint="eastAsia" w:ascii="仿宋_GB2312" w:hAnsi="仿宋_GB2312" w:cs="仿宋_GB2312"/>
                <w:b w:val="0"/>
                <w:bCs w:val="0"/>
                <w:color w:val="auto"/>
                <w:sz w:val="24"/>
                <w:szCs w:val="24"/>
                <w:highlight w:val="none"/>
                <w:u w:val="none"/>
                <w:vertAlign w:val="baseline"/>
                <w:lang w:val="en-US" w:eastAsia="zh-CN"/>
              </w:rPr>
              <w:t>100</w:t>
            </w: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2</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3</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4</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5</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6</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7</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8</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rPr>
          <w:rFonts w:hint="eastAsia" w:ascii="仿宋_GB2312" w:hAnsi="仿宋_GB2312" w:eastAsia="仿宋_GB2312" w:cs="仿宋_GB2312"/>
          <w:b w:val="0"/>
          <w:bCs w:val="0"/>
          <w:color w:val="auto"/>
          <w:sz w:val="32"/>
          <w:szCs w:val="32"/>
          <w:highlight w:val="none"/>
          <w:u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rPr>
          <w:rFonts w:hint="eastAsia" w:ascii="仿宋_GB2312" w:hAnsi="仿宋_GB2312" w:eastAsia="仿宋_GB2312" w:cs="仿宋_GB2312"/>
          <w:b w:val="0"/>
          <w:bCs w:val="0"/>
          <w:color w:val="auto"/>
          <w:sz w:val="32"/>
          <w:szCs w:val="32"/>
          <w:highlight w:val="none"/>
          <w:u w:val="none"/>
          <w:vertAlign w:val="baseline"/>
          <w:lang w:val="en-US" w:eastAsia="zh-CN"/>
        </w:rPr>
      </w:pPr>
      <w:r>
        <w:rPr>
          <w:rFonts w:hint="eastAsia" w:ascii="仿宋_GB2312" w:hAnsi="仿宋_GB2312" w:eastAsia="仿宋_GB2312" w:cs="仿宋_GB2312"/>
          <w:b w:val="0"/>
          <w:bCs w:val="0"/>
          <w:color w:val="auto"/>
          <w:sz w:val="32"/>
          <w:szCs w:val="32"/>
          <w:highlight w:val="none"/>
          <w:u w:val="none"/>
          <w:vertAlign w:val="baseline"/>
          <w:lang w:val="en-US" w:eastAsia="zh-CN"/>
        </w:rPr>
        <w:t>备注：1、项目资金末端分配点位包括县（区）、市级部门下属单位及一次性单位等。</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left="0" w:leftChars="0" w:right="0" w:rightChars="0" w:firstLine="0" w:firstLineChars="0"/>
        <w:jc w:val="both"/>
        <w:textAlignment w:val="auto"/>
        <w:rPr>
          <w:rFonts w:hint="eastAsia" w:ascii="仿宋_GB2312" w:hAnsi="仿宋_GB2312" w:eastAsia="仿宋_GB2312" w:cs="仿宋_GB2312"/>
          <w:b w:val="0"/>
          <w:bCs w:val="0"/>
          <w:color w:val="auto"/>
          <w:sz w:val="32"/>
          <w:szCs w:val="32"/>
          <w:highlight w:val="none"/>
          <w:u w:val="none"/>
          <w:vertAlign w:val="baseline"/>
          <w:lang w:val="en-US" w:eastAsia="zh-CN"/>
        </w:rPr>
      </w:pPr>
      <w:r>
        <w:rPr>
          <w:rFonts w:hint="eastAsia" w:ascii="仿宋_GB2312" w:hAnsi="仿宋_GB2312" w:eastAsia="仿宋_GB2312" w:cs="仿宋_GB2312"/>
          <w:b w:val="0"/>
          <w:bCs w:val="0"/>
          <w:color w:val="auto"/>
          <w:sz w:val="32"/>
          <w:szCs w:val="32"/>
          <w:highlight w:val="none"/>
          <w:u w:val="none"/>
          <w:vertAlign w:val="baseline"/>
          <w:lang w:val="en-US" w:eastAsia="zh-CN"/>
        </w:rPr>
        <w:t>自评得分（百分制）从高到低划分为优、良、中、差四个档次，各个档次数量占比分别为20%、20%、55%、5%，且不同档次间得分分值应体现差异化，同档次得分分值相同的比例不超过该档次总数量的10%。</w:t>
      </w:r>
    </w:p>
    <w:p>
      <w:pPr>
        <w:pageBreakBefore w:val="0"/>
        <w:widowControl w:val="0"/>
        <w:kinsoku/>
        <w:wordWrap/>
        <w:overflowPunct/>
        <w:topLinePunct w:val="0"/>
        <w:autoSpaceDE/>
        <w:autoSpaceDN/>
        <w:bidi w:val="0"/>
        <w:spacing w:line="576" w:lineRule="exact"/>
        <w:ind w:left="0" w:leftChars="0" w:right="0" w:rightChars="0" w:firstLine="0" w:firstLineChars="0"/>
        <w:jc w:val="both"/>
        <w:rPr>
          <w:rFonts w:hint="eastAsia" w:ascii="仿宋_GB2312" w:hAnsi="仿宋_GB2312" w:eastAsia="仿宋_GB2312" w:cs="仿宋_GB2312"/>
          <w:b w:val="0"/>
          <w:bCs w:val="0"/>
          <w:color w:val="000000"/>
          <w:kern w:val="0"/>
          <w:sz w:val="32"/>
          <w:szCs w:val="32"/>
          <w:lang w:val="en-US" w:eastAsia="zh-CN"/>
        </w:rPr>
        <w:sectPr>
          <w:pgSz w:w="11906" w:h="16838"/>
          <w:pgMar w:top="2098" w:right="1474" w:bottom="1984" w:left="1587" w:header="851" w:footer="992" w:gutter="0"/>
          <w:pgNumType w:fmt="decimal"/>
          <w:cols w:space="425" w:num="1"/>
          <w:docGrid w:type="lines" w:linePitch="312" w:charSpace="0"/>
        </w:sectPr>
      </w:pPr>
      <w:r>
        <w:rPr>
          <w:rFonts w:hint="eastAsia" w:ascii="仿宋_GB2312" w:hAnsi="仿宋_GB2312" w:eastAsia="仿宋_GB2312" w:cs="仿宋_GB2312"/>
          <w:b w:val="0"/>
          <w:bCs w:val="0"/>
          <w:color w:val="000000"/>
          <w:kern w:val="0"/>
          <w:sz w:val="32"/>
          <w:szCs w:val="32"/>
          <w:lang w:val="en-US" w:eastAsia="zh-CN"/>
        </w:rPr>
        <w:br w:type="page"/>
      </w:r>
    </w:p>
    <w:p>
      <w:pPr>
        <w:pStyle w:val="2"/>
        <w:ind w:left="0" w:leftChars="0" w:firstLine="0" w:firstLineChars="0"/>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附件5</w:t>
      </w:r>
    </w:p>
    <w:p>
      <w:pPr>
        <w:pStyle w:val="2"/>
        <w:ind w:left="0" w:leftChars="0" w:firstLine="0" w:firstLineChars="0"/>
        <w:jc w:val="center"/>
        <w:rPr>
          <w:rFonts w:hint="eastAsia" w:ascii="方正小标宋简体" w:hAnsi="方正小标宋简体" w:eastAsia="方正小标宋简体" w:cs="方正小标宋简体"/>
          <w:b w:val="0"/>
          <w:bCs w:val="0"/>
          <w:color w:val="000000"/>
          <w:kern w:val="0"/>
          <w:sz w:val="44"/>
          <w:szCs w:val="44"/>
          <w:lang w:val="en-US" w:eastAsia="zh-CN" w:bidi="ar-SA"/>
        </w:rPr>
      </w:pPr>
      <w:r>
        <w:rPr>
          <w:rFonts w:hint="eastAsia" w:ascii="方正小标宋简体" w:hAnsi="方正小标宋简体" w:eastAsia="方正小标宋简体" w:cs="方正小标宋简体"/>
          <w:b w:val="0"/>
          <w:bCs w:val="0"/>
          <w:color w:val="000000"/>
          <w:kern w:val="0"/>
          <w:sz w:val="44"/>
          <w:szCs w:val="44"/>
          <w:lang w:val="en-US" w:eastAsia="zh-CN" w:bidi="ar-SA"/>
        </w:rPr>
        <w:t>2023年市级专项资金预算项目支出绩效评价指标体系</w:t>
      </w:r>
    </w:p>
    <w:tbl>
      <w:tblPr>
        <w:tblStyle w:val="9"/>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42"/>
        <w:gridCol w:w="450"/>
        <w:gridCol w:w="655"/>
        <w:gridCol w:w="842"/>
        <w:gridCol w:w="868"/>
        <w:gridCol w:w="1377"/>
        <w:gridCol w:w="1999"/>
        <w:gridCol w:w="1052"/>
        <w:gridCol w:w="756"/>
        <w:gridCol w:w="756"/>
        <w:gridCol w:w="756"/>
        <w:gridCol w:w="982"/>
        <w:gridCol w:w="1125"/>
        <w:gridCol w:w="3948"/>
        <w:gridCol w:w="517"/>
        <w:gridCol w:w="521"/>
        <w:gridCol w:w="517"/>
        <w:gridCol w:w="521"/>
        <w:gridCol w:w="495"/>
        <w:gridCol w:w="495"/>
        <w:gridCol w:w="495"/>
        <w:gridCol w:w="617"/>
        <w:gridCol w:w="538"/>
        <w:gridCol w:w="495"/>
        <w:gridCol w:w="4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blHeader/>
        </w:trPr>
        <w:tc>
          <w:tcPr>
            <w:tcW w:w="1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分值权重</w:t>
            </w:r>
          </w:p>
        </w:tc>
        <w:tc>
          <w:tcPr>
            <w:tcW w:w="966" w:type="pct"/>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分层分类指标</w:t>
            </w:r>
          </w:p>
        </w:tc>
        <w:tc>
          <w:tcPr>
            <w:tcW w:w="4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指标解释</w:t>
            </w:r>
          </w:p>
        </w:tc>
        <w:tc>
          <w:tcPr>
            <w:tcW w:w="1249" w:type="pct"/>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评分方法</w:t>
            </w:r>
          </w:p>
        </w:tc>
        <w:tc>
          <w:tcPr>
            <w:tcW w:w="9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评价要点及说明</w:t>
            </w:r>
          </w:p>
        </w:tc>
        <w:tc>
          <w:tcPr>
            <w:tcW w:w="239" w:type="pct"/>
            <w:gridSpan w:val="2"/>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评价方式</w:t>
            </w:r>
          </w:p>
        </w:tc>
        <w:tc>
          <w:tcPr>
            <w:tcW w:w="23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评价属性</w:t>
            </w:r>
          </w:p>
        </w:tc>
        <w:tc>
          <w:tcPr>
            <w:tcW w:w="598" w:type="pct"/>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定量评价标准</w:t>
            </w:r>
          </w:p>
        </w:tc>
        <w:tc>
          <w:tcPr>
            <w:tcW w:w="1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自评得分</w:t>
            </w:r>
          </w:p>
        </w:tc>
        <w:tc>
          <w:tcPr>
            <w:tcW w:w="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blHeader/>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966"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249" w:type="pct"/>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9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39" w:type="pct"/>
            <w:gridSpan w:val="2"/>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3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598"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blHeader/>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分层指标</w:t>
            </w:r>
          </w:p>
        </w:tc>
        <w:tc>
          <w:tcPr>
            <w:tcW w:w="34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适用范围</w:t>
            </w: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一级指标</w:t>
            </w:r>
          </w:p>
        </w:tc>
        <w:tc>
          <w:tcPr>
            <w:tcW w:w="31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二级指标</w:t>
            </w: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4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方法归类</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计算公式</w:t>
            </w:r>
          </w:p>
        </w:tc>
        <w:tc>
          <w:tcPr>
            <w:tcW w:w="9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整体评价</w:t>
            </w:r>
          </w:p>
        </w:tc>
        <w:tc>
          <w:tcPr>
            <w:tcW w:w="1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样本评价</w:t>
            </w:r>
          </w:p>
        </w:tc>
        <w:tc>
          <w:tcPr>
            <w:tcW w:w="1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定性评价</w:t>
            </w:r>
          </w:p>
        </w:tc>
        <w:tc>
          <w:tcPr>
            <w:tcW w:w="1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定量评价</w:t>
            </w:r>
          </w:p>
        </w:tc>
        <w:tc>
          <w:tcPr>
            <w:tcW w:w="1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国家标准</w:t>
            </w:r>
          </w:p>
        </w:tc>
        <w:tc>
          <w:tcPr>
            <w:tcW w:w="1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行业标准</w:t>
            </w:r>
          </w:p>
        </w:tc>
        <w:tc>
          <w:tcPr>
            <w:tcW w:w="1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地方标准</w:t>
            </w:r>
          </w:p>
        </w:tc>
        <w:tc>
          <w:tcPr>
            <w:tcW w:w="14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申报标准</w:t>
            </w:r>
          </w:p>
        </w:tc>
        <w:tc>
          <w:tcPr>
            <w:tcW w:w="1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历史均值</w:t>
            </w:r>
          </w:p>
        </w:tc>
        <w:tc>
          <w:tcPr>
            <w:tcW w:w="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blHeader/>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0.3</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0.6</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0.8</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w:t>
            </w:r>
          </w:p>
        </w:tc>
        <w:tc>
          <w:tcPr>
            <w:tcW w:w="9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w:t>
            </w:r>
          </w:p>
        </w:tc>
        <w:tc>
          <w:tcPr>
            <w:tcW w:w="1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通用指标</w:t>
            </w:r>
          </w:p>
        </w:tc>
        <w:tc>
          <w:tcPr>
            <w:tcW w:w="34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所有项目</w:t>
            </w:r>
          </w:p>
        </w:tc>
        <w:tc>
          <w:tcPr>
            <w:tcW w:w="200"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项目决策</w:t>
            </w: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程序严密</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项目设立是否经过严格评估论证和集体决策，是否与部门职责相符，是否属于公共财政支持范围，是否符合地方事权支出责任划分原则，是否与相关部门同类项目或部门内部相关项目重复</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不完善</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较完善</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完善</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专项项目设立是否经过事前评估或可行性论证，是否符合专项设立的基本规范和程序要求。项目设立是否属于部门职责相符，是否属于公共财政支持范围，符合地方事权支出责任划分原则，是否与相关部门同类项目或部门内部相关项目重复。存在一项不符合的为较完善，存在两项及两项以上不符合的为不完善</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规划合理★</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项目规划是否符合省委、省政府重大决策部署，是否与项目年度目标一致</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不合理</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较合理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合理</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项目设立依据是否充分，符合省委、省政府重大决策部署和宏观政策规划，项目年度绩效目标与中长期规划是否一致，项目绩效目标是否具有合理性。样本评价中，规划是否与现实需求匹配，是否存在因规划不够合理导致项目效益欠佳的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制度完备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项目指导意见、管理办法、申报指南、实施细则等管理制度是否完善，是否存在脱离实际、缺陷、漏洞导致执行偏离预期</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缺（错）项扣分法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发现一处扣0.5分，直至扣完</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主要查看项目的相关管理制度机制是否健全完善，在项目执行过程中，是否存在管理制度有悖于实际的情况，是否存在难以操作、无法落地、执行不畅的情况，是否存在不能满足实际需求，未及时动态调整的情况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项目实施</w:t>
            </w: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分配合理★</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项目资金分配结果是否与规划计划一致；是否按规定及时分配专项预算资金</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项目法分配的项目，以所有项目点实施完成情况与规划计划情况进行对比。按因素法分配的项目和据实据效分配的项目，将资金分配方向与规划计划支持方向进行对比；省级接到中央一般性转移支付和专项转移支付后，应当在30日内正式下达到本行政区域县级以上各级政府；县级以上地方各级预算安排对下级政府的一般性转移支付和专项转移支付，应当分别在本级人民代表大会批准预算后的30日和60日内正式下达；《预算法》其他规定；分配依据充分的得分，明显不充分扣分。两种情况分值权重各占一半</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4</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使用合规</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项目资金使用是否符合相关的财务管理制度规定</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缺（错）项扣分法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发现一处扣0.5分，直至扣完</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项目资金是否符合国家财经法规和财务管理制度及有关专项资金管理办法规定；资金拨付是否有完整的审批程序和手续；是否符合项目预算批复或合同规定用途；是否存在截留、挤占、挪用、虚列支出等情况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执行有效</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项目实施是否符合相关管理制度规定</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缺（错）项扣分法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发现一处扣0.5分，直至扣完</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项目实施是否遵守相关法律法规；项目调整手续是否完备；项目合同、验收报告、技术鉴定等资料是否齐全并及时归档；项目实施的人员条件、场地设备、信息支撑等是否落实到位</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完成结果</w:t>
            </w: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预算完成★</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项目资金拨付到具体支持对象企业、项目（人）的情况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指标得分=项目实际到位金额/承诺到位金额×100%*指标分值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主要查看项目资金拨付到人到户、到项目、到企业与资金总量的对比，配套预算到位率。</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10%</w:t>
            </w:r>
          </w:p>
        </w:tc>
        <w:tc>
          <w:tcPr>
            <w:tcW w:w="1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通用指标</w:t>
            </w:r>
          </w:p>
        </w:tc>
        <w:tc>
          <w:tcPr>
            <w:tcW w:w="34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所有项目</w:t>
            </w: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完成结果</w:t>
            </w: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资金结余★</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项目资金结余的情况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指标得分=（1-结余率/0.2）*指标分值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结余率大于等于0.2，指标得0分                             结余率=结余金额/省级财政资金预算数×100%                                                                                               </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结余资金是指项目实施周期已结束、项目目标完成或项目提前终止，尚未列支的项目支出预算资金；因项目实施计划调整，不需要继续支出的预算资金；预算批复后连续两年未用完的预算资金。</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10</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目标完成★</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项目实施后是否完成预期目标</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指标得分=实际完成任务量/绩效目标设定任务量×100%*指标分值  </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主要查看项目实施后产出数量指标完成情况。以样本点资金量为权重，加权计算指标得分。当实际完成任务量/绩效目标设定任务量&gt;1时按1计算</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4</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完成及时</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项目实际完成时间与计划完成时间的比较，用以反映和考核项目产出实效目标的实现程度</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指标得分=(1-(实际完成时间-计划完成时间)/计划完成时间)×100%*指标分值  </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主要查看项目实际计划完成时间情况，一般以天数、月数或年数为单位。当实际完成时间-计划完成时间小于等于0时得满分；实际完成时间超过计划完成时间1倍时得0分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4</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违规记录</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项目管理是否合规</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不合规</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3处及以上不合规</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2处不合规</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1处不合规</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合规</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根据审计监督、财政检查结果反映专项管理是否合规</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1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20%</w:t>
            </w:r>
          </w:p>
        </w:tc>
        <w:tc>
          <w:tcPr>
            <w:tcW w:w="1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共性指标</w:t>
            </w:r>
          </w:p>
        </w:tc>
        <w:tc>
          <w:tcPr>
            <w:tcW w:w="34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产业发展项目</w:t>
            </w: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项目效果</w:t>
            </w: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符合性</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项目实施效果是否与绩效目标或申报目标符合</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指标得分=项目实施符合的点位数/所有选点总数×100%*指标分值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根据项目现场评价实施效果与绩效目标进行对比，汇总所有样本点情况综合分析政策整体吻合度</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20</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成长性★</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反映不同类型产业政策实施对相关行业企业成长性的促进作用，主要反映支持对象的创新、创造、创业能力情况，产业结构情况，持续盈利能力情况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指标得分=各项具体指标得分的平均分</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根据产业政策实施对象的主营业务收入增长率、净利润增长率或税收增长率等情况综合判断，统计年鉴相关数据为准（主要查看企业2018年度、2019年度财报，2020年根据实际情况收集）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民生保障项目</w:t>
            </w:r>
          </w:p>
        </w:tc>
        <w:tc>
          <w:tcPr>
            <w:tcW w:w="200" w:type="pct"/>
            <w:vMerge w:val="restar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项目效果</w:t>
            </w: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区域均衡性</w:t>
            </w:r>
          </w:p>
        </w:tc>
        <w:tc>
          <w:tcPr>
            <w:tcW w:w="46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项目资金分配体现的均衡公平情况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不均衡</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较均衡</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均衡</w:t>
            </w:r>
          </w:p>
        </w:tc>
        <w:tc>
          <w:tcPr>
            <w:tcW w:w="908"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按实际分配结果选择客观因素测算验证资金分配方法制定、分配要素设定、基础数据应用、测算依据选取等是否科学合理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对象公平性★</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项目资金分配结果是否公平合理，是否充分考虑地域条件、经济条件等</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不公平</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公平</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主要查看项目资金分配和实施结果是否体现公平公正性，在支持</w:t>
            </w:r>
            <w:r>
              <w:rPr>
                <w:rStyle w:val="15"/>
                <w:rFonts w:hint="eastAsia" w:ascii="宋体" w:hAnsi="宋体" w:eastAsia="宋体" w:cs="宋体"/>
                <w:sz w:val="21"/>
                <w:szCs w:val="21"/>
                <w:lang w:val="en-US" w:eastAsia="zh-CN" w:bidi="ar"/>
              </w:rPr>
              <w:t>范围、标准、程序</w:t>
            </w:r>
            <w:r>
              <w:rPr>
                <w:rStyle w:val="14"/>
                <w:rFonts w:hint="eastAsia" w:ascii="宋体" w:hAnsi="宋体" w:eastAsia="宋体" w:cs="宋体"/>
                <w:sz w:val="21"/>
                <w:szCs w:val="21"/>
                <w:lang w:val="en-US" w:eastAsia="zh-CN" w:bidi="ar"/>
              </w:rPr>
              <w:t>上是否存在明显的排他性和歧视性规定，是否做到大多数和少数的协调统一，统筹兼顾。标黑因素存在一项不公平的按一般档次计算分值，存在两项因素不公平的得0分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社会满意度</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相关群体满意度调查情况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按根据实际满意度与满意度标准值的比率计算指标得分</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主要调研政策和项目相关方在政策实施过程中的满意值，通过不满意情况汇总分析政策在顶层设计、制度构建、管理实施及成效各环节的情况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基础设施（设备购置）项目</w:t>
            </w: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项目效果</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功能性★</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反映公共基础设施建设功能是否达到计划能力，建成后是否正常并良好运行，延续性是否达到预期</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发现基础设施功能明显未实现预期的，发现一项扣1分，直至扣完</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主要查看建设项目是否实施方案实现预期功能，是否能够持续良好地运作，有效地维护，特别是公共设施类的项目，是否能有效满足人民群众的现实需要</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配套性★</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项目建成后相关工程、点位是否相关协调，配套设施是否整体协调，是否全面衔接发挥整体效益</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较好</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好</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重点查看区域内建设规划在空间分布、功能配套整合、土地利用等方面是否存在明显有违常理，不科学合理的情况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1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30%</w:t>
            </w:r>
          </w:p>
        </w:tc>
        <w:tc>
          <w:tcPr>
            <w:tcW w:w="1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特性指标</w:t>
            </w:r>
          </w:p>
        </w:tc>
        <w:tc>
          <w:tcPr>
            <w:tcW w:w="1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产业发展项目</w:t>
            </w: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工业产业（包括技术改造）</w:t>
            </w: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经济效益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利税增长率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项目实施单位利税增长情况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指标得分=利税增长率/标准值*指标分值（利税增长率/标准值＞1按1计算，负值按0计算）</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评价年度前三年利税平均增长率（不含评价当年，不足三年按实际存续年限计算）</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投资回报率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项目投产后回报情况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指标得分=投资回报率/标准值*指标得分（投资回报率/标准值＞1按1计算，负值按0计算）</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投资回报率=项目年新增利税额/项目投入资金总额</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社会贡献率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企业运用资产为社会创造价值的能力</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指标得分=社会贡献率/标准值*指标分值（社会贡献率/标准值＞1按1计算，负值按0计算）</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社会贡献率=社会贡献额/资产总额 ×100%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社会贡献额=工资总额+主营业务税金及附加+利润总额+五险一金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资产总额=（期初资产总额+期末资产总额）/2 </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就业贡献率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企业就业人数增量变化</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指标得分=就业贡献率/标准值*指标分值（就业贡献率/标准值＞1按1计算，负值按0计算）</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就业贡献率=企业三年平均新增就业人数/行业新增就业总人数×100%</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农业产业（包括林业产业）</w:t>
            </w: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经济效益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增加值提升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项目实施涉及产值增长情况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指标得分=三年产值平均增长率/标准值*指标分值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产值增长率=当年涉农产值增量/上一年度涉农产值总量×100%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重点查看项目实施区域涉农增加值变动情况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年均收入变动率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项目实施后农户收入变动情况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指标得分=三年人均年收入增长率/标准值*指标分值（三年人均年收入增长率/标准值负值为0，＞1按1计算）</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人均年收入增长率=（项目实施后人均年收入-项目实施前人均年收入）/项目实施前人均年收入×100%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重点查看三年来农民人均年收入增长变化情况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从业带动能力</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项目带动周边从事相关行业情况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指标得分=三年平均新增带动就业户数/标准值*指标分值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通过实地走访、调研、收集带动就业户数相关基础数据进行对比分析</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服务业</w:t>
            </w: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经济效益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消费增长</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项目支持区域内社会消费品零售总额增长情况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指标得分根据三年社会消费品零售增长变化计算得分，社会消费品零售增长≥标准值的得满分，＜标准值80%的不得分，其余按比值计算得分</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重点收集三年来区域内社会消费品零售增长数据，主要通过官方统计数据采集，同时结合实地调查对比，综合计算指标得分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增加值增长率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项目实施涉及增加值增长情况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指标得分=三年增加值平均增长率/标准值*指标分值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增加值增长率=当年服务业增加值增量/上一年度服务业增加值总量×100%。重点查看项目实施区域服务业增加值变动情况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服务效能</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区域内相关事务处理能力提升情况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较好</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好</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重点查看区域内相关事务处理能力提升状况，通过资料记录查询，现场持续跟踪，走访调研了解等手段综合判断</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30%</w:t>
            </w:r>
          </w:p>
        </w:tc>
        <w:tc>
          <w:tcPr>
            <w:tcW w:w="1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特性指标</w:t>
            </w:r>
          </w:p>
        </w:tc>
        <w:tc>
          <w:tcPr>
            <w:tcW w:w="1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民生保障项目</w:t>
            </w: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社会保障与就业</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基础管理</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审核把关</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项目申报是否真实准确</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指标得分=基础数据真实客观的人数/项目受益总人数×100%*指标分值，基础数据真实客观的人数/项目受益总人数小于70%不得分</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主要查看项目受益人群的精准性和客观性，是否存在因制度机制缺陷或管理疏漏导致审核把关不严的情况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资金使用率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项目资金支付使用情况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指标得分=资金实际使用金额/资金实际拨付金额×100%*指标分值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主要查看财政资金实际支付使用，是否存在因制度机制、操作流程、管理疏漏、数据缺失等导致的资金结余，闲置浪费的情况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医疗卫生计生</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基础管理</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服务质量提升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反映服务安全、便捷、规范情况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较好</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好</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主要调查医疗卫生计生机构提供服务的安全性、便捷程度和规范性</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健康状况改善</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反映区域内居民健康状况改善情况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较好</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好</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主要包括健康档案使用率、新生儿死亡率、高血压患者控制率等，通过几个主要的维度综合衡量区域内居民健康状况改善情况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教育文化</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基础管理</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对象覆盖全面</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项目区域范围内实施对象覆盖情况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明显疏漏</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基本覆盖</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全面覆盖</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主要查看项目实施对相关群体的覆盖情况，是否充分考虑主要群体和特殊个体的统一，做到全面覆盖</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项目效果</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教学（文化）设备利用率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反映教育（文化）设备使用情况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设备使用率=设备使用时间/设备计划用时（分钟、小时、日、月）×100%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指标得分=设备使用率/标准值*指标分值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主要调查设备工作状态及工作效率的情况，和绩效目标及相关标准对比</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基础设施（设备购置）项目</w:t>
            </w: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交通运输</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完成质量</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是否符合验收标准，达到行业基准水平</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指标得分=项目达标数/实施项目总数×100%*指标分值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质量达标率＞100%时按100%计算；当质量达标率＜90%时，指标不得分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道路通行能力提升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项目区域内道路通行能力提升情况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指标得分=实际通行能力/计划通行能力×100%*指标分值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（实际通行能力/计划通行能力＞1按1计算）</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通行能力=设计每小时通车数量，按照各种等级道路通行能力标准测算</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住房保障</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完成质量</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是否符合验收标准，达到行业基准水平</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指标得分=项目达标数/实施项目总数×100%*指标分值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质量达标率＞100%时按100%计算；当质量达标率＜90%时，指标不得分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保障实现率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项目区域内应保家庭住房保障实现情况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满意值赋分法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保障实现率达到标准值得满分，每低一个百分点扣1分</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住房保障率=已保家庭户数/应保家庭户数*100%</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城乡社区</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完成质量</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是否符合验收标准，达到行业基准水平</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指标得分=项目达标数/实施项目总数×100%*指标分值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质量达标率＞100%时按100%计算；当质量达标率＜90%时，指标不得分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30</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运行效率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城乡社区公共设施正常运转情况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指标得分=运转效率/标准值*指标正分值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（运转效率/标准值＞1按1计算）</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运转效率=政策运转设施个数/设计正常运转设施个数*100%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主要包括城乡社区公共交通、照明、燃气、环境保护、娱乐、体育等相关公共设施正常运转情况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水利设施</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完成质量</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是否符合验收标准，达到行业基准水平</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指标得分=项目达标数/实施项目总数×100%*指标分值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质量达标率＞100%时按100%计算；当质量达标率＜90%时，指标不得分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能力实现率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水利设施设计能实现情况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指标得分=能力实现率/标准值*指标正分值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（能力实现率/标准值＞1按1计算）</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能力实现率=实现设计能力水利设施个数/水利设施总个数*100%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主要包括水利系统建设用于堤防、河道、水库、水利枢纽、涵闸、灌区、供水、蓄滞洪区等水利工程建设及设备、设施改造维护后能力实现情况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设备购置</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运行状况</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购置的设备常态化运行情况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较好</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好</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重点查看购置设备日常使用频率及正常运转情况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10%</w:t>
            </w:r>
          </w:p>
        </w:tc>
        <w:tc>
          <w:tcPr>
            <w:tcW w:w="2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个性指标</w:t>
            </w: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10</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trPr>
        <w:tc>
          <w:tcPr>
            <w:tcW w:w="4787" w:type="pct"/>
            <w:gridSpan w:val="23"/>
            <w:vMerge w:val="restart"/>
            <w:tcBorders>
              <w:top w:val="single" w:color="000000" w:sz="4" w:space="0"/>
              <w:left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Style w:val="16"/>
                <w:rFonts w:hint="eastAsia" w:ascii="宋体" w:hAnsi="宋体" w:eastAsia="宋体" w:cs="宋体"/>
                <w:sz w:val="21"/>
                <w:szCs w:val="21"/>
                <w:lang w:val="en-US" w:eastAsia="zh-CN" w:bidi="ar"/>
              </w:rPr>
            </w:pPr>
            <w:r>
              <w:rPr>
                <w:rStyle w:val="16"/>
                <w:rFonts w:hint="eastAsia" w:ascii="宋体" w:hAnsi="宋体" w:eastAsia="宋体" w:cs="宋体"/>
                <w:sz w:val="21"/>
                <w:szCs w:val="21"/>
                <w:lang w:val="en-US" w:eastAsia="zh-CN" w:bidi="ar"/>
              </w:rPr>
              <w:t>1、评分方法归为六类：（1）是否评分法：</w:t>
            </w:r>
            <w:r>
              <w:rPr>
                <w:rStyle w:val="17"/>
                <w:rFonts w:hint="eastAsia" w:ascii="宋体" w:hAnsi="宋体" w:eastAsia="宋体" w:cs="宋体"/>
                <w:sz w:val="21"/>
                <w:szCs w:val="21"/>
                <w:lang w:val="en-US" w:eastAsia="zh-CN" w:bidi="ar"/>
              </w:rPr>
              <w:t>适用于合规性等正反判断指标，正向满分，反向0分。</w:t>
            </w:r>
            <w:r>
              <w:rPr>
                <w:rStyle w:val="16"/>
                <w:rFonts w:hint="eastAsia" w:ascii="宋体" w:hAnsi="宋体" w:eastAsia="宋体" w:cs="宋体"/>
                <w:sz w:val="21"/>
                <w:szCs w:val="21"/>
                <w:lang w:val="en-US" w:eastAsia="zh-CN" w:bidi="ar"/>
              </w:rPr>
              <w:t>（2）分级评分法：</w:t>
            </w:r>
            <w:r>
              <w:rPr>
                <w:rStyle w:val="17"/>
                <w:rFonts w:hint="eastAsia" w:ascii="宋体" w:hAnsi="宋体" w:eastAsia="宋体" w:cs="宋体"/>
                <w:sz w:val="21"/>
                <w:szCs w:val="21"/>
                <w:lang w:val="en-US" w:eastAsia="zh-CN" w:bidi="ar"/>
              </w:rPr>
              <w:t>指标评分设置n级权重，指标得分按指标值所处区间的权重计算。</w:t>
            </w:r>
            <w:r>
              <w:rPr>
                <w:rStyle w:val="16"/>
                <w:rFonts w:hint="eastAsia" w:ascii="宋体" w:hAnsi="宋体" w:eastAsia="宋体" w:cs="宋体"/>
                <w:sz w:val="21"/>
                <w:szCs w:val="21"/>
                <w:lang w:val="en-US" w:eastAsia="zh-CN" w:bidi="ar"/>
              </w:rPr>
              <w:t>（3）比率分值法：</w:t>
            </w:r>
            <w:r>
              <w:rPr>
                <w:rStyle w:val="17"/>
                <w:rFonts w:hint="eastAsia" w:ascii="宋体" w:hAnsi="宋体" w:eastAsia="宋体" w:cs="宋体"/>
                <w:sz w:val="21"/>
                <w:szCs w:val="21"/>
                <w:lang w:val="en-US" w:eastAsia="zh-CN" w:bidi="ar"/>
              </w:rPr>
              <w:t>对存在连续性比率的指标，按比率乘以指标分值计算得分。</w:t>
            </w:r>
            <w:r>
              <w:rPr>
                <w:rStyle w:val="16"/>
                <w:rFonts w:hint="eastAsia" w:ascii="宋体" w:hAnsi="宋体" w:eastAsia="宋体" w:cs="宋体"/>
                <w:sz w:val="21"/>
                <w:szCs w:val="21"/>
                <w:lang w:val="en-US" w:eastAsia="zh-CN" w:bidi="ar"/>
              </w:rPr>
              <w:t>（4）缺（错）项扣分法：</w:t>
            </w:r>
            <w:r>
              <w:rPr>
                <w:rStyle w:val="17"/>
                <w:rFonts w:hint="eastAsia" w:ascii="宋体" w:hAnsi="宋体" w:eastAsia="宋体" w:cs="宋体"/>
                <w:sz w:val="21"/>
                <w:szCs w:val="21"/>
                <w:lang w:val="en-US" w:eastAsia="zh-CN" w:bidi="ar"/>
              </w:rPr>
              <w:t>按照要求所具备的事项计算，全部具备得满分，缺少一项扣X分。</w:t>
            </w:r>
            <w:r>
              <w:rPr>
                <w:rStyle w:val="16"/>
                <w:rFonts w:hint="eastAsia" w:ascii="宋体" w:hAnsi="宋体" w:eastAsia="宋体" w:cs="宋体"/>
                <w:sz w:val="21"/>
                <w:szCs w:val="21"/>
                <w:lang w:val="en-US" w:eastAsia="zh-CN" w:bidi="ar"/>
              </w:rPr>
              <w:t>（5）满意值赋分法：</w:t>
            </w:r>
            <w:r>
              <w:rPr>
                <w:rStyle w:val="17"/>
                <w:rFonts w:hint="eastAsia" w:ascii="宋体" w:hAnsi="宋体" w:eastAsia="宋体" w:cs="宋体"/>
                <w:sz w:val="21"/>
                <w:szCs w:val="21"/>
                <w:lang w:val="en-US" w:eastAsia="zh-CN" w:bidi="ar"/>
              </w:rPr>
              <w:t>设置一个满意值，指标值达到满意值得满分，未达到不得分或扣分。</w:t>
            </w:r>
            <w:r>
              <w:rPr>
                <w:rStyle w:val="16"/>
                <w:rFonts w:hint="eastAsia" w:ascii="宋体" w:hAnsi="宋体" w:eastAsia="宋体" w:cs="宋体"/>
                <w:sz w:val="21"/>
                <w:szCs w:val="21"/>
                <w:lang w:val="en-US" w:eastAsia="zh-CN" w:bidi="ar"/>
              </w:rPr>
              <w:t>（6）按数累加法：</w:t>
            </w:r>
            <w:r>
              <w:rPr>
                <w:rStyle w:val="17"/>
                <w:rFonts w:hint="eastAsia" w:ascii="宋体" w:hAnsi="宋体" w:eastAsia="宋体" w:cs="宋体"/>
                <w:sz w:val="21"/>
                <w:szCs w:val="21"/>
                <w:lang w:val="en-US" w:eastAsia="zh-CN" w:bidi="ar"/>
              </w:rPr>
              <w:t>若有必要用于加分项指标。</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bCs/>
                <w:i w:val="0"/>
                <w:iCs w:val="0"/>
                <w:color w:val="000000"/>
                <w:sz w:val="21"/>
                <w:szCs w:val="21"/>
                <w:u w:val="none"/>
              </w:rPr>
            </w:pPr>
            <w:r>
              <w:rPr>
                <w:rStyle w:val="16"/>
                <w:rFonts w:hint="eastAsia" w:ascii="宋体" w:hAnsi="宋体" w:eastAsia="宋体" w:cs="宋体"/>
                <w:sz w:val="21"/>
                <w:szCs w:val="21"/>
                <w:lang w:val="en-US" w:eastAsia="zh-CN" w:bidi="ar"/>
              </w:rPr>
              <w:t>2、预算绩效指标标准：</w:t>
            </w:r>
            <w:r>
              <w:rPr>
                <w:rStyle w:val="16"/>
                <w:rFonts w:hint="eastAsia" w:ascii="宋体" w:hAnsi="宋体" w:eastAsia="宋体" w:cs="宋体"/>
                <w:sz w:val="21"/>
                <w:szCs w:val="21"/>
                <w:lang w:val="en-US" w:eastAsia="zh-CN" w:bidi="ar"/>
              </w:rPr>
              <w:br w:type="textWrapping"/>
            </w:r>
            <w:r>
              <w:rPr>
                <w:rStyle w:val="16"/>
                <w:rFonts w:hint="eastAsia" w:ascii="宋体" w:hAnsi="宋体" w:eastAsia="宋体" w:cs="宋体"/>
                <w:sz w:val="21"/>
                <w:szCs w:val="21"/>
                <w:lang w:val="en-US" w:eastAsia="zh-CN" w:bidi="ar"/>
              </w:rPr>
              <w:t>（1）定性指标标准：</w:t>
            </w:r>
            <w:r>
              <w:rPr>
                <w:rStyle w:val="17"/>
                <w:rFonts w:hint="eastAsia" w:ascii="宋体" w:hAnsi="宋体" w:eastAsia="宋体" w:cs="宋体"/>
                <w:sz w:val="21"/>
                <w:szCs w:val="21"/>
                <w:lang w:val="en-US" w:eastAsia="zh-CN" w:bidi="ar"/>
              </w:rPr>
              <w:t>根据客观依据判断指标得分，一般采用是否评分法。</w:t>
            </w:r>
            <w:r>
              <w:rPr>
                <w:rStyle w:val="17"/>
                <w:rFonts w:hint="eastAsia" w:ascii="宋体" w:hAnsi="宋体" w:eastAsia="宋体" w:cs="宋体"/>
                <w:sz w:val="21"/>
                <w:szCs w:val="21"/>
                <w:lang w:val="en-US" w:eastAsia="zh-CN" w:bidi="ar"/>
              </w:rPr>
              <w:br w:type="textWrapping"/>
            </w:r>
            <w:r>
              <w:rPr>
                <w:rStyle w:val="16"/>
                <w:rFonts w:hint="eastAsia" w:ascii="宋体" w:hAnsi="宋体" w:eastAsia="宋体" w:cs="宋体"/>
                <w:sz w:val="21"/>
                <w:szCs w:val="21"/>
                <w:lang w:val="en-US" w:eastAsia="zh-CN" w:bidi="ar"/>
              </w:rPr>
              <w:t>（2）定量指标标准：</w:t>
            </w:r>
            <w:r>
              <w:rPr>
                <w:rStyle w:val="17"/>
                <w:rFonts w:hint="eastAsia" w:ascii="宋体" w:hAnsi="宋体" w:eastAsia="宋体" w:cs="宋体"/>
                <w:sz w:val="21"/>
                <w:szCs w:val="21"/>
                <w:lang w:val="en-US" w:eastAsia="zh-CN" w:bidi="ar"/>
              </w:rPr>
              <w:t>（技术标准、管理标准、工作标准）：</w:t>
            </w:r>
            <w:r>
              <w:rPr>
                <w:rStyle w:val="17"/>
                <w:rFonts w:hint="eastAsia" w:ascii="宋体" w:hAnsi="宋体" w:eastAsia="宋体" w:cs="宋体"/>
                <w:sz w:val="21"/>
                <w:szCs w:val="21"/>
                <w:lang w:val="en-US" w:eastAsia="zh-CN" w:bidi="ar"/>
              </w:rPr>
              <w:br w:type="textWrapping"/>
            </w:r>
            <w:r>
              <w:rPr>
                <w:rStyle w:val="16"/>
                <w:rFonts w:hint="eastAsia" w:ascii="宋体" w:hAnsi="宋体" w:eastAsia="宋体" w:cs="宋体"/>
                <w:sz w:val="21"/>
                <w:szCs w:val="21"/>
                <w:lang w:val="en-US" w:eastAsia="zh-CN" w:bidi="ar"/>
              </w:rPr>
              <w:t>国家标准：</w:t>
            </w:r>
            <w:r>
              <w:rPr>
                <w:rStyle w:val="17"/>
                <w:rFonts w:hint="eastAsia" w:ascii="宋体" w:hAnsi="宋体" w:eastAsia="宋体" w:cs="宋体"/>
                <w:sz w:val="21"/>
                <w:szCs w:val="21"/>
                <w:lang w:val="en-US" w:eastAsia="zh-CN" w:bidi="ar"/>
              </w:rPr>
              <w:t>国家质量技术监督总局与国家标准化管理委员会制定，全国范围内适用，其他各级别标准不得与其抵触。</w:t>
            </w:r>
            <w:r>
              <w:rPr>
                <w:rStyle w:val="17"/>
                <w:rFonts w:hint="eastAsia" w:ascii="宋体" w:hAnsi="宋体" w:eastAsia="宋体" w:cs="宋体"/>
                <w:sz w:val="21"/>
                <w:szCs w:val="21"/>
                <w:lang w:val="en-US" w:eastAsia="zh-CN" w:bidi="ar"/>
              </w:rPr>
              <w:br w:type="textWrapping"/>
            </w:r>
            <w:r>
              <w:rPr>
                <w:rStyle w:val="16"/>
                <w:rFonts w:hint="eastAsia" w:ascii="宋体" w:hAnsi="宋体" w:eastAsia="宋体" w:cs="宋体"/>
                <w:sz w:val="21"/>
                <w:szCs w:val="21"/>
                <w:lang w:val="en-US" w:eastAsia="zh-CN" w:bidi="ar"/>
              </w:rPr>
              <w:t>行业标准：</w:t>
            </w:r>
            <w:r>
              <w:rPr>
                <w:rStyle w:val="17"/>
                <w:rFonts w:hint="eastAsia" w:ascii="宋体" w:hAnsi="宋体" w:eastAsia="宋体" w:cs="宋体"/>
                <w:sz w:val="21"/>
                <w:szCs w:val="21"/>
                <w:lang w:val="en-US" w:eastAsia="zh-CN" w:bidi="ar"/>
              </w:rPr>
              <w:t>国务院行政主管部门制定，行业标准用于特定行业。</w:t>
            </w:r>
            <w:r>
              <w:rPr>
                <w:rStyle w:val="17"/>
                <w:rFonts w:hint="eastAsia" w:ascii="宋体" w:hAnsi="宋体" w:eastAsia="宋体" w:cs="宋体"/>
                <w:sz w:val="21"/>
                <w:szCs w:val="21"/>
                <w:lang w:val="en-US" w:eastAsia="zh-CN" w:bidi="ar"/>
              </w:rPr>
              <w:br w:type="textWrapping"/>
            </w:r>
            <w:r>
              <w:rPr>
                <w:rStyle w:val="16"/>
                <w:rFonts w:hint="eastAsia" w:ascii="宋体" w:hAnsi="宋体" w:eastAsia="宋体" w:cs="宋体"/>
                <w:sz w:val="21"/>
                <w:szCs w:val="21"/>
                <w:lang w:val="en-US" w:eastAsia="zh-CN" w:bidi="ar"/>
              </w:rPr>
              <w:t>地方标准：</w:t>
            </w:r>
            <w:r>
              <w:rPr>
                <w:rStyle w:val="17"/>
                <w:rFonts w:hint="eastAsia" w:ascii="宋体" w:hAnsi="宋体" w:eastAsia="宋体" w:cs="宋体"/>
                <w:sz w:val="21"/>
                <w:szCs w:val="21"/>
                <w:lang w:val="en-US" w:eastAsia="zh-CN" w:bidi="ar"/>
              </w:rPr>
              <w:t>在没有国家标准和行业标准的情况下，地方政府、省级主管部门、财政部门可根据历史数据、统计数据、调研数据等设定绩效标准，可根据四川的实际情况按经济片区分设标准。</w:t>
            </w:r>
            <w:r>
              <w:rPr>
                <w:rStyle w:val="17"/>
                <w:rFonts w:hint="eastAsia" w:ascii="宋体" w:hAnsi="宋体" w:eastAsia="宋体" w:cs="宋体"/>
                <w:sz w:val="21"/>
                <w:szCs w:val="21"/>
                <w:lang w:val="en-US" w:eastAsia="zh-CN" w:bidi="ar"/>
              </w:rPr>
              <w:br w:type="textWrapping"/>
            </w:r>
            <w:r>
              <w:rPr>
                <w:rStyle w:val="16"/>
                <w:rFonts w:hint="eastAsia" w:ascii="宋体" w:hAnsi="宋体" w:eastAsia="宋体" w:cs="宋体"/>
                <w:sz w:val="21"/>
                <w:szCs w:val="21"/>
                <w:lang w:val="en-US" w:eastAsia="zh-CN" w:bidi="ar"/>
              </w:rPr>
              <w:t>申报标准：</w:t>
            </w:r>
            <w:r>
              <w:rPr>
                <w:rStyle w:val="17"/>
                <w:rFonts w:hint="eastAsia" w:ascii="宋体" w:hAnsi="宋体" w:eastAsia="宋体" w:cs="宋体"/>
                <w:sz w:val="21"/>
                <w:szCs w:val="21"/>
                <w:lang w:val="en-US" w:eastAsia="zh-CN" w:bidi="ar"/>
              </w:rPr>
              <w:t>对新实施的政策项目且相关基础数据匮乏的基础上，各方根据试点探索商定绩效标准，并在以后年度动态修订完善。</w:t>
            </w:r>
            <w:r>
              <w:rPr>
                <w:rStyle w:val="17"/>
                <w:rFonts w:hint="eastAsia" w:ascii="宋体" w:hAnsi="宋体" w:eastAsia="宋体" w:cs="宋体"/>
                <w:sz w:val="21"/>
                <w:szCs w:val="21"/>
                <w:lang w:val="en-US" w:eastAsia="zh-CN" w:bidi="ar"/>
              </w:rPr>
              <w:br w:type="textWrapping"/>
            </w:r>
            <w:r>
              <w:rPr>
                <w:rStyle w:val="17"/>
                <w:rFonts w:hint="eastAsia" w:ascii="宋体" w:hAnsi="宋体" w:eastAsia="宋体" w:cs="宋体"/>
                <w:sz w:val="21"/>
                <w:szCs w:val="21"/>
                <w:lang w:val="en-US" w:eastAsia="zh-CN" w:bidi="ar"/>
              </w:rPr>
              <w:t>3、★为核心指标，需要评价组重点关注深入分析。未涉及个性指标的项目，其分值权重按比例调整到其他效果指标。</w:t>
            </w:r>
          </w:p>
        </w:tc>
        <w:tc>
          <w:tcPr>
            <w:tcW w:w="114"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bCs/>
                <w:i w:val="0"/>
                <w:iCs w:val="0"/>
                <w:color w:val="000000"/>
                <w:sz w:val="21"/>
                <w:szCs w:val="21"/>
                <w:u w:val="none"/>
              </w:rPr>
            </w:pPr>
          </w:p>
        </w:tc>
        <w:tc>
          <w:tcPr>
            <w:tcW w:w="98"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0" w:hRule="atLeast"/>
        </w:trPr>
        <w:tc>
          <w:tcPr>
            <w:tcW w:w="4787" w:type="pct"/>
            <w:gridSpan w:val="23"/>
            <w:vMerge w:val="continue"/>
            <w:tcBorders>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bCs/>
                <w:i w:val="0"/>
                <w:iCs w:val="0"/>
                <w:color w:val="000000"/>
                <w:sz w:val="21"/>
                <w:szCs w:val="21"/>
                <w:u w:val="none"/>
              </w:rPr>
            </w:pPr>
          </w:p>
        </w:tc>
        <w:tc>
          <w:tcPr>
            <w:tcW w:w="114"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bCs/>
                <w:i w:val="0"/>
                <w:iCs w:val="0"/>
                <w:color w:val="000000"/>
                <w:sz w:val="21"/>
                <w:szCs w:val="21"/>
                <w:u w:val="none"/>
              </w:rPr>
            </w:pPr>
          </w:p>
        </w:tc>
        <w:tc>
          <w:tcPr>
            <w:tcW w:w="98"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bCs/>
                <w:i w:val="0"/>
                <w:iCs w:val="0"/>
                <w:color w:val="000000"/>
                <w:sz w:val="21"/>
                <w:szCs w:val="21"/>
                <w:u w:val="none"/>
              </w:rPr>
            </w:pPr>
          </w:p>
        </w:tc>
      </w:tr>
    </w:tbl>
    <w:p>
      <w:pPr>
        <w:pStyle w:val="2"/>
        <w:rPr>
          <w:rFonts w:hint="eastAsia"/>
          <w:lang w:val="en-US" w:eastAsia="zh-CN"/>
        </w:rPr>
        <w:sectPr>
          <w:pgSz w:w="23811" w:h="16838" w:orient="landscape"/>
          <w:pgMar w:top="1134" w:right="1134" w:bottom="1134" w:left="1134" w:header="851" w:footer="992" w:gutter="0"/>
          <w:pgNumType w:fmt="decimal"/>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广元市城乡建设用地增减挂钩试点项目省市</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联合核查经费项目支出绩效自评报告</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一、项目概况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（一）项目基本情况。</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1.项目主管部门基本职能</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val="0"/>
          <w:bCs w:val="0"/>
          <w:sz w:val="32"/>
          <w:szCs w:val="32"/>
          <w:lang w:val="en-US" w:eastAsia="zh-CN"/>
        </w:rPr>
        <w:t>我局</w:t>
      </w:r>
      <w:r>
        <w:rPr>
          <w:rFonts w:hint="eastAsia" w:ascii="仿宋_GB2312" w:hAnsi="仿宋_GB2312" w:cs="仿宋_GB2312"/>
          <w:b w:val="0"/>
          <w:bCs w:val="0"/>
          <w:sz w:val="32"/>
          <w:szCs w:val="32"/>
          <w:lang w:val="en-US" w:eastAsia="zh-CN"/>
        </w:rPr>
        <w:t>规划用途管制科</w:t>
      </w:r>
      <w:r>
        <w:rPr>
          <w:rFonts w:hint="eastAsia" w:ascii="仿宋_GB2312" w:hAnsi="仿宋_GB2312" w:eastAsia="仿宋_GB2312" w:cs="仿宋_GB2312"/>
          <w:b w:val="0"/>
          <w:bCs w:val="0"/>
          <w:sz w:val="32"/>
          <w:szCs w:val="32"/>
          <w:lang w:val="en-US" w:eastAsia="zh-CN"/>
        </w:rPr>
        <w:t>在开展该项目的职能职责是：开展省市联合核查的城乡建设用地增减挂钩项目进行技术核查、验收工作。</w:t>
      </w:r>
    </w:p>
    <w:p>
      <w:pPr>
        <w:pStyle w:val="6"/>
        <w:keepNext w:val="0"/>
        <w:keepLines w:val="0"/>
        <w:pageBreakBefore w:val="0"/>
        <w:widowControl w:val="0"/>
        <w:numPr>
          <w:ilvl w:val="0"/>
          <w:numId w:val="0"/>
        </w:numPr>
        <w:kinsoku/>
        <w:wordWrap/>
        <w:overflowPunct/>
        <w:topLinePunct w:val="0"/>
        <w:autoSpaceDE/>
        <w:autoSpaceDN/>
        <w:bidi w:val="0"/>
        <w:spacing w:line="550" w:lineRule="exact"/>
        <w:ind w:left="0" w:leftChars="0" w:right="0" w:rightChars="0" w:firstLine="643"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2、项目立项、资金申报的依据</w:t>
      </w:r>
      <w:r>
        <w:rPr>
          <w:rFonts w:hint="eastAsia" w:ascii="仿宋_GB2312" w:hAnsi="仿宋_GB2312" w:eastAsia="仿宋_GB2312" w:cs="仿宋_GB2312"/>
          <w:spacing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50" w:lineRule="exact"/>
        <w:ind w:left="0" w:leftChars="0" w:right="0" w:rightChars="0" w:firstLine="640" w:firstLineChars="200"/>
        <w:jc w:val="both"/>
        <w:textAlignment w:val="auto"/>
        <w:rPr>
          <w:rFonts w:hint="default"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四川省自然资源厅《关于进一步改进和优化城乡建设用地增减挂钩管理工作的通知》（川自然资发[2019]44号）和《关于印发&lt;四川省城乡建设用地增减挂钩管理工作技术指导&gt;的通知（川自然资发[2019]70号）</w:t>
      </w:r>
      <w:r>
        <w:rPr>
          <w:rFonts w:hint="eastAsia" w:ascii="仿宋_GB2312" w:hAnsi="仿宋_GB2312" w:cs="仿宋_GB2312"/>
          <w:spacing w:val="0"/>
          <w:sz w:val="32"/>
          <w:szCs w:val="32"/>
          <w:lang w:val="en-US" w:eastAsia="zh-CN"/>
        </w:rPr>
        <w:t>，为推进项目开展，根据项目内我局申报财政资金100万元。</w:t>
      </w:r>
    </w:p>
    <w:p>
      <w:pPr>
        <w:pStyle w:val="6"/>
        <w:keepNext w:val="0"/>
        <w:keepLines w:val="0"/>
        <w:pageBreakBefore w:val="0"/>
        <w:widowControl w:val="0"/>
        <w:numPr>
          <w:ilvl w:val="0"/>
          <w:numId w:val="0"/>
        </w:numPr>
        <w:kinsoku/>
        <w:wordWrap/>
        <w:overflowPunct/>
        <w:topLinePunct w:val="0"/>
        <w:autoSpaceDE/>
        <w:autoSpaceDN/>
        <w:bidi w:val="0"/>
        <w:spacing w:line="550" w:lineRule="exact"/>
        <w:ind w:left="0" w:leftChars="0" w:right="0" w:rightChars="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3、资金或项目管理办法制定情况。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sz w:val="32"/>
          <w:szCs w:val="32"/>
          <w:lang w:eastAsia="zh-CN"/>
        </w:rPr>
        <w:t>广元</w:t>
      </w:r>
      <w:r>
        <w:rPr>
          <w:rFonts w:hint="eastAsia" w:ascii="仿宋_GB2312" w:hAnsi="仿宋_GB2312" w:eastAsia="仿宋_GB2312" w:cs="仿宋_GB2312"/>
          <w:sz w:val="32"/>
          <w:szCs w:val="32"/>
          <w:lang w:val="en-US" w:eastAsia="zh-CN"/>
        </w:rPr>
        <w:t>市自然资源局</w:t>
      </w:r>
      <w:r>
        <w:rPr>
          <w:rFonts w:hint="eastAsia" w:ascii="仿宋_GB2312" w:hAnsi="仿宋_GB2312" w:eastAsia="仿宋_GB2312" w:cs="仿宋_GB2312"/>
          <w:sz w:val="32"/>
          <w:szCs w:val="32"/>
        </w:rPr>
        <w:t>严格按照财务管理相关制度规定，建立健全财务管理制度及内控制度，加强对</w:t>
      </w:r>
      <w:r>
        <w:rPr>
          <w:rFonts w:hint="eastAsia" w:ascii="仿宋_GB2312" w:hAnsi="仿宋_GB2312" w:eastAsia="仿宋_GB2312" w:cs="仿宋_GB2312"/>
          <w:sz w:val="32"/>
          <w:szCs w:val="32"/>
          <w:lang w:val="en-US" w:eastAsia="zh-CN"/>
        </w:rPr>
        <w:t>该项目</w:t>
      </w:r>
      <w:r>
        <w:rPr>
          <w:rFonts w:hint="eastAsia" w:ascii="仿宋_GB2312" w:hAnsi="仿宋_GB2312" w:eastAsia="仿宋_GB2312" w:cs="仿宋_GB2312"/>
          <w:sz w:val="32"/>
          <w:szCs w:val="32"/>
        </w:rPr>
        <w:t>工作经费的使用管理，按照专项资金管理办法做好项目实施和监管，及时、规范进行账务处理及会计核算。切实做到专款专用，最大可能发挥专项资金作用。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5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p>
    <w:p>
      <w:pPr>
        <w:pStyle w:val="6"/>
        <w:keepNext w:val="0"/>
        <w:keepLines w:val="0"/>
        <w:pageBreakBefore w:val="0"/>
        <w:widowControl w:val="0"/>
        <w:numPr>
          <w:ilvl w:val="0"/>
          <w:numId w:val="0"/>
        </w:numPr>
        <w:kinsoku/>
        <w:wordWrap/>
        <w:overflowPunct/>
        <w:topLinePunct w:val="0"/>
        <w:autoSpaceDE/>
        <w:autoSpaceDN/>
        <w:bidi w:val="0"/>
        <w:spacing w:line="550" w:lineRule="exact"/>
        <w:ind w:left="0" w:leftChars="0" w:right="0" w:rightChars="0" w:firstLine="640" w:firstLineChars="200"/>
        <w:jc w:val="both"/>
        <w:textAlignment w:val="auto"/>
        <w:rPr>
          <w:rFonts w:hint="eastAsia" w:ascii="仿宋_GB2312" w:hAnsi="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4.资金分配的原则与考虑因数</w:t>
      </w:r>
      <w:r>
        <w:rPr>
          <w:rFonts w:hint="eastAsia" w:ascii="仿宋_GB2312" w:hAnsi="仿宋_GB2312" w:cs="仿宋_GB2312"/>
          <w:b w:val="0"/>
          <w:bCs w:val="0"/>
          <w:sz w:val="32"/>
          <w:szCs w:val="32"/>
          <w:lang w:val="en-US" w:eastAsia="zh-CN"/>
        </w:rPr>
        <w:t>。</w:t>
      </w:r>
    </w:p>
    <w:p>
      <w:pPr>
        <w:pStyle w:val="6"/>
        <w:keepNext w:val="0"/>
        <w:keepLines w:val="0"/>
        <w:pageBreakBefore w:val="0"/>
        <w:widowControl w:val="0"/>
        <w:numPr>
          <w:ilvl w:val="0"/>
          <w:numId w:val="0"/>
        </w:numPr>
        <w:kinsoku/>
        <w:wordWrap/>
        <w:overflowPunct/>
        <w:topLinePunct w:val="0"/>
        <w:autoSpaceDE/>
        <w:autoSpaceDN/>
        <w:bidi w:val="0"/>
        <w:spacing w:line="55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000000"/>
          <w:sz w:val="32"/>
          <w:szCs w:val="32"/>
          <w:lang w:val="en-US" w:eastAsia="zh-CN"/>
        </w:rPr>
        <w:t>该项目属于广元市自然资源局实施的项目，财政根据相关文件和程序拨付，我局按照</w:t>
      </w:r>
      <w:r>
        <w:rPr>
          <w:rFonts w:hint="eastAsia" w:ascii="仿宋_GB2312" w:hAnsi="仿宋_GB2312" w:cs="仿宋_GB2312"/>
          <w:color w:val="000000"/>
          <w:sz w:val="32"/>
          <w:szCs w:val="32"/>
          <w:lang w:val="en-US" w:eastAsia="zh-CN"/>
        </w:rPr>
        <w:t>政府采购及</w:t>
      </w:r>
      <w:r>
        <w:rPr>
          <w:rFonts w:hint="eastAsia" w:ascii="仿宋_GB2312" w:hAnsi="仿宋_GB2312" w:eastAsia="仿宋_GB2312" w:cs="仿宋_GB2312"/>
          <w:color w:val="000000"/>
          <w:sz w:val="32"/>
          <w:szCs w:val="32"/>
          <w:lang w:val="en-US" w:eastAsia="zh-CN"/>
        </w:rPr>
        <w:t>合同约定直接支付作业单位</w:t>
      </w:r>
      <w:r>
        <w:rPr>
          <w:rFonts w:hint="eastAsia" w:ascii="仿宋_GB2312" w:hAnsi="仿宋_GB2312" w:eastAsia="仿宋_GB2312" w:cs="仿宋_GB2312"/>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zh-CN" w:eastAsia="zh-CN"/>
        </w:rPr>
        <w:t>（</w:t>
      </w:r>
      <w:r>
        <w:rPr>
          <w:rFonts w:hint="eastAsia" w:ascii="楷体_GB2312" w:hAnsi="楷体_GB2312" w:eastAsia="楷体_GB2312" w:cs="楷体_GB2312"/>
          <w:b w:val="0"/>
          <w:bCs w:val="0"/>
          <w:sz w:val="32"/>
          <w:szCs w:val="32"/>
          <w:lang w:val="en-US" w:eastAsia="zh-CN"/>
        </w:rPr>
        <w:t>二</w:t>
      </w:r>
      <w:r>
        <w:rPr>
          <w:rFonts w:hint="eastAsia" w:ascii="楷体_GB2312" w:hAnsi="楷体_GB2312" w:eastAsia="楷体_GB2312" w:cs="楷体_GB2312"/>
          <w:b w:val="0"/>
          <w:bCs w:val="0"/>
          <w:sz w:val="32"/>
          <w:szCs w:val="32"/>
          <w:lang w:val="zh-CN" w:eastAsia="zh-CN"/>
        </w:rPr>
        <w:t>）项目绩效目标</w:t>
      </w:r>
    </w:p>
    <w:p>
      <w:pPr>
        <w:pStyle w:val="6"/>
        <w:keepNext w:val="0"/>
        <w:keepLines w:val="0"/>
        <w:pageBreakBefore w:val="0"/>
        <w:widowControl w:val="0"/>
        <w:numPr>
          <w:ilvl w:val="0"/>
          <w:numId w:val="0"/>
        </w:numPr>
        <w:kinsoku/>
        <w:wordWrap/>
        <w:overflowPunct/>
        <w:topLinePunct w:val="0"/>
        <w:autoSpaceDE/>
        <w:autoSpaceDN/>
        <w:bidi w:val="0"/>
        <w:spacing w:line="55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1.项目主要内容：对2020年1月至2021年4月底的城乡建设用地增减挂钩项目进行技术核查、验收等工作。</w:t>
      </w:r>
    </w:p>
    <w:p>
      <w:pPr>
        <w:keepNext w:val="0"/>
        <w:keepLines w:val="0"/>
        <w:pageBreakBefore w:val="0"/>
        <w:widowControl w:val="0"/>
        <w:numPr>
          <w:ilvl w:val="0"/>
          <w:numId w:val="4"/>
        </w:numPr>
        <w:kinsoku/>
        <w:wordWrap/>
        <w:overflowPunct/>
        <w:topLinePunct w:val="0"/>
        <w:autoSpaceDE/>
        <w:autoSpaceDN/>
        <w:bidi w:val="0"/>
        <w:adjustRightInd w:val="0"/>
        <w:snapToGrid w:val="0"/>
        <w:spacing w:line="55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项目预计实现的目标：预计核查项目41个，核查面积10077亩，签订结余指标流转协议8个，流转面积4666亩，合同价款13.99亿元，本次技术核查后预计产生结余指标6527亩，有利保障全市新增建设用地需求，复垦耕地9300亩，有效促进农村生态环境改善，农户集中安置点建设推动了农村基础设施的进一步完善，助推乡村振兴。</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3.项目申报内容与具体实施内容相符、申报目标合理可行。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en-US" w:eastAsia="zh-CN"/>
        </w:rPr>
        <w:t>（三）</w:t>
      </w:r>
      <w:r>
        <w:rPr>
          <w:rFonts w:hint="eastAsia" w:ascii="楷体_GB2312" w:hAnsi="楷体_GB2312" w:eastAsia="楷体_GB2312" w:cs="楷体_GB2312"/>
          <w:b w:val="0"/>
          <w:bCs w:val="0"/>
          <w:sz w:val="32"/>
          <w:szCs w:val="32"/>
          <w:lang w:val="zh-CN" w:eastAsia="zh-CN"/>
        </w:rPr>
        <w:t>项目自评步骤及方法</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按照项目评价要求，明确自评责任人，组织验收小组，通过验收报告资料等形式严格自评，做到自评真实。</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二、项目资金申报及使用情况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w:t>
      </w:r>
      <w:r>
        <w:rPr>
          <w:rFonts w:hint="eastAsia" w:ascii="楷体_GB2312" w:hAnsi="楷体_GB2312" w:eastAsia="楷体_GB2312" w:cs="楷体_GB2312"/>
          <w:b w:val="0"/>
          <w:bCs w:val="0"/>
          <w:sz w:val="32"/>
          <w:szCs w:val="32"/>
          <w:lang w:val="en-US" w:eastAsia="zh-CN"/>
        </w:rPr>
        <w:t>一</w:t>
      </w:r>
      <w:r>
        <w:rPr>
          <w:rFonts w:hint="eastAsia" w:ascii="楷体_GB2312" w:hAnsi="楷体_GB2312" w:eastAsia="楷体_GB2312" w:cs="楷体_GB2312"/>
          <w:b w:val="0"/>
          <w:bCs w:val="0"/>
          <w:sz w:val="32"/>
          <w:szCs w:val="32"/>
          <w:lang w:val="zh-CN" w:eastAsia="zh-CN"/>
        </w:rPr>
        <w:t>）项目资金申报及批复情况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该项目资金年底根据相关文件和技术服务合同，我局</w:t>
      </w:r>
      <w:r>
        <w:rPr>
          <w:rFonts w:hint="eastAsia" w:ascii="仿宋_GB2312" w:hAnsi="仿宋_GB2312" w:cs="仿宋_GB2312"/>
          <w:b w:val="0"/>
          <w:bCs w:val="0"/>
          <w:sz w:val="32"/>
          <w:szCs w:val="32"/>
          <w:lang w:val="en-US" w:eastAsia="zh-CN"/>
        </w:rPr>
        <w:t>申报资金100万元，财政批复100万元。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w:t>
      </w:r>
      <w:r>
        <w:rPr>
          <w:rFonts w:hint="eastAsia" w:ascii="楷体_GB2312" w:hAnsi="楷体_GB2312" w:eastAsia="楷体_GB2312" w:cs="楷体_GB2312"/>
          <w:b w:val="0"/>
          <w:bCs w:val="0"/>
          <w:sz w:val="32"/>
          <w:szCs w:val="32"/>
          <w:lang w:val="en-US" w:eastAsia="zh-CN"/>
        </w:rPr>
        <w:t>二</w:t>
      </w:r>
      <w:r>
        <w:rPr>
          <w:rFonts w:hint="eastAsia" w:ascii="楷体_GB2312" w:hAnsi="楷体_GB2312" w:eastAsia="楷体_GB2312" w:cs="楷体_GB2312"/>
          <w:b w:val="0"/>
          <w:bCs w:val="0"/>
          <w:sz w:val="32"/>
          <w:szCs w:val="32"/>
          <w:lang w:val="zh-CN" w:eastAsia="zh-CN"/>
        </w:rPr>
        <w:t>）资金计划、到位及使用情况</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val="zh-CN"/>
        </w:rPr>
        <w:t>）资金计划。</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该项目预算指标</w:t>
      </w:r>
      <w:r>
        <w:rPr>
          <w:rFonts w:hint="eastAsia" w:ascii="仿宋_GB2312" w:hAnsi="仿宋_GB2312" w:eastAsia="仿宋_GB2312" w:cs="仿宋_GB2312"/>
          <w:b w:val="0"/>
          <w:bCs w:val="0"/>
          <w:sz w:val="32"/>
          <w:szCs w:val="32"/>
          <w:lang w:val="en-US" w:eastAsia="zh-CN"/>
        </w:rPr>
        <w:t>100万元，其中市财政资金100万元。</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zh-CN"/>
        </w:rPr>
        <w:t>资金到位。</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zh-CN"/>
        </w:rPr>
        <w:t>截止</w:t>
      </w:r>
      <w:r>
        <w:rPr>
          <w:rFonts w:hint="eastAsia"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年12月31日，</w:t>
      </w:r>
      <w:r>
        <w:rPr>
          <w:rFonts w:hint="eastAsia" w:ascii="仿宋_GB2312" w:hAnsi="仿宋_GB2312" w:eastAsia="仿宋_GB2312" w:cs="仿宋_GB2312"/>
          <w:b w:val="0"/>
          <w:bCs w:val="0"/>
          <w:sz w:val="32"/>
          <w:szCs w:val="32"/>
          <w:lang w:val="en-US" w:eastAsia="zh-CN"/>
        </w:rPr>
        <w:t>该</w:t>
      </w:r>
      <w:r>
        <w:rPr>
          <w:rFonts w:hint="eastAsia" w:ascii="仿宋_GB2312" w:hAnsi="仿宋_GB2312" w:eastAsia="仿宋_GB2312" w:cs="仿宋_GB2312"/>
          <w:b w:val="0"/>
          <w:bCs w:val="0"/>
          <w:sz w:val="32"/>
          <w:szCs w:val="32"/>
        </w:rPr>
        <w:t>项目到位资金</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val="en-US" w:eastAsia="zh-CN"/>
        </w:rPr>
        <w:t>其中市财政资金100万元。</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zh-CN"/>
        </w:rPr>
        <w:t>资金使用。</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zh-CN"/>
        </w:rPr>
        <w:t>全年支付</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万元，</w:t>
      </w:r>
      <w:r>
        <w:rPr>
          <w:rFonts w:hint="eastAsia" w:ascii="仿宋_GB2312" w:hAnsi="仿宋_GB2312" w:cs="仿宋_GB2312"/>
          <w:b w:val="0"/>
          <w:bCs w:val="0"/>
          <w:sz w:val="32"/>
          <w:szCs w:val="32"/>
          <w:lang w:val="en-US" w:eastAsia="zh-CN"/>
        </w:rPr>
        <w:t>支付</w:t>
      </w:r>
      <w:r>
        <w:rPr>
          <w:rFonts w:hint="eastAsia" w:ascii="仿宋_GB2312" w:hAnsi="仿宋_GB2312" w:eastAsia="仿宋_GB2312" w:cs="仿宋_GB2312"/>
          <w:b w:val="0"/>
          <w:bCs w:val="0"/>
          <w:sz w:val="32"/>
          <w:szCs w:val="32"/>
          <w:lang w:val="en-US" w:eastAsia="zh-CN"/>
        </w:rPr>
        <w:t>率100%，主要用于该项目技术核查服务费。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（二）项目财务管理情况</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我局</w:t>
      </w:r>
      <w:r>
        <w:rPr>
          <w:rFonts w:hint="eastAsia" w:ascii="仿宋_GB2312" w:hAnsi="仿宋_GB2312" w:eastAsia="仿宋_GB2312" w:cs="仿宋_GB2312"/>
          <w:sz w:val="32"/>
          <w:szCs w:val="32"/>
        </w:rPr>
        <w:t>严格按照财务管理相关制度规定，建立健全财务管理制度及内控制度，加强对</w:t>
      </w:r>
      <w:r>
        <w:rPr>
          <w:rFonts w:hint="eastAsia" w:ascii="仿宋_GB2312" w:hAnsi="仿宋_GB2312" w:cs="仿宋_GB2312"/>
          <w:sz w:val="32"/>
          <w:szCs w:val="32"/>
          <w:lang w:val="en-US" w:eastAsia="zh-CN"/>
        </w:rPr>
        <w:t>该</w:t>
      </w:r>
      <w:r>
        <w:rPr>
          <w:rFonts w:hint="eastAsia" w:ascii="仿宋_GB2312" w:hAnsi="仿宋_GB2312" w:eastAsia="仿宋_GB2312" w:cs="仿宋_GB2312"/>
          <w:sz w:val="32"/>
          <w:szCs w:val="32"/>
          <w:lang w:val="en-US" w:eastAsia="zh-CN"/>
        </w:rPr>
        <w:t>项目</w:t>
      </w:r>
      <w:r>
        <w:rPr>
          <w:rFonts w:hint="eastAsia" w:ascii="仿宋_GB2312" w:hAnsi="仿宋_GB2312" w:cs="仿宋_GB2312"/>
          <w:sz w:val="32"/>
          <w:szCs w:val="32"/>
          <w:lang w:val="en-US" w:eastAsia="zh-CN"/>
        </w:rPr>
        <w:t>资金</w:t>
      </w:r>
      <w:r>
        <w:rPr>
          <w:rFonts w:hint="eastAsia" w:ascii="仿宋_GB2312" w:hAnsi="仿宋_GB2312" w:eastAsia="仿宋_GB2312" w:cs="仿宋_GB2312"/>
          <w:sz w:val="32"/>
          <w:szCs w:val="32"/>
        </w:rPr>
        <w:t>的使用管理，按照专项资金管理办法做好项目实施和监管，及时、规范进行账务处理及会计核算。切实做到专款专用，最大可能发挥专项资金作用。</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zh-CN" w:eastAsia="zh-CN"/>
        </w:rPr>
        <w:t>三、项目实施及管理情况</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我局</w:t>
      </w:r>
      <w:r>
        <w:rPr>
          <w:rFonts w:hint="eastAsia" w:ascii="仿宋_GB2312" w:hAnsi="仿宋_GB2312" w:eastAsia="仿宋_GB2312" w:cs="仿宋_GB2312"/>
          <w:sz w:val="32"/>
          <w:szCs w:val="32"/>
        </w:rPr>
        <w:t>严格按照项目管理有关规定管理专项经费，为保障项目资金安全，确保资金专款专用， 从资金申请、资金使用、会计核算三个环节加强资金管理，在项目资金申请环节，严格按照国库集中支付流程申请财政资金；在资金使用环节，严格遵守相关法律法规规定，严格按照单位财务管理审批流程办理款项支付；在会计核算环节，对</w:t>
      </w:r>
      <w:r>
        <w:rPr>
          <w:rFonts w:hint="eastAsia" w:ascii="仿宋_GB2312" w:hAnsi="仿宋_GB2312" w:cs="仿宋_GB2312"/>
          <w:sz w:val="32"/>
          <w:szCs w:val="32"/>
          <w:lang w:val="en-US" w:eastAsia="zh-CN"/>
        </w:rPr>
        <w:t>该</w:t>
      </w:r>
      <w:r>
        <w:rPr>
          <w:rFonts w:hint="eastAsia" w:ascii="仿宋_GB2312" w:hAnsi="仿宋_GB2312" w:eastAsia="仿宋_GB2312" w:cs="仿宋_GB2312"/>
          <w:sz w:val="32"/>
          <w:szCs w:val="32"/>
        </w:rPr>
        <w:t>项目资金实行单独核算，确保专款专用。</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黑体" w:hAnsi="黑体" w:eastAsia="黑体" w:cs="黑体"/>
          <w:b w:val="0"/>
          <w:bCs w:val="0"/>
          <w:sz w:val="32"/>
          <w:szCs w:val="32"/>
          <w:lang w:val="zh-CN" w:eastAsia="zh-CN"/>
        </w:rPr>
      </w:pPr>
      <w:r>
        <w:rPr>
          <w:rFonts w:hint="eastAsia" w:ascii="黑体" w:hAnsi="黑体" w:eastAsia="黑体" w:cs="黑体"/>
          <w:b w:val="0"/>
          <w:bCs w:val="0"/>
          <w:sz w:val="32"/>
          <w:szCs w:val="32"/>
          <w:lang w:val="en-US" w:eastAsia="zh-CN"/>
        </w:rPr>
        <w:t>四、项目绩效情况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w:t>
      </w:r>
      <w:r>
        <w:rPr>
          <w:rFonts w:hint="eastAsia" w:ascii="楷体_GB2312" w:hAnsi="楷体_GB2312" w:eastAsia="楷体_GB2312" w:cs="楷体_GB2312"/>
          <w:b w:val="0"/>
          <w:bCs w:val="0"/>
          <w:sz w:val="32"/>
          <w:szCs w:val="32"/>
          <w:lang w:val="en-US" w:eastAsia="zh-CN"/>
        </w:rPr>
        <w:t>一</w:t>
      </w:r>
      <w:r>
        <w:rPr>
          <w:rFonts w:hint="eastAsia" w:ascii="楷体_GB2312" w:hAnsi="楷体_GB2312" w:eastAsia="楷体_GB2312" w:cs="楷体_GB2312"/>
          <w:b w:val="0"/>
          <w:bCs w:val="0"/>
          <w:sz w:val="32"/>
          <w:szCs w:val="32"/>
          <w:lang w:val="zh-CN" w:eastAsia="zh-CN"/>
        </w:rPr>
        <w:t>）项目完成情况</w:t>
      </w:r>
    </w:p>
    <w:p>
      <w:pPr>
        <w:pStyle w:val="8"/>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2021年省自然资源厅向我市下达7500亩增减挂钩计划指标，在规定的时间内完成了41个增减挂钩项目面积10077亩的技术核查并完成县级验收，已报送省厅开展省市联合核查。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w:t>
      </w:r>
      <w:r>
        <w:rPr>
          <w:rFonts w:hint="eastAsia" w:ascii="楷体_GB2312" w:hAnsi="楷体_GB2312" w:eastAsia="楷体_GB2312" w:cs="楷体_GB2312"/>
          <w:b w:val="0"/>
          <w:bCs w:val="0"/>
          <w:sz w:val="32"/>
          <w:szCs w:val="32"/>
          <w:lang w:val="en-US" w:eastAsia="zh-CN"/>
        </w:rPr>
        <w:t>二</w:t>
      </w:r>
      <w:r>
        <w:rPr>
          <w:rFonts w:hint="eastAsia" w:ascii="楷体_GB2312" w:hAnsi="楷体_GB2312" w:eastAsia="楷体_GB2312" w:cs="楷体_GB2312"/>
          <w:b w:val="0"/>
          <w:bCs w:val="0"/>
          <w:sz w:val="32"/>
          <w:szCs w:val="32"/>
          <w:lang w:val="zh-CN" w:eastAsia="zh-CN"/>
        </w:rPr>
        <w:t>）项目效益情况</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仿宋_GB2312" w:hAnsi="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1.经济效益：通过该项目的实施，签订结余指标流转协议8个，流转面积4666亩</w:t>
      </w:r>
      <w:r>
        <w:rPr>
          <w:rFonts w:hint="eastAsia" w:ascii="仿宋_GB2312" w:hAnsi="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cs="仿宋_GB2312"/>
          <w:b w:val="0"/>
          <w:bCs w:val="0"/>
          <w:sz w:val="32"/>
          <w:szCs w:val="32"/>
          <w:lang w:val="en-US" w:eastAsia="zh-CN"/>
        </w:rPr>
        <w:t>社会</w:t>
      </w:r>
      <w:r>
        <w:rPr>
          <w:rFonts w:hint="eastAsia" w:ascii="仿宋_GB2312" w:hAnsi="仿宋_GB2312" w:eastAsia="仿宋_GB2312" w:cs="仿宋_GB2312"/>
          <w:b w:val="0"/>
          <w:bCs w:val="0"/>
          <w:sz w:val="32"/>
          <w:szCs w:val="32"/>
          <w:lang w:val="en-US" w:eastAsia="zh-CN"/>
        </w:rPr>
        <w:t>效益：本次技术核查后预计产出结余指标6527亩，有力保障了全市新增建设用地的需求。</w:t>
      </w:r>
    </w:p>
    <w:p>
      <w:pPr>
        <w:pStyle w:val="8"/>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mallCaps w:val="0"/>
          <w:kern w:val="2"/>
          <w:sz w:val="32"/>
          <w:szCs w:val="32"/>
          <w:lang w:val="en-US" w:eastAsia="zh-CN" w:bidi="ar-SA"/>
        </w:rPr>
        <w:t>3.生态效益：通过该项目的实施，增加复垦耕地9300亩，有效地促进了农村生态环境改善，农户集中安置点建设推动了农村基础设施进一步完善，助推乡村振兴。</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黑体" w:hAnsi="黑体" w:eastAsia="黑体" w:cs="黑体"/>
          <w:b w:val="0"/>
          <w:bCs w:val="0"/>
          <w:sz w:val="32"/>
          <w:szCs w:val="32"/>
          <w:lang w:val="zh-CN" w:eastAsia="zh-CN"/>
        </w:rPr>
      </w:pP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lang w:val="zh-CN" w:eastAsia="zh-CN"/>
        </w:rPr>
        <w:t>评价结论及建议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w:t>
      </w:r>
      <w:r>
        <w:rPr>
          <w:rFonts w:hint="eastAsia" w:ascii="楷体_GB2312" w:hAnsi="楷体_GB2312" w:eastAsia="楷体_GB2312" w:cs="楷体_GB2312"/>
          <w:b w:val="0"/>
          <w:bCs w:val="0"/>
          <w:sz w:val="32"/>
          <w:szCs w:val="32"/>
          <w:lang w:val="en-US" w:eastAsia="zh-CN"/>
        </w:rPr>
        <w:t>一</w:t>
      </w:r>
      <w:r>
        <w:rPr>
          <w:rFonts w:hint="eastAsia" w:ascii="楷体_GB2312" w:hAnsi="楷体_GB2312" w:eastAsia="楷体_GB2312" w:cs="楷体_GB2312"/>
          <w:b w:val="0"/>
          <w:bCs w:val="0"/>
          <w:sz w:val="32"/>
          <w:szCs w:val="32"/>
          <w:lang w:val="zh-CN" w:eastAsia="zh-CN"/>
        </w:rPr>
        <w:t>）评价结论</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通过该项目的实施，一是</w:t>
      </w:r>
      <w:r>
        <w:rPr>
          <w:rFonts w:hint="eastAsia" w:ascii="仿宋_GB2312" w:hAnsi="仿宋_GB2312" w:cs="仿宋_GB2312"/>
          <w:b w:val="0"/>
          <w:bCs w:val="0"/>
          <w:sz w:val="32"/>
          <w:szCs w:val="32"/>
          <w:lang w:val="en-US" w:eastAsia="zh-CN"/>
        </w:rPr>
        <w:t>增减挂钩</w:t>
      </w:r>
      <w:r>
        <w:rPr>
          <w:rFonts w:hint="eastAsia" w:ascii="仿宋_GB2312" w:hAnsi="仿宋_GB2312" w:eastAsia="仿宋_GB2312" w:cs="仿宋_GB2312"/>
          <w:b w:val="0"/>
          <w:bCs w:val="0"/>
          <w:sz w:val="32"/>
          <w:szCs w:val="32"/>
          <w:lang w:val="en-US" w:eastAsia="zh-CN"/>
        </w:rPr>
        <w:t>结余指标流转增加了政府收益；</w:t>
      </w:r>
      <w:r>
        <w:rPr>
          <w:rFonts w:hint="eastAsia" w:ascii="仿宋_GB2312" w:hAnsi="仿宋_GB2312" w:eastAsia="仿宋_GB2312" w:cs="仿宋_GB2312"/>
          <w:sz w:val="32"/>
          <w:szCs w:val="32"/>
          <w:lang w:val="en-US" w:eastAsia="zh-CN"/>
        </w:rPr>
        <w:t>二是保障了全市新增建设用地需求；三是促进了农村生态环境的改善。该项目</w:t>
      </w:r>
      <w:r>
        <w:rPr>
          <w:rFonts w:hint="eastAsia" w:ascii="仿宋_GB2312" w:hAnsi="仿宋_GB2312" w:eastAsia="仿宋_GB2312" w:cs="仿宋_GB2312"/>
          <w:b w:val="0"/>
          <w:bCs w:val="0"/>
          <w:sz w:val="32"/>
          <w:szCs w:val="32"/>
          <w:lang w:val="en-US" w:eastAsia="zh-CN"/>
        </w:rPr>
        <w:t>预算编制完整，预算执行到位，做到了财务公开，会计核算真实、完整、规范，无截留和挪用现象，未在项目申报中弄虚作假，套取财政资金的行为。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en-US" w:eastAsia="zh-CN"/>
        </w:rPr>
        <w:t>（二）</w:t>
      </w:r>
      <w:r>
        <w:rPr>
          <w:rFonts w:hint="eastAsia" w:ascii="楷体_GB2312" w:hAnsi="楷体_GB2312" w:eastAsia="楷体_GB2312" w:cs="楷体_GB2312"/>
          <w:b w:val="0"/>
          <w:bCs w:val="0"/>
          <w:sz w:val="32"/>
          <w:szCs w:val="32"/>
          <w:lang w:val="zh-CN" w:eastAsia="zh-CN"/>
        </w:rPr>
        <w:t>相关建议</w:t>
      </w:r>
    </w:p>
    <w:p>
      <w:pPr>
        <w:keepNext w:val="0"/>
        <w:keepLines w:val="0"/>
        <w:pageBreakBefore w:val="0"/>
        <w:widowControl w:val="0"/>
        <w:kinsoku/>
        <w:wordWrap/>
        <w:overflowPunct/>
        <w:topLinePunct w:val="0"/>
        <w:autoSpaceDE/>
        <w:autoSpaceDN/>
        <w:bidi w:val="0"/>
        <w:spacing w:line="52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希望</w:t>
      </w:r>
      <w:r>
        <w:rPr>
          <w:rFonts w:hint="eastAsia" w:ascii="仿宋_GB2312" w:hAnsi="仿宋_GB2312" w:eastAsia="仿宋_GB2312" w:cs="仿宋_GB2312"/>
          <w:sz w:val="32"/>
          <w:szCs w:val="32"/>
          <w:lang w:eastAsia="zh-CN"/>
        </w:rPr>
        <w:t>财政部门加强对预算单位绩效评价工作的培训和指导，</w:t>
      </w:r>
      <w:r>
        <w:rPr>
          <w:rFonts w:hint="eastAsia" w:ascii="仿宋_GB2312" w:hAnsi="仿宋_GB2312" w:eastAsia="仿宋_GB2312" w:cs="仿宋_GB2312"/>
          <w:color w:val="000000"/>
          <w:kern w:val="0"/>
          <w:sz w:val="32"/>
          <w:szCs w:val="32"/>
          <w:shd w:val="clear" w:color="auto" w:fill="FFFFFF"/>
          <w:lang w:val="zh-CN"/>
        </w:rPr>
        <w:t>规范部门预算收支核算，切实提高部门预算收支管理水平，</w:t>
      </w:r>
      <w:r>
        <w:rPr>
          <w:rFonts w:hint="eastAsia" w:ascii="仿宋_GB2312" w:hAnsi="仿宋_GB2312" w:eastAsia="仿宋_GB2312" w:cs="仿宋_GB2312"/>
          <w:sz w:val="32"/>
          <w:szCs w:val="32"/>
          <w:lang w:eastAsia="zh-CN"/>
        </w:rPr>
        <w:t>进一步优化项目绩效考核指标体系，做到合理性与可操作性的有机统一。</w:t>
      </w:r>
    </w:p>
    <w:p>
      <w:pPr>
        <w:pStyle w:val="2"/>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spacing w:line="520" w:lineRule="exact"/>
        <w:ind w:firstLine="5120" w:firstLineChars="1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广元市自然资源局</w:t>
      </w:r>
    </w:p>
    <w:p>
      <w:pPr>
        <w:pStyle w:val="2"/>
        <w:keepNext w:val="0"/>
        <w:keepLines w:val="0"/>
        <w:pageBreakBefore w:val="0"/>
        <w:widowControl w:val="0"/>
        <w:kinsoku/>
        <w:wordWrap/>
        <w:overflowPunct/>
        <w:topLinePunct w:val="0"/>
        <w:autoSpaceDE/>
        <w:autoSpaceDN/>
        <w:bidi w:val="0"/>
        <w:spacing w:line="520" w:lineRule="exact"/>
        <w:ind w:firstLine="5120" w:firstLineChars="1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2023年4月28日</w:t>
      </w:r>
    </w:p>
    <w:p>
      <w:pPr>
        <w:pageBreakBefore w:val="0"/>
        <w:widowControl w:val="0"/>
        <w:kinsoku/>
        <w:wordWrap/>
        <w:overflowPunct/>
        <w:topLinePunct w:val="0"/>
        <w:autoSpaceDE/>
        <w:autoSpaceDN/>
        <w:bidi w:val="0"/>
        <w:spacing w:line="576" w:lineRule="exact"/>
        <w:ind w:left="0" w:leftChars="0" w:right="0" w:rightChars="0" w:firstLine="0" w:firstLineChars="0"/>
        <w:jc w:val="both"/>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pP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br w:type="page"/>
      </w:r>
    </w:p>
    <w:p>
      <w:pPr>
        <w:pStyle w:val="12"/>
        <w:keepNext w:val="0"/>
        <w:keepLines w:val="0"/>
        <w:pageBreakBefore w:val="0"/>
        <w:widowControl w:val="0"/>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rPr>
          <w:rFonts w:hint="eastAsia" w:ascii="黑体" w:hAnsi="黑体" w:eastAsia="黑体" w:cs="黑体"/>
          <w:b w:val="0"/>
          <w:bCs w:val="0"/>
          <w:color w:val="auto"/>
          <w:kern w:val="0"/>
          <w:sz w:val="32"/>
          <w:szCs w:val="32"/>
          <w:highlight w:val="none"/>
          <w:u w:val="none"/>
          <w:shd w:val="clear" w:color="auto" w:fill="FFFFFF"/>
          <w:lang w:val="zh-CN" w:eastAsia="zh-CN"/>
        </w:rPr>
      </w:pPr>
      <w:r>
        <w:rPr>
          <w:rFonts w:hint="eastAsia" w:ascii="黑体" w:hAnsi="黑体" w:eastAsia="黑体" w:cs="黑体"/>
          <w:b w:val="0"/>
          <w:bCs w:val="0"/>
          <w:color w:val="auto"/>
          <w:kern w:val="0"/>
          <w:sz w:val="32"/>
          <w:szCs w:val="32"/>
          <w:highlight w:val="none"/>
          <w:u w:val="none"/>
          <w:shd w:val="clear" w:color="auto" w:fill="FFFFFF"/>
          <w:lang w:val="zh-CN" w:eastAsia="zh-CN"/>
        </w:rPr>
        <w:t>附表</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市级主管部门（单位）项目资金分配涉及</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所有点位自评得分情况表</w:t>
      </w:r>
    </w:p>
    <w:tbl>
      <w:tblPr>
        <w:tblStyle w:val="10"/>
        <w:tblW w:w="8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0"/>
        <w:gridCol w:w="2625"/>
        <w:gridCol w:w="2622"/>
        <w:gridCol w:w="1319"/>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r>
              <w:rPr>
                <w:rFonts w:hint="eastAsia" w:ascii="仿宋_GB2312" w:hAnsi="仿宋_GB2312" w:eastAsia="仿宋_GB2312" w:cs="仿宋_GB2312"/>
                <w:b w:val="0"/>
                <w:bCs w:val="0"/>
                <w:color w:val="auto"/>
                <w:sz w:val="24"/>
                <w:szCs w:val="24"/>
                <w:highlight w:val="none"/>
                <w:u w:val="none"/>
                <w:vertAlign w:val="baseline"/>
                <w:lang w:val="en-US" w:eastAsia="zh-CN"/>
              </w:rPr>
              <w:t>序号</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r>
              <w:rPr>
                <w:rFonts w:hint="eastAsia" w:ascii="仿宋_GB2312" w:hAnsi="仿宋_GB2312" w:eastAsia="仿宋_GB2312" w:cs="仿宋_GB2312"/>
                <w:b w:val="0"/>
                <w:bCs w:val="0"/>
                <w:color w:val="auto"/>
                <w:sz w:val="24"/>
                <w:szCs w:val="24"/>
                <w:highlight w:val="none"/>
                <w:u w:val="none"/>
                <w:vertAlign w:val="baseline"/>
                <w:lang w:val="en-US" w:eastAsia="zh-CN"/>
              </w:rPr>
              <w:t>项目资金末端分配点位</w:t>
            </w: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r>
              <w:rPr>
                <w:rFonts w:hint="eastAsia" w:ascii="仿宋_GB2312" w:hAnsi="仿宋_GB2312" w:eastAsia="仿宋_GB2312" w:cs="仿宋_GB2312"/>
                <w:b w:val="0"/>
                <w:bCs w:val="0"/>
                <w:color w:val="auto"/>
                <w:sz w:val="24"/>
                <w:szCs w:val="24"/>
                <w:highlight w:val="none"/>
                <w:u w:val="none"/>
                <w:vertAlign w:val="baseline"/>
                <w:lang w:val="en" w:eastAsia="zh-CN"/>
              </w:rPr>
              <w:t>自评得分（百分制）</w:t>
            </w: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r>
              <w:rPr>
                <w:rFonts w:hint="eastAsia" w:ascii="仿宋_GB2312" w:hAnsi="仿宋_GB2312" w:eastAsia="仿宋_GB2312" w:cs="仿宋_GB2312"/>
                <w:b w:val="0"/>
                <w:bCs w:val="0"/>
                <w:color w:val="auto"/>
                <w:sz w:val="24"/>
                <w:szCs w:val="24"/>
                <w:highlight w:val="none"/>
                <w:u w:val="none"/>
                <w:vertAlign w:val="baseline"/>
                <w:lang w:val="en-US" w:eastAsia="zh-CN"/>
              </w:rPr>
              <w:t>财政科室审核得分</w:t>
            </w: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r>
              <w:rPr>
                <w:rFonts w:hint="eastAsia" w:ascii="仿宋_GB2312" w:hAnsi="仿宋_GB2312" w:eastAsia="仿宋_GB2312" w:cs="仿宋_GB2312"/>
                <w:b w:val="0"/>
                <w:bCs w:val="0"/>
                <w:color w:val="auto"/>
                <w:sz w:val="24"/>
                <w:szCs w:val="24"/>
                <w:highlight w:val="none"/>
                <w:u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1</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r>
              <w:rPr>
                <w:rFonts w:hint="eastAsia" w:ascii="仿宋_GB2312" w:hAnsi="仿宋_GB2312" w:eastAsia="仿宋_GB2312" w:cs="仿宋_GB2312"/>
                <w:b w:val="0"/>
                <w:bCs w:val="0"/>
                <w:color w:val="auto"/>
                <w:sz w:val="24"/>
                <w:szCs w:val="24"/>
                <w:highlight w:val="none"/>
                <w:u w:val="none"/>
                <w:vertAlign w:val="baseline"/>
                <w:lang w:val="en-US" w:eastAsia="zh-CN"/>
              </w:rPr>
              <w:t>广元市自然资源局局机关</w:t>
            </w: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仿宋_GB2312" w:hAnsi="仿宋_GB2312" w:eastAsia="仿宋_GB2312" w:cs="仿宋_GB2312"/>
                <w:b w:val="0"/>
                <w:bCs w:val="0"/>
                <w:color w:val="auto"/>
                <w:sz w:val="24"/>
                <w:szCs w:val="24"/>
                <w:highlight w:val="none"/>
                <w:u w:val="none"/>
                <w:vertAlign w:val="baseline"/>
                <w:lang w:val="en-US" w:eastAsia="zh-CN"/>
              </w:rPr>
            </w:pPr>
            <w:r>
              <w:rPr>
                <w:rFonts w:hint="eastAsia" w:ascii="仿宋_GB2312" w:hAnsi="仿宋_GB2312" w:cs="仿宋_GB2312"/>
                <w:b w:val="0"/>
                <w:bCs w:val="0"/>
                <w:color w:val="auto"/>
                <w:sz w:val="24"/>
                <w:szCs w:val="24"/>
                <w:highlight w:val="none"/>
                <w:u w:val="none"/>
                <w:vertAlign w:val="baseline"/>
                <w:lang w:val="en-US" w:eastAsia="zh-CN"/>
              </w:rPr>
              <w:t>100</w:t>
            </w: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2</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3</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4</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5</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6</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7</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8</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rPr>
          <w:rFonts w:hint="eastAsia" w:ascii="仿宋_GB2312" w:hAnsi="仿宋_GB2312" w:eastAsia="仿宋_GB2312" w:cs="仿宋_GB2312"/>
          <w:b w:val="0"/>
          <w:bCs w:val="0"/>
          <w:color w:val="auto"/>
          <w:sz w:val="32"/>
          <w:szCs w:val="32"/>
          <w:highlight w:val="none"/>
          <w:u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rPr>
          <w:rFonts w:hint="eastAsia" w:ascii="仿宋_GB2312" w:hAnsi="仿宋_GB2312" w:eastAsia="仿宋_GB2312" w:cs="仿宋_GB2312"/>
          <w:b w:val="0"/>
          <w:bCs w:val="0"/>
          <w:color w:val="auto"/>
          <w:sz w:val="32"/>
          <w:szCs w:val="32"/>
          <w:highlight w:val="none"/>
          <w:u w:val="none"/>
          <w:vertAlign w:val="baseline"/>
          <w:lang w:val="en-US" w:eastAsia="zh-CN"/>
        </w:rPr>
      </w:pPr>
      <w:r>
        <w:rPr>
          <w:rFonts w:hint="eastAsia" w:ascii="仿宋_GB2312" w:hAnsi="仿宋_GB2312" w:eastAsia="仿宋_GB2312" w:cs="仿宋_GB2312"/>
          <w:b w:val="0"/>
          <w:bCs w:val="0"/>
          <w:color w:val="auto"/>
          <w:sz w:val="32"/>
          <w:szCs w:val="32"/>
          <w:highlight w:val="none"/>
          <w:u w:val="none"/>
          <w:vertAlign w:val="baseline"/>
          <w:lang w:val="en-US" w:eastAsia="zh-CN"/>
        </w:rPr>
        <w:t>备注：1、项目资金末端分配点位包括县（区）、市级部门下属单位及一次性单位等。</w:t>
      </w:r>
    </w:p>
    <w:p>
      <w:pPr>
        <w:pageBreakBefore w:val="0"/>
        <w:widowControl w:val="0"/>
        <w:kinsoku/>
        <w:wordWrap/>
        <w:overflowPunct/>
        <w:topLinePunct w:val="0"/>
        <w:autoSpaceDE/>
        <w:autoSpaceDN/>
        <w:bidi w:val="0"/>
        <w:adjustRightInd w:val="0"/>
        <w:snapToGrid w:val="0"/>
        <w:spacing w:line="576" w:lineRule="exact"/>
        <w:ind w:left="0" w:leftChars="0" w:right="0" w:rightChars="0" w:firstLine="0" w:firstLineChars="0"/>
        <w:jc w:val="both"/>
        <w:rPr>
          <w:rFonts w:hint="eastAsia" w:ascii="仿宋_GB2312" w:hAnsi="仿宋_GB2312" w:eastAsia="仿宋_GB2312" w:cs="仿宋_GB2312"/>
          <w:b w:val="0"/>
          <w:bCs w:val="0"/>
          <w:color w:val="auto"/>
          <w:sz w:val="32"/>
          <w:szCs w:val="32"/>
          <w:highlight w:val="none"/>
          <w:u w:val="none"/>
          <w:vertAlign w:val="baseline"/>
          <w:lang w:val="en-US" w:eastAsia="zh-CN"/>
        </w:rPr>
      </w:pPr>
      <w:r>
        <w:rPr>
          <w:rFonts w:hint="eastAsia" w:ascii="仿宋_GB2312" w:hAnsi="仿宋_GB2312" w:eastAsia="仿宋_GB2312" w:cs="仿宋_GB2312"/>
          <w:b w:val="0"/>
          <w:bCs w:val="0"/>
          <w:color w:val="auto"/>
          <w:sz w:val="32"/>
          <w:szCs w:val="32"/>
          <w:highlight w:val="none"/>
          <w:u w:val="none"/>
          <w:vertAlign w:val="baseline"/>
          <w:lang w:val="en-US" w:eastAsia="zh-CN"/>
        </w:rPr>
        <w:t>自评得分（百分制）从高到低划分为优、良、中、差四个档次，各个档次数量占比分别为20%、20%、55%、5%，且不同档次间得分分值应体现差异化，同档次得分分值相同的比例不超过该档次总数量的10%。</w:t>
      </w:r>
    </w:p>
    <w:p>
      <w:pPr>
        <w:pageBreakBefore w:val="0"/>
        <w:widowControl w:val="0"/>
        <w:kinsoku/>
        <w:wordWrap/>
        <w:overflowPunct/>
        <w:topLinePunct w:val="0"/>
        <w:autoSpaceDE/>
        <w:autoSpaceDN/>
        <w:bidi w:val="0"/>
        <w:spacing w:line="576" w:lineRule="exact"/>
        <w:ind w:left="0" w:leftChars="0" w:right="0" w:rightChars="0" w:firstLine="0" w:firstLineChars="0"/>
        <w:jc w:val="both"/>
        <w:rPr>
          <w:rFonts w:hint="eastAsia" w:ascii="仿宋_GB2312" w:hAnsi="仿宋_GB2312" w:eastAsia="仿宋_GB2312" w:cs="仿宋_GB2312"/>
          <w:b/>
          <w:bCs/>
          <w:color w:val="auto"/>
          <w:sz w:val="32"/>
          <w:szCs w:val="32"/>
          <w:highlight w:val="none"/>
          <w:u w:val="none"/>
          <w:vertAlign w:val="baseline"/>
          <w:lang w:val="en-US" w:eastAsia="zh-CN"/>
        </w:rPr>
        <w:sectPr>
          <w:pgSz w:w="11906" w:h="16838"/>
          <w:pgMar w:top="2098" w:right="1474" w:bottom="1984" w:left="1587" w:header="851" w:footer="992" w:gutter="0"/>
          <w:pgNumType w:fmt="decimal"/>
          <w:cols w:space="425" w:num="1"/>
          <w:docGrid w:type="lines" w:linePitch="312" w:charSpace="0"/>
        </w:sectPr>
      </w:pPr>
    </w:p>
    <w:p>
      <w:pPr>
        <w:pStyle w:val="2"/>
        <w:ind w:left="0" w:leftChars="0" w:firstLine="0" w:firstLineChars="0"/>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附件5</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2023年市级专项资金预算项目支出绩效评价指标体系</w:t>
      </w:r>
    </w:p>
    <w:tbl>
      <w:tblPr>
        <w:tblStyle w:val="9"/>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43"/>
        <w:gridCol w:w="456"/>
        <w:gridCol w:w="652"/>
        <w:gridCol w:w="849"/>
        <w:gridCol w:w="871"/>
        <w:gridCol w:w="1381"/>
        <w:gridCol w:w="2005"/>
        <w:gridCol w:w="1050"/>
        <w:gridCol w:w="758"/>
        <w:gridCol w:w="758"/>
        <w:gridCol w:w="758"/>
        <w:gridCol w:w="989"/>
        <w:gridCol w:w="1128"/>
        <w:gridCol w:w="3963"/>
        <w:gridCol w:w="518"/>
        <w:gridCol w:w="518"/>
        <w:gridCol w:w="518"/>
        <w:gridCol w:w="518"/>
        <w:gridCol w:w="492"/>
        <w:gridCol w:w="492"/>
        <w:gridCol w:w="492"/>
        <w:gridCol w:w="614"/>
        <w:gridCol w:w="557"/>
        <w:gridCol w:w="496"/>
        <w:gridCol w:w="4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blHeader/>
        </w:trPr>
        <w:tc>
          <w:tcPr>
            <w:tcW w:w="1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分值权重</w:t>
            </w:r>
          </w:p>
        </w:tc>
        <w:tc>
          <w:tcPr>
            <w:tcW w:w="966" w:type="pct"/>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分层分类指标</w:t>
            </w:r>
          </w:p>
        </w:tc>
        <w:tc>
          <w:tcPr>
            <w:tcW w:w="4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指标解释</w:t>
            </w:r>
          </w:p>
        </w:tc>
        <w:tc>
          <w:tcPr>
            <w:tcW w:w="1249" w:type="pct"/>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评分方法</w:t>
            </w:r>
          </w:p>
        </w:tc>
        <w:tc>
          <w:tcPr>
            <w:tcW w:w="90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评价要点及说明</w:t>
            </w:r>
          </w:p>
        </w:tc>
        <w:tc>
          <w:tcPr>
            <w:tcW w:w="238" w:type="pct"/>
            <w:gridSpan w:val="2"/>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评价方式</w:t>
            </w:r>
          </w:p>
        </w:tc>
        <w:tc>
          <w:tcPr>
            <w:tcW w:w="238"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评价属性</w:t>
            </w:r>
          </w:p>
        </w:tc>
        <w:tc>
          <w:tcPr>
            <w:tcW w:w="598" w:type="pct"/>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定量评价标准</w:t>
            </w:r>
          </w:p>
        </w:tc>
        <w:tc>
          <w:tcPr>
            <w:tcW w:w="1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自评得分</w:t>
            </w:r>
          </w:p>
        </w:tc>
        <w:tc>
          <w:tcPr>
            <w:tcW w:w="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blHeader/>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966"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249" w:type="pct"/>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9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38" w:type="pct"/>
            <w:gridSpan w:val="2"/>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38"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598"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blHeader/>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分层指标</w:t>
            </w:r>
          </w:p>
        </w:tc>
        <w:tc>
          <w:tcPr>
            <w:tcW w:w="34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适用范围</w:t>
            </w: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一级指标</w:t>
            </w:r>
          </w:p>
        </w:tc>
        <w:tc>
          <w:tcPr>
            <w:tcW w:w="31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二级指标</w:t>
            </w: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方法归类</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计算公式</w:t>
            </w:r>
          </w:p>
        </w:tc>
        <w:tc>
          <w:tcPr>
            <w:tcW w:w="9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整体评价</w:t>
            </w:r>
          </w:p>
        </w:tc>
        <w:tc>
          <w:tcPr>
            <w:tcW w:w="1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样本评价</w:t>
            </w:r>
          </w:p>
        </w:tc>
        <w:tc>
          <w:tcPr>
            <w:tcW w:w="1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定性评价</w:t>
            </w:r>
          </w:p>
        </w:tc>
        <w:tc>
          <w:tcPr>
            <w:tcW w:w="1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定量评价</w:t>
            </w:r>
          </w:p>
        </w:tc>
        <w:tc>
          <w:tcPr>
            <w:tcW w:w="1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国家标准</w:t>
            </w:r>
          </w:p>
        </w:tc>
        <w:tc>
          <w:tcPr>
            <w:tcW w:w="1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行业标准</w:t>
            </w:r>
          </w:p>
        </w:tc>
        <w:tc>
          <w:tcPr>
            <w:tcW w:w="1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地方标准</w:t>
            </w:r>
          </w:p>
        </w:tc>
        <w:tc>
          <w:tcPr>
            <w:tcW w:w="1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申报标准</w:t>
            </w:r>
          </w:p>
        </w:tc>
        <w:tc>
          <w:tcPr>
            <w:tcW w:w="1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历史均值</w:t>
            </w:r>
          </w:p>
        </w:tc>
        <w:tc>
          <w:tcPr>
            <w:tcW w:w="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blHeader/>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0.3</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0.6</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0.8</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w:t>
            </w:r>
          </w:p>
        </w:tc>
        <w:tc>
          <w:tcPr>
            <w:tcW w:w="9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w:t>
            </w:r>
          </w:p>
        </w:tc>
        <w:tc>
          <w:tcPr>
            <w:tcW w:w="1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通用指标</w:t>
            </w:r>
          </w:p>
        </w:tc>
        <w:tc>
          <w:tcPr>
            <w:tcW w:w="34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所有项目</w:t>
            </w:r>
          </w:p>
        </w:tc>
        <w:tc>
          <w:tcPr>
            <w:tcW w:w="200"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项目决策</w:t>
            </w: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程序严密</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项目设立是否经过严格评估论证和集体决策，是否与部门职责相符，是否属于公共财政支持范围，是否符合地方事权支出责任划分原则，是否与相关部门同类项目或部门内部相关项目重复</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不完善</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较完善</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完善</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专项项目设立是否经过事前评估或可行性论证，是否符合专项设立的基本规范和程序要求。项目设立是否属于部门职责相符，是否属于公共财政支持范围，符合地方事权支出责任划分原则，是否与相关部门同类项目或部门内部相关项目重复。存在一项不符合的为较完善，存在两项及两项以上不符合的为不完善</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w:t>
            </w:r>
          </w:p>
        </w:tc>
        <w:tc>
          <w:tcPr>
            <w:tcW w:w="1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规划合理★</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项目规划是否符合省委、省政府重大决策部署，是否与项目年度目标一致</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不合理</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较合理</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合理</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项目设立依据是否充分，符合省委、省政府重大决策部署和宏观政策规划，项目年度绩效目标与中长期规划是否一致，项目绩效目标是否具有合理性。样本评价中，规划是否与现实需求匹配，是否存在因规划不够合理导致项目效益欠佳的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w:t>
            </w:r>
          </w:p>
        </w:tc>
        <w:tc>
          <w:tcPr>
            <w:tcW w:w="1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制度完备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项目指导意见、管理办法、申报指南、实施细则等管理制度是否完善，是否存在脱离实际、缺陷、漏洞导致执行偏离预期</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缺（错）项扣分法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发现一处扣0.5分，直至扣完</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主要查看项目的相关管理制度机制是否健全完善，在项目执行过程中，是否存在管理制度有悖于实际的情况，是否存在难以操作、无法落地、执行不畅的情况，是否存在不能满足实际需求，未及时动态调整的情况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w:t>
            </w:r>
          </w:p>
        </w:tc>
        <w:tc>
          <w:tcPr>
            <w:tcW w:w="1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项目实施</w:t>
            </w: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分配合理★</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项目资金分配结果是否与规划计划一致；是否按规定及时分配专项预算资金</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项目法分配的项目，以所有项目点实施完成情况与规划计划情况进行对比。按因素法分配的项目和据实据效分配的项目，将资金分配方向与规划计划支持方向进行对比；省级接到中央一般性转移支付和专项转移支付后，应当在30日内正式下达到本行政区域县级以上各级政府；县级以上地方各级预算安排对下级政府的一般性转移支付和专项转移支付，应当分别在本级人民代表大会批准预算后的30日和60日内正式下达；《预算法》其他规定；分配依据充分的得分，明显不充分扣分。两种情况分值权重各占一半</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4</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w:t>
            </w:r>
          </w:p>
        </w:tc>
        <w:tc>
          <w:tcPr>
            <w:tcW w:w="1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使用合规</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项目资金使用是否符合相关的财务管理制度规定</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缺（错）项扣分法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发现一处扣0.5分，直至扣完</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项目资金是否符合国家财经法规和财务管理制度及有关专项资金管理办法规定；资金拨付是否有完整的审批程序和手续；是否符合项目预算批复或合同规定用途；是否存在截留、挤占、挪用、虚列支出等情况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w:t>
            </w:r>
          </w:p>
        </w:tc>
        <w:tc>
          <w:tcPr>
            <w:tcW w:w="1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执行有效</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项目实施是否符合相关管理制度规定</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缺（错）项扣分法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发现一处扣0.5分，直至扣完</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项目实施是否遵守相关法律法规；项目调整手续是否完备；项目合同、验收报告、技术鉴定等资料是否齐全并及时归档；项目实施的人员条件、场地设备、信息支撑等是否落实到位</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w:t>
            </w:r>
          </w:p>
        </w:tc>
        <w:tc>
          <w:tcPr>
            <w:tcW w:w="1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完成结果</w:t>
            </w: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预算完成★</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项目资金拨付到具体支持对象企业、项目（人）的情况</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指标得分=项目实际到位金额/承诺到位金额×100%*指标分值</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主要查看项目资金拨付到人到户、到项目、到企业与资金总量的对比，配套预算到位率。</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10%</w:t>
            </w:r>
          </w:p>
        </w:tc>
        <w:tc>
          <w:tcPr>
            <w:tcW w:w="1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通用指标</w:t>
            </w:r>
          </w:p>
        </w:tc>
        <w:tc>
          <w:tcPr>
            <w:tcW w:w="34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所有项目</w:t>
            </w: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完成结果</w:t>
            </w: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资金结余★</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项目资金结余的情况</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指标得分=（1-结余率/0.2）*指标分值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结余率大于等于0.2，指标得0分                             结余率=结余金额/省级财政资金预算数×100%                                                                                               </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结余资金是指项目实施周期已结束、项目目标完成或项目提前终止，尚未列支的项目支出预算资金；因项目实施计划调整，不需要继续支出的预算资金；预算批复后连续两年未用完的预算资金。</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10</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w:t>
            </w:r>
          </w:p>
        </w:tc>
        <w:tc>
          <w:tcPr>
            <w:tcW w:w="1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目标完成★</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项目实施后是否完成预期目标</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指标得分=实际完成任务量/绩效目标设定任务量×100%*指标分值  </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主要查看项目实施后产出数量指标完成情况。以样本点资金量为权重，加权计算指标得分。当实际完成任务量/绩效目标设定任务量&gt;1时按1计算</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4</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w:t>
            </w:r>
          </w:p>
        </w:tc>
        <w:tc>
          <w:tcPr>
            <w:tcW w:w="1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完成及时</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项目实际完成时间与计划完成时间的比较，用以反映和考核项目产出实效目标的实现程度</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指标得分=(1-(实际完成时间-计划完成时间)/计划完成时间)×100%*指标分值  </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主要查看项目实际计划完成时间情况，一般以天数、月数或年数为单位。当实际完成时间-计划完成时间小于等于0时得满分；实际完成时间超过计划完成时间1倍时得0分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4</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w:t>
            </w:r>
          </w:p>
        </w:tc>
        <w:tc>
          <w:tcPr>
            <w:tcW w:w="1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违规记录</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项目管理是否合规</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不合规</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3处及以上不合规</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2处不合规</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1处不合规</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合规</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根据审计监督、财政检查结果反映专项管理是否合规</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0" w:hRule="atLeast"/>
        </w:trPr>
        <w:tc>
          <w:tcPr>
            <w:tcW w:w="1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20%</w:t>
            </w:r>
          </w:p>
        </w:tc>
        <w:tc>
          <w:tcPr>
            <w:tcW w:w="1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共性指标</w:t>
            </w:r>
          </w:p>
        </w:tc>
        <w:tc>
          <w:tcPr>
            <w:tcW w:w="34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产业发展项目</w:t>
            </w: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项目效果</w:t>
            </w: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符合性</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项目实施效果是否与绩效目标或申报目标符合</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指标得分=项目实施符合的点位数/所有选点总数×100%*指标分值</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根据项目现场评价实施效果与绩效目标进行对比，汇总所有样本点情况综合分析政策整体吻合度</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20</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成长性★</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反映不同类型产业政策实施对相关行业企业成长性的促进作用，主要反映支持对象的创新、创造、创业能力情况，产业结构情况，持续盈利能力情况</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指标得分=各项具体指标得分的平均分</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根据产业政策实施对象的主营业务收入增长率、净利润增长率或税收增长率等情况综合判断，统计年鉴相关数据为准（主要查看企业2018年度、2019年度财报，2020年根据实际情况收集）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民生保障项目</w:t>
            </w:r>
          </w:p>
        </w:tc>
        <w:tc>
          <w:tcPr>
            <w:tcW w:w="200" w:type="pct"/>
            <w:vMerge w:val="restar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项目效果</w:t>
            </w: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区域均衡性</w:t>
            </w:r>
          </w:p>
        </w:tc>
        <w:tc>
          <w:tcPr>
            <w:tcW w:w="46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项目资金分配体现的均衡公平情况</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不均衡</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较均衡</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均衡</w:t>
            </w:r>
          </w:p>
        </w:tc>
        <w:tc>
          <w:tcPr>
            <w:tcW w:w="909"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按实际分配结果选择客观因素测算验证资金分配方法制定、分配要素设定、基础数据应用、测算依据选取等是否科学合理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对象公平性★</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项目资金分配结果是否公平合理，是否充分考虑地域条件、经济条件等</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不公平</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公平</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主要查看项目资金分配和实施结果是否体现公平公正性，在支持</w:t>
            </w:r>
            <w:r>
              <w:rPr>
                <w:rStyle w:val="15"/>
                <w:rFonts w:hint="eastAsia" w:ascii="宋体" w:hAnsi="宋体" w:eastAsia="宋体" w:cs="宋体"/>
                <w:sz w:val="21"/>
                <w:szCs w:val="21"/>
                <w:lang w:val="en-US" w:eastAsia="zh-CN" w:bidi="ar"/>
              </w:rPr>
              <w:t>范围、标准、程序</w:t>
            </w:r>
            <w:r>
              <w:rPr>
                <w:rStyle w:val="14"/>
                <w:rFonts w:hint="eastAsia" w:ascii="宋体" w:hAnsi="宋体" w:eastAsia="宋体" w:cs="宋体"/>
                <w:sz w:val="21"/>
                <w:szCs w:val="21"/>
                <w:lang w:val="en-US" w:eastAsia="zh-CN" w:bidi="ar"/>
              </w:rPr>
              <w:t>上是否存在明显的排他性和歧视性规定，是否做到大多数和少数的协调统一，统筹兼顾。标黑因素存在一项不公平的按一般档次计算分值，存在两项因素不公平的得0分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社会满意度</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相关群体满意度调查情况</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按根据实际满意度与满意度标准值的比率计算指标得分</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主要调研政策和项目相关方在政策实施过程中的满意值，通过不满意情况汇总分析政策在顶层设计、制度构建、管理实施及成效各环节的情况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基础设施（设备购置）项目</w:t>
            </w: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项目效果</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功能性★</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反映公共基础设施建设功能是否达到计划能力，建成后是否正常并良好运行，延续性是否达到预期</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发现基础设施功能明显未实现预期的，发现一项扣1分，直至扣完</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主要查看建设项目是否实施方案实现预期功能，是否能够持续良好地运作，有效地维护，特别是公共设施类的项目，是否能有效满足人民群众的现实需要</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配套性★</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项目建成后相关工程、点位是否相关协调，配套设施是否整体协调，是否全面衔接发挥整体效益</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较好</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好</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重点查看区域内建设规划在空间分布、功能配套整合、土地利用等方面是否存在明显有违常理，不科学合理的情况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1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30%</w:t>
            </w:r>
          </w:p>
        </w:tc>
        <w:tc>
          <w:tcPr>
            <w:tcW w:w="1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特性指标</w:t>
            </w:r>
          </w:p>
        </w:tc>
        <w:tc>
          <w:tcPr>
            <w:tcW w:w="1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产业发展项目</w:t>
            </w: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工业产业（包括技术改造）</w:t>
            </w: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经济效益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利税增长率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项目实施单位利税增长情况</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指标得分=利税增长率/标准值*指标分值（利税增长率/标准值＞1按1计算，负值按0计算）</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评价年度前三年利税平均增长率（不含评价当年，不足三年按实际存续年限计算）</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投资回报率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项目投产后回报情况</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指标得分=投资回报率/标准值*指标得分（投资回报率/标准值＞1按1计算，负值按0计算）</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投资回报率=项目年新增利税额/项目投入资金总额</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社会贡献率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企业运用资产为社会创造价值的能力</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指标得分=社会贡献率/标准值*指标分值（社会贡献率/标准值＞1按1计算，负值按0计算）</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社会贡献率=社会贡献额/资产总额 ×100%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社会贡献额=工资总额+主营业务税金及附加+利润总额+五险一金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资产总额=（期初资产总额+期末资产总额）/2 </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就业贡献率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企业就业人数增量变化</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指标得分=就业贡献率/标准值*指标分值（就业贡献率/标准值＞1按1计算，负值按0计算）</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就业贡献率=企业三年平均新增就业人数/行业新增就业总人数×100%</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农业产业（包括林业产业）</w:t>
            </w: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经济效益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增加值提升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项目实施涉及产值增长情况</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指标得分=三年产值平均增长率/标准值*指标分值</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产值增长率=当年涉农产值增量/上一年度涉农产值总量×100%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重点查看项目实施区域涉农增加值变动情况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30</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年均收入变动率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项目实施后农户收入变动情况</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指标得分=三年人均年收入增长率/标准值*指标分值（三年人均年收入增长率/标准值负值为0，＞1按1计算）</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人均年收入增长率=（项目实施后人均年收入-项目实施前人均年收入）/项目实施前人均年收入×100%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重点查看三年来农民人均年收入增长变化情况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从业带动能力</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项目带动周边从事相关行业情况</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指标得分=三年平均新增带动就业户数/标准值*指标分值</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通过实地走访、调研、收集带动就业户数相关基础数据进行对比分析</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服务业</w:t>
            </w: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经济效益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消费增长</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项目支持区域内社会消费品零售总额增长情况</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指标得分根据三年社会消费品零售增长变化计算得分，社会消费品零售增长≥标准值的得满分，＜标准值80%的不得分，其余按比值计算得分</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重点收集三年来区域内社会消费品零售增长数据，主要通过官方统计数据采集，同时结合实地调查对比，综合计算指标得分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增加值增长率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项目实施涉及增加值增长情况</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指标得分=三年增加值平均增长率/标准值*指标分值</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增加值增长率=当年服务业增加值增量/上一年度服务业增加值总量×100%。重点查看项目实施区域服务业增加值变动情况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服务效能</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区域内相关事务处理能力提升情况</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较好</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好</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重点查看区域内相关事务处理能力提升状况，通过资料记录查询，现场持续跟踪，走访调研了解等手段综合判断</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30%</w:t>
            </w:r>
          </w:p>
        </w:tc>
        <w:tc>
          <w:tcPr>
            <w:tcW w:w="1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特性指标</w:t>
            </w:r>
          </w:p>
        </w:tc>
        <w:tc>
          <w:tcPr>
            <w:tcW w:w="1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民生保障项目</w:t>
            </w: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社会保障与就业</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基础管理</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审核把关</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项目申报是否真实准确</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指标得分=基础数据真实客观的人数/项目受益总人数×100%*指标分值，基础数据真实客观的人数/项目受益总人数小于70%不得分</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主要查看项目受益人群的精准性和客观性，是否存在因制度机制缺陷或管理疏漏导致审核把关不严的情况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资金使用率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项目资金支付使用情况</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指标得分=资金实际使用金额/资金实际拨付金额×100%*指标分值</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主要查看财政资金实际支付使用，是否存在因制度机制、操作流程、管理疏漏、数据缺失等导致的资金结余，闲置浪费的情况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医疗卫生计生</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基础管理</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服务质量提升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反映服务安全、便捷、规范情况</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较好</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好</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主要调查医疗卫生计生机构提供服务的安全性、便捷程度和规范性</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健康状况改善</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反映区域内居民健康状况改善情况</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较好</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好</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主要包括健康档案使用率、新生儿死亡率、高血压患者控制率等，通过几个主要的维度综合衡量区域内居民健康状况改善情况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教育文化</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基础管理</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对象覆盖全面</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项目区域范围内实施对象覆盖情况</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明显疏漏</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基本覆盖</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全面覆盖</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主要查看项目实施对相关群体的覆盖情况，是否充分考虑主要群体和特殊个体的统一，做到全面覆盖</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项目效果</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教学（文化）设备利用率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反映教育（文化）设备使用情况</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设备使用率=设备使用时间/设备计划用时（分钟、小时、日、月）×100%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指标得分=设备使用率/标准值*指标分值</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主要调查设备工作状态及工作效率的情况，和绩效目标及相关标准对比</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基础设施（设备购置）项目</w:t>
            </w: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交通运输</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完成质量</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是否符合验收标准，达到行业基准水平</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指标得分=项目达标数/实施项目总数×100%*指标分值</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质量达标率＞100%时按100%计算；当质量达标率＜90%时，指标不得分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道路通行能力提升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项目区域内道路通行能力提升情况</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指标得分=实际通行能力/计划通行能力×100%*指标分值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（实际通行能力/计划通行能力＞1按1计算）</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通行能力=设计每小时通车数量，按照各种等级道路通行能力标准测算</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住房保障</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完成质量</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是否符合验收标准，达到行业基准水平</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指标得分=项目达标数/实施项目总数×100%*指标分值</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质量达标率＞100%时按100%计算；当质量达标率＜90%时，指标不得分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保障实现率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项目区域内应保家庭住房保障实现情况</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满意值赋分法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保障实现率达到标准值得满分，每低一个百分点扣1分</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住房保障率=已保家庭户数/应保家庭户数*100%</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城乡社区</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完成质量</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是否符合验收标准，达到行业基准水平</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指标得分=项目达标数/实施项目总数×100%*指标分值</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质量达标率＞100%时按100%计算；当质量达标率＜90%时，指标不得分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运行效率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城乡社区公共设施正常运转情况</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指标得分=运转效率/标准值*指标正分值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（运转效率/标准值＞1按1计算）</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运转效率=政策运转设施个数/设计正常运转设施个数*100%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主要包括城乡社区公共交通、照明、燃气、环境保护、娱乐、体育等相关公共设施正常运转情况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水利设施</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完成质量</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是否符合验收标准，达到行业基准水平</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指标得分=项目达标数/实施项目总数×100%*指标分值</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质量达标率＞100%时按100%计算；当质量达标率＜90%时，指标不得分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0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能力实现率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水利设施设计能实现情况</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指标得分=能力实现率/标准值*指标正分值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（能力实现率/标准值＞1按1计算）</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能力实现率=实现设计能力水利设施个数/水利设施总个数*100%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主要包括水利系统建设用于堤防、河道、水库、水利枢纽、涵闸、灌区、供水、蓄滞洪区等水利工程建设及设备、设施改造维护后能力实现情况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设备购置</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运行状况</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购置的设备常态化运行情况</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w:t>
            </w: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较好</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好</w:t>
            </w: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重点查看购置设备日常使用频率及正常运转情况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10%</w:t>
            </w:r>
          </w:p>
        </w:tc>
        <w:tc>
          <w:tcPr>
            <w:tcW w:w="2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个性指标</w:t>
            </w: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10</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trPr>
        <w:tc>
          <w:tcPr>
            <w:tcW w:w="4787" w:type="pct"/>
            <w:gridSpan w:val="23"/>
            <w:vMerge w:val="restart"/>
            <w:tcBorders>
              <w:top w:val="single" w:color="000000" w:sz="4" w:space="0"/>
              <w:left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Style w:val="16"/>
                <w:rFonts w:hint="eastAsia" w:ascii="宋体" w:hAnsi="宋体" w:eastAsia="宋体" w:cs="宋体"/>
                <w:sz w:val="21"/>
                <w:szCs w:val="21"/>
                <w:lang w:val="en-US" w:eastAsia="zh-CN" w:bidi="ar"/>
              </w:rPr>
            </w:pPr>
            <w:r>
              <w:rPr>
                <w:rStyle w:val="16"/>
                <w:rFonts w:hint="eastAsia" w:ascii="宋体" w:hAnsi="宋体" w:eastAsia="宋体" w:cs="宋体"/>
                <w:sz w:val="21"/>
                <w:szCs w:val="21"/>
                <w:lang w:val="en-US" w:eastAsia="zh-CN" w:bidi="ar"/>
              </w:rPr>
              <w:t>1、评分方法归为六类：（1）是否评分法：</w:t>
            </w:r>
            <w:r>
              <w:rPr>
                <w:rStyle w:val="17"/>
                <w:rFonts w:hint="eastAsia" w:ascii="宋体" w:hAnsi="宋体" w:eastAsia="宋体" w:cs="宋体"/>
                <w:sz w:val="21"/>
                <w:szCs w:val="21"/>
                <w:lang w:val="en-US" w:eastAsia="zh-CN" w:bidi="ar"/>
              </w:rPr>
              <w:t>适用于合规性等正反判断指标，正向满分，反向0分。</w:t>
            </w:r>
            <w:r>
              <w:rPr>
                <w:rStyle w:val="16"/>
                <w:rFonts w:hint="eastAsia" w:ascii="宋体" w:hAnsi="宋体" w:eastAsia="宋体" w:cs="宋体"/>
                <w:sz w:val="21"/>
                <w:szCs w:val="21"/>
                <w:lang w:val="en-US" w:eastAsia="zh-CN" w:bidi="ar"/>
              </w:rPr>
              <w:t>（2）分级评分法：</w:t>
            </w:r>
            <w:r>
              <w:rPr>
                <w:rStyle w:val="17"/>
                <w:rFonts w:hint="eastAsia" w:ascii="宋体" w:hAnsi="宋体" w:eastAsia="宋体" w:cs="宋体"/>
                <w:sz w:val="21"/>
                <w:szCs w:val="21"/>
                <w:lang w:val="en-US" w:eastAsia="zh-CN" w:bidi="ar"/>
              </w:rPr>
              <w:t>指标评分设置n级权重，指标得分按指标值所处区间的权重计算。</w:t>
            </w:r>
            <w:r>
              <w:rPr>
                <w:rStyle w:val="16"/>
                <w:rFonts w:hint="eastAsia" w:ascii="宋体" w:hAnsi="宋体" w:eastAsia="宋体" w:cs="宋体"/>
                <w:sz w:val="21"/>
                <w:szCs w:val="21"/>
                <w:lang w:val="en-US" w:eastAsia="zh-CN" w:bidi="ar"/>
              </w:rPr>
              <w:t>（3）比率分值法：</w:t>
            </w:r>
            <w:r>
              <w:rPr>
                <w:rStyle w:val="17"/>
                <w:rFonts w:hint="eastAsia" w:ascii="宋体" w:hAnsi="宋体" w:eastAsia="宋体" w:cs="宋体"/>
                <w:sz w:val="21"/>
                <w:szCs w:val="21"/>
                <w:lang w:val="en-US" w:eastAsia="zh-CN" w:bidi="ar"/>
              </w:rPr>
              <w:t>对存在连续性比率的指标，按比率乘以指标分值计算得分。</w:t>
            </w:r>
            <w:r>
              <w:rPr>
                <w:rStyle w:val="16"/>
                <w:rFonts w:hint="eastAsia" w:ascii="宋体" w:hAnsi="宋体" w:eastAsia="宋体" w:cs="宋体"/>
                <w:sz w:val="21"/>
                <w:szCs w:val="21"/>
                <w:lang w:val="en-US" w:eastAsia="zh-CN" w:bidi="ar"/>
              </w:rPr>
              <w:t>（4）缺（错）项扣分法：</w:t>
            </w:r>
            <w:r>
              <w:rPr>
                <w:rStyle w:val="17"/>
                <w:rFonts w:hint="eastAsia" w:ascii="宋体" w:hAnsi="宋体" w:eastAsia="宋体" w:cs="宋体"/>
                <w:sz w:val="21"/>
                <w:szCs w:val="21"/>
                <w:lang w:val="en-US" w:eastAsia="zh-CN" w:bidi="ar"/>
              </w:rPr>
              <w:t>按照要求所具备的事项计算，全部具备得满分，缺少一项扣X分。</w:t>
            </w:r>
            <w:r>
              <w:rPr>
                <w:rStyle w:val="16"/>
                <w:rFonts w:hint="eastAsia" w:ascii="宋体" w:hAnsi="宋体" w:eastAsia="宋体" w:cs="宋体"/>
                <w:sz w:val="21"/>
                <w:szCs w:val="21"/>
                <w:lang w:val="en-US" w:eastAsia="zh-CN" w:bidi="ar"/>
              </w:rPr>
              <w:t>（5）满意值赋分法：</w:t>
            </w:r>
            <w:r>
              <w:rPr>
                <w:rStyle w:val="17"/>
                <w:rFonts w:hint="eastAsia" w:ascii="宋体" w:hAnsi="宋体" w:eastAsia="宋体" w:cs="宋体"/>
                <w:sz w:val="21"/>
                <w:szCs w:val="21"/>
                <w:lang w:val="en-US" w:eastAsia="zh-CN" w:bidi="ar"/>
              </w:rPr>
              <w:t>设置一个满意值，指标值达到满意值得满分，未达到不得分或扣分。</w:t>
            </w:r>
            <w:r>
              <w:rPr>
                <w:rStyle w:val="16"/>
                <w:rFonts w:hint="eastAsia" w:ascii="宋体" w:hAnsi="宋体" w:eastAsia="宋体" w:cs="宋体"/>
                <w:sz w:val="21"/>
                <w:szCs w:val="21"/>
                <w:lang w:val="en-US" w:eastAsia="zh-CN" w:bidi="ar"/>
              </w:rPr>
              <w:t>（6）按数累加法：</w:t>
            </w:r>
            <w:r>
              <w:rPr>
                <w:rStyle w:val="17"/>
                <w:rFonts w:hint="eastAsia" w:ascii="宋体" w:hAnsi="宋体" w:eastAsia="宋体" w:cs="宋体"/>
                <w:sz w:val="21"/>
                <w:szCs w:val="21"/>
                <w:lang w:val="en-US" w:eastAsia="zh-CN" w:bidi="ar"/>
              </w:rPr>
              <w:t>若有必要用于加分项指标。</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bCs/>
                <w:i w:val="0"/>
                <w:iCs w:val="0"/>
                <w:color w:val="000000"/>
                <w:sz w:val="21"/>
                <w:szCs w:val="21"/>
                <w:u w:val="none"/>
              </w:rPr>
            </w:pPr>
            <w:r>
              <w:rPr>
                <w:rStyle w:val="16"/>
                <w:rFonts w:hint="eastAsia" w:ascii="宋体" w:hAnsi="宋体" w:eastAsia="宋体" w:cs="宋体"/>
                <w:sz w:val="21"/>
                <w:szCs w:val="21"/>
                <w:lang w:val="en-US" w:eastAsia="zh-CN" w:bidi="ar"/>
              </w:rPr>
              <w:t>2、预算绩效指标标准：</w:t>
            </w:r>
            <w:r>
              <w:rPr>
                <w:rStyle w:val="16"/>
                <w:rFonts w:hint="eastAsia" w:ascii="宋体" w:hAnsi="宋体" w:eastAsia="宋体" w:cs="宋体"/>
                <w:sz w:val="21"/>
                <w:szCs w:val="21"/>
                <w:lang w:val="en-US" w:eastAsia="zh-CN" w:bidi="ar"/>
              </w:rPr>
              <w:br w:type="textWrapping"/>
            </w:r>
            <w:r>
              <w:rPr>
                <w:rStyle w:val="16"/>
                <w:rFonts w:hint="eastAsia" w:ascii="宋体" w:hAnsi="宋体" w:eastAsia="宋体" w:cs="宋体"/>
                <w:sz w:val="21"/>
                <w:szCs w:val="21"/>
                <w:lang w:val="en-US" w:eastAsia="zh-CN" w:bidi="ar"/>
              </w:rPr>
              <w:t>（1）定性指标标准：</w:t>
            </w:r>
            <w:r>
              <w:rPr>
                <w:rStyle w:val="17"/>
                <w:rFonts w:hint="eastAsia" w:ascii="宋体" w:hAnsi="宋体" w:eastAsia="宋体" w:cs="宋体"/>
                <w:sz w:val="21"/>
                <w:szCs w:val="21"/>
                <w:lang w:val="en-US" w:eastAsia="zh-CN" w:bidi="ar"/>
              </w:rPr>
              <w:t>根据客观依据判断指标得分，一般采用是否评分法。</w:t>
            </w:r>
            <w:r>
              <w:rPr>
                <w:rStyle w:val="17"/>
                <w:rFonts w:hint="eastAsia" w:ascii="宋体" w:hAnsi="宋体" w:eastAsia="宋体" w:cs="宋体"/>
                <w:sz w:val="21"/>
                <w:szCs w:val="21"/>
                <w:lang w:val="en-US" w:eastAsia="zh-CN" w:bidi="ar"/>
              </w:rPr>
              <w:br w:type="textWrapping"/>
            </w:r>
            <w:r>
              <w:rPr>
                <w:rStyle w:val="16"/>
                <w:rFonts w:hint="eastAsia" w:ascii="宋体" w:hAnsi="宋体" w:eastAsia="宋体" w:cs="宋体"/>
                <w:sz w:val="21"/>
                <w:szCs w:val="21"/>
                <w:lang w:val="en-US" w:eastAsia="zh-CN" w:bidi="ar"/>
              </w:rPr>
              <w:t>（2）定量指标标准：</w:t>
            </w:r>
            <w:r>
              <w:rPr>
                <w:rStyle w:val="17"/>
                <w:rFonts w:hint="eastAsia" w:ascii="宋体" w:hAnsi="宋体" w:eastAsia="宋体" w:cs="宋体"/>
                <w:sz w:val="21"/>
                <w:szCs w:val="21"/>
                <w:lang w:val="en-US" w:eastAsia="zh-CN" w:bidi="ar"/>
              </w:rPr>
              <w:t>（技术标准、管理标准、工作标准）：</w:t>
            </w:r>
            <w:r>
              <w:rPr>
                <w:rStyle w:val="17"/>
                <w:rFonts w:hint="eastAsia" w:ascii="宋体" w:hAnsi="宋体" w:eastAsia="宋体" w:cs="宋体"/>
                <w:sz w:val="21"/>
                <w:szCs w:val="21"/>
                <w:lang w:val="en-US" w:eastAsia="zh-CN" w:bidi="ar"/>
              </w:rPr>
              <w:br w:type="textWrapping"/>
            </w:r>
            <w:r>
              <w:rPr>
                <w:rStyle w:val="16"/>
                <w:rFonts w:hint="eastAsia" w:ascii="宋体" w:hAnsi="宋体" w:eastAsia="宋体" w:cs="宋体"/>
                <w:sz w:val="21"/>
                <w:szCs w:val="21"/>
                <w:lang w:val="en-US" w:eastAsia="zh-CN" w:bidi="ar"/>
              </w:rPr>
              <w:t>国家标准：</w:t>
            </w:r>
            <w:r>
              <w:rPr>
                <w:rStyle w:val="17"/>
                <w:rFonts w:hint="eastAsia" w:ascii="宋体" w:hAnsi="宋体" w:eastAsia="宋体" w:cs="宋体"/>
                <w:sz w:val="21"/>
                <w:szCs w:val="21"/>
                <w:lang w:val="en-US" w:eastAsia="zh-CN" w:bidi="ar"/>
              </w:rPr>
              <w:t>国家质量技术监督总局与国家标准化管理委员会制定，全国范围内适用，其他各级别标准不得与其抵触。</w:t>
            </w:r>
            <w:r>
              <w:rPr>
                <w:rStyle w:val="17"/>
                <w:rFonts w:hint="eastAsia" w:ascii="宋体" w:hAnsi="宋体" w:eastAsia="宋体" w:cs="宋体"/>
                <w:sz w:val="21"/>
                <w:szCs w:val="21"/>
                <w:lang w:val="en-US" w:eastAsia="zh-CN" w:bidi="ar"/>
              </w:rPr>
              <w:br w:type="textWrapping"/>
            </w:r>
            <w:r>
              <w:rPr>
                <w:rStyle w:val="16"/>
                <w:rFonts w:hint="eastAsia" w:ascii="宋体" w:hAnsi="宋体" w:eastAsia="宋体" w:cs="宋体"/>
                <w:sz w:val="21"/>
                <w:szCs w:val="21"/>
                <w:lang w:val="en-US" w:eastAsia="zh-CN" w:bidi="ar"/>
              </w:rPr>
              <w:t>行业标准：</w:t>
            </w:r>
            <w:r>
              <w:rPr>
                <w:rStyle w:val="17"/>
                <w:rFonts w:hint="eastAsia" w:ascii="宋体" w:hAnsi="宋体" w:eastAsia="宋体" w:cs="宋体"/>
                <w:sz w:val="21"/>
                <w:szCs w:val="21"/>
                <w:lang w:val="en-US" w:eastAsia="zh-CN" w:bidi="ar"/>
              </w:rPr>
              <w:t>国务院行政主管部门制定，行业标准用于特定行业。</w:t>
            </w:r>
            <w:r>
              <w:rPr>
                <w:rStyle w:val="17"/>
                <w:rFonts w:hint="eastAsia" w:ascii="宋体" w:hAnsi="宋体" w:eastAsia="宋体" w:cs="宋体"/>
                <w:sz w:val="21"/>
                <w:szCs w:val="21"/>
                <w:lang w:val="en-US" w:eastAsia="zh-CN" w:bidi="ar"/>
              </w:rPr>
              <w:br w:type="textWrapping"/>
            </w:r>
            <w:r>
              <w:rPr>
                <w:rStyle w:val="16"/>
                <w:rFonts w:hint="eastAsia" w:ascii="宋体" w:hAnsi="宋体" w:eastAsia="宋体" w:cs="宋体"/>
                <w:sz w:val="21"/>
                <w:szCs w:val="21"/>
                <w:lang w:val="en-US" w:eastAsia="zh-CN" w:bidi="ar"/>
              </w:rPr>
              <w:t>地方标准：</w:t>
            </w:r>
            <w:r>
              <w:rPr>
                <w:rStyle w:val="17"/>
                <w:rFonts w:hint="eastAsia" w:ascii="宋体" w:hAnsi="宋体" w:eastAsia="宋体" w:cs="宋体"/>
                <w:sz w:val="21"/>
                <w:szCs w:val="21"/>
                <w:lang w:val="en-US" w:eastAsia="zh-CN" w:bidi="ar"/>
              </w:rPr>
              <w:t>在没有国家标准和行业标准的情况下，地方政府、省级主管部门、财政部门可根据历史数据、统计数据、调研数据等设定绩效标准，可根据四川的实际情况按经济片区分设标准。</w:t>
            </w:r>
            <w:r>
              <w:rPr>
                <w:rStyle w:val="17"/>
                <w:rFonts w:hint="eastAsia" w:ascii="宋体" w:hAnsi="宋体" w:eastAsia="宋体" w:cs="宋体"/>
                <w:sz w:val="21"/>
                <w:szCs w:val="21"/>
                <w:lang w:val="en-US" w:eastAsia="zh-CN" w:bidi="ar"/>
              </w:rPr>
              <w:br w:type="textWrapping"/>
            </w:r>
            <w:r>
              <w:rPr>
                <w:rStyle w:val="16"/>
                <w:rFonts w:hint="eastAsia" w:ascii="宋体" w:hAnsi="宋体" w:eastAsia="宋体" w:cs="宋体"/>
                <w:sz w:val="21"/>
                <w:szCs w:val="21"/>
                <w:lang w:val="en-US" w:eastAsia="zh-CN" w:bidi="ar"/>
              </w:rPr>
              <w:t>申报标准：</w:t>
            </w:r>
            <w:r>
              <w:rPr>
                <w:rStyle w:val="17"/>
                <w:rFonts w:hint="eastAsia" w:ascii="宋体" w:hAnsi="宋体" w:eastAsia="宋体" w:cs="宋体"/>
                <w:sz w:val="21"/>
                <w:szCs w:val="21"/>
                <w:lang w:val="en-US" w:eastAsia="zh-CN" w:bidi="ar"/>
              </w:rPr>
              <w:t>对新实施的政策项目且相关基础数据匮乏的基础上，各方根据试点探索商定绩效标准，并在以后年度动态修订完善。</w:t>
            </w:r>
            <w:r>
              <w:rPr>
                <w:rStyle w:val="17"/>
                <w:rFonts w:hint="eastAsia" w:ascii="宋体" w:hAnsi="宋体" w:eastAsia="宋体" w:cs="宋体"/>
                <w:sz w:val="21"/>
                <w:szCs w:val="21"/>
                <w:lang w:val="en-US" w:eastAsia="zh-CN" w:bidi="ar"/>
              </w:rPr>
              <w:br w:type="textWrapping"/>
            </w:r>
            <w:r>
              <w:rPr>
                <w:rStyle w:val="17"/>
                <w:rFonts w:hint="eastAsia" w:ascii="宋体" w:hAnsi="宋体" w:eastAsia="宋体" w:cs="宋体"/>
                <w:sz w:val="21"/>
                <w:szCs w:val="21"/>
                <w:lang w:val="en-US" w:eastAsia="zh-CN" w:bidi="ar"/>
              </w:rPr>
              <w:t>3、★为核心指标，需要评价组重点关注深入分析。未涉及个性指标的项目，其分值权重按比例调整到其他效果指标。</w:t>
            </w:r>
          </w:p>
        </w:tc>
        <w:tc>
          <w:tcPr>
            <w:tcW w:w="114"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bCs/>
                <w:i w:val="0"/>
                <w:iCs w:val="0"/>
                <w:color w:val="000000"/>
                <w:sz w:val="21"/>
                <w:szCs w:val="21"/>
                <w:u w:val="none"/>
              </w:rPr>
            </w:pPr>
          </w:p>
        </w:tc>
        <w:tc>
          <w:tcPr>
            <w:tcW w:w="98"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0" w:hRule="atLeast"/>
        </w:trPr>
        <w:tc>
          <w:tcPr>
            <w:tcW w:w="4787" w:type="pct"/>
            <w:gridSpan w:val="23"/>
            <w:vMerge w:val="continue"/>
            <w:tcBorders>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bCs/>
                <w:i w:val="0"/>
                <w:iCs w:val="0"/>
                <w:color w:val="000000"/>
                <w:sz w:val="21"/>
                <w:szCs w:val="21"/>
                <w:u w:val="none"/>
              </w:rPr>
            </w:pPr>
          </w:p>
        </w:tc>
        <w:tc>
          <w:tcPr>
            <w:tcW w:w="114"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bCs/>
                <w:i w:val="0"/>
                <w:iCs w:val="0"/>
                <w:color w:val="000000"/>
                <w:sz w:val="21"/>
                <w:szCs w:val="21"/>
                <w:u w:val="none"/>
              </w:rPr>
            </w:pPr>
          </w:p>
        </w:tc>
        <w:tc>
          <w:tcPr>
            <w:tcW w:w="98"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bCs/>
                <w:i w:val="0"/>
                <w:iCs w:val="0"/>
                <w:color w:val="000000"/>
                <w:sz w:val="21"/>
                <w:szCs w:val="21"/>
                <w:u w:val="none"/>
              </w:rPr>
            </w:pPr>
          </w:p>
        </w:tc>
      </w:tr>
    </w:tbl>
    <w:p>
      <w:pPr>
        <w:pageBreakBefore w:val="0"/>
        <w:widowControl w:val="0"/>
        <w:kinsoku/>
        <w:wordWrap/>
        <w:overflowPunct/>
        <w:topLinePunct w:val="0"/>
        <w:autoSpaceDE/>
        <w:autoSpaceDN/>
        <w:bidi w:val="0"/>
        <w:spacing w:line="576" w:lineRule="exact"/>
        <w:ind w:left="0" w:leftChars="0" w:right="0" w:rightChars="0" w:firstLine="0" w:firstLineChars="0"/>
        <w:jc w:val="both"/>
        <w:rPr>
          <w:rFonts w:hint="eastAsia" w:ascii="仿宋_GB2312" w:hAnsi="仿宋_GB2312" w:eastAsia="仿宋_GB2312" w:cs="仿宋_GB2312"/>
          <w:b/>
          <w:bCs/>
          <w:color w:val="auto"/>
          <w:sz w:val="32"/>
          <w:szCs w:val="32"/>
          <w:highlight w:val="none"/>
          <w:u w:val="none"/>
          <w:vertAlign w:val="baseline"/>
          <w:lang w:val="en-US" w:eastAsia="zh-CN"/>
        </w:rPr>
        <w:sectPr>
          <w:pgSz w:w="23811" w:h="16838" w:orient="landscape"/>
          <w:pgMar w:top="1134" w:right="1077" w:bottom="1134" w:left="1134" w:header="851" w:footer="992" w:gutter="0"/>
          <w:pgNumType w:fmt="decimal"/>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南河片区原广元市农产品交易中心及周边部分用地征补偿资金项目支出绩效自评报告</w:t>
      </w:r>
    </w:p>
    <w:p>
      <w:pPr>
        <w:pageBreakBefore w:val="0"/>
        <w:widowControl w:val="0"/>
        <w:kinsoku/>
        <w:wordWrap/>
        <w:overflowPunct/>
        <w:topLinePunct w:val="0"/>
        <w:autoSpaceDE/>
        <w:autoSpaceDN/>
        <w:bidi w:val="0"/>
        <w:adjustRightInd w:val="0"/>
        <w:snapToGrid w:val="0"/>
        <w:spacing w:line="576" w:lineRule="exact"/>
        <w:ind w:left="0" w:leftChars="0" w:right="0" w:rightChars="0" w:firstLine="0" w:firstLineChars="0"/>
        <w:jc w:val="both"/>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黑体" w:hAnsi="黑体" w:eastAsia="黑体" w:cs="黑体"/>
          <w:b w:val="0"/>
          <w:bCs w:val="0"/>
          <w:sz w:val="32"/>
          <w:szCs w:val="32"/>
          <w:lang w:val="zh-CN" w:eastAsia="zh-CN"/>
        </w:rPr>
      </w:pP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lang w:val="zh-CN" w:eastAsia="zh-CN"/>
        </w:rPr>
        <w:t>项目概况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（一）项目基本情况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default" w:ascii="楷体_GB2312" w:hAnsi="楷体_GB2312" w:eastAsia="楷体_GB2312" w:cs="楷体_GB2312"/>
          <w:b w:val="0"/>
          <w:bCs w:val="0"/>
          <w:sz w:val="32"/>
          <w:szCs w:val="32"/>
          <w:lang w:val="en-US" w:eastAsia="zh-CN"/>
        </w:rPr>
      </w:pPr>
      <w:r>
        <w:rPr>
          <w:rFonts w:hint="eastAsia" w:ascii="仿宋_GB2312" w:hAnsi="仿宋_GB2312" w:eastAsia="仿宋_GB2312" w:cs="仿宋_GB2312"/>
          <w:sz w:val="32"/>
          <w:szCs w:val="32"/>
          <w:lang w:val="en-US" w:eastAsia="zh-CN"/>
        </w:rPr>
        <w:t>南河片区原广元市农产品交易中心及周边部分用地征收补偿资金项目是按照城市规划进行整体拆迁，已纳入2022年市区同城经营性供地计划，该项目于2021年8月11日进市政府批准同意批准实施。</w:t>
      </w:r>
      <w:r>
        <w:rPr>
          <w:rFonts w:hint="eastAsia" w:ascii="仿宋_GB2312" w:hAnsi="仿宋_GB2312" w:cs="仿宋_GB2312"/>
          <w:sz w:val="32"/>
          <w:szCs w:val="32"/>
          <w:lang w:val="en-US" w:eastAsia="zh-CN"/>
        </w:rPr>
        <w:t>需</w:t>
      </w:r>
      <w:r>
        <w:rPr>
          <w:rFonts w:hint="eastAsia" w:ascii="仿宋_GB2312" w:hAnsi="仿宋_GB2312" w:eastAsia="仿宋_GB2312" w:cs="仿宋_GB2312"/>
          <w:sz w:val="32"/>
          <w:szCs w:val="32"/>
          <w:highlight w:val="none"/>
          <w:lang w:val="en-US" w:eastAsia="zh-CN"/>
        </w:rPr>
        <w:t>拆迁土地97595.89亩，支付</w:t>
      </w:r>
      <w:r>
        <w:rPr>
          <w:rFonts w:hint="eastAsia" w:ascii="仿宋_GB2312" w:hAnsi="仿宋_GB2312" w:cs="仿宋_GB2312"/>
          <w:sz w:val="32"/>
          <w:szCs w:val="32"/>
          <w:highlight w:val="none"/>
          <w:lang w:val="en-US" w:eastAsia="zh-CN"/>
        </w:rPr>
        <w:t>拆迁</w:t>
      </w:r>
      <w:r>
        <w:rPr>
          <w:rFonts w:hint="eastAsia" w:ascii="仿宋_GB2312" w:hAnsi="仿宋_GB2312" w:eastAsia="仿宋_GB2312" w:cs="仿宋_GB2312"/>
          <w:sz w:val="32"/>
          <w:szCs w:val="32"/>
          <w:highlight w:val="none"/>
          <w:lang w:val="en-US" w:eastAsia="zh-CN"/>
        </w:rPr>
        <w:t>补偿资金2420.61万元。</w:t>
      </w:r>
    </w:p>
    <w:p>
      <w:pPr>
        <w:keepNext w:val="0"/>
        <w:keepLines w:val="0"/>
        <w:pageBreakBefore w:val="0"/>
        <w:widowControl w:val="0"/>
        <w:numPr>
          <w:ilvl w:val="0"/>
          <w:numId w:val="5"/>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项目绩效目标。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default"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1.项目内容。</w:t>
      </w:r>
      <w:r>
        <w:rPr>
          <w:rFonts w:hint="eastAsia" w:ascii="仿宋_GB2312" w:hAnsi="仿宋_GB2312" w:eastAsia="仿宋_GB2312" w:cs="仿宋_GB2312"/>
          <w:sz w:val="32"/>
          <w:szCs w:val="32"/>
          <w:lang w:val="en-US" w:eastAsia="zh-CN"/>
        </w:rPr>
        <w:t>南河片区原广元市农产品交易中心及周边部分用地征收补偿资金项目是按照城市规划进行整体拆迁，</w:t>
      </w:r>
      <w:r>
        <w:rPr>
          <w:rFonts w:hint="eastAsia" w:ascii="仿宋_GB2312" w:hAnsi="仿宋_GB2312" w:cs="仿宋_GB2312"/>
          <w:sz w:val="32"/>
          <w:szCs w:val="32"/>
          <w:lang w:val="en-US" w:eastAsia="zh-CN"/>
        </w:rPr>
        <w:t>需</w:t>
      </w:r>
      <w:r>
        <w:rPr>
          <w:rFonts w:hint="eastAsia" w:ascii="仿宋_GB2312" w:hAnsi="仿宋_GB2312" w:eastAsia="仿宋_GB2312" w:cs="仿宋_GB2312"/>
          <w:sz w:val="32"/>
          <w:szCs w:val="32"/>
          <w:highlight w:val="none"/>
          <w:lang w:val="en-US" w:eastAsia="zh-CN"/>
        </w:rPr>
        <w:t>拆迁土地97595.89亩，支付补偿资金2420.61万元。</w:t>
      </w:r>
    </w:p>
    <w:p>
      <w:pPr>
        <w:pStyle w:val="2"/>
        <w:numPr>
          <w:ilvl w:val="0"/>
          <w:numId w:val="0"/>
        </w:numPr>
        <w:rPr>
          <w:rFonts w:hint="eastAsia"/>
          <w:lang w:val="zh-CN" w:eastAsia="zh-CN"/>
        </w:rPr>
      </w:pP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cs="仿宋_GB2312"/>
          <w:sz w:val="32"/>
          <w:szCs w:val="32"/>
          <w:highlight w:val="none"/>
          <w:lang w:val="en-US" w:eastAsia="zh-CN"/>
        </w:rPr>
        <w:t>2.</w:t>
      </w:r>
      <w:r>
        <w:rPr>
          <w:rFonts w:hint="eastAsia" w:ascii="仿宋_GB2312" w:hAnsi="仿宋_GB2312" w:eastAsia="仿宋_GB2312" w:cs="仿宋_GB2312"/>
          <w:b w:val="0"/>
          <w:bCs w:val="0"/>
          <w:sz w:val="32"/>
          <w:szCs w:val="32"/>
          <w:lang w:val="en-US" w:eastAsia="zh-CN"/>
        </w:rPr>
        <w:t>项目预计实现的目标：</w:t>
      </w:r>
      <w:r>
        <w:rPr>
          <w:rFonts w:hint="eastAsia" w:ascii="仿宋_GB2312" w:hAnsi="仿宋_GB2312" w:cs="仿宋_GB2312"/>
          <w:b w:val="0"/>
          <w:bCs w:val="0"/>
          <w:sz w:val="32"/>
          <w:szCs w:val="32"/>
          <w:lang w:val="en-US" w:eastAsia="zh-CN"/>
        </w:rPr>
        <w:t>按时完成拆迁并及时支付拆迁补偿金，</w:t>
      </w:r>
      <w:r>
        <w:rPr>
          <w:rFonts w:hint="eastAsia" w:ascii="仿宋_GB2312" w:hAnsi="仿宋_GB2312" w:eastAsia="仿宋_GB2312" w:cs="仿宋_GB2312"/>
          <w:sz w:val="32"/>
          <w:szCs w:val="32"/>
          <w:highlight w:val="none"/>
          <w:lang w:val="en-US" w:eastAsia="zh-CN"/>
        </w:rPr>
        <w:t>维护被征收人权益，保障政府公信力，加快2022年市区同城经营性供地计划推进进度。</w:t>
      </w: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zh-CN"/>
        </w:rPr>
      </w:pPr>
      <w:r>
        <w:rPr>
          <w:rFonts w:hint="eastAsia" w:ascii="仿宋_GB2312" w:hAnsi="仿宋_GB2312" w:cs="仿宋_GB2312"/>
          <w:sz w:val="32"/>
          <w:szCs w:val="32"/>
          <w:highlight w:val="none"/>
          <w:lang w:val="en-US" w:eastAsia="zh-CN"/>
        </w:rPr>
        <w:t>3.</w:t>
      </w:r>
      <w:r>
        <w:rPr>
          <w:rFonts w:hint="eastAsia" w:ascii="仿宋_GB2312" w:hAnsi="仿宋_GB2312" w:eastAsia="仿宋_GB2312" w:cs="仿宋_GB2312"/>
          <w:sz w:val="32"/>
          <w:szCs w:val="32"/>
          <w:highlight w:val="none"/>
          <w:lang w:val="zh-CN"/>
        </w:rPr>
        <w:t>申报内容与实际相符，申报目标合理可行。</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b w:val="0"/>
          <w:bCs/>
          <w:sz w:val="32"/>
          <w:szCs w:val="32"/>
          <w:lang w:val="zh-CN"/>
        </w:rPr>
      </w:pPr>
      <w:bookmarkStart w:id="2" w:name="_Toc613708140_WPSOffice_Level2"/>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二、项目资金申报及使用情况</w:t>
      </w:r>
      <w:bookmarkEnd w:id="2"/>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bookmarkStart w:id="3" w:name="_Toc158997827_WPSOffice_Level3"/>
      <w:bookmarkStart w:id="4" w:name="_Toc529761550_WPSOffice_Level3"/>
      <w:bookmarkStart w:id="5" w:name="_Toc808992154"/>
      <w:bookmarkStart w:id="6" w:name="_Toc1933696527"/>
      <w:r>
        <w:rPr>
          <w:rFonts w:hint="eastAsia" w:ascii="楷体_GB2312" w:hAnsi="楷体_GB2312" w:eastAsia="楷体_GB2312" w:cs="楷体_GB2312"/>
          <w:b w:val="0"/>
          <w:bCs w:val="0"/>
          <w:sz w:val="32"/>
          <w:szCs w:val="32"/>
          <w:lang w:val="zh-CN" w:eastAsia="zh-CN"/>
        </w:rPr>
        <w:t>（一）项目资金申报及批复情况</w:t>
      </w:r>
      <w:bookmarkEnd w:id="3"/>
      <w:bookmarkEnd w:id="4"/>
      <w:bookmarkEnd w:id="5"/>
      <w:bookmarkEnd w:id="6"/>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根据市拆迁办《关于拨付南河片区原广元市农产品交易中心及周边部分用地征收补偿资金的请示》，</w:t>
      </w:r>
      <w:r>
        <w:rPr>
          <w:rFonts w:hint="eastAsia" w:ascii="仿宋_GB2312" w:hAnsi="仿宋_GB2312" w:cs="仿宋_GB2312"/>
          <w:sz w:val="32"/>
          <w:szCs w:val="32"/>
          <w:lang w:val="en-US" w:eastAsia="zh-CN"/>
        </w:rPr>
        <w:t>申请财政资金2420.61万元用于支付拆迁补偿费。</w:t>
      </w:r>
      <w:r>
        <w:rPr>
          <w:rFonts w:hint="eastAsia" w:ascii="仿宋_GB2312" w:hAnsi="仿宋_GB2312" w:eastAsia="仿宋_GB2312" w:cs="仿宋_GB2312"/>
          <w:sz w:val="32"/>
          <w:szCs w:val="32"/>
          <w:lang w:val="en-US" w:eastAsia="zh-CN"/>
        </w:rPr>
        <w:t>市财政</w:t>
      </w:r>
      <w:r>
        <w:rPr>
          <w:rFonts w:hint="eastAsia" w:ascii="仿宋_GB2312" w:hAnsi="仿宋_GB2312" w:cs="仿宋_GB2312"/>
          <w:sz w:val="32"/>
          <w:szCs w:val="32"/>
          <w:lang w:val="en-US" w:eastAsia="zh-CN"/>
        </w:rPr>
        <w:t>下达</w:t>
      </w:r>
      <w:r>
        <w:rPr>
          <w:rFonts w:hint="eastAsia" w:ascii="仿宋_GB2312" w:hAnsi="仿宋_GB2312" w:eastAsia="仿宋_GB2312" w:cs="仿宋_GB2312"/>
          <w:sz w:val="32"/>
          <w:szCs w:val="32"/>
          <w:lang w:val="en-US" w:eastAsia="zh-CN"/>
        </w:rPr>
        <w:t>指标2420.61万元（广财投[2022]135号）</w:t>
      </w:r>
      <w:bookmarkStart w:id="7" w:name="_Toc638318310"/>
      <w:bookmarkStart w:id="8" w:name="_Toc1095288899_WPSOffice_Level3"/>
      <w:bookmarkStart w:id="9" w:name="_Toc1445445578_WPSOffice_Level3"/>
      <w:bookmarkStart w:id="10" w:name="_Toc2008875006"/>
      <w:r>
        <w:rPr>
          <w:rFonts w:hint="eastAsia" w:ascii="仿宋_GB2312" w:hAnsi="仿宋_GB2312" w:cs="仿宋_GB2312"/>
          <w:sz w:val="32"/>
          <w:szCs w:val="32"/>
          <w:lang w:val="en-US" w:eastAsia="zh-CN"/>
        </w:rPr>
        <w:t>。</w:t>
      </w:r>
      <w:bookmarkStart w:id="34" w:name="_GoBack"/>
      <w:bookmarkEnd w:id="34"/>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（二）资金计划、到位及使用情况</w:t>
      </w:r>
      <w:bookmarkEnd w:id="7"/>
      <w:bookmarkEnd w:id="8"/>
      <w:bookmarkEnd w:id="9"/>
      <w:bookmarkEnd w:id="10"/>
    </w:p>
    <w:p>
      <w:pPr>
        <w:keepNext w:val="0"/>
        <w:keepLines w:val="0"/>
        <w:pageBreakBefore w:val="0"/>
        <w:widowControl w:val="0"/>
        <w:shd w:val="clear" w:color="auto" w:fill="FFFFFF"/>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eastAsia="zh-CN"/>
        </w:rPr>
        <w:t>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资金计划及到位情况。 该项目预算</w:t>
      </w:r>
      <w:r>
        <w:rPr>
          <w:rFonts w:hint="eastAsia" w:ascii="仿宋_GB2312" w:hAnsi="仿宋_GB2312" w:eastAsia="仿宋_GB2312" w:cs="仿宋_GB2312"/>
          <w:sz w:val="32"/>
          <w:szCs w:val="32"/>
          <w:lang w:val="en-US" w:eastAsia="zh-CN"/>
        </w:rPr>
        <w:t>2420.61</w:t>
      </w:r>
      <w:r>
        <w:rPr>
          <w:rFonts w:hint="eastAsia" w:ascii="仿宋_GB2312" w:hAnsi="仿宋_GB2312" w:eastAsia="仿宋_GB2312" w:cs="仿宋_GB2312"/>
          <w:sz w:val="32"/>
          <w:szCs w:val="32"/>
          <w:lang w:val="zh-CN" w:eastAsia="zh-CN"/>
        </w:rPr>
        <w:t>万元，</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11月16日</w:t>
      </w:r>
      <w:r>
        <w:rPr>
          <w:rFonts w:hint="eastAsia" w:ascii="仿宋_GB2312" w:hAnsi="仿宋_GB2312" w:eastAsia="仿宋_GB2312" w:cs="仿宋_GB2312"/>
          <w:sz w:val="32"/>
          <w:szCs w:val="32"/>
        </w:rPr>
        <w:t>，市财政实际拨付资金</w:t>
      </w:r>
      <w:r>
        <w:rPr>
          <w:rFonts w:hint="eastAsia" w:ascii="仿宋_GB2312" w:hAnsi="仿宋_GB2312" w:eastAsia="仿宋_GB2312" w:cs="仿宋_GB2312"/>
          <w:sz w:val="32"/>
          <w:szCs w:val="32"/>
          <w:lang w:val="en-US" w:eastAsia="zh-CN"/>
        </w:rPr>
        <w:t>2420.61</w:t>
      </w:r>
      <w:r>
        <w:rPr>
          <w:rFonts w:hint="eastAsia" w:ascii="仿宋_GB2312" w:hAnsi="仿宋_GB2312" w:eastAsia="仿宋_GB2312" w:cs="仿宋_GB2312"/>
          <w:sz w:val="32"/>
          <w:szCs w:val="32"/>
        </w:rPr>
        <w:t>万元，资金拨付率为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576"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 xml:space="preserve">2. </w:t>
      </w:r>
      <w:r>
        <w:rPr>
          <w:rFonts w:hint="eastAsia" w:ascii="仿宋_GB2312" w:hAnsi="仿宋_GB2312" w:eastAsia="仿宋_GB2312" w:cs="仿宋_GB2312"/>
          <w:sz w:val="32"/>
          <w:szCs w:val="32"/>
          <w:highlight w:val="none"/>
          <w:lang w:val="zh-CN"/>
        </w:rPr>
        <w:t>资金使用情况。该项目</w:t>
      </w:r>
      <w:r>
        <w:rPr>
          <w:rFonts w:hint="eastAsia" w:ascii="仿宋_GB2312" w:hAnsi="仿宋_GB2312" w:eastAsia="仿宋_GB2312" w:cs="仿宋_GB2312"/>
          <w:sz w:val="32"/>
          <w:szCs w:val="32"/>
          <w:highlight w:val="none"/>
          <w:lang w:val="en-US" w:eastAsia="zh-CN"/>
        </w:rPr>
        <w:t>2022年11月使用2420.61万元，</w:t>
      </w:r>
      <w:r>
        <w:rPr>
          <w:rFonts w:hint="eastAsia" w:ascii="仿宋_GB2312" w:hAnsi="仿宋_GB2312" w:cs="仿宋_GB2312"/>
          <w:sz w:val="32"/>
          <w:szCs w:val="32"/>
          <w:highlight w:val="none"/>
          <w:lang w:val="en-US" w:eastAsia="zh-CN"/>
        </w:rPr>
        <w:t>支付</w:t>
      </w:r>
      <w:r>
        <w:rPr>
          <w:rFonts w:hint="eastAsia" w:ascii="仿宋_GB2312" w:hAnsi="仿宋_GB2312" w:eastAsia="仿宋_GB2312" w:cs="仿宋_GB2312"/>
          <w:sz w:val="32"/>
          <w:szCs w:val="32"/>
          <w:highlight w:val="none"/>
          <w:lang w:val="en-US" w:eastAsia="zh-CN"/>
        </w:rPr>
        <w:t>率为100%。主要用</w:t>
      </w:r>
      <w:r>
        <w:rPr>
          <w:rFonts w:hint="eastAsia" w:ascii="仿宋_GB2312" w:hAnsi="仿宋_GB2312" w:eastAsia="仿宋_GB2312" w:cs="仿宋_GB2312"/>
          <w:sz w:val="32"/>
          <w:szCs w:val="32"/>
          <w:lang w:val="en-US" w:eastAsia="zh-CN"/>
        </w:rPr>
        <w:t>于用于该项目拆迁补偿资金。</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（三）项目财务管理情况</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我局</w:t>
      </w:r>
      <w:r>
        <w:rPr>
          <w:rFonts w:hint="eastAsia" w:ascii="仿宋_GB2312" w:hAnsi="仿宋_GB2312" w:eastAsia="仿宋_GB2312" w:cs="仿宋_GB2312"/>
          <w:sz w:val="32"/>
          <w:szCs w:val="32"/>
        </w:rPr>
        <w:t>严格按照财务管理相关制度规定，建立健全财务管理制度及内控制度，加强对</w:t>
      </w:r>
      <w:r>
        <w:rPr>
          <w:rFonts w:hint="eastAsia" w:ascii="仿宋_GB2312" w:hAnsi="仿宋_GB2312" w:cs="仿宋_GB2312"/>
          <w:sz w:val="32"/>
          <w:szCs w:val="32"/>
          <w:lang w:val="en-US" w:eastAsia="zh-CN"/>
        </w:rPr>
        <w:t>该</w:t>
      </w:r>
      <w:r>
        <w:rPr>
          <w:rFonts w:hint="eastAsia" w:ascii="仿宋_GB2312" w:hAnsi="仿宋_GB2312" w:eastAsia="仿宋_GB2312" w:cs="仿宋_GB2312"/>
          <w:sz w:val="32"/>
          <w:szCs w:val="32"/>
          <w:lang w:val="en-US" w:eastAsia="zh-CN"/>
        </w:rPr>
        <w:t>项目</w:t>
      </w:r>
      <w:r>
        <w:rPr>
          <w:rFonts w:hint="eastAsia" w:ascii="仿宋_GB2312" w:hAnsi="仿宋_GB2312" w:cs="仿宋_GB2312"/>
          <w:sz w:val="32"/>
          <w:szCs w:val="32"/>
          <w:lang w:val="en-US" w:eastAsia="zh-CN"/>
        </w:rPr>
        <w:t>资金</w:t>
      </w:r>
      <w:r>
        <w:rPr>
          <w:rFonts w:hint="eastAsia" w:ascii="仿宋_GB2312" w:hAnsi="仿宋_GB2312" w:eastAsia="仿宋_GB2312" w:cs="仿宋_GB2312"/>
          <w:sz w:val="32"/>
          <w:szCs w:val="32"/>
        </w:rPr>
        <w:t>的使用管理，按照专项资金管理办法做好项目实施和监管，及时、规范进行账务处理及会计核算。切实做到专款专用，最大可能发挥专项资金作用。</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zh-CN" w:eastAsia="zh-CN"/>
        </w:rPr>
        <w:t>三、项目实施及管理情况</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我局</w:t>
      </w:r>
      <w:r>
        <w:rPr>
          <w:rFonts w:hint="eastAsia" w:ascii="仿宋_GB2312" w:hAnsi="仿宋_GB2312" w:eastAsia="仿宋_GB2312" w:cs="仿宋_GB2312"/>
          <w:sz w:val="32"/>
          <w:szCs w:val="32"/>
        </w:rPr>
        <w:t>严格按照项目管理有关规定管理专项经费，为保障项目资金安全，确保资金专款专用， 从资金申请、资金使用、会计核算三个环节加强资金管理，在项目资金申请环节，严格按照国库集中支付流程申请财政资金；在资金使用环节，严格遵守相关法律法规规定，严格按照单位财务管理审批流程办理款项支付；在会计核算环节，对本项目资金实行单独核算，确保专款专用。</w:t>
      </w:r>
      <w:bookmarkStart w:id="11" w:name="_Toc1380858202_WPSOffice_Level2"/>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黑体" w:hAnsi="黑体" w:eastAsia="黑体" w:cs="黑体"/>
          <w:b w:val="0"/>
          <w:bCs w:val="0"/>
          <w:sz w:val="32"/>
          <w:szCs w:val="32"/>
          <w:lang w:val="zh-CN" w:eastAsia="zh-CN"/>
        </w:rPr>
      </w:pPr>
      <w:r>
        <w:rPr>
          <w:rFonts w:hint="eastAsia" w:ascii="黑体" w:hAnsi="黑体" w:eastAsia="黑体" w:cs="黑体"/>
          <w:b w:val="0"/>
          <w:bCs w:val="0"/>
          <w:sz w:val="32"/>
          <w:szCs w:val="32"/>
          <w:lang w:val="en-US" w:eastAsia="zh-CN"/>
        </w:rPr>
        <w:t>四、项目绩效情况</w:t>
      </w:r>
      <w:bookmarkEnd w:id="11"/>
      <w:r>
        <w:rPr>
          <w:rFonts w:hint="eastAsia" w:ascii="黑体" w:hAnsi="黑体" w:eastAsia="黑体" w:cs="黑体"/>
          <w:b w:val="0"/>
          <w:bCs w:val="0"/>
          <w:sz w:val="32"/>
          <w:szCs w:val="32"/>
          <w:lang w:val="zh-CN" w:eastAsia="zh-CN"/>
        </w:rPr>
        <w:tab/>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bookmarkStart w:id="12" w:name="_Toc393332983"/>
      <w:bookmarkStart w:id="13" w:name="_Toc1453065832_WPSOffice_Level3"/>
      <w:bookmarkStart w:id="14" w:name="_Toc1592481564_WPSOffice_Level3"/>
      <w:bookmarkStart w:id="15" w:name="_Toc745703631"/>
      <w:r>
        <w:rPr>
          <w:rFonts w:hint="eastAsia" w:ascii="楷体_GB2312" w:hAnsi="楷体_GB2312" w:eastAsia="楷体_GB2312" w:cs="楷体_GB2312"/>
          <w:b w:val="0"/>
          <w:bCs w:val="0"/>
          <w:sz w:val="32"/>
          <w:szCs w:val="32"/>
          <w:lang w:val="zh-CN" w:eastAsia="zh-CN"/>
        </w:rPr>
        <w:t>（一）项目完成情况</w:t>
      </w:r>
      <w:bookmarkEnd w:id="12"/>
      <w:bookmarkEnd w:id="13"/>
      <w:bookmarkEnd w:id="14"/>
      <w:bookmarkEnd w:id="15"/>
    </w:p>
    <w:p>
      <w:pPr>
        <w:keepNext w:val="0"/>
        <w:keepLines w:val="0"/>
        <w:pageBreakBefore w:val="0"/>
        <w:widowControl w:val="0"/>
        <w:shd w:val="clear" w:color="auto" w:fill="auto"/>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outlineLvl w:val="2"/>
        <w:rPr>
          <w:rFonts w:hint="eastAsia" w:ascii="仿宋_GB2312" w:hAnsi="仿宋_GB2312" w:eastAsia="仿宋_GB2312" w:cs="仿宋_GB2312"/>
          <w:bCs/>
          <w:kern w:val="0"/>
          <w:sz w:val="32"/>
          <w:szCs w:val="32"/>
          <w:highlight w:val="none"/>
          <w:lang w:val="en-US" w:eastAsia="zh-CN"/>
        </w:rPr>
      </w:pPr>
      <w:bookmarkStart w:id="16" w:name="_Toc165673752"/>
      <w:bookmarkStart w:id="17" w:name="_Toc1475738037_WPSOffice_Level3"/>
      <w:bookmarkStart w:id="18" w:name="_Toc1537678223_WPSOffice_Level3"/>
      <w:bookmarkStart w:id="19" w:name="_Toc823722935"/>
      <w:r>
        <w:rPr>
          <w:rFonts w:hint="eastAsia" w:ascii="仿宋_GB2312" w:hAnsi="仿宋_GB2312" w:eastAsia="仿宋_GB2312" w:cs="仿宋_GB2312"/>
          <w:bCs/>
          <w:kern w:val="0"/>
          <w:sz w:val="32"/>
          <w:szCs w:val="32"/>
          <w:highlight w:val="none"/>
          <w:lang w:val="en-US" w:eastAsia="zh-CN"/>
        </w:rPr>
        <w:t>根据拆迁补偿协议，完成拆迁土地97595.89亩，</w:t>
      </w:r>
      <w:r>
        <w:rPr>
          <w:rFonts w:hint="eastAsia" w:ascii="仿宋_GB2312" w:hAnsi="仿宋_GB2312" w:cs="仿宋_GB2312"/>
          <w:bCs/>
          <w:kern w:val="0"/>
          <w:sz w:val="32"/>
          <w:szCs w:val="32"/>
          <w:highlight w:val="none"/>
          <w:lang w:val="en-US" w:eastAsia="zh-CN"/>
        </w:rPr>
        <w:t>支付</w:t>
      </w:r>
      <w:r>
        <w:rPr>
          <w:rFonts w:hint="eastAsia" w:ascii="仿宋_GB2312" w:hAnsi="仿宋_GB2312" w:eastAsia="仿宋_GB2312" w:cs="仿宋_GB2312"/>
          <w:bCs/>
          <w:kern w:val="0"/>
          <w:sz w:val="32"/>
          <w:szCs w:val="32"/>
          <w:highlight w:val="none"/>
          <w:lang w:val="en-US" w:eastAsia="zh-CN"/>
        </w:rPr>
        <w:t>拆迁补偿资金2420.61万元，维护了被征收人权益，推进了项目的开展</w:t>
      </w:r>
      <w:r>
        <w:rPr>
          <w:rFonts w:hint="eastAsia" w:ascii="仿宋_GB2312" w:hAnsi="仿宋_GB2312" w:cs="仿宋_GB2312"/>
          <w:bCs/>
          <w:kern w:val="0"/>
          <w:sz w:val="32"/>
          <w:szCs w:val="32"/>
          <w:highlight w:val="none"/>
          <w:lang w:val="en-US" w:eastAsia="zh-CN"/>
        </w:rPr>
        <w:t>进度</w:t>
      </w:r>
      <w:r>
        <w:rPr>
          <w:rFonts w:hint="eastAsia" w:ascii="仿宋_GB2312" w:hAnsi="仿宋_GB2312" w:eastAsia="仿宋_GB2312" w:cs="仿宋_GB2312"/>
          <w:bCs/>
          <w:kern w:val="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（二）项目效益情况</w:t>
      </w:r>
      <w:bookmarkEnd w:id="16"/>
      <w:bookmarkEnd w:id="17"/>
      <w:bookmarkEnd w:id="18"/>
      <w:bookmarkEnd w:id="19"/>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通过该项目的实施，维护被征收人权益，保障政府公信力，加快2022年市区同城经营性供地计划推进进度。</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黑体" w:hAnsi="黑体" w:eastAsia="黑体" w:cs="黑体"/>
          <w:b w:val="0"/>
          <w:bCs w:val="0"/>
          <w:sz w:val="32"/>
          <w:szCs w:val="32"/>
          <w:lang w:val="en-US" w:eastAsia="zh-CN"/>
        </w:rPr>
      </w:pPr>
      <w:bookmarkStart w:id="20" w:name="_Toc102732153_WPSOffice_Level2"/>
      <w:bookmarkStart w:id="21" w:name="_Toc427325544_WPSOffice_Level2"/>
      <w:bookmarkStart w:id="22" w:name="_Toc2079915501_WPSOffice_Level2"/>
      <w:bookmarkStart w:id="23" w:name="_Toc487139009_WPSOffice_Level2"/>
      <w:bookmarkStart w:id="24" w:name="_Toc493750451"/>
      <w:bookmarkStart w:id="25" w:name="_Toc1836488839"/>
      <w:r>
        <w:rPr>
          <w:rFonts w:hint="eastAsia" w:ascii="黑体" w:hAnsi="黑体" w:eastAsia="黑体" w:cs="黑体"/>
          <w:b w:val="0"/>
          <w:bCs w:val="0"/>
          <w:sz w:val="32"/>
          <w:szCs w:val="32"/>
          <w:lang w:val="en-US" w:eastAsia="zh-CN"/>
        </w:rPr>
        <w:t>五、评价结论及建议</w:t>
      </w:r>
      <w:bookmarkEnd w:id="20"/>
      <w:bookmarkEnd w:id="21"/>
      <w:bookmarkEnd w:id="22"/>
      <w:bookmarkEnd w:id="23"/>
      <w:bookmarkEnd w:id="24"/>
      <w:bookmarkEnd w:id="25"/>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bookmarkStart w:id="26" w:name="_Toc622495436_WPSOffice_Level3"/>
      <w:bookmarkStart w:id="27" w:name="_Toc995921265_WPSOffice_Level3"/>
      <w:bookmarkStart w:id="28" w:name="_Toc2144538745"/>
      <w:bookmarkStart w:id="29" w:name="_Toc1377351972"/>
      <w:r>
        <w:rPr>
          <w:rFonts w:hint="eastAsia" w:ascii="楷体_GB2312" w:hAnsi="楷体_GB2312" w:eastAsia="楷体_GB2312" w:cs="楷体_GB2312"/>
          <w:b w:val="0"/>
          <w:bCs w:val="0"/>
          <w:sz w:val="32"/>
          <w:szCs w:val="32"/>
          <w:lang w:val="zh-CN" w:eastAsia="zh-CN"/>
        </w:rPr>
        <w:t>（一）评价结论</w:t>
      </w:r>
      <w:bookmarkEnd w:id="26"/>
      <w:bookmarkEnd w:id="27"/>
      <w:bookmarkEnd w:id="28"/>
      <w:bookmarkEnd w:id="29"/>
    </w:p>
    <w:p>
      <w:pPr>
        <w:keepNext w:val="0"/>
        <w:keepLines w:val="0"/>
        <w:pageBreakBefore w:val="0"/>
        <w:widowControl w:val="0"/>
        <w:shd w:val="clear" w:color="auto" w:fill="auto"/>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zh-CN"/>
        </w:rPr>
        <w:t>通过项目实施，完成了设定的绩效目标，</w:t>
      </w:r>
      <w:r>
        <w:rPr>
          <w:rFonts w:hint="eastAsia" w:ascii="仿宋_GB2312" w:hAnsi="仿宋_GB2312" w:eastAsia="仿宋_GB2312" w:cs="仿宋_GB2312"/>
          <w:sz w:val="32"/>
          <w:szCs w:val="32"/>
          <w:highlight w:val="none"/>
          <w:lang w:val="en-US" w:eastAsia="zh-CN"/>
        </w:rPr>
        <w:t>有效保障了</w:t>
      </w:r>
      <w:r>
        <w:rPr>
          <w:rFonts w:hint="eastAsia" w:ascii="仿宋_GB2312" w:hAnsi="仿宋_GB2312" w:eastAsia="仿宋_GB2312" w:cs="仿宋_GB2312"/>
          <w:sz w:val="32"/>
          <w:szCs w:val="32"/>
          <w:lang w:val="en-US" w:eastAsia="zh-CN"/>
        </w:rPr>
        <w:t>南河片区原广元市农产品交易中心及周边部分用地征收补偿资金项目是按照城市规划进行整体拆迁</w:t>
      </w:r>
      <w:r>
        <w:rPr>
          <w:rFonts w:hint="eastAsia" w:ascii="仿宋_GB2312" w:hAnsi="仿宋_GB2312" w:cs="仿宋_GB2312"/>
          <w:sz w:val="32"/>
          <w:szCs w:val="32"/>
          <w:lang w:val="en-US" w:eastAsia="zh-CN"/>
        </w:rPr>
        <w:t>并</w:t>
      </w:r>
      <w:r>
        <w:rPr>
          <w:rFonts w:hint="eastAsia" w:ascii="仿宋_GB2312" w:hAnsi="仿宋_GB2312" w:eastAsia="仿宋_GB2312" w:cs="仿宋_GB2312"/>
          <w:sz w:val="32"/>
          <w:szCs w:val="32"/>
          <w:highlight w:val="none"/>
          <w:lang w:val="en-US" w:eastAsia="zh-CN"/>
        </w:rPr>
        <w:t>开工建设。</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bookmarkStart w:id="30" w:name="_Toc872975375"/>
      <w:bookmarkStart w:id="31" w:name="_Toc729068402"/>
      <w:bookmarkStart w:id="32" w:name="_Toc1498330028_WPSOffice_Level3"/>
      <w:bookmarkStart w:id="33" w:name="_Toc1746631186_WPSOffice_Level3"/>
      <w:r>
        <w:rPr>
          <w:rFonts w:hint="eastAsia" w:ascii="楷体_GB2312" w:hAnsi="楷体_GB2312" w:eastAsia="楷体_GB2312" w:cs="楷体_GB2312"/>
          <w:b w:val="0"/>
          <w:bCs w:val="0"/>
          <w:sz w:val="32"/>
          <w:szCs w:val="32"/>
          <w:lang w:val="zh-CN" w:eastAsia="zh-CN"/>
        </w:rPr>
        <w:t>（二）存在的问题</w:t>
      </w:r>
      <w:bookmarkEnd w:id="30"/>
      <w:bookmarkEnd w:id="31"/>
      <w:bookmarkEnd w:id="32"/>
      <w:bookmarkEnd w:id="33"/>
    </w:p>
    <w:p>
      <w:pPr>
        <w:keepNext w:val="0"/>
        <w:keepLines w:val="0"/>
        <w:pageBreakBefore w:val="0"/>
        <w:widowControl w:val="0"/>
        <w:shd w:val="clear" w:color="auto" w:fill="auto"/>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zh-CN" w:eastAsia="zh-CN"/>
        </w:rPr>
        <w:t>（一）</w:t>
      </w:r>
      <w:r>
        <w:rPr>
          <w:rFonts w:hint="eastAsia" w:ascii="楷体_GB2312" w:hAnsi="楷体_GB2312" w:eastAsia="楷体_GB2312" w:cs="楷体_GB2312"/>
          <w:b w:val="0"/>
          <w:bCs w:val="0"/>
          <w:sz w:val="32"/>
          <w:szCs w:val="32"/>
          <w:lang w:val="en-US" w:eastAsia="zh-CN"/>
        </w:rPr>
        <w:t>相关建议。</w:t>
      </w:r>
    </w:p>
    <w:p>
      <w:pPr>
        <w:pStyle w:val="5"/>
        <w:keepNext w:val="0"/>
        <w:keepLines w:val="0"/>
        <w:pageBreakBefore w:val="0"/>
        <w:widowControl w:val="0"/>
        <w:numPr>
          <w:ilvl w:val="0"/>
          <w:numId w:val="0"/>
        </w:numPr>
        <w:kinsoku/>
        <w:wordWrap/>
        <w:overflowPunct/>
        <w:topLinePunct w:val="0"/>
        <w:autoSpaceDE/>
        <w:autoSpaceDN/>
        <w:bidi w:val="0"/>
        <w:spacing w:before="0" w:after="0" w:line="520" w:lineRule="exact"/>
        <w:ind w:left="0" w:leftChars="0" w:right="0" w:righ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keepNext w:val="0"/>
        <w:keepLines w:val="0"/>
        <w:pageBreakBefore w:val="0"/>
        <w:widowControl w:val="0"/>
        <w:kinsoku/>
        <w:wordWrap/>
        <w:overflowPunct/>
        <w:topLinePunct w:val="0"/>
        <w:autoSpaceDE/>
        <w:autoSpaceDN/>
        <w:bidi w:val="0"/>
        <w:spacing w:line="520" w:lineRule="exac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spacing w:line="520" w:lineRule="exact"/>
        <w:ind w:firstLine="5120" w:firstLineChars="1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广元市自然资源局</w:t>
      </w:r>
    </w:p>
    <w:p>
      <w:pPr>
        <w:pStyle w:val="2"/>
        <w:keepNext w:val="0"/>
        <w:keepLines w:val="0"/>
        <w:pageBreakBefore w:val="0"/>
        <w:widowControl w:val="0"/>
        <w:kinsoku/>
        <w:wordWrap/>
        <w:overflowPunct/>
        <w:topLinePunct w:val="0"/>
        <w:autoSpaceDE/>
        <w:autoSpaceDN/>
        <w:bidi w:val="0"/>
        <w:spacing w:line="520" w:lineRule="exact"/>
        <w:ind w:firstLine="5120" w:firstLineChars="1600"/>
        <w:textAlignment w:val="auto"/>
        <w:rPr>
          <w:rFonts w:hint="eastAsia"/>
          <w:lang w:val="en-US" w:eastAsia="zh-CN"/>
        </w:rPr>
      </w:pPr>
      <w:r>
        <w:rPr>
          <w:rFonts w:hint="eastAsia" w:ascii="仿宋_GB2312" w:hAnsi="仿宋_GB2312" w:eastAsia="仿宋_GB2312" w:cs="仿宋_GB2312"/>
          <w:sz w:val="32"/>
          <w:szCs w:val="32"/>
          <w:lang w:val="en-US" w:eastAsia="zh-CN"/>
        </w:rPr>
        <w:t>2023年4月28日</w:t>
      </w:r>
    </w:p>
    <w:p>
      <w:pPr>
        <w:pageBreakBefore w:val="0"/>
        <w:widowControl w:val="0"/>
        <w:kinsoku/>
        <w:wordWrap/>
        <w:overflowPunct/>
        <w:topLinePunct w:val="0"/>
        <w:autoSpaceDE/>
        <w:autoSpaceDN/>
        <w:bidi w:val="0"/>
        <w:spacing w:line="576" w:lineRule="exact"/>
        <w:ind w:left="0" w:leftChars="0" w:right="0" w:rightChars="0" w:firstLine="0" w:firstLineChars="0"/>
        <w:jc w:val="both"/>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pP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br w:type="page"/>
      </w:r>
    </w:p>
    <w:p>
      <w:pPr>
        <w:pStyle w:val="12"/>
        <w:keepNext w:val="0"/>
        <w:keepLines w:val="0"/>
        <w:pageBreakBefore w:val="0"/>
        <w:widowControl w:val="0"/>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rPr>
          <w:rFonts w:hint="eastAsia" w:ascii="黑体" w:hAnsi="黑体" w:eastAsia="黑体" w:cs="黑体"/>
          <w:b w:val="0"/>
          <w:bCs w:val="0"/>
          <w:color w:val="auto"/>
          <w:kern w:val="0"/>
          <w:sz w:val="32"/>
          <w:szCs w:val="32"/>
          <w:highlight w:val="none"/>
          <w:u w:val="none"/>
          <w:shd w:val="clear" w:color="auto" w:fill="FFFFFF"/>
          <w:lang w:val="zh-CN" w:eastAsia="zh-CN"/>
        </w:rPr>
      </w:pPr>
      <w:r>
        <w:rPr>
          <w:rFonts w:hint="eastAsia" w:ascii="黑体" w:hAnsi="黑体" w:eastAsia="黑体" w:cs="黑体"/>
          <w:b w:val="0"/>
          <w:bCs w:val="0"/>
          <w:color w:val="auto"/>
          <w:kern w:val="0"/>
          <w:sz w:val="32"/>
          <w:szCs w:val="32"/>
          <w:highlight w:val="none"/>
          <w:u w:val="none"/>
          <w:shd w:val="clear" w:color="auto" w:fill="FFFFFF"/>
          <w:lang w:val="zh-CN" w:eastAsia="zh-CN"/>
        </w:rPr>
        <w:t>附表</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市级主管部门（单位）项目资金分配涉及</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所有点位自评得分情况表</w:t>
      </w:r>
    </w:p>
    <w:tbl>
      <w:tblPr>
        <w:tblStyle w:val="10"/>
        <w:tblW w:w="8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0"/>
        <w:gridCol w:w="2625"/>
        <w:gridCol w:w="2622"/>
        <w:gridCol w:w="1319"/>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r>
              <w:rPr>
                <w:rFonts w:hint="eastAsia" w:ascii="仿宋_GB2312" w:hAnsi="仿宋_GB2312" w:eastAsia="仿宋_GB2312" w:cs="仿宋_GB2312"/>
                <w:b w:val="0"/>
                <w:bCs w:val="0"/>
                <w:color w:val="auto"/>
                <w:sz w:val="24"/>
                <w:szCs w:val="24"/>
                <w:highlight w:val="none"/>
                <w:u w:val="none"/>
                <w:vertAlign w:val="baseline"/>
                <w:lang w:val="en-US" w:eastAsia="zh-CN"/>
              </w:rPr>
              <w:t>序号</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r>
              <w:rPr>
                <w:rFonts w:hint="eastAsia" w:ascii="仿宋_GB2312" w:hAnsi="仿宋_GB2312" w:eastAsia="仿宋_GB2312" w:cs="仿宋_GB2312"/>
                <w:b w:val="0"/>
                <w:bCs w:val="0"/>
                <w:color w:val="auto"/>
                <w:sz w:val="24"/>
                <w:szCs w:val="24"/>
                <w:highlight w:val="none"/>
                <w:u w:val="none"/>
                <w:vertAlign w:val="baseline"/>
                <w:lang w:val="en-US" w:eastAsia="zh-CN"/>
              </w:rPr>
              <w:t>项目资金末端分配点位</w:t>
            </w: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r>
              <w:rPr>
                <w:rFonts w:hint="eastAsia" w:ascii="仿宋_GB2312" w:hAnsi="仿宋_GB2312" w:eastAsia="仿宋_GB2312" w:cs="仿宋_GB2312"/>
                <w:b w:val="0"/>
                <w:bCs w:val="0"/>
                <w:color w:val="auto"/>
                <w:sz w:val="24"/>
                <w:szCs w:val="24"/>
                <w:highlight w:val="none"/>
                <w:u w:val="none"/>
                <w:vertAlign w:val="baseline"/>
                <w:lang w:val="en" w:eastAsia="zh-CN"/>
              </w:rPr>
              <w:t>自评得分（百分制）</w:t>
            </w: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r>
              <w:rPr>
                <w:rFonts w:hint="eastAsia" w:ascii="仿宋_GB2312" w:hAnsi="仿宋_GB2312" w:eastAsia="仿宋_GB2312" w:cs="仿宋_GB2312"/>
                <w:b w:val="0"/>
                <w:bCs w:val="0"/>
                <w:color w:val="auto"/>
                <w:sz w:val="24"/>
                <w:szCs w:val="24"/>
                <w:highlight w:val="none"/>
                <w:u w:val="none"/>
                <w:vertAlign w:val="baseline"/>
                <w:lang w:val="en-US" w:eastAsia="zh-CN"/>
              </w:rPr>
              <w:t>财政科室审核得分</w:t>
            </w: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r>
              <w:rPr>
                <w:rFonts w:hint="eastAsia" w:ascii="仿宋_GB2312" w:hAnsi="仿宋_GB2312" w:eastAsia="仿宋_GB2312" w:cs="仿宋_GB2312"/>
                <w:b w:val="0"/>
                <w:bCs w:val="0"/>
                <w:color w:val="auto"/>
                <w:sz w:val="24"/>
                <w:szCs w:val="24"/>
                <w:highlight w:val="none"/>
                <w:u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1</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r>
              <w:rPr>
                <w:rFonts w:hint="eastAsia" w:ascii="仿宋_GB2312" w:hAnsi="仿宋_GB2312" w:eastAsia="仿宋_GB2312" w:cs="仿宋_GB2312"/>
                <w:b w:val="0"/>
                <w:bCs w:val="0"/>
                <w:color w:val="auto"/>
                <w:sz w:val="24"/>
                <w:szCs w:val="24"/>
                <w:highlight w:val="none"/>
                <w:u w:val="none"/>
                <w:vertAlign w:val="baseline"/>
                <w:lang w:val="en-US" w:eastAsia="zh-CN"/>
              </w:rPr>
              <w:t>广元市自然资源局局机关</w:t>
            </w: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仿宋_GB2312" w:hAnsi="仿宋_GB2312" w:eastAsia="仿宋_GB2312" w:cs="仿宋_GB2312"/>
                <w:b w:val="0"/>
                <w:bCs w:val="0"/>
                <w:color w:val="auto"/>
                <w:sz w:val="24"/>
                <w:szCs w:val="24"/>
                <w:highlight w:val="none"/>
                <w:u w:val="none"/>
                <w:vertAlign w:val="baseline"/>
                <w:lang w:val="en-US" w:eastAsia="zh-CN"/>
              </w:rPr>
            </w:pPr>
            <w:r>
              <w:rPr>
                <w:rFonts w:hint="eastAsia" w:ascii="仿宋_GB2312" w:hAnsi="仿宋_GB2312" w:cs="仿宋_GB2312"/>
                <w:b w:val="0"/>
                <w:bCs w:val="0"/>
                <w:color w:val="auto"/>
                <w:sz w:val="24"/>
                <w:szCs w:val="24"/>
                <w:highlight w:val="none"/>
                <w:u w:val="none"/>
                <w:vertAlign w:val="baseline"/>
                <w:lang w:val="en-US" w:eastAsia="zh-CN"/>
              </w:rPr>
              <w:t>100</w:t>
            </w: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2</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3</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4</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5</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6</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7</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8</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rPr>
          <w:rFonts w:hint="eastAsia" w:ascii="仿宋_GB2312" w:hAnsi="仿宋_GB2312" w:eastAsia="仿宋_GB2312" w:cs="仿宋_GB2312"/>
          <w:b w:val="0"/>
          <w:bCs w:val="0"/>
          <w:color w:val="auto"/>
          <w:sz w:val="32"/>
          <w:szCs w:val="32"/>
          <w:highlight w:val="none"/>
          <w:u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rPr>
          <w:rFonts w:hint="eastAsia" w:ascii="仿宋_GB2312" w:hAnsi="仿宋_GB2312" w:eastAsia="仿宋_GB2312" w:cs="仿宋_GB2312"/>
          <w:b w:val="0"/>
          <w:bCs w:val="0"/>
          <w:color w:val="auto"/>
          <w:sz w:val="32"/>
          <w:szCs w:val="32"/>
          <w:highlight w:val="none"/>
          <w:u w:val="none"/>
          <w:vertAlign w:val="baseline"/>
          <w:lang w:val="en-US" w:eastAsia="zh-CN"/>
        </w:rPr>
      </w:pPr>
      <w:r>
        <w:rPr>
          <w:rFonts w:hint="eastAsia" w:ascii="仿宋_GB2312" w:hAnsi="仿宋_GB2312" w:eastAsia="仿宋_GB2312" w:cs="仿宋_GB2312"/>
          <w:b w:val="0"/>
          <w:bCs w:val="0"/>
          <w:color w:val="auto"/>
          <w:sz w:val="32"/>
          <w:szCs w:val="32"/>
          <w:highlight w:val="none"/>
          <w:u w:val="none"/>
          <w:vertAlign w:val="baseline"/>
          <w:lang w:val="en-US" w:eastAsia="zh-CN"/>
        </w:rPr>
        <w:t>备注：1、项目资金末端分配点位包括县（区）、市级部门下属单位及一次性单位等。</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left="0" w:leftChars="0" w:right="0" w:rightChars="0" w:firstLine="0" w:firstLineChars="0"/>
        <w:jc w:val="both"/>
        <w:textAlignment w:val="auto"/>
        <w:rPr>
          <w:rFonts w:hint="eastAsia" w:ascii="仿宋_GB2312" w:hAnsi="仿宋_GB2312" w:eastAsia="仿宋_GB2312" w:cs="仿宋_GB2312"/>
          <w:b w:val="0"/>
          <w:bCs w:val="0"/>
          <w:color w:val="auto"/>
          <w:sz w:val="32"/>
          <w:szCs w:val="32"/>
          <w:highlight w:val="none"/>
          <w:u w:val="none"/>
          <w:vertAlign w:val="baseline"/>
          <w:lang w:val="en-US" w:eastAsia="zh-CN"/>
        </w:rPr>
      </w:pPr>
      <w:r>
        <w:rPr>
          <w:rFonts w:hint="eastAsia" w:ascii="仿宋_GB2312" w:hAnsi="仿宋_GB2312" w:eastAsia="仿宋_GB2312" w:cs="仿宋_GB2312"/>
          <w:b w:val="0"/>
          <w:bCs w:val="0"/>
          <w:color w:val="auto"/>
          <w:sz w:val="32"/>
          <w:szCs w:val="32"/>
          <w:highlight w:val="none"/>
          <w:u w:val="none"/>
          <w:vertAlign w:val="baseline"/>
          <w:lang w:val="en-US" w:eastAsia="zh-CN"/>
        </w:rPr>
        <w:t>自评得分（百分制）从高到低划分为优、良、中、差四个档次，各个档次数量占比分别为20%、20%、55%、5%，且不同档次间得分分值应体现差异化，同档次得分分值相同的比例不超过该档次总数量的10%。</w:t>
      </w:r>
    </w:p>
    <w:p>
      <w:pPr>
        <w:pStyle w:val="2"/>
        <w:pageBreakBefore w:val="0"/>
        <w:widowControl w:val="0"/>
        <w:kinsoku/>
        <w:wordWrap/>
        <w:overflowPunct/>
        <w:topLinePunct w:val="0"/>
        <w:autoSpaceDE/>
        <w:autoSpaceDN/>
        <w:bidi w:val="0"/>
        <w:spacing w:line="576" w:lineRule="exact"/>
        <w:ind w:left="0" w:leftChars="0" w:right="0" w:rightChars="0" w:firstLine="0" w:firstLineChars="0"/>
        <w:jc w:val="both"/>
        <w:rPr>
          <w:rFonts w:hint="eastAsia" w:ascii="仿宋_GB2312" w:hAnsi="仿宋_GB2312" w:eastAsia="仿宋_GB2312" w:cs="仿宋_GB2312"/>
          <w:b w:val="0"/>
          <w:bCs w:val="0"/>
          <w:color w:val="auto"/>
          <w:sz w:val="32"/>
          <w:szCs w:val="32"/>
          <w:highlight w:val="none"/>
          <w:u w:val="none"/>
          <w:vertAlign w:val="baseline"/>
          <w:lang w:val="en-US" w:eastAsia="zh-CN"/>
        </w:rPr>
        <w:sectPr>
          <w:pgSz w:w="11906" w:h="16838"/>
          <w:pgMar w:top="2098" w:right="1474" w:bottom="1984" w:left="1587" w:header="851" w:footer="992" w:gutter="0"/>
          <w:pgNumType w:fmt="decimal"/>
          <w:cols w:space="425" w:num="1"/>
          <w:docGrid w:type="lines" w:linePitch="312" w:charSpace="0"/>
        </w:sectPr>
      </w:pPr>
    </w:p>
    <w:p>
      <w:pPr>
        <w:pStyle w:val="2"/>
        <w:ind w:left="0" w:leftChars="0" w:firstLine="0" w:firstLineChars="0"/>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附件5</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2023年市级专项资金预算项目支出绩效评价指标体系</w:t>
      </w:r>
    </w:p>
    <w:tbl>
      <w:tblPr>
        <w:tblStyle w:val="9"/>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42"/>
        <w:gridCol w:w="450"/>
        <w:gridCol w:w="655"/>
        <w:gridCol w:w="842"/>
        <w:gridCol w:w="868"/>
        <w:gridCol w:w="1377"/>
        <w:gridCol w:w="1999"/>
        <w:gridCol w:w="1052"/>
        <w:gridCol w:w="756"/>
        <w:gridCol w:w="756"/>
        <w:gridCol w:w="756"/>
        <w:gridCol w:w="982"/>
        <w:gridCol w:w="1125"/>
        <w:gridCol w:w="3948"/>
        <w:gridCol w:w="517"/>
        <w:gridCol w:w="521"/>
        <w:gridCol w:w="517"/>
        <w:gridCol w:w="521"/>
        <w:gridCol w:w="495"/>
        <w:gridCol w:w="495"/>
        <w:gridCol w:w="495"/>
        <w:gridCol w:w="617"/>
        <w:gridCol w:w="538"/>
        <w:gridCol w:w="495"/>
        <w:gridCol w:w="4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blHeader/>
        </w:trPr>
        <w:tc>
          <w:tcPr>
            <w:tcW w:w="1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分值权重</w:t>
            </w:r>
          </w:p>
        </w:tc>
        <w:tc>
          <w:tcPr>
            <w:tcW w:w="966" w:type="pct"/>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分层分类指标</w:t>
            </w:r>
          </w:p>
        </w:tc>
        <w:tc>
          <w:tcPr>
            <w:tcW w:w="4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指标解释</w:t>
            </w:r>
          </w:p>
        </w:tc>
        <w:tc>
          <w:tcPr>
            <w:tcW w:w="1249" w:type="pct"/>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评分方法</w:t>
            </w:r>
          </w:p>
        </w:tc>
        <w:tc>
          <w:tcPr>
            <w:tcW w:w="9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评价要点及说明</w:t>
            </w:r>
          </w:p>
        </w:tc>
        <w:tc>
          <w:tcPr>
            <w:tcW w:w="239" w:type="pct"/>
            <w:gridSpan w:val="2"/>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评价方式</w:t>
            </w:r>
          </w:p>
        </w:tc>
        <w:tc>
          <w:tcPr>
            <w:tcW w:w="23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评价属性</w:t>
            </w:r>
          </w:p>
        </w:tc>
        <w:tc>
          <w:tcPr>
            <w:tcW w:w="598" w:type="pct"/>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定量评价标准</w:t>
            </w:r>
          </w:p>
        </w:tc>
        <w:tc>
          <w:tcPr>
            <w:tcW w:w="1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自评得分</w:t>
            </w:r>
          </w:p>
        </w:tc>
        <w:tc>
          <w:tcPr>
            <w:tcW w:w="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blHeader/>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966"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249" w:type="pct"/>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9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39" w:type="pct"/>
            <w:gridSpan w:val="2"/>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3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598"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blHeader/>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分层指标</w:t>
            </w:r>
          </w:p>
        </w:tc>
        <w:tc>
          <w:tcPr>
            <w:tcW w:w="34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适用范围</w:t>
            </w: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一级指标</w:t>
            </w:r>
          </w:p>
        </w:tc>
        <w:tc>
          <w:tcPr>
            <w:tcW w:w="31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二级指标</w:t>
            </w: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4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方法归类</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计算公式</w:t>
            </w:r>
          </w:p>
        </w:tc>
        <w:tc>
          <w:tcPr>
            <w:tcW w:w="9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整体评价</w:t>
            </w:r>
          </w:p>
        </w:tc>
        <w:tc>
          <w:tcPr>
            <w:tcW w:w="1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样本评价</w:t>
            </w:r>
          </w:p>
        </w:tc>
        <w:tc>
          <w:tcPr>
            <w:tcW w:w="1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定性评价</w:t>
            </w:r>
          </w:p>
        </w:tc>
        <w:tc>
          <w:tcPr>
            <w:tcW w:w="1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定量评价</w:t>
            </w:r>
          </w:p>
        </w:tc>
        <w:tc>
          <w:tcPr>
            <w:tcW w:w="1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国家标准</w:t>
            </w:r>
          </w:p>
        </w:tc>
        <w:tc>
          <w:tcPr>
            <w:tcW w:w="1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行业标准</w:t>
            </w:r>
          </w:p>
        </w:tc>
        <w:tc>
          <w:tcPr>
            <w:tcW w:w="1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地方标准</w:t>
            </w:r>
          </w:p>
        </w:tc>
        <w:tc>
          <w:tcPr>
            <w:tcW w:w="14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申报标准</w:t>
            </w:r>
          </w:p>
        </w:tc>
        <w:tc>
          <w:tcPr>
            <w:tcW w:w="1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历史均值</w:t>
            </w:r>
          </w:p>
        </w:tc>
        <w:tc>
          <w:tcPr>
            <w:tcW w:w="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blHeader/>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0.3</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0.6</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0.8</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w:t>
            </w:r>
          </w:p>
        </w:tc>
        <w:tc>
          <w:tcPr>
            <w:tcW w:w="9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w:t>
            </w:r>
          </w:p>
        </w:tc>
        <w:tc>
          <w:tcPr>
            <w:tcW w:w="1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通用指标</w:t>
            </w:r>
          </w:p>
        </w:tc>
        <w:tc>
          <w:tcPr>
            <w:tcW w:w="34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所有项目</w:t>
            </w:r>
          </w:p>
        </w:tc>
        <w:tc>
          <w:tcPr>
            <w:tcW w:w="200"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项目决策</w:t>
            </w: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程序严密</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项目设立是否经过严格评估论证和集体决策，是否与部门职责相符，是否属于公共财政支持范围，是否符合地方事权支出责任划分原则，是否与相关部门同类项目或部门内部相关项目重复</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不完善</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较完善</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完善</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专项项目设立是否经过事前评估或可行性论证，是否符合专项设立的基本规范和程序要求。项目设立是否属于部门职责相符，是否属于公共财政支持范围，符合地方事权支出责任划分原则，是否与相关部门同类项目或部门内部相关项目重复。存在一项不符合的为较完善，存在两项及两项以上不符合的为不完善</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规划合理★</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项目规划是否符合省委、省政府重大决策部署，是否与项目年度目标一致</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不合理</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较合理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合理</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项目设立依据是否充分，符合省委、省政府重大决策部署和宏观政策规划，项目年度绩效目标与中长期规划是否一致，项目绩效目标是否具有合理性。样本评价中，规划是否与现实需求匹配，是否存在因规划不够合理导致项目效益欠佳的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制度完备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项目指导意见、管理办法、申报指南、实施细则等管理制度是否完善，是否存在脱离实际、缺陷、漏洞导致执行偏离预期</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缺（错）项扣分法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发现一处扣0.5分，直至扣完</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主要查看项目的相关管理制度机制是否健全完善，在项目执行过程中，是否存在管理制度有悖于实际的情况，是否存在难以操作、无法落地、执行不畅的情况，是否存在不能满足实际需求，未及时动态调整的情况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项目实施</w:t>
            </w: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分配合理★</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项目资金分配结果是否与规划计划一致；是否按规定及时分配专项预算资金</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项目法分配的项目，以所有项目点实施完成情况与规划计划情况进行对比。按因素法分配的项目和据实据效分配的项目，将资金分配方向与规划计划支持方向进行对比；省级接到中央一般性转移支付和专项转移支付后，应当在30日内正式下达到本行政区域县级以上各级政府；县级以上地方各级预算安排对下级政府的一般性转移支付和专项转移支付，应当分别在本级人民代表大会批准预算后的30日和60日内正式下达；《预算法》其他规定；分配依据充分的得分，明显不充分扣分。两种情况分值权重各占一半</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4</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使用合规</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项目资金使用是否符合相关的财务管理制度规定</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缺（错）项扣分法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发现一处扣0.5分，直至扣完</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项目资金是否符合国家财经法规和财务管理制度及有关专项资金管理办法规定；资金拨付是否有完整的审批程序和手续；是否符合项目预算批复或合同规定用途；是否存在截留、挤占、挪用、虚列支出等情况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执行有效</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项目实施是否符合相关管理制度规定</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缺（错）项扣分法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发现一处扣0.5分，直至扣完</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项目实施是否遵守相关法律法规；项目调整手续是否完备；项目合同、验收报告、技术鉴定等资料是否齐全并及时归档；项目实施的人员条件、场地设备、信息支撑等是否落实到位</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完成结果</w:t>
            </w: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预算完成★</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项目资金拨付到具体支持对象企业、项目（人）的情况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指标得分=项目实际到位金额/承诺到位金额×100%*指标分值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主要查看项目资金拨付到人到户、到项目、到企业与资金总量的对比，配套预算到位率。</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10%</w:t>
            </w:r>
          </w:p>
        </w:tc>
        <w:tc>
          <w:tcPr>
            <w:tcW w:w="1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通用指标</w:t>
            </w:r>
          </w:p>
        </w:tc>
        <w:tc>
          <w:tcPr>
            <w:tcW w:w="34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所有项目</w:t>
            </w: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完成结果</w:t>
            </w: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资金结余★</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项目资金结余的情况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指标得分=（1-结余率/0.2）*指标分值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结余率大于等于0.2，指标得0分                             结余率=结余金额/省级财政资金预算数×100%                                                                                               </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结余资金是指项目实施周期已结束、项目目标完成或项目提前终止，尚未列支的项目支出预算资金；因项目实施计划调整，不需要继续支出的预算资金；预算批复后连续两年未用完的预算资金。</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10</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目标完成★</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项目实施后是否完成预期目标</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指标得分=实际完成任务量/绩效目标设定任务量×100%*指标分值  </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主要查看项目实施后产出数量指标完成情况。以样本点资金量为权重，加权计算指标得分。当实际完成任务量/绩效目标设定任务量&gt;1时按1计算</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4</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完成及时</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项目实际完成时间与计划完成时间的比较，用以反映和考核项目产出实效目标的实现程度</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指标得分=(1-(实际完成时间-计划完成时间)/计划完成时间)×100%*指标分值  </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主要查看项目实际计划完成时间情况，一般以天数、月数或年数为单位。当实际完成时间-计划完成时间小于等于0时得满分；实际完成时间超过计划完成时间1倍时得0分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4</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违规记录</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项目管理是否合规</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不合规</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3处及以上不合规</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2处不合规</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1处不合规</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合规</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根据审计监督、财政检查结果反映专项管理是否合规</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1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20%</w:t>
            </w:r>
          </w:p>
        </w:tc>
        <w:tc>
          <w:tcPr>
            <w:tcW w:w="1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共性指标</w:t>
            </w:r>
          </w:p>
        </w:tc>
        <w:tc>
          <w:tcPr>
            <w:tcW w:w="34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产业发展项目</w:t>
            </w: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项目效果</w:t>
            </w: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符合性</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项目实施效果是否与绩效目标或申报目标符合</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指标得分=项目实施符合的点位数/所有选点总数×100%*指标分值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根据项目现场评价实施效果与绩效目标进行对比，汇总所有样本点情况综合分析政策整体吻合度</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20</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成长性★</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反映不同类型产业政策实施对相关行业企业成长性的促进作用，主要反映支持对象的创新、创造、创业能力情况，产业结构情况，持续盈利能力情况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指标得分=各项具体指标得分的平均分</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根据产业政策实施对象的主营业务收入增长率、净利润增长率或税收增长率等情况综合判断，统计年鉴相关数据为准（主要查看企业2018年度、2019年度财报，2020年根据实际情况收集）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民生保障项目</w:t>
            </w:r>
          </w:p>
        </w:tc>
        <w:tc>
          <w:tcPr>
            <w:tcW w:w="200" w:type="pct"/>
            <w:vMerge w:val="restar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项目效果</w:t>
            </w: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区域均衡性</w:t>
            </w:r>
          </w:p>
        </w:tc>
        <w:tc>
          <w:tcPr>
            <w:tcW w:w="46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项目资金分配体现的均衡公平情况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不均衡</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较均衡</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均衡</w:t>
            </w:r>
          </w:p>
        </w:tc>
        <w:tc>
          <w:tcPr>
            <w:tcW w:w="908"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按实际分配结果选择客观因素测算验证资金分配方法制定、分配要素设定、基础数据应用、测算依据选取等是否科学合理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对象公平性★</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项目资金分配结果是否公平合理，是否充分考虑地域条件、经济条件等</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不公平</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公平</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主要查看项目资金分配和实施结果是否体现公平公正性，在支持</w:t>
            </w:r>
            <w:r>
              <w:rPr>
                <w:rStyle w:val="15"/>
                <w:rFonts w:hint="eastAsia" w:ascii="宋体" w:hAnsi="宋体" w:eastAsia="宋体" w:cs="宋体"/>
                <w:sz w:val="21"/>
                <w:szCs w:val="21"/>
                <w:lang w:val="en-US" w:eastAsia="zh-CN" w:bidi="ar"/>
              </w:rPr>
              <w:t>范围、标准、程序</w:t>
            </w:r>
            <w:r>
              <w:rPr>
                <w:rStyle w:val="14"/>
                <w:rFonts w:hint="eastAsia" w:ascii="宋体" w:hAnsi="宋体" w:eastAsia="宋体" w:cs="宋体"/>
                <w:sz w:val="21"/>
                <w:szCs w:val="21"/>
                <w:lang w:val="en-US" w:eastAsia="zh-CN" w:bidi="ar"/>
              </w:rPr>
              <w:t>上是否存在明显的排他性和歧视性规定，是否做到大多数和少数的协调统一，统筹兼顾。标黑因素存在一项不公平的按一般档次计算分值，存在两项因素不公平的得0分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社会满意度</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相关群体满意度调查情况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按根据实际满意度与满意度标准值的比率计算指标得分</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主要调研政策和项目相关方在政策实施过程中的满意值，通过不满意情况汇总分析政策在顶层设计、制度构建、管理实施及成效各环节的情况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基础设施（设备购置）项目</w:t>
            </w: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项目效果</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功能性★</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反映公共基础设施建设功能是否达到计划能力，建成后是否正常并良好运行，延续性是否达到预期</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发现基础设施功能明显未实现预期的，发现一项扣1分，直至扣完</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主要查看建设项目是否实施方案实现预期功能，是否能够持续良好地运作，有效地维护，特别是公共设施类的项目，是否能有效满足人民群众的现实需要</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配套性★</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项目建成后相关工程、点位是否相关协调，配套设施是否整体协调，是否全面衔接发挥整体效益</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较好</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好</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重点查看区域内建设规划在空间分布、功能配套整合、土地利用等方面是否存在明显有违常理，不科学合理的情况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1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30%</w:t>
            </w:r>
          </w:p>
        </w:tc>
        <w:tc>
          <w:tcPr>
            <w:tcW w:w="1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特性指标</w:t>
            </w:r>
          </w:p>
        </w:tc>
        <w:tc>
          <w:tcPr>
            <w:tcW w:w="1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产业发展项目</w:t>
            </w: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工业产业（包括技术改造）</w:t>
            </w: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经济效益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利税增长率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项目实施单位利税增长情况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指标得分=利税增长率/标准值*指标分值（利税增长率/标准值＞1按1计算，负值按0计算）</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评价年度前三年利税平均增长率（不含评价当年，不足三年按实际存续年限计算）</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投资回报率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项目投产后回报情况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指标得分=投资回报率/标准值*指标得分（投资回报率/标准值＞1按1计算，负值按0计算）</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投资回报率=项目年新增利税额/项目投入资金总额</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社会贡献率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企业运用资产为社会创造价值的能力</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指标得分=社会贡献率/标准值*指标分值（社会贡献率/标准值＞1按1计算，负值按0计算）</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社会贡献率=社会贡献额/资产总额 ×100%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社会贡献额=工资总额+主营业务税金及附加+利润总额+五险一金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资产总额=（期初资产总额+期末资产总额）/2 </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就业贡献率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企业就业人数增量变化</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指标得分=就业贡献率/标准值*指标分值（就业贡献率/标准值＞1按1计算，负值按0计算）</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就业贡献率=企业三年平均新增就业人数/行业新增就业总人数×100%</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农业产业（包括林业产业）</w:t>
            </w: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经济效益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增加值提升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项目实施涉及产值增长情况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指标得分=三年产值平均增长率/标准值*指标分值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产值增长率=当年涉农产值增量/上一年度涉农产值总量×100%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重点查看项目实施区域涉农增加值变动情况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年均收入变动率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项目实施后农户收入变动情况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指标得分=三年人均年收入增长率/标准值*指标分值（三年人均年收入增长率/标准值负值为0，＞1按1计算）</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人均年收入增长率=（项目实施后人均年收入-项目实施前人均年收入）/项目实施前人均年收入×100%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重点查看三年来农民人均年收入增长变化情况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从业带动能力</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项目带动周边从事相关行业情况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指标得分=三年平均新增带动就业户数/标准值*指标分值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通过实地走访、调研、收集带动就业户数相关基础数据进行对比分析</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服务业</w:t>
            </w: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经济效益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消费增长</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项目支持区域内社会消费品零售总额增长情况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指标得分根据三年社会消费品零售增长变化计算得分，社会消费品零售增长≥标准值的得满分，＜标准值80%的不得分，其余按比值计算得分</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重点收集三年来区域内社会消费品零售增长数据，主要通过官方统计数据采集，同时结合实地调查对比，综合计算指标得分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增加值增长率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项目实施涉及增加值增长情况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指标得分=三年增加值平均增长率/标准值*指标分值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增加值增长率=当年服务业增加值增量/上一年度服务业增加值总量×100%。重点查看项目实施区域服务业增加值变动情况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服务效能</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区域内相关事务处理能力提升情况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较好</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好</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重点查看区域内相关事务处理能力提升状况，通过资料记录查询，现场持续跟踪，走访调研了解等手段综合判断</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30%</w:t>
            </w:r>
          </w:p>
        </w:tc>
        <w:tc>
          <w:tcPr>
            <w:tcW w:w="1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特性指标</w:t>
            </w:r>
          </w:p>
        </w:tc>
        <w:tc>
          <w:tcPr>
            <w:tcW w:w="1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民生保障项目</w:t>
            </w: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社会保障与就业</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基础管理</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审核把关</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项目申报是否真实准确</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指标得分=基础数据真实客观的人数/项目受益总人数×100%*指标分值，基础数据真实客观的人数/项目受益总人数小于70%不得分</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主要查看项目受益人群的精准性和客观性，是否存在因制度机制缺陷或管理疏漏导致审核把关不严的情况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资金使用率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项目资金支付使用情况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指标得分=资金实际使用金额/资金实际拨付金额×100%*指标分值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主要查看财政资金实际支付使用，是否存在因制度机制、操作流程、管理疏漏、数据缺失等导致的资金结余，闲置浪费的情况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医疗卫生计生</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基础管理</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服务质量提升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反映服务安全、便捷、规范情况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较好</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好</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主要调查医疗卫生计生机构提供服务的安全性、便捷程度和规范性</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健康状况改善</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反映区域内居民健康状况改善情况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较好</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好</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主要包括健康档案使用率、新生儿死亡率、高血压患者控制率等，通过几个主要的维度综合衡量区域内居民健康状况改善情况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教育文化</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基础管理</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对象覆盖全面</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项目区域范围内实施对象覆盖情况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明显疏漏</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基本覆盖</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全面覆盖</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主要查看项目实施对相关群体的覆盖情况，是否充分考虑主要群体和特殊个体的统一，做到全面覆盖</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项目效果</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教学（文化）设备利用率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反映教育（文化）设备使用情况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设备使用率=设备使用时间/设备计划用时（分钟、小时、日、月）×100%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指标得分=设备使用率/标准值*指标分值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主要调查设备工作状态及工作效率的情况，和绩效目标及相关标准对比</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基础设施（设备购置）项目</w:t>
            </w: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交通运输</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完成质量</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是否符合验收标准，达到行业基准水平</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指标得分=项目达标数/实施项目总数×100%*指标分值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质量达标率＞100%时按100%计算；当质量达标率＜90%时，指标不得分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道路通行能力提升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项目区域内道路通行能力提升情况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指标得分=实际通行能力/计划通行能力×100%*指标分值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（实际通行能力/计划通行能力＞1按1计算）</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通行能力=设计每小时通车数量，按照各种等级道路通行能力标准测算</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住房保障</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完成质量</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是否符合验收标准，达到行业基准水平</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指标得分=项目达标数/实施项目总数×100%*指标分值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质量达标率＞100%时按100%计算；当质量达标率＜90%时，指标不得分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保障实现率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项目区域内应保家庭住房保障实现情况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满意值赋分法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保障实现率达到标准值得满分，每低一个百分点扣1分</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住房保障率=已保家庭户数/应保家庭户数*100%</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城乡社区</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完成质量</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是否符合验收标准，达到行业基准水平</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指标得分=项目达标数/实施项目总数×100%*指标分值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质量达标率＞100%时按100%计算；当质量达标率＜90%时，指标不得分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30</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运行效率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城乡社区公共设施正常运转情况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指标得分=运转效率/标准值*指标正分值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（运转效率/标准值＞1按1计算）</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运转效率=政策运转设施个数/设计正常运转设施个数*100%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主要包括城乡社区公共交通、照明、燃气、环境保护、娱乐、体育等相关公共设施正常运转情况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水利设施</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完成质量</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是否符合验收标准，达到行业基准水平</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指标得分=项目达标数/实施项目总数×100%*指标分值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质量达标率＞100%时按100%计算；当质量达标率＜90%时，指标不得分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能力实现率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水利设施设计能实现情况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指标得分=能力实现率/标准值*指标正分值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（能力实现率/标准值＞1按1计算）</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能力实现率=实现设计能力水利设施个数/水利设施总个数*100%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主要包括水利系统建设用于堤防、河道、水库、水利枢纽、涵闸、灌区、供水、蓄滞洪区等水利工程建设及设备、设施改造维护后能力实现情况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设备购置</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运行状况</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购置的设备常态化运行情况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较好</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好</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重点查看购置设备日常使用频率及正常运转情况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10%</w:t>
            </w:r>
          </w:p>
        </w:tc>
        <w:tc>
          <w:tcPr>
            <w:tcW w:w="2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个性指标</w:t>
            </w: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10</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4787" w:type="pct"/>
            <w:gridSpan w:val="23"/>
            <w:vMerge w:val="restart"/>
            <w:tcBorders>
              <w:top w:val="single" w:color="000000" w:sz="4" w:space="0"/>
              <w:left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Style w:val="16"/>
                <w:rFonts w:hint="eastAsia" w:ascii="宋体" w:hAnsi="宋体" w:eastAsia="宋体" w:cs="宋体"/>
                <w:sz w:val="21"/>
                <w:szCs w:val="21"/>
                <w:lang w:val="en-US" w:eastAsia="zh-CN" w:bidi="ar"/>
              </w:rPr>
            </w:pPr>
            <w:r>
              <w:rPr>
                <w:rStyle w:val="16"/>
                <w:rFonts w:hint="eastAsia" w:ascii="宋体" w:hAnsi="宋体" w:eastAsia="宋体" w:cs="宋体"/>
                <w:sz w:val="21"/>
                <w:szCs w:val="21"/>
                <w:lang w:val="en-US" w:eastAsia="zh-CN" w:bidi="ar"/>
              </w:rPr>
              <w:t>1、评分方法归为六类：（1）是否评分法：</w:t>
            </w:r>
            <w:r>
              <w:rPr>
                <w:rStyle w:val="17"/>
                <w:rFonts w:hint="eastAsia" w:ascii="宋体" w:hAnsi="宋体" w:eastAsia="宋体" w:cs="宋体"/>
                <w:sz w:val="21"/>
                <w:szCs w:val="21"/>
                <w:lang w:val="en-US" w:eastAsia="zh-CN" w:bidi="ar"/>
              </w:rPr>
              <w:t>适用于合规性等正反判断指标，正向满分，反向0分。</w:t>
            </w:r>
            <w:r>
              <w:rPr>
                <w:rStyle w:val="16"/>
                <w:rFonts w:hint="eastAsia" w:ascii="宋体" w:hAnsi="宋体" w:eastAsia="宋体" w:cs="宋体"/>
                <w:sz w:val="21"/>
                <w:szCs w:val="21"/>
                <w:lang w:val="en-US" w:eastAsia="zh-CN" w:bidi="ar"/>
              </w:rPr>
              <w:t>（2）分级评分法：</w:t>
            </w:r>
            <w:r>
              <w:rPr>
                <w:rStyle w:val="17"/>
                <w:rFonts w:hint="eastAsia" w:ascii="宋体" w:hAnsi="宋体" w:eastAsia="宋体" w:cs="宋体"/>
                <w:sz w:val="21"/>
                <w:szCs w:val="21"/>
                <w:lang w:val="en-US" w:eastAsia="zh-CN" w:bidi="ar"/>
              </w:rPr>
              <w:t>指标评分设置n级权重，指标得分按指标值所处区间的权重计算。</w:t>
            </w:r>
            <w:r>
              <w:rPr>
                <w:rStyle w:val="16"/>
                <w:rFonts w:hint="eastAsia" w:ascii="宋体" w:hAnsi="宋体" w:eastAsia="宋体" w:cs="宋体"/>
                <w:sz w:val="21"/>
                <w:szCs w:val="21"/>
                <w:lang w:val="en-US" w:eastAsia="zh-CN" w:bidi="ar"/>
              </w:rPr>
              <w:t>（3）比率分值法：</w:t>
            </w:r>
            <w:r>
              <w:rPr>
                <w:rStyle w:val="17"/>
                <w:rFonts w:hint="eastAsia" w:ascii="宋体" w:hAnsi="宋体" w:eastAsia="宋体" w:cs="宋体"/>
                <w:sz w:val="21"/>
                <w:szCs w:val="21"/>
                <w:lang w:val="en-US" w:eastAsia="zh-CN" w:bidi="ar"/>
              </w:rPr>
              <w:t>对存在连续性比率的指标，按比率乘以指标分值计算得分。</w:t>
            </w:r>
            <w:r>
              <w:rPr>
                <w:rStyle w:val="16"/>
                <w:rFonts w:hint="eastAsia" w:ascii="宋体" w:hAnsi="宋体" w:eastAsia="宋体" w:cs="宋体"/>
                <w:sz w:val="21"/>
                <w:szCs w:val="21"/>
                <w:lang w:val="en-US" w:eastAsia="zh-CN" w:bidi="ar"/>
              </w:rPr>
              <w:t>（4）缺（错）项扣分法：</w:t>
            </w:r>
            <w:r>
              <w:rPr>
                <w:rStyle w:val="17"/>
                <w:rFonts w:hint="eastAsia" w:ascii="宋体" w:hAnsi="宋体" w:eastAsia="宋体" w:cs="宋体"/>
                <w:sz w:val="21"/>
                <w:szCs w:val="21"/>
                <w:lang w:val="en-US" w:eastAsia="zh-CN" w:bidi="ar"/>
              </w:rPr>
              <w:t>按照要求所具备的事项计算，全部具备得满分，缺少一项扣X分。</w:t>
            </w:r>
            <w:r>
              <w:rPr>
                <w:rStyle w:val="16"/>
                <w:rFonts w:hint="eastAsia" w:ascii="宋体" w:hAnsi="宋体" w:eastAsia="宋体" w:cs="宋体"/>
                <w:sz w:val="21"/>
                <w:szCs w:val="21"/>
                <w:lang w:val="en-US" w:eastAsia="zh-CN" w:bidi="ar"/>
              </w:rPr>
              <w:t>（5）满意值赋分法：</w:t>
            </w:r>
            <w:r>
              <w:rPr>
                <w:rStyle w:val="17"/>
                <w:rFonts w:hint="eastAsia" w:ascii="宋体" w:hAnsi="宋体" w:eastAsia="宋体" w:cs="宋体"/>
                <w:sz w:val="21"/>
                <w:szCs w:val="21"/>
                <w:lang w:val="en-US" w:eastAsia="zh-CN" w:bidi="ar"/>
              </w:rPr>
              <w:t>设置一个满意值，指标值达到满意值得满分，未达到不得分或扣分。</w:t>
            </w:r>
            <w:r>
              <w:rPr>
                <w:rStyle w:val="16"/>
                <w:rFonts w:hint="eastAsia" w:ascii="宋体" w:hAnsi="宋体" w:eastAsia="宋体" w:cs="宋体"/>
                <w:sz w:val="21"/>
                <w:szCs w:val="21"/>
                <w:lang w:val="en-US" w:eastAsia="zh-CN" w:bidi="ar"/>
              </w:rPr>
              <w:t>（6）按数累加法：</w:t>
            </w:r>
            <w:r>
              <w:rPr>
                <w:rStyle w:val="17"/>
                <w:rFonts w:hint="eastAsia" w:ascii="宋体" w:hAnsi="宋体" w:eastAsia="宋体" w:cs="宋体"/>
                <w:sz w:val="21"/>
                <w:szCs w:val="21"/>
                <w:lang w:val="en-US" w:eastAsia="zh-CN" w:bidi="ar"/>
              </w:rPr>
              <w:t>若有必要用于加分项指标。</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bCs/>
                <w:i w:val="0"/>
                <w:iCs w:val="0"/>
                <w:color w:val="000000"/>
                <w:sz w:val="21"/>
                <w:szCs w:val="21"/>
                <w:u w:val="none"/>
              </w:rPr>
            </w:pPr>
            <w:r>
              <w:rPr>
                <w:rStyle w:val="16"/>
                <w:rFonts w:hint="eastAsia" w:ascii="宋体" w:hAnsi="宋体" w:eastAsia="宋体" w:cs="宋体"/>
                <w:sz w:val="21"/>
                <w:szCs w:val="21"/>
                <w:lang w:val="en-US" w:eastAsia="zh-CN" w:bidi="ar"/>
              </w:rPr>
              <w:t>2、预算绩效指标标准：</w:t>
            </w:r>
            <w:r>
              <w:rPr>
                <w:rStyle w:val="16"/>
                <w:rFonts w:hint="eastAsia" w:ascii="宋体" w:hAnsi="宋体" w:eastAsia="宋体" w:cs="宋体"/>
                <w:sz w:val="21"/>
                <w:szCs w:val="21"/>
                <w:lang w:val="en-US" w:eastAsia="zh-CN" w:bidi="ar"/>
              </w:rPr>
              <w:br w:type="textWrapping"/>
            </w:r>
            <w:r>
              <w:rPr>
                <w:rStyle w:val="16"/>
                <w:rFonts w:hint="eastAsia" w:ascii="宋体" w:hAnsi="宋体" w:eastAsia="宋体" w:cs="宋体"/>
                <w:sz w:val="21"/>
                <w:szCs w:val="21"/>
                <w:lang w:val="en-US" w:eastAsia="zh-CN" w:bidi="ar"/>
              </w:rPr>
              <w:t>（1）定性指标标准：</w:t>
            </w:r>
            <w:r>
              <w:rPr>
                <w:rStyle w:val="17"/>
                <w:rFonts w:hint="eastAsia" w:ascii="宋体" w:hAnsi="宋体" w:eastAsia="宋体" w:cs="宋体"/>
                <w:sz w:val="21"/>
                <w:szCs w:val="21"/>
                <w:lang w:val="en-US" w:eastAsia="zh-CN" w:bidi="ar"/>
              </w:rPr>
              <w:t>根据客观依据判断指标得分，一般采用是否评分法。</w:t>
            </w:r>
            <w:r>
              <w:rPr>
                <w:rStyle w:val="17"/>
                <w:rFonts w:hint="eastAsia" w:ascii="宋体" w:hAnsi="宋体" w:eastAsia="宋体" w:cs="宋体"/>
                <w:sz w:val="21"/>
                <w:szCs w:val="21"/>
                <w:lang w:val="en-US" w:eastAsia="zh-CN" w:bidi="ar"/>
              </w:rPr>
              <w:br w:type="textWrapping"/>
            </w:r>
            <w:r>
              <w:rPr>
                <w:rStyle w:val="16"/>
                <w:rFonts w:hint="eastAsia" w:ascii="宋体" w:hAnsi="宋体" w:eastAsia="宋体" w:cs="宋体"/>
                <w:sz w:val="21"/>
                <w:szCs w:val="21"/>
                <w:lang w:val="en-US" w:eastAsia="zh-CN" w:bidi="ar"/>
              </w:rPr>
              <w:t>（2）定量指标标准：</w:t>
            </w:r>
            <w:r>
              <w:rPr>
                <w:rStyle w:val="17"/>
                <w:rFonts w:hint="eastAsia" w:ascii="宋体" w:hAnsi="宋体" w:eastAsia="宋体" w:cs="宋体"/>
                <w:sz w:val="21"/>
                <w:szCs w:val="21"/>
                <w:lang w:val="en-US" w:eastAsia="zh-CN" w:bidi="ar"/>
              </w:rPr>
              <w:t>（技术标准、管理标准、工作标准）：</w:t>
            </w:r>
            <w:r>
              <w:rPr>
                <w:rStyle w:val="17"/>
                <w:rFonts w:hint="eastAsia" w:ascii="宋体" w:hAnsi="宋体" w:eastAsia="宋体" w:cs="宋体"/>
                <w:sz w:val="21"/>
                <w:szCs w:val="21"/>
                <w:lang w:val="en-US" w:eastAsia="zh-CN" w:bidi="ar"/>
              </w:rPr>
              <w:br w:type="textWrapping"/>
            </w:r>
            <w:r>
              <w:rPr>
                <w:rStyle w:val="16"/>
                <w:rFonts w:hint="eastAsia" w:ascii="宋体" w:hAnsi="宋体" w:eastAsia="宋体" w:cs="宋体"/>
                <w:sz w:val="21"/>
                <w:szCs w:val="21"/>
                <w:lang w:val="en-US" w:eastAsia="zh-CN" w:bidi="ar"/>
              </w:rPr>
              <w:t>国家标准：</w:t>
            </w:r>
            <w:r>
              <w:rPr>
                <w:rStyle w:val="17"/>
                <w:rFonts w:hint="eastAsia" w:ascii="宋体" w:hAnsi="宋体" w:eastAsia="宋体" w:cs="宋体"/>
                <w:sz w:val="21"/>
                <w:szCs w:val="21"/>
                <w:lang w:val="en-US" w:eastAsia="zh-CN" w:bidi="ar"/>
              </w:rPr>
              <w:t>国家质量技术监督总局与国家标准化管理委员会制定，全国范围内适用，其他各级别标准不得与其抵触。</w:t>
            </w:r>
            <w:r>
              <w:rPr>
                <w:rStyle w:val="17"/>
                <w:rFonts w:hint="eastAsia" w:ascii="宋体" w:hAnsi="宋体" w:eastAsia="宋体" w:cs="宋体"/>
                <w:sz w:val="21"/>
                <w:szCs w:val="21"/>
                <w:lang w:val="en-US" w:eastAsia="zh-CN" w:bidi="ar"/>
              </w:rPr>
              <w:br w:type="textWrapping"/>
            </w:r>
            <w:r>
              <w:rPr>
                <w:rStyle w:val="16"/>
                <w:rFonts w:hint="eastAsia" w:ascii="宋体" w:hAnsi="宋体" w:eastAsia="宋体" w:cs="宋体"/>
                <w:sz w:val="21"/>
                <w:szCs w:val="21"/>
                <w:lang w:val="en-US" w:eastAsia="zh-CN" w:bidi="ar"/>
              </w:rPr>
              <w:t>行业标准：</w:t>
            </w:r>
            <w:r>
              <w:rPr>
                <w:rStyle w:val="17"/>
                <w:rFonts w:hint="eastAsia" w:ascii="宋体" w:hAnsi="宋体" w:eastAsia="宋体" w:cs="宋体"/>
                <w:sz w:val="21"/>
                <w:szCs w:val="21"/>
                <w:lang w:val="en-US" w:eastAsia="zh-CN" w:bidi="ar"/>
              </w:rPr>
              <w:t>国务院行政主管部门制定，行业标准用于特定行业。</w:t>
            </w:r>
            <w:r>
              <w:rPr>
                <w:rStyle w:val="17"/>
                <w:rFonts w:hint="eastAsia" w:ascii="宋体" w:hAnsi="宋体" w:eastAsia="宋体" w:cs="宋体"/>
                <w:sz w:val="21"/>
                <w:szCs w:val="21"/>
                <w:lang w:val="en-US" w:eastAsia="zh-CN" w:bidi="ar"/>
              </w:rPr>
              <w:br w:type="textWrapping"/>
            </w:r>
            <w:r>
              <w:rPr>
                <w:rStyle w:val="16"/>
                <w:rFonts w:hint="eastAsia" w:ascii="宋体" w:hAnsi="宋体" w:eastAsia="宋体" w:cs="宋体"/>
                <w:sz w:val="21"/>
                <w:szCs w:val="21"/>
                <w:lang w:val="en-US" w:eastAsia="zh-CN" w:bidi="ar"/>
              </w:rPr>
              <w:t>地方标准：</w:t>
            </w:r>
            <w:r>
              <w:rPr>
                <w:rStyle w:val="17"/>
                <w:rFonts w:hint="eastAsia" w:ascii="宋体" w:hAnsi="宋体" w:eastAsia="宋体" w:cs="宋体"/>
                <w:sz w:val="21"/>
                <w:szCs w:val="21"/>
                <w:lang w:val="en-US" w:eastAsia="zh-CN" w:bidi="ar"/>
              </w:rPr>
              <w:t>在没有国家标准和行业标准的情况下，地方政府、省级主管部门、财政部门可根据历史数据、统计数据、调研数据等设定绩效标准，可根据四川的实际情况按经济片区分设标准。</w:t>
            </w:r>
            <w:r>
              <w:rPr>
                <w:rStyle w:val="17"/>
                <w:rFonts w:hint="eastAsia" w:ascii="宋体" w:hAnsi="宋体" w:eastAsia="宋体" w:cs="宋体"/>
                <w:sz w:val="21"/>
                <w:szCs w:val="21"/>
                <w:lang w:val="en-US" w:eastAsia="zh-CN" w:bidi="ar"/>
              </w:rPr>
              <w:br w:type="textWrapping"/>
            </w:r>
            <w:r>
              <w:rPr>
                <w:rStyle w:val="16"/>
                <w:rFonts w:hint="eastAsia" w:ascii="宋体" w:hAnsi="宋体" w:eastAsia="宋体" w:cs="宋体"/>
                <w:sz w:val="21"/>
                <w:szCs w:val="21"/>
                <w:lang w:val="en-US" w:eastAsia="zh-CN" w:bidi="ar"/>
              </w:rPr>
              <w:t>申报标准：</w:t>
            </w:r>
            <w:r>
              <w:rPr>
                <w:rStyle w:val="17"/>
                <w:rFonts w:hint="eastAsia" w:ascii="宋体" w:hAnsi="宋体" w:eastAsia="宋体" w:cs="宋体"/>
                <w:sz w:val="21"/>
                <w:szCs w:val="21"/>
                <w:lang w:val="en-US" w:eastAsia="zh-CN" w:bidi="ar"/>
              </w:rPr>
              <w:t>对新实施的政策项目且相关基础数据匮乏的基础上，各方根据试点探索商定绩效标准，并在以后年度动态修订完善。</w:t>
            </w:r>
            <w:r>
              <w:rPr>
                <w:rStyle w:val="17"/>
                <w:rFonts w:hint="eastAsia" w:ascii="宋体" w:hAnsi="宋体" w:eastAsia="宋体" w:cs="宋体"/>
                <w:sz w:val="21"/>
                <w:szCs w:val="21"/>
                <w:lang w:val="en-US" w:eastAsia="zh-CN" w:bidi="ar"/>
              </w:rPr>
              <w:br w:type="textWrapping"/>
            </w:r>
            <w:r>
              <w:rPr>
                <w:rStyle w:val="17"/>
                <w:rFonts w:hint="eastAsia" w:ascii="宋体" w:hAnsi="宋体" w:eastAsia="宋体" w:cs="宋体"/>
                <w:sz w:val="21"/>
                <w:szCs w:val="21"/>
                <w:lang w:val="en-US" w:eastAsia="zh-CN" w:bidi="ar"/>
              </w:rPr>
              <w:t>3、★为核心指标，需要评价组重点关注深入分析。未涉及个性指标的项目，其分值权重按比例调整到其他效果指标。</w:t>
            </w:r>
          </w:p>
        </w:tc>
        <w:tc>
          <w:tcPr>
            <w:tcW w:w="114"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bCs/>
                <w:i w:val="0"/>
                <w:iCs w:val="0"/>
                <w:color w:val="000000"/>
                <w:sz w:val="21"/>
                <w:szCs w:val="21"/>
                <w:u w:val="none"/>
              </w:rPr>
            </w:pPr>
          </w:p>
        </w:tc>
        <w:tc>
          <w:tcPr>
            <w:tcW w:w="98"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0" w:hRule="atLeast"/>
        </w:trPr>
        <w:tc>
          <w:tcPr>
            <w:tcW w:w="4787" w:type="pct"/>
            <w:gridSpan w:val="23"/>
            <w:vMerge w:val="continue"/>
            <w:tcBorders>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bCs/>
                <w:i w:val="0"/>
                <w:iCs w:val="0"/>
                <w:color w:val="000000"/>
                <w:sz w:val="21"/>
                <w:szCs w:val="21"/>
                <w:u w:val="none"/>
              </w:rPr>
            </w:pPr>
          </w:p>
        </w:tc>
        <w:tc>
          <w:tcPr>
            <w:tcW w:w="114"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bCs/>
                <w:i w:val="0"/>
                <w:iCs w:val="0"/>
                <w:color w:val="000000"/>
                <w:sz w:val="21"/>
                <w:szCs w:val="21"/>
                <w:u w:val="none"/>
              </w:rPr>
            </w:pPr>
          </w:p>
        </w:tc>
        <w:tc>
          <w:tcPr>
            <w:tcW w:w="98"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bCs/>
                <w:i w:val="0"/>
                <w:iCs w:val="0"/>
                <w:color w:val="000000"/>
                <w:sz w:val="21"/>
                <w:szCs w:val="21"/>
                <w:u w:val="none"/>
              </w:rPr>
            </w:pPr>
          </w:p>
        </w:tc>
      </w:tr>
    </w:tbl>
    <w:p>
      <w:pPr>
        <w:pageBreakBefore w:val="0"/>
        <w:widowControl w:val="0"/>
        <w:kinsoku/>
        <w:wordWrap/>
        <w:overflowPunct/>
        <w:topLinePunct w:val="0"/>
        <w:autoSpaceDE/>
        <w:autoSpaceDN/>
        <w:bidi w:val="0"/>
        <w:spacing w:line="576" w:lineRule="exact"/>
        <w:ind w:left="0" w:leftChars="0" w:right="0" w:rightChars="0" w:firstLine="0" w:firstLineChars="0"/>
        <w:jc w:val="both"/>
        <w:rPr>
          <w:rFonts w:hint="eastAsia" w:ascii="仿宋_GB2312" w:hAnsi="仿宋_GB2312" w:eastAsia="仿宋_GB2312" w:cs="仿宋_GB2312"/>
          <w:b/>
          <w:bCs/>
          <w:color w:val="auto"/>
          <w:sz w:val="32"/>
          <w:szCs w:val="32"/>
          <w:highlight w:val="none"/>
          <w:u w:val="none"/>
          <w:vertAlign w:val="baseline"/>
          <w:lang w:val="en-US" w:eastAsia="zh-CN"/>
        </w:rPr>
      </w:pPr>
    </w:p>
    <w:p>
      <w:pPr>
        <w:pageBreakBefore w:val="0"/>
        <w:widowControl w:val="0"/>
        <w:kinsoku/>
        <w:wordWrap/>
        <w:overflowPunct/>
        <w:topLinePunct w:val="0"/>
        <w:autoSpaceDE/>
        <w:autoSpaceDN/>
        <w:bidi w:val="0"/>
        <w:spacing w:line="576" w:lineRule="exact"/>
        <w:ind w:left="0" w:leftChars="0" w:right="0" w:rightChars="0" w:firstLine="0" w:firstLineChars="0"/>
        <w:jc w:val="both"/>
        <w:rPr>
          <w:rFonts w:hint="eastAsia" w:ascii="仿宋_GB2312" w:hAnsi="仿宋_GB2312" w:eastAsia="仿宋_GB2312" w:cs="仿宋_GB2312"/>
          <w:b/>
          <w:bCs/>
          <w:color w:val="auto"/>
          <w:sz w:val="32"/>
          <w:szCs w:val="32"/>
          <w:highlight w:val="none"/>
          <w:u w:val="none"/>
          <w:vertAlign w:val="baseline"/>
          <w:lang w:val="en-US" w:eastAsia="zh-CN"/>
        </w:rPr>
        <w:sectPr>
          <w:pgSz w:w="23811" w:h="16838" w:orient="landscape"/>
          <w:pgMar w:top="1134" w:right="1134" w:bottom="1134" w:left="1134" w:header="851" w:footer="992" w:gutter="0"/>
          <w:pgNumType w:fmt="decimal"/>
          <w:cols w:space="425" w:num="1"/>
          <w:docGrid w:type="lines" w:linePitch="312" w:charSpace="0"/>
        </w:sectPr>
      </w:pPr>
      <w:r>
        <w:rPr>
          <w:rFonts w:hint="eastAsia" w:ascii="仿宋_GB2312" w:hAnsi="仿宋_GB2312" w:eastAsia="仿宋_GB2312" w:cs="仿宋_GB2312"/>
          <w:b/>
          <w:bCs/>
          <w:color w:val="auto"/>
          <w:sz w:val="32"/>
          <w:szCs w:val="32"/>
          <w:highlight w:val="none"/>
          <w:u w:val="none"/>
          <w:vertAlign w:val="baseline"/>
          <w:lang w:val="en-US" w:eastAsia="zh-CN"/>
        </w:rPr>
        <w:br w:type="page"/>
      </w:r>
    </w:p>
    <w:p>
      <w:pPr>
        <w:pageBreakBefore w:val="0"/>
        <w:widowControl w:val="0"/>
        <w:kinsoku/>
        <w:wordWrap/>
        <w:overflowPunct/>
        <w:topLinePunct w:val="0"/>
        <w:autoSpaceDE/>
        <w:autoSpaceDN/>
        <w:bidi w:val="0"/>
        <w:adjustRightInd w:val="0"/>
        <w:snapToGrid w:val="0"/>
        <w:spacing w:line="576" w:lineRule="exact"/>
        <w:ind w:left="0" w:leftChars="0" w:right="0" w:rightChars="0" w:firstLine="0" w:firstLineChars="0"/>
        <w:jc w:val="center"/>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广元市利州区2022年第6批次建设用地森林</w:t>
      </w:r>
    </w:p>
    <w:p>
      <w:pPr>
        <w:pageBreakBefore w:val="0"/>
        <w:widowControl w:val="0"/>
        <w:kinsoku/>
        <w:wordWrap/>
        <w:overflowPunct/>
        <w:topLinePunct w:val="0"/>
        <w:autoSpaceDE/>
        <w:autoSpaceDN/>
        <w:bidi w:val="0"/>
        <w:adjustRightInd w:val="0"/>
        <w:snapToGrid w:val="0"/>
        <w:spacing w:line="576" w:lineRule="exact"/>
        <w:ind w:left="0" w:leftChars="0" w:right="0" w:rightChars="0" w:firstLine="0" w:firstLineChars="0"/>
        <w:jc w:val="center"/>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植被恢复费及使用林地可行性编制及采伐</w:t>
      </w:r>
    </w:p>
    <w:p>
      <w:pPr>
        <w:pageBreakBefore w:val="0"/>
        <w:widowControl w:val="0"/>
        <w:kinsoku/>
        <w:wordWrap/>
        <w:overflowPunct/>
        <w:topLinePunct w:val="0"/>
        <w:autoSpaceDE/>
        <w:autoSpaceDN/>
        <w:bidi w:val="0"/>
        <w:adjustRightInd w:val="0"/>
        <w:snapToGrid w:val="0"/>
        <w:spacing w:line="576" w:lineRule="exact"/>
        <w:ind w:left="0" w:leftChars="0" w:right="0" w:rightChars="0" w:firstLine="0" w:firstLineChars="0"/>
        <w:jc w:val="center"/>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作业设计费项目支出绩效自评报告</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黑体" w:hAnsi="黑体" w:eastAsia="黑体" w:cs="黑体"/>
          <w:b w:val="0"/>
          <w:bCs w:val="0"/>
          <w:sz w:val="32"/>
          <w:szCs w:val="32"/>
          <w:lang w:val="zh-CN" w:eastAsia="zh-CN"/>
        </w:rPr>
      </w:pP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lang w:val="zh-CN" w:eastAsia="zh-CN"/>
        </w:rPr>
        <w:t>项目概况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（一）项目基本情况</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枣树湾经营性用地、081金融整合用地、广元传化公路港物流枢纽项目是市政府要求尽快纳入广元市利州区2022年第六批建设用地上报省政府审批的市级重点项目，总用地面积6.2184公顷（其中林地1.0978公顷），按照有关规定，在征地报批前</w:t>
      </w:r>
      <w:r>
        <w:rPr>
          <w:rFonts w:hint="eastAsia" w:ascii="仿宋_GB2312" w:hAnsi="仿宋_GB2312" w:cs="仿宋_GB2312"/>
          <w:sz w:val="32"/>
          <w:szCs w:val="32"/>
          <w:lang w:val="en-US" w:eastAsia="zh-CN"/>
        </w:rPr>
        <w:t>必须</w:t>
      </w:r>
      <w:r>
        <w:rPr>
          <w:rFonts w:hint="eastAsia" w:ascii="仿宋_GB2312" w:hAnsi="仿宋_GB2312" w:eastAsia="仿宋_GB2312" w:cs="仿宋_GB2312"/>
          <w:sz w:val="32"/>
          <w:szCs w:val="32"/>
          <w:lang w:val="en-US" w:eastAsia="zh-CN"/>
        </w:rPr>
        <w:t>先行办理林地批准手续，该批次</w:t>
      </w:r>
      <w:r>
        <w:rPr>
          <w:rFonts w:hint="eastAsia" w:ascii="仿宋_GB2312" w:hAnsi="仿宋_GB2312" w:cs="仿宋_GB2312"/>
          <w:sz w:val="32"/>
          <w:szCs w:val="32"/>
          <w:lang w:val="en-US" w:eastAsia="zh-CN"/>
        </w:rPr>
        <w:t>需</w:t>
      </w:r>
      <w:r>
        <w:rPr>
          <w:rFonts w:hint="eastAsia" w:ascii="仿宋_GB2312" w:hAnsi="仿宋_GB2312" w:eastAsia="仿宋_GB2312" w:cs="仿宋_GB2312"/>
          <w:sz w:val="32"/>
          <w:szCs w:val="32"/>
          <w:lang w:val="en-US" w:eastAsia="zh-CN"/>
        </w:rPr>
        <w:t>缴纳森林植被恢复费47.74万元，使用林地可行性编制及采伐作业设计费9万元。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（二）项目绩效目标</w:t>
      </w: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通过该项目的实施，确保</w:t>
      </w:r>
      <w:r>
        <w:rPr>
          <w:rFonts w:hint="eastAsia" w:ascii="仿宋_GB2312" w:hAnsi="仿宋_GB2312" w:cs="仿宋_GB2312"/>
          <w:sz w:val="32"/>
          <w:szCs w:val="32"/>
          <w:highlight w:val="none"/>
          <w:lang w:val="en-US" w:eastAsia="zh-CN"/>
        </w:rPr>
        <w:t>项目</w:t>
      </w:r>
      <w:r>
        <w:rPr>
          <w:rFonts w:hint="eastAsia" w:ascii="仿宋_GB2312" w:hAnsi="仿宋_GB2312" w:eastAsia="仿宋_GB2312" w:cs="仿宋_GB2312"/>
          <w:sz w:val="32"/>
          <w:szCs w:val="32"/>
          <w:highlight w:val="none"/>
          <w:lang w:val="en-US" w:eastAsia="zh-CN"/>
        </w:rPr>
        <w:t>建设合法用地。</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w:t>
      </w:r>
      <w:r>
        <w:rPr>
          <w:rFonts w:hint="eastAsia" w:ascii="楷体_GB2312" w:hAnsi="楷体_GB2312" w:eastAsia="楷体_GB2312" w:cs="楷体_GB2312"/>
          <w:b w:val="0"/>
          <w:bCs w:val="0"/>
          <w:sz w:val="32"/>
          <w:szCs w:val="32"/>
          <w:lang w:val="en-US" w:eastAsia="zh-CN"/>
        </w:rPr>
        <w:t>三</w:t>
      </w:r>
      <w:r>
        <w:rPr>
          <w:rFonts w:hint="eastAsia" w:ascii="楷体_GB2312" w:hAnsi="楷体_GB2312" w:eastAsia="楷体_GB2312" w:cs="楷体_GB2312"/>
          <w:b w:val="0"/>
          <w:bCs w:val="0"/>
          <w:sz w:val="32"/>
          <w:szCs w:val="32"/>
          <w:lang w:val="zh-CN" w:eastAsia="zh-CN"/>
        </w:rPr>
        <w:t>）</w:t>
      </w:r>
      <w:r>
        <w:rPr>
          <w:rFonts w:hint="eastAsia" w:ascii="仿宋_GB2312" w:hAnsi="仿宋_GB2312" w:eastAsia="仿宋_GB2312" w:cs="仿宋_GB2312"/>
          <w:sz w:val="32"/>
          <w:szCs w:val="32"/>
          <w:highlight w:val="none"/>
          <w:lang w:val="zh-CN" w:eastAsia="zh-CN"/>
        </w:rPr>
        <w:t>申报内容与实际相符，申报目标合理可行。</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二、项目资金申报及使用情况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（一）项目资金申报及批复情况</w:t>
      </w:r>
    </w:p>
    <w:p>
      <w:pPr>
        <w:keepNext w:val="0"/>
        <w:keepLines w:val="0"/>
        <w:pageBreakBefore w:val="0"/>
        <w:widowControl w:val="0"/>
        <w:kinsoku/>
        <w:wordWrap/>
        <w:overflowPunct/>
        <w:topLinePunct w:val="0"/>
        <w:autoSpaceDE/>
        <w:autoSpaceDN/>
        <w:bidi w:val="0"/>
        <w:spacing w:line="576" w:lineRule="exact"/>
        <w:ind w:left="0" w:leftChars="0" w:right="0" w:rightChars="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我局耕保科根据相关文件申报财政资金56.74万元，市财政投资科于2022年8月29日下达我局</w:t>
      </w:r>
      <w:r>
        <w:rPr>
          <w:rFonts w:hint="eastAsia" w:ascii="仿宋_GB2312" w:hAnsi="仿宋_GB2312" w:cs="仿宋_GB2312"/>
          <w:sz w:val="32"/>
          <w:szCs w:val="32"/>
          <w:lang w:val="en-US" w:eastAsia="zh-CN"/>
        </w:rPr>
        <w:t>专项</w:t>
      </w:r>
      <w:r>
        <w:rPr>
          <w:rFonts w:hint="eastAsia" w:ascii="仿宋_GB2312" w:hAnsi="仿宋_GB2312" w:eastAsia="仿宋_GB2312" w:cs="仿宋_GB2312"/>
          <w:sz w:val="32"/>
          <w:szCs w:val="32"/>
          <w:lang w:val="en-US" w:eastAsia="zh-CN"/>
        </w:rPr>
        <w:t>资金56.74万元。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（二）资金计划、到位及使用情况</w:t>
      </w:r>
    </w:p>
    <w:p>
      <w:pPr>
        <w:keepNext w:val="0"/>
        <w:keepLines w:val="0"/>
        <w:pageBreakBefore w:val="0"/>
        <w:widowControl w:val="0"/>
        <w:shd w:val="clear" w:color="auto" w:fill="FFFFFF"/>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val="zh-CN"/>
        </w:rPr>
        <w:t>1</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val="zh-CN"/>
        </w:rPr>
        <w:t>资金计划及到位情况。</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该项目</w:t>
      </w:r>
      <w:r>
        <w:rPr>
          <w:rFonts w:hint="eastAsia" w:ascii="仿宋_GB2312" w:hAnsi="仿宋_GB2312" w:eastAsia="仿宋_GB2312" w:cs="仿宋_GB2312"/>
          <w:sz w:val="32"/>
          <w:szCs w:val="32"/>
        </w:rPr>
        <w:t>预算</w:t>
      </w:r>
      <w:r>
        <w:rPr>
          <w:rFonts w:hint="eastAsia" w:ascii="仿宋_GB2312" w:hAnsi="仿宋_GB2312" w:eastAsia="仿宋_GB2312" w:cs="仿宋_GB2312"/>
          <w:sz w:val="32"/>
          <w:szCs w:val="32"/>
          <w:lang w:val="en-US" w:eastAsia="zh-CN"/>
        </w:rPr>
        <w:t>56.74</w:t>
      </w:r>
      <w:r>
        <w:rPr>
          <w:rFonts w:hint="eastAsia" w:ascii="仿宋_GB2312" w:hAnsi="仿宋_GB2312" w:eastAsia="仿宋_GB2312" w:cs="仿宋_GB2312"/>
          <w:sz w:val="32"/>
          <w:szCs w:val="32"/>
        </w:rPr>
        <w:t>万元，202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年市财政实际拨付资金</w:t>
      </w:r>
      <w:r>
        <w:rPr>
          <w:rFonts w:hint="eastAsia" w:ascii="仿宋_GB2312" w:hAnsi="仿宋_GB2312" w:eastAsia="仿宋_GB2312" w:cs="仿宋_GB2312"/>
          <w:sz w:val="32"/>
          <w:szCs w:val="32"/>
          <w:lang w:val="en-US" w:eastAsia="zh-CN"/>
        </w:rPr>
        <w:t>56.74</w:t>
      </w:r>
      <w:r>
        <w:rPr>
          <w:rFonts w:hint="eastAsia" w:ascii="仿宋_GB2312" w:hAnsi="仿宋_GB2312" w:eastAsia="仿宋_GB2312" w:cs="仿宋_GB2312"/>
          <w:sz w:val="32"/>
          <w:szCs w:val="32"/>
        </w:rPr>
        <w:t>万元，资金拨付率为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576"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 xml:space="preserve">2. </w:t>
      </w:r>
      <w:r>
        <w:rPr>
          <w:rFonts w:hint="eastAsia" w:ascii="仿宋_GB2312" w:hAnsi="仿宋_GB2312" w:eastAsia="仿宋_GB2312" w:cs="仿宋_GB2312"/>
          <w:sz w:val="32"/>
          <w:szCs w:val="32"/>
          <w:highlight w:val="none"/>
          <w:lang w:val="zh-CN"/>
        </w:rPr>
        <w:t>资金使用情况。</w:t>
      </w:r>
      <w:r>
        <w:rPr>
          <w:rFonts w:hint="eastAsia" w:ascii="仿宋_GB2312" w:hAnsi="仿宋_GB2312" w:cs="仿宋_GB2312"/>
          <w:sz w:val="32"/>
          <w:szCs w:val="32"/>
          <w:highlight w:val="none"/>
          <w:lang w:val="en-US" w:eastAsia="zh-CN"/>
        </w:rPr>
        <w:t>截止2022年12</w:t>
      </w:r>
      <w:r>
        <w:rPr>
          <w:rFonts w:hint="eastAsia" w:ascii="仿宋_GB2312" w:hAnsi="仿宋_GB2312" w:eastAsia="仿宋_GB2312" w:cs="仿宋_GB2312"/>
          <w:sz w:val="32"/>
          <w:szCs w:val="32"/>
          <w:highlight w:val="none"/>
          <w:lang w:val="en-US" w:eastAsia="zh-CN"/>
        </w:rPr>
        <w:t>使用</w:t>
      </w:r>
      <w:r>
        <w:rPr>
          <w:rFonts w:hint="eastAsia" w:ascii="仿宋_GB2312" w:hAnsi="仿宋_GB2312" w:cs="仿宋_GB2312"/>
          <w:sz w:val="32"/>
          <w:szCs w:val="32"/>
          <w:highlight w:val="none"/>
          <w:lang w:val="en-US" w:eastAsia="zh-CN"/>
        </w:rPr>
        <w:t>资金</w:t>
      </w:r>
      <w:r>
        <w:rPr>
          <w:rFonts w:hint="eastAsia" w:ascii="仿宋_GB2312" w:hAnsi="仿宋_GB2312" w:eastAsia="仿宋_GB2312" w:cs="仿宋_GB2312"/>
          <w:sz w:val="32"/>
          <w:szCs w:val="32"/>
          <w:highlight w:val="none"/>
          <w:lang w:val="en-US" w:eastAsia="zh-CN"/>
        </w:rPr>
        <w:t>56.74万元，预算执行率为100%。主要用</w:t>
      </w:r>
      <w:r>
        <w:rPr>
          <w:rFonts w:hint="eastAsia" w:ascii="仿宋_GB2312" w:hAnsi="仿宋_GB2312" w:eastAsia="仿宋_GB2312" w:cs="仿宋_GB2312"/>
          <w:sz w:val="32"/>
          <w:szCs w:val="32"/>
          <w:lang w:val="en-US" w:eastAsia="zh-CN"/>
        </w:rPr>
        <w:t>于用报批广元市利州区2022年第六批</w:t>
      </w:r>
      <w:r>
        <w:rPr>
          <w:rFonts w:hint="eastAsia" w:ascii="仿宋_GB2312" w:hAnsi="仿宋_GB2312" w:cs="仿宋_GB2312"/>
          <w:sz w:val="32"/>
          <w:szCs w:val="32"/>
          <w:lang w:val="en-US" w:eastAsia="zh-CN"/>
        </w:rPr>
        <w:t>建设</w:t>
      </w:r>
      <w:r>
        <w:rPr>
          <w:rFonts w:hint="eastAsia" w:ascii="仿宋_GB2312" w:hAnsi="仿宋_GB2312" w:eastAsia="仿宋_GB2312" w:cs="仿宋_GB2312"/>
          <w:sz w:val="32"/>
          <w:szCs w:val="32"/>
          <w:lang w:val="en-US" w:eastAsia="zh-CN"/>
        </w:rPr>
        <w:t>项目用地</w:t>
      </w:r>
      <w:r>
        <w:rPr>
          <w:rFonts w:hint="eastAsia" w:ascii="仿宋_GB2312" w:hAnsi="仿宋_GB2312" w:cs="仿宋_GB2312"/>
          <w:sz w:val="32"/>
          <w:szCs w:val="32"/>
          <w:lang w:val="en-US" w:eastAsia="zh-CN"/>
        </w:rPr>
        <w:t>报批相关费用</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（三）项目财务管理情况</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我局</w:t>
      </w:r>
      <w:r>
        <w:rPr>
          <w:rFonts w:hint="eastAsia" w:ascii="仿宋_GB2312" w:hAnsi="仿宋_GB2312" w:eastAsia="仿宋_GB2312" w:cs="仿宋_GB2312"/>
          <w:sz w:val="32"/>
          <w:szCs w:val="32"/>
        </w:rPr>
        <w:t>严格按照财务管理相关制度规定，建立健全财务管理制度及内控制度，加强对</w:t>
      </w:r>
      <w:r>
        <w:rPr>
          <w:rFonts w:hint="eastAsia" w:ascii="仿宋_GB2312" w:hAnsi="仿宋_GB2312" w:cs="仿宋_GB2312"/>
          <w:sz w:val="32"/>
          <w:szCs w:val="32"/>
          <w:lang w:val="en-US" w:eastAsia="zh-CN"/>
        </w:rPr>
        <w:t>该</w:t>
      </w:r>
      <w:r>
        <w:rPr>
          <w:rFonts w:hint="eastAsia" w:ascii="仿宋_GB2312" w:hAnsi="仿宋_GB2312" w:eastAsia="仿宋_GB2312" w:cs="仿宋_GB2312"/>
          <w:sz w:val="32"/>
          <w:szCs w:val="32"/>
          <w:lang w:val="en-US" w:eastAsia="zh-CN"/>
        </w:rPr>
        <w:t>项目</w:t>
      </w:r>
      <w:r>
        <w:rPr>
          <w:rFonts w:hint="eastAsia" w:ascii="仿宋_GB2312" w:hAnsi="仿宋_GB2312" w:cs="仿宋_GB2312"/>
          <w:sz w:val="32"/>
          <w:szCs w:val="32"/>
          <w:lang w:val="en-US" w:eastAsia="zh-CN"/>
        </w:rPr>
        <w:t>资金</w:t>
      </w:r>
      <w:r>
        <w:rPr>
          <w:rFonts w:hint="eastAsia" w:ascii="仿宋_GB2312" w:hAnsi="仿宋_GB2312" w:eastAsia="仿宋_GB2312" w:cs="仿宋_GB2312"/>
          <w:sz w:val="32"/>
          <w:szCs w:val="32"/>
        </w:rPr>
        <w:t>的使用管理，按照专项资金管理办法做好项目实施和监管，及时、规范进行账务处理及会计核算。切实做到专款专用，最大可能发挥专项资金作用。</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zh-CN" w:eastAsia="zh-CN"/>
        </w:rPr>
        <w:t>三、项目实施及管理情况</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我局</w:t>
      </w:r>
      <w:r>
        <w:rPr>
          <w:rFonts w:hint="eastAsia" w:ascii="仿宋_GB2312" w:hAnsi="仿宋_GB2312" w:eastAsia="仿宋_GB2312" w:cs="仿宋_GB2312"/>
          <w:sz w:val="32"/>
          <w:szCs w:val="32"/>
        </w:rPr>
        <w:t>严格按照项目管理有关规定管理专项经费，为保障项目资金安全，确保资金专款专用， 从资金申请、资金使用、会计核算三个环节加强资金管理，在项目资金申请环节，严格按照国库集中支付流程申请财政资金；在资金使用环节，严格遵守相关法律法规规定，严格按照单位财务管理审批流程办理款项支付；在会计核算环节，对本项目资金实行单独核算，确保专款专用。</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黑体" w:hAnsi="黑体" w:eastAsia="黑体" w:cs="黑体"/>
          <w:b w:val="0"/>
          <w:bCs w:val="0"/>
          <w:sz w:val="32"/>
          <w:szCs w:val="32"/>
          <w:lang w:val="zh-CN" w:eastAsia="zh-CN"/>
        </w:rPr>
      </w:pPr>
      <w:r>
        <w:rPr>
          <w:rFonts w:hint="eastAsia" w:ascii="黑体" w:hAnsi="黑体" w:eastAsia="黑体" w:cs="黑体"/>
          <w:b w:val="0"/>
          <w:bCs w:val="0"/>
          <w:sz w:val="32"/>
          <w:szCs w:val="32"/>
          <w:lang w:val="en-US" w:eastAsia="zh-CN"/>
        </w:rPr>
        <w:t>四、项目绩效情况</w:t>
      </w:r>
      <w:r>
        <w:rPr>
          <w:rFonts w:hint="eastAsia" w:ascii="黑体" w:hAnsi="黑体" w:eastAsia="黑体" w:cs="黑体"/>
          <w:b w:val="0"/>
          <w:bCs w:val="0"/>
          <w:sz w:val="32"/>
          <w:szCs w:val="32"/>
          <w:lang w:val="zh-CN" w:eastAsia="zh-CN"/>
        </w:rPr>
        <w:tab/>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（一）项目完成情况</w:t>
      </w:r>
    </w:p>
    <w:p>
      <w:pPr>
        <w:keepNext w:val="0"/>
        <w:keepLines w:val="0"/>
        <w:pageBreakBefore w:val="0"/>
        <w:widowControl w:val="0"/>
        <w:shd w:val="clear" w:color="auto" w:fill="auto"/>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2"/>
        <w:rPr>
          <w:rFonts w:hint="eastAsia" w:ascii="仿宋_GB2312" w:hAnsi="仿宋_GB2312" w:eastAsia="仿宋_GB2312" w:cs="仿宋_GB2312"/>
          <w:bCs/>
          <w:kern w:val="0"/>
          <w:sz w:val="32"/>
          <w:szCs w:val="32"/>
          <w:highlight w:val="none"/>
          <w:lang w:val="en-US" w:eastAsia="zh-CN"/>
        </w:rPr>
      </w:pPr>
      <w:r>
        <w:rPr>
          <w:rFonts w:hint="eastAsia" w:ascii="仿宋_GB2312" w:hAnsi="仿宋_GB2312" w:eastAsia="仿宋_GB2312" w:cs="仿宋_GB2312"/>
          <w:bCs/>
          <w:kern w:val="0"/>
          <w:sz w:val="32"/>
          <w:szCs w:val="32"/>
          <w:highlight w:val="none"/>
          <w:lang w:val="en-US" w:eastAsia="zh-CN"/>
        </w:rPr>
        <w:t>该项目已通过省政府批准，已获得建设用地指标</w:t>
      </w:r>
      <w:r>
        <w:rPr>
          <w:rFonts w:hint="eastAsia" w:ascii="仿宋_GB2312" w:hAnsi="仿宋_GB2312" w:cs="仿宋_GB2312"/>
          <w:bCs/>
          <w:kern w:val="0"/>
          <w:sz w:val="32"/>
          <w:szCs w:val="32"/>
          <w:highlight w:val="none"/>
          <w:lang w:val="en-US" w:eastAsia="zh-CN"/>
        </w:rPr>
        <w:t>批文</w:t>
      </w:r>
      <w:r>
        <w:rPr>
          <w:rFonts w:hint="eastAsia" w:ascii="仿宋_GB2312" w:hAnsi="仿宋_GB2312" w:eastAsia="仿宋_GB2312" w:cs="仿宋_GB2312"/>
          <w:bCs/>
          <w:kern w:val="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（二）项目效益情况</w:t>
      </w: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通过该项目的实施，保障了</w:t>
      </w:r>
      <w:r>
        <w:rPr>
          <w:rFonts w:hint="eastAsia" w:ascii="仿宋_GB2312" w:hAnsi="仿宋_GB2312" w:eastAsia="仿宋_GB2312" w:cs="仿宋_GB2312"/>
          <w:sz w:val="32"/>
          <w:szCs w:val="32"/>
          <w:lang w:val="en-US" w:eastAsia="zh-CN"/>
        </w:rPr>
        <w:t>枣树湾经营性用地、081金融整合用地、广元传化公路港物流枢纽项目合法用地。</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五、评价结论及建议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（一）评价结论</w:t>
      </w:r>
    </w:p>
    <w:p>
      <w:pPr>
        <w:keepNext w:val="0"/>
        <w:keepLines w:val="0"/>
        <w:pageBreakBefore w:val="0"/>
        <w:widowControl w:val="0"/>
        <w:shd w:val="clear" w:color="auto" w:fill="auto"/>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zh-CN"/>
        </w:rPr>
        <w:t>通过项目实施，完成了设定的绩效目标，</w:t>
      </w:r>
      <w:r>
        <w:rPr>
          <w:rFonts w:hint="eastAsia" w:ascii="仿宋_GB2312" w:hAnsi="仿宋_GB2312" w:eastAsia="仿宋_GB2312" w:cs="仿宋_GB2312"/>
          <w:sz w:val="32"/>
          <w:szCs w:val="32"/>
          <w:highlight w:val="none"/>
          <w:lang w:val="en-US" w:eastAsia="zh-CN"/>
        </w:rPr>
        <w:t>有效保障了</w:t>
      </w:r>
      <w:r>
        <w:rPr>
          <w:rFonts w:hint="eastAsia" w:ascii="仿宋_GB2312" w:hAnsi="仿宋_GB2312" w:eastAsia="仿宋_GB2312" w:cs="仿宋_GB2312"/>
          <w:sz w:val="32"/>
          <w:szCs w:val="32"/>
          <w:lang w:val="en-US" w:eastAsia="zh-CN"/>
        </w:rPr>
        <w:t>枣树湾经营性用地、081金融整合用地、广元传化公路港物流枢纽项目合法用地。</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（二）存在的问题</w:t>
      </w:r>
    </w:p>
    <w:p>
      <w:pPr>
        <w:keepNext w:val="0"/>
        <w:keepLines w:val="0"/>
        <w:pageBreakBefore w:val="0"/>
        <w:widowControl w:val="0"/>
        <w:shd w:val="clear" w:color="auto" w:fill="auto"/>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zh-CN" w:eastAsia="zh-CN"/>
        </w:rPr>
        <w:t>（一）</w:t>
      </w:r>
      <w:r>
        <w:rPr>
          <w:rFonts w:hint="eastAsia" w:ascii="楷体_GB2312" w:hAnsi="楷体_GB2312" w:eastAsia="楷体_GB2312" w:cs="楷体_GB2312"/>
          <w:b w:val="0"/>
          <w:bCs w:val="0"/>
          <w:sz w:val="32"/>
          <w:szCs w:val="32"/>
          <w:lang w:val="en-US" w:eastAsia="zh-CN"/>
        </w:rPr>
        <w:t>相关建议。</w:t>
      </w:r>
    </w:p>
    <w:p>
      <w:pPr>
        <w:pStyle w:val="5"/>
        <w:keepNext w:val="0"/>
        <w:keepLines w:val="0"/>
        <w:pageBreakBefore w:val="0"/>
        <w:widowControl w:val="0"/>
        <w:numPr>
          <w:ilvl w:val="0"/>
          <w:numId w:val="0"/>
        </w:numPr>
        <w:kinsoku/>
        <w:wordWrap/>
        <w:overflowPunct/>
        <w:topLinePunct w:val="0"/>
        <w:autoSpaceDE/>
        <w:autoSpaceDN/>
        <w:bidi w:val="0"/>
        <w:spacing w:before="0" w:after="0" w:line="576" w:lineRule="exact"/>
        <w:ind w:left="0" w:leftChars="0" w:right="0" w:righ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rPr>
          <w:rFonts w:hint="eastAsia" w:ascii="仿宋_GB2312" w:hAnsi="仿宋_GB2312" w:eastAsia="仿宋_GB2312" w:cs="仿宋_GB2312"/>
          <w:sz w:val="32"/>
          <w:szCs w:val="32"/>
          <w:lang w:val="en-US" w:eastAsia="zh-CN"/>
        </w:rPr>
      </w:pPr>
    </w:p>
    <w:p>
      <w:pPr>
        <w:pStyle w:val="2"/>
        <w:rPr>
          <w:rFonts w:hint="eastAsia"/>
          <w:lang w:val="en-US" w:eastAsia="zh-CN"/>
        </w:rPr>
      </w:pPr>
    </w:p>
    <w:p>
      <w:pPr>
        <w:pStyle w:val="2"/>
        <w:ind w:firstLine="5120" w:firstLineChars="16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广元市自然资源局</w:t>
      </w:r>
    </w:p>
    <w:p>
      <w:pPr>
        <w:pStyle w:val="2"/>
        <w:ind w:firstLine="5120" w:firstLineChars="16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2023年4月28日</w:t>
      </w:r>
    </w:p>
    <w:p>
      <w:pPr>
        <w:rPr>
          <w:rFonts w:hint="eastAsia"/>
          <w:lang w:val="en-US" w:eastAsia="zh-CN"/>
        </w:rPr>
      </w:pPr>
    </w:p>
    <w:p>
      <w:pPr>
        <w:keepNext w:val="0"/>
        <w:keepLines w:val="0"/>
        <w:pageBreakBefore w:val="0"/>
        <w:widowControl w:val="0"/>
        <w:kinsoku/>
        <w:wordWrap/>
        <w:overflowPunct/>
        <w:topLinePunct w:val="0"/>
        <w:autoSpaceDE/>
        <w:autoSpaceDN/>
        <w:bidi w:val="0"/>
        <w:spacing w:line="576" w:lineRule="exact"/>
        <w:ind w:left="0" w:leftChars="0" w:right="0" w:rightChars="0" w:firstLine="640" w:firstLineChars="200"/>
        <w:jc w:val="both"/>
        <w:textAlignment w:val="auto"/>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pP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br w:type="page"/>
      </w:r>
    </w:p>
    <w:p>
      <w:pPr>
        <w:pStyle w:val="12"/>
        <w:keepNext w:val="0"/>
        <w:keepLines w:val="0"/>
        <w:pageBreakBefore w:val="0"/>
        <w:widowControl w:val="0"/>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rPr>
          <w:rFonts w:hint="eastAsia" w:ascii="黑体" w:hAnsi="黑体" w:eastAsia="黑体" w:cs="黑体"/>
          <w:b w:val="0"/>
          <w:bCs w:val="0"/>
          <w:color w:val="auto"/>
          <w:kern w:val="0"/>
          <w:sz w:val="32"/>
          <w:szCs w:val="32"/>
          <w:highlight w:val="none"/>
          <w:u w:val="none"/>
          <w:shd w:val="clear" w:color="auto" w:fill="FFFFFF"/>
          <w:lang w:val="zh-CN" w:eastAsia="zh-CN"/>
        </w:rPr>
      </w:pPr>
      <w:r>
        <w:rPr>
          <w:rFonts w:hint="eastAsia" w:ascii="黑体" w:hAnsi="黑体" w:eastAsia="黑体" w:cs="黑体"/>
          <w:b w:val="0"/>
          <w:bCs w:val="0"/>
          <w:color w:val="auto"/>
          <w:kern w:val="0"/>
          <w:sz w:val="32"/>
          <w:szCs w:val="32"/>
          <w:highlight w:val="none"/>
          <w:u w:val="none"/>
          <w:shd w:val="clear" w:color="auto" w:fill="FFFFFF"/>
          <w:lang w:val="zh-CN" w:eastAsia="zh-CN"/>
        </w:rPr>
        <w:t>附表</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市级主管部门（单位）项目资金分配涉及</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所有点位自评得分情况表</w:t>
      </w:r>
    </w:p>
    <w:tbl>
      <w:tblPr>
        <w:tblStyle w:val="10"/>
        <w:tblW w:w="8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0"/>
        <w:gridCol w:w="2625"/>
        <w:gridCol w:w="2622"/>
        <w:gridCol w:w="1319"/>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r>
              <w:rPr>
                <w:rFonts w:hint="eastAsia" w:ascii="仿宋_GB2312" w:hAnsi="仿宋_GB2312" w:eastAsia="仿宋_GB2312" w:cs="仿宋_GB2312"/>
                <w:b w:val="0"/>
                <w:bCs w:val="0"/>
                <w:color w:val="auto"/>
                <w:sz w:val="24"/>
                <w:szCs w:val="24"/>
                <w:highlight w:val="none"/>
                <w:u w:val="none"/>
                <w:vertAlign w:val="baseline"/>
                <w:lang w:val="en-US" w:eastAsia="zh-CN"/>
              </w:rPr>
              <w:t>序号</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r>
              <w:rPr>
                <w:rFonts w:hint="eastAsia" w:ascii="仿宋_GB2312" w:hAnsi="仿宋_GB2312" w:eastAsia="仿宋_GB2312" w:cs="仿宋_GB2312"/>
                <w:b w:val="0"/>
                <w:bCs w:val="0"/>
                <w:color w:val="auto"/>
                <w:sz w:val="24"/>
                <w:szCs w:val="24"/>
                <w:highlight w:val="none"/>
                <w:u w:val="none"/>
                <w:vertAlign w:val="baseline"/>
                <w:lang w:val="en-US" w:eastAsia="zh-CN"/>
              </w:rPr>
              <w:t>项目资金末端分配点位</w:t>
            </w: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r>
              <w:rPr>
                <w:rFonts w:hint="eastAsia" w:ascii="仿宋_GB2312" w:hAnsi="仿宋_GB2312" w:eastAsia="仿宋_GB2312" w:cs="仿宋_GB2312"/>
                <w:b w:val="0"/>
                <w:bCs w:val="0"/>
                <w:color w:val="auto"/>
                <w:sz w:val="24"/>
                <w:szCs w:val="24"/>
                <w:highlight w:val="none"/>
                <w:u w:val="none"/>
                <w:vertAlign w:val="baseline"/>
                <w:lang w:val="en" w:eastAsia="zh-CN"/>
              </w:rPr>
              <w:t>自评得分（百分制）</w:t>
            </w: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r>
              <w:rPr>
                <w:rFonts w:hint="eastAsia" w:ascii="仿宋_GB2312" w:hAnsi="仿宋_GB2312" w:eastAsia="仿宋_GB2312" w:cs="仿宋_GB2312"/>
                <w:b w:val="0"/>
                <w:bCs w:val="0"/>
                <w:color w:val="auto"/>
                <w:sz w:val="24"/>
                <w:szCs w:val="24"/>
                <w:highlight w:val="none"/>
                <w:u w:val="none"/>
                <w:vertAlign w:val="baseline"/>
                <w:lang w:val="en-US" w:eastAsia="zh-CN"/>
              </w:rPr>
              <w:t>财政科室审核得分</w:t>
            </w: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r>
              <w:rPr>
                <w:rFonts w:hint="eastAsia" w:ascii="仿宋_GB2312" w:hAnsi="仿宋_GB2312" w:eastAsia="仿宋_GB2312" w:cs="仿宋_GB2312"/>
                <w:b w:val="0"/>
                <w:bCs w:val="0"/>
                <w:color w:val="auto"/>
                <w:sz w:val="24"/>
                <w:szCs w:val="24"/>
                <w:highlight w:val="none"/>
                <w:u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1</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r>
              <w:rPr>
                <w:rFonts w:hint="eastAsia" w:ascii="仿宋_GB2312" w:hAnsi="仿宋_GB2312" w:eastAsia="仿宋_GB2312" w:cs="仿宋_GB2312"/>
                <w:b w:val="0"/>
                <w:bCs w:val="0"/>
                <w:color w:val="auto"/>
                <w:sz w:val="24"/>
                <w:szCs w:val="24"/>
                <w:highlight w:val="none"/>
                <w:u w:val="none"/>
                <w:vertAlign w:val="baseline"/>
                <w:lang w:val="en-US" w:eastAsia="zh-CN"/>
              </w:rPr>
              <w:t>广元市自然资源局局机关</w:t>
            </w: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仿宋_GB2312" w:hAnsi="仿宋_GB2312" w:eastAsia="仿宋_GB2312" w:cs="仿宋_GB2312"/>
                <w:b w:val="0"/>
                <w:bCs w:val="0"/>
                <w:color w:val="auto"/>
                <w:sz w:val="24"/>
                <w:szCs w:val="24"/>
                <w:highlight w:val="none"/>
                <w:u w:val="none"/>
                <w:vertAlign w:val="baseline"/>
                <w:lang w:val="en-US" w:eastAsia="zh-CN"/>
              </w:rPr>
            </w:pPr>
            <w:r>
              <w:rPr>
                <w:rFonts w:hint="eastAsia" w:ascii="仿宋_GB2312" w:hAnsi="仿宋_GB2312" w:cs="仿宋_GB2312"/>
                <w:b w:val="0"/>
                <w:bCs w:val="0"/>
                <w:color w:val="auto"/>
                <w:sz w:val="24"/>
                <w:szCs w:val="24"/>
                <w:highlight w:val="none"/>
                <w:u w:val="none"/>
                <w:vertAlign w:val="baseline"/>
                <w:lang w:val="en-US" w:eastAsia="zh-CN"/>
              </w:rPr>
              <w:t>100</w:t>
            </w: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2</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3</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4</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5</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6</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7</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8</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rPr>
          <w:rFonts w:hint="eastAsia" w:ascii="仿宋_GB2312" w:hAnsi="仿宋_GB2312" w:eastAsia="仿宋_GB2312" w:cs="仿宋_GB2312"/>
          <w:b w:val="0"/>
          <w:bCs w:val="0"/>
          <w:color w:val="auto"/>
          <w:sz w:val="32"/>
          <w:szCs w:val="32"/>
          <w:highlight w:val="none"/>
          <w:u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rPr>
          <w:rFonts w:hint="eastAsia" w:ascii="仿宋_GB2312" w:hAnsi="仿宋_GB2312" w:eastAsia="仿宋_GB2312" w:cs="仿宋_GB2312"/>
          <w:b w:val="0"/>
          <w:bCs w:val="0"/>
          <w:color w:val="auto"/>
          <w:sz w:val="32"/>
          <w:szCs w:val="32"/>
          <w:highlight w:val="none"/>
          <w:u w:val="none"/>
          <w:vertAlign w:val="baseline"/>
          <w:lang w:val="en-US" w:eastAsia="zh-CN"/>
        </w:rPr>
      </w:pPr>
      <w:r>
        <w:rPr>
          <w:rFonts w:hint="eastAsia" w:ascii="仿宋_GB2312" w:hAnsi="仿宋_GB2312" w:eastAsia="仿宋_GB2312" w:cs="仿宋_GB2312"/>
          <w:b w:val="0"/>
          <w:bCs w:val="0"/>
          <w:color w:val="auto"/>
          <w:sz w:val="32"/>
          <w:szCs w:val="32"/>
          <w:highlight w:val="none"/>
          <w:u w:val="none"/>
          <w:vertAlign w:val="baseline"/>
          <w:lang w:val="en-US" w:eastAsia="zh-CN"/>
        </w:rPr>
        <w:t>备注：1、项目资金末端分配点位包括县（区）、市级部门下属单位及一次性单位等。</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left="0" w:leftChars="0" w:right="0" w:rightChars="0" w:firstLine="0" w:firstLineChars="0"/>
        <w:jc w:val="both"/>
        <w:textAlignment w:val="auto"/>
        <w:rPr>
          <w:rFonts w:hint="eastAsia" w:ascii="仿宋_GB2312" w:hAnsi="仿宋_GB2312" w:eastAsia="仿宋_GB2312" w:cs="仿宋_GB2312"/>
          <w:b w:val="0"/>
          <w:bCs w:val="0"/>
          <w:color w:val="auto"/>
          <w:sz w:val="32"/>
          <w:szCs w:val="32"/>
          <w:highlight w:val="none"/>
          <w:u w:val="none"/>
          <w:vertAlign w:val="baseline"/>
          <w:lang w:val="en-US" w:eastAsia="zh-CN"/>
        </w:rPr>
      </w:pPr>
      <w:r>
        <w:rPr>
          <w:rFonts w:hint="eastAsia" w:ascii="仿宋_GB2312" w:hAnsi="仿宋_GB2312" w:eastAsia="仿宋_GB2312" w:cs="仿宋_GB2312"/>
          <w:b w:val="0"/>
          <w:bCs w:val="0"/>
          <w:color w:val="auto"/>
          <w:sz w:val="32"/>
          <w:szCs w:val="32"/>
          <w:highlight w:val="none"/>
          <w:u w:val="none"/>
          <w:vertAlign w:val="baseline"/>
          <w:lang w:val="en-US" w:eastAsia="zh-CN"/>
        </w:rPr>
        <w:t>自评得分（百分制）从高到低划分为优、良、中、差四个档次，各个档次数量占比分别为20%、20%、55%、5%，且不同档次间得分分值应体现差异化，同档次得分分值相同的比例不超过该档次总数量的10%。</w:t>
      </w:r>
    </w:p>
    <w:p>
      <w:pPr>
        <w:pStyle w:val="2"/>
        <w:rPr>
          <w:rFonts w:hint="eastAsia"/>
          <w:lang w:val="en-US" w:eastAsia="zh-CN"/>
        </w:rPr>
        <w:sectPr>
          <w:pgSz w:w="11906" w:h="16838"/>
          <w:pgMar w:top="2098" w:right="1474" w:bottom="1984" w:left="1587" w:header="851" w:footer="992" w:gutter="0"/>
          <w:pgNumType w:fmt="decimal"/>
          <w:cols w:space="425" w:num="1"/>
          <w:docGrid w:type="lines" w:linePitch="312" w:charSpace="0"/>
        </w:sectPr>
      </w:pPr>
    </w:p>
    <w:p>
      <w:pPr>
        <w:pStyle w:val="2"/>
        <w:ind w:left="0" w:leftChars="0" w:firstLine="0" w:firstLineChars="0"/>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附件5</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2023年市级专项资金预算项目支出绩效评价指标体系</w:t>
      </w:r>
    </w:p>
    <w:tbl>
      <w:tblPr>
        <w:tblStyle w:val="9"/>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49"/>
        <w:gridCol w:w="453"/>
        <w:gridCol w:w="658"/>
        <w:gridCol w:w="851"/>
        <w:gridCol w:w="877"/>
        <w:gridCol w:w="1380"/>
        <w:gridCol w:w="2005"/>
        <w:gridCol w:w="1052"/>
        <w:gridCol w:w="759"/>
        <w:gridCol w:w="759"/>
        <w:gridCol w:w="759"/>
        <w:gridCol w:w="986"/>
        <w:gridCol w:w="1135"/>
        <w:gridCol w:w="3968"/>
        <w:gridCol w:w="514"/>
        <w:gridCol w:w="527"/>
        <w:gridCol w:w="514"/>
        <w:gridCol w:w="527"/>
        <w:gridCol w:w="493"/>
        <w:gridCol w:w="493"/>
        <w:gridCol w:w="493"/>
        <w:gridCol w:w="620"/>
        <w:gridCol w:w="563"/>
        <w:gridCol w:w="497"/>
        <w:gridCol w:w="4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blHeader/>
        </w:trPr>
        <w:tc>
          <w:tcPr>
            <w:tcW w:w="1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分值权重</w:t>
            </w:r>
          </w:p>
        </w:tc>
        <w:tc>
          <w:tcPr>
            <w:tcW w:w="967" w:type="pct"/>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分层分类指标</w:t>
            </w:r>
          </w:p>
        </w:tc>
        <w:tc>
          <w:tcPr>
            <w:tcW w:w="45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指标解释</w:t>
            </w:r>
          </w:p>
        </w:tc>
        <w:tc>
          <w:tcPr>
            <w:tcW w:w="1249" w:type="pct"/>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评分方法</w:t>
            </w:r>
          </w:p>
        </w:tc>
        <w:tc>
          <w:tcPr>
            <w:tcW w:w="9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评价要点及说明</w:t>
            </w:r>
          </w:p>
        </w:tc>
        <w:tc>
          <w:tcPr>
            <w:tcW w:w="239" w:type="pct"/>
            <w:gridSpan w:val="2"/>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评价方式</w:t>
            </w:r>
          </w:p>
        </w:tc>
        <w:tc>
          <w:tcPr>
            <w:tcW w:w="23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评价属性</w:t>
            </w:r>
          </w:p>
        </w:tc>
        <w:tc>
          <w:tcPr>
            <w:tcW w:w="597" w:type="pct"/>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定量评价标准</w:t>
            </w:r>
          </w:p>
        </w:tc>
        <w:tc>
          <w:tcPr>
            <w:tcW w:w="1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自评得分</w:t>
            </w:r>
          </w:p>
        </w:tc>
        <w:tc>
          <w:tcPr>
            <w:tcW w:w="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blHeader/>
        </w:trPr>
        <w:tc>
          <w:tcPr>
            <w:tcW w:w="1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967"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249" w:type="pct"/>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9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39" w:type="pct"/>
            <w:gridSpan w:val="2"/>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3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597"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blHeader/>
        </w:trPr>
        <w:tc>
          <w:tcPr>
            <w:tcW w:w="1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分层指标</w:t>
            </w:r>
          </w:p>
        </w:tc>
        <w:tc>
          <w:tcPr>
            <w:tcW w:w="34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适用范围</w:t>
            </w:r>
          </w:p>
        </w:tc>
        <w:tc>
          <w:tcPr>
            <w:tcW w:w="2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一级指标</w:t>
            </w:r>
          </w:p>
        </w:tc>
        <w:tc>
          <w:tcPr>
            <w:tcW w:w="3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二级指标</w:t>
            </w: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方法归类</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计算公式</w:t>
            </w:r>
          </w:p>
        </w:tc>
        <w:tc>
          <w:tcPr>
            <w:tcW w:w="9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整体评价</w:t>
            </w:r>
          </w:p>
        </w:tc>
        <w:tc>
          <w:tcPr>
            <w:tcW w:w="1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样本评价</w:t>
            </w:r>
          </w:p>
        </w:tc>
        <w:tc>
          <w:tcPr>
            <w:tcW w:w="1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定性评价</w:t>
            </w:r>
          </w:p>
        </w:tc>
        <w:tc>
          <w:tcPr>
            <w:tcW w:w="1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定量评价</w:t>
            </w:r>
          </w:p>
        </w:tc>
        <w:tc>
          <w:tcPr>
            <w:tcW w:w="1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国家标准</w:t>
            </w:r>
          </w:p>
        </w:tc>
        <w:tc>
          <w:tcPr>
            <w:tcW w:w="1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行业标准</w:t>
            </w:r>
          </w:p>
        </w:tc>
        <w:tc>
          <w:tcPr>
            <w:tcW w:w="1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地方标准</w:t>
            </w:r>
          </w:p>
        </w:tc>
        <w:tc>
          <w:tcPr>
            <w:tcW w:w="14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申报标准</w:t>
            </w:r>
          </w:p>
        </w:tc>
        <w:tc>
          <w:tcPr>
            <w:tcW w:w="1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历史均值</w:t>
            </w:r>
          </w:p>
        </w:tc>
        <w:tc>
          <w:tcPr>
            <w:tcW w:w="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blHeader/>
        </w:trPr>
        <w:tc>
          <w:tcPr>
            <w:tcW w:w="1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45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0.3</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0.6</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0.8</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w:t>
            </w:r>
          </w:p>
        </w:tc>
        <w:tc>
          <w:tcPr>
            <w:tcW w:w="9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0" w:hRule="atLeast"/>
        </w:trPr>
        <w:tc>
          <w:tcPr>
            <w:tcW w:w="1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w:t>
            </w:r>
          </w:p>
        </w:tc>
        <w:tc>
          <w:tcPr>
            <w:tcW w:w="1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通用指标</w:t>
            </w:r>
          </w:p>
        </w:tc>
        <w:tc>
          <w:tcPr>
            <w:tcW w:w="34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所有项目</w:t>
            </w:r>
          </w:p>
        </w:tc>
        <w:tc>
          <w:tcPr>
            <w:tcW w:w="201"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项目决策</w:t>
            </w:r>
          </w:p>
        </w:tc>
        <w:tc>
          <w:tcPr>
            <w:tcW w:w="31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程序严密</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项目设立是否经过严格评估论证和集体决策，是否与部门职责相符，是否属于公共财政支持范围，是否符合地方事权支出责任划分原则，是否与相关部门同类项目或部门内部相关项目重复</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不完善</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较完善</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完善</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专项项目设立是否经过事前评估或可行性论证，是否符合专项设立的基本规范和程序要求。项目设立是否属于部门职责相符，是否属于公共财政支持范围，符合地方事权支出责任划分原则，是否与相关部门同类项目或部门内部相关项目重复。存在一项不符合的为较完善，存在两项及两项以上不符合的为不完善</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1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1"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规划合理★</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项目规划是否符合省委、省政府重大决策部署，是否与项目年度目标一致</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不合理</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较合理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合理</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项目设立依据是否充分，符合省委、省政府重大决策部署和宏观政策规划，项目年度绩效目标与中长期规划是否一致，项目绩效目标是否具有合理性。样本评价中，规划是否与现实需求匹配，是否存在因规划不够合理导致项目效益欠佳的情况</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0" w:hRule="atLeast"/>
        </w:trPr>
        <w:tc>
          <w:tcPr>
            <w:tcW w:w="1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1"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制度完备</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项目指导意见、管理办法、申报指南、实施细则等管理制度是否完善，是否存在脱离实际、缺陷、漏洞导致执行偏离预期</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缺（错）项扣分法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发现一处扣0.5分，直至扣完</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主要查看项目的相关管理制度机制是否健全完善，在项目执行过程中，是否存在管理制度有悖于实际的情况，是否存在难以操作、无法落地、执行不畅的情况，是否存在不能满足实际需求，未及时动态调整的情况</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0" w:hRule="atLeast"/>
        </w:trPr>
        <w:tc>
          <w:tcPr>
            <w:tcW w:w="1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项目实施</w:t>
            </w:r>
          </w:p>
        </w:tc>
        <w:tc>
          <w:tcPr>
            <w:tcW w:w="31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分配合理★</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项目资金分配结果是否与规划计划一致；是否按规定及时分配专项预算资金</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项目法分配的项目，以所有项目点实施完成情况与规划计划情况进行对比。按因素法分配的项目和据实据效分配的项目，将资金分配方向与规划计划支持方向进行对比；省级接到中央一般性转移支付和专项转移支付后，应当在30日内正式下达到本行政区域县级以上各级政府；县级以上地方各级预算安排对下级政府的一般性转移支付和专项转移支付，应当分别在本级人民代表大会批准预算后的30日和60日内正式下达；《预算法》其他规定；分配依据充分的得分，明显不充分扣分。两种情况分值权重各占一半</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4</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1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使用合规</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项目资金使用是否符合相关的财务管理制度规定</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缺（错）项扣分法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发现一处扣0.5分，直至扣完</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项目资金是否符合国家财经法规和财务管理制度及有关专项资金管理办法规定；资金拨付是否有完整的审批程序和手续；是否符合项目预算批复或合同规定用途；是否存在截留、挤占、挪用、虚列支出等情况</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1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执行有效</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项目实施是否符合相关管理制度规定</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缺（错）项扣分法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发现一处扣0.5分，直至扣完</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项目实施是否遵守相关法律法规；项目调整手续是否完备；项目合同、验收报告、技术鉴定等资料是否齐全并及时归档；项目实施的人员条件、场地设备、信息支撑等是否落实到位</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0" w:hRule="atLeast"/>
        </w:trPr>
        <w:tc>
          <w:tcPr>
            <w:tcW w:w="1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完成结果</w:t>
            </w:r>
          </w:p>
        </w:tc>
        <w:tc>
          <w:tcPr>
            <w:tcW w:w="31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预算完成★</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项目资金拨付到具体支持对象企业、项目（人）的情况</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指标得分=项目实际到位金额/承诺到位金额×100%*指标分值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主要查看项目资金拨付到人到户、到项目、到企业与资金总量的对比，配套预算到位率。</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0" w:hRule="atLeast"/>
        </w:trPr>
        <w:tc>
          <w:tcPr>
            <w:tcW w:w="1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10%</w:t>
            </w:r>
          </w:p>
        </w:tc>
        <w:tc>
          <w:tcPr>
            <w:tcW w:w="1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通用指标</w:t>
            </w:r>
          </w:p>
        </w:tc>
        <w:tc>
          <w:tcPr>
            <w:tcW w:w="34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所有项目</w:t>
            </w:r>
          </w:p>
        </w:tc>
        <w:tc>
          <w:tcPr>
            <w:tcW w:w="2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完成结果</w:t>
            </w:r>
          </w:p>
        </w:tc>
        <w:tc>
          <w:tcPr>
            <w:tcW w:w="31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资金结余★</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项目资金结余的情况</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指标得分=（1-结余率/0.2）*指标分值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结余率大于等于0.2，指标得0分                             结余率=结余金额/省级财政资金预算数×100%                                                                                               </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结余资金是指项目实施周期已结束、项目目标完成或项目提前终止，尚未列支的项目支出预算资金；因项目实施计划调整，不需要继续支出的预算资金；预算批复后连续两年未用完的预算资金。</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10</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trPr>
        <w:tc>
          <w:tcPr>
            <w:tcW w:w="1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bCs/>
                <w:i w:val="0"/>
                <w:iCs w:val="0"/>
                <w:color w:val="000000"/>
                <w:sz w:val="21"/>
                <w:szCs w:val="21"/>
                <w:u w:val="none"/>
              </w:rPr>
            </w:pPr>
          </w:p>
        </w:tc>
        <w:tc>
          <w:tcPr>
            <w:tcW w:w="34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目标完成★</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项目实施后是否完成预期目标</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指标得分=实际完成任务量/绩效目标设定任务量×100%*指标分值  </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主要查看项目实施后产出数量指标完成情况。以样本点资金量为权重，加权计算指标得分。当实际完成任务量/绩效目标设定任务量&gt;1时按1计算</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4</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0" w:hRule="atLeast"/>
        </w:trPr>
        <w:tc>
          <w:tcPr>
            <w:tcW w:w="1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bCs/>
                <w:i w:val="0"/>
                <w:iCs w:val="0"/>
                <w:color w:val="000000"/>
                <w:sz w:val="21"/>
                <w:szCs w:val="21"/>
                <w:u w:val="none"/>
              </w:rPr>
            </w:pPr>
          </w:p>
        </w:tc>
        <w:tc>
          <w:tcPr>
            <w:tcW w:w="34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完成及时</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项目实际完成时间与计划完成时间的比较，用以反映和考核项目产出实效目标的实现程度</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指标得分=(1-(实际完成时间-计划完成时间)/计划完成时间)×100%*指标分值  </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主要查看项目实际计划完成时间情况，一般以天数、月数或年数为单位。当实际完成时间-计划完成时间小于等于0时得满分；实际完成时间超过计划完成时间1倍时得0分</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4</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bCs/>
                <w:i w:val="0"/>
                <w:iCs w:val="0"/>
                <w:color w:val="000000"/>
                <w:sz w:val="21"/>
                <w:szCs w:val="21"/>
                <w:u w:val="none"/>
              </w:rPr>
            </w:pPr>
          </w:p>
        </w:tc>
        <w:tc>
          <w:tcPr>
            <w:tcW w:w="34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违规记录</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项目管理是否合规</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不合规</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3处及以上不合规</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2处不合规</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1处不合规</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合规</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根据审计监督、财政检查结果反映专项管理是否合规</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1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20%</w:t>
            </w:r>
          </w:p>
        </w:tc>
        <w:tc>
          <w:tcPr>
            <w:tcW w:w="1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共性指标</w:t>
            </w:r>
          </w:p>
        </w:tc>
        <w:tc>
          <w:tcPr>
            <w:tcW w:w="34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产业发展项目</w:t>
            </w:r>
          </w:p>
        </w:tc>
        <w:tc>
          <w:tcPr>
            <w:tcW w:w="2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项目效果</w:t>
            </w:r>
          </w:p>
        </w:tc>
        <w:tc>
          <w:tcPr>
            <w:tcW w:w="31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符合性</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项目实施效果是否与绩效目标或申报目标符合</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指标得分=项目实施符合的点位数/所有选点总数×100%*指标分值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根据项目现场评价实施效果与绩效目标进行对比，汇总所有样本点情况综合分析政策整体吻合度</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20</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trPr>
        <w:tc>
          <w:tcPr>
            <w:tcW w:w="1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成长性★</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反映不同类型产业政策实施对相关行业企业成长性的促进作用，主要反映支持对象的创新、创造、创业能力情况，产业结构情况，持续盈利能力情况</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指标得分=各项具体指标得分的平均分</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根据产业政策实施对象的主营业务收入增长率、净利润增长率或税收增长率等情况综合判断，统计年鉴相关数据为准（主要查看企业2018年度、2019年度财报，2020年根据实际情况收集）</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民生保障项目</w:t>
            </w:r>
          </w:p>
        </w:tc>
        <w:tc>
          <w:tcPr>
            <w:tcW w:w="201" w:type="pct"/>
            <w:vMerge w:val="restar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项目效果</w:t>
            </w:r>
          </w:p>
        </w:tc>
        <w:tc>
          <w:tcPr>
            <w:tcW w:w="31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区域均衡性</w:t>
            </w:r>
          </w:p>
        </w:tc>
        <w:tc>
          <w:tcPr>
            <w:tcW w:w="459"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项目资金分配体现的均衡公平情况</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不均衡</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较均衡</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均衡</w:t>
            </w:r>
          </w:p>
        </w:tc>
        <w:tc>
          <w:tcPr>
            <w:tcW w:w="908"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按实际分配结果选择客观因素测算验证资金分配方法制定、分配要素设定、基础数据应用、测算依据选取等是否科学合理</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0" w:hRule="atLeast"/>
        </w:trPr>
        <w:tc>
          <w:tcPr>
            <w:tcW w:w="1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1" w:type="pct"/>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对象公平性★</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项目资金分配结果是否公平合理，是否充分考虑地域条件、经济条件等</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不公平</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公平</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主要查看项目资金分配和实施结果是否体现公平公正性，在支持</w:t>
            </w:r>
            <w:r>
              <w:rPr>
                <w:rStyle w:val="15"/>
                <w:rFonts w:hint="eastAsia" w:ascii="宋体" w:hAnsi="宋体" w:eastAsia="宋体" w:cs="宋体"/>
                <w:sz w:val="21"/>
                <w:szCs w:val="21"/>
                <w:lang w:val="en-US" w:eastAsia="zh-CN" w:bidi="ar"/>
              </w:rPr>
              <w:t>范围、标准、程序</w:t>
            </w:r>
            <w:r>
              <w:rPr>
                <w:rStyle w:val="14"/>
                <w:rFonts w:hint="eastAsia" w:ascii="宋体" w:hAnsi="宋体" w:eastAsia="宋体" w:cs="宋体"/>
                <w:sz w:val="21"/>
                <w:szCs w:val="21"/>
                <w:lang w:val="en-US" w:eastAsia="zh-CN" w:bidi="ar"/>
              </w:rPr>
              <w:t>上是否存在明显的排他性和歧视性规定，是否做到大多数和少数的协调统一，统筹兼顾。标黑因素存在一项不公平的按一般档次计算分值，存在两项因素不公平的得0分</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1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1" w:type="pct"/>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社会满意度</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相关群体满意度调查情况</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按根据实际满意度与满意度标准值的比率计算指标得分</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主要调研政策和项目相关方在政策实施过程中的满意值，通过不满意情况汇总分析政策在顶层设计、制度构建、管理实施及成效各环节的情况</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1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基础设施（设备购置）项目</w:t>
            </w:r>
          </w:p>
        </w:tc>
        <w:tc>
          <w:tcPr>
            <w:tcW w:w="2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项目效果</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功能性★</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反映公共基础设施建设功能是否达到计划能力，建成后是否正常并良好运行，延续性是否达到预期</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发现基础设施功能明显未实现预期的，发现一项扣1分，直至扣完</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主要查看建设项目是否实施方案实现预期功能，是否能够持续良好地运作，有效地维护，特别是公共设施类的项目，是否能有效满足人民群众的现实需要</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1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4"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配套性★</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项目建成后相关工程、点位是否相关协调，配套设施是否整体协调，是否全面衔接发挥整体效益</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较好</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好</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重点查看区域内建设规划在空间分布、功能配套整合、土地利用等方面是否存在明显有违常理，不科学合理的情况</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1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30%</w:t>
            </w:r>
          </w:p>
        </w:tc>
        <w:tc>
          <w:tcPr>
            <w:tcW w:w="1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特性指标</w:t>
            </w:r>
          </w:p>
        </w:tc>
        <w:tc>
          <w:tcPr>
            <w:tcW w:w="1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产业发展项目</w:t>
            </w:r>
          </w:p>
        </w:tc>
        <w:tc>
          <w:tcPr>
            <w:tcW w:w="1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工业产业（包括技术改造）</w:t>
            </w:r>
          </w:p>
        </w:tc>
        <w:tc>
          <w:tcPr>
            <w:tcW w:w="2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经济效益</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利税增长率</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项目实施单位利税增长情况</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指标得分=利税增长率/标准值*指标分值（利税增长率/标准值＞1按1计算，负值按0计算）</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评价年度前三年利税平均增长率（不含评价当年，不足三年按实际存续年限计算）</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1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投资回报率</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项目投产后回报情况</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指标得分=投资回报率/标准值*指标得分（投资回报率/标准值＞1按1计算，负值按0计算）</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投资回报率=项目年新增利税额/项目投入资金总额</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0" w:hRule="atLeast"/>
        </w:trPr>
        <w:tc>
          <w:tcPr>
            <w:tcW w:w="1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社会贡献率</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企业运用资产为社会创造价值的能力</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指标得分=社会贡献率/标准值*指标分值（社会贡献率/标准值＞1按1计算，负值按0计算）</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社会贡献率=社会贡献额/资产总额 ×100%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社会贡献额=工资总额+主营业务税金及附加+利润总额+五险一金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资产总额=（期初资产总额+期末资产总额）/2 </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1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就业贡献率</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企业就业人数增量变化</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指标得分=就业贡献率/标准值*指标分值（就业贡献率/标准值＞1按1计算，负值按0计算）</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就业贡献率=企业三年平均新增就业人数/行业新增就业总人数×100%</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1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农业产业（包括林业产业）</w:t>
            </w:r>
          </w:p>
        </w:tc>
        <w:tc>
          <w:tcPr>
            <w:tcW w:w="2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经济效益</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增加值提升</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项目实施涉及产值增长情况</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指标得分=三年产值平均增长率/标准值*指标分值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产值增长率=当年涉农产值增量/上一年度涉农产值总量×100%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重点查看项目实施区域涉农增加值变动情况</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1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年均收入变动率</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项目实施后农户收入变动情况</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指标得分=三年人均年收入增长率/标准值*指标分值（三年人均年收入增长率/标准值负值为0，＞1按1计算）</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人均年收入增长率=（项目实施后人均年收入-项目实施前人均年收入）/项目实施前人均年收入×100%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重点查看三年来农民人均年收入增长变化情况</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1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从业带动能力</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项目带动周边从事相关行业情况</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指标得分=三年平均新增带动就业户数/标准值*指标分值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通过实地走访、调研、收集带动就业户数相关基础数据进行对比分析</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1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服务业</w:t>
            </w:r>
          </w:p>
        </w:tc>
        <w:tc>
          <w:tcPr>
            <w:tcW w:w="2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经济效益</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消费增长</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项目支持区域内社会消费品零售总额增长情况</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指标得分根据三年社会消费品零售增长变化计算得分，社会消费品零售增长≥标准值的得满分，＜标准值80%的不得分，其余按比值计算得分</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重点收集三年来区域内社会消费品零售增长数据，主要通过官方统计数据采集，同时结合实地调查对比，综合计算指标得分</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增加值增长率</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项目实施涉及增加值增长情况</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指标得分=三年增加值平均增长率/标准值*指标分值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增加值增长率=当年服务业增加值增量/上一年度服务业增加值总量×100%。重点查看项目实施区域服务业增加值变动情况</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1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服务效能</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区域内相关事务处理能力提升情况</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较好</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好</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重点查看区域内相关事务处理能力提升状况，通过资料记录查询，现场持续跟踪，走访调研了解等手段综合判断</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2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30%</w:t>
            </w:r>
          </w:p>
        </w:tc>
        <w:tc>
          <w:tcPr>
            <w:tcW w:w="1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特性指标</w:t>
            </w:r>
          </w:p>
        </w:tc>
        <w:tc>
          <w:tcPr>
            <w:tcW w:w="1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民生保障项目</w:t>
            </w:r>
          </w:p>
        </w:tc>
        <w:tc>
          <w:tcPr>
            <w:tcW w:w="1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社会保障与就业</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基础管理</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审核把关</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项目申报是否真实准确</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指标得分=基础数据真实客观的人数/项目受益总人数×100%*指标分值，基础数据真实客观的人数/项目受益总人数小于70%不得分</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主要查看项目受益人群的精准性和客观性，是否存在因制度机制缺陷或管理疏漏导致审核把关不严的情况</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资金使用率</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项目资金支付使用情况</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指标得分=资金实际使用金额/资金实际拨付金额×100%*指标分值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主要查看财政资金实际支付使用，是否存在因制度机制、操作流程、管理疏漏、数据缺失等导致的资金结余，闲置浪费的情况</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医疗卫生计生</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基础管理</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服务质量提升</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反映服务安全、便捷、规范情况</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较好</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好</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主要调查医疗卫生计生机构提供服务的安全性、便捷程度和规范性</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1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健康状况改善</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反映区域内居民健康状况改善情况</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较好</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好</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主要包括健康档案使用率、新生儿死亡率、高血压患者控制率等，通过几个主要的维度综合衡量区域内居民健康状况改善情况</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教育文化</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基础管理</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对象覆盖全面</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项目区域范围内实施对象覆盖情况</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明显疏漏</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基本覆盖</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全面覆盖</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主要查看项目实施对相关群体的覆盖情况，是否充分考虑主要群体和特殊个体的统一，做到全面覆盖</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1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项目效果</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教学（文化）设备利用率</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反映教育（文化）设备使用情况</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设备使用率=设备使用时间/设备计划用时（分钟、小时、日、月）×100%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指标得分=设备使用率/标准值*指标分值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主要调查设备工作状态及工作效率的情况，和绩效目标及相关标准对比</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基础设施（设备购置）项目</w:t>
            </w:r>
          </w:p>
        </w:tc>
        <w:tc>
          <w:tcPr>
            <w:tcW w:w="1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交通运输</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完成质量</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是否符合验收标准，达到行业基准水平</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指标得分=项目达标数/实施项目总数×100%*指标分值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质量达标率＞100%时按100%计算；当质量达标率＜90%时，指标不得分</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1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道路通行能力提升</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项目区域内道路通行能力提升情况</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指标得分=实际通行能力/计划通行能力×100%*指标分值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（实际通行能力/计划通行能力＞1按1计算）</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通行能力=设计每小时通车数量，按照各种等级道路通行能力标准测算</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住房保障</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完成质量</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是否符合验收标准，达到行业基准水平</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指标得分=项目达标数/实施项目总数×100%*指标分值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质量达标率＞100%时按100%计算；当质量达标率＜90%时，指标不得分</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保障实现率</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项目区域内应保家庭住房保障实现情况</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满意值赋分法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保障实现率达到标准值得满分，每低一个百分点扣1分</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住房保障率=已保家庭户数/应保家庭户数*100%</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城乡社区</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完成质量</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是否符合验收标准，达到行业基准水平</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指标得分=项目达标数/实施项目总数×100%*指标分值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质量达标率＞100%时按100%计算；当质量达标率＜90%时，指标不得分</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15</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0" w:hRule="atLeast"/>
        </w:trPr>
        <w:tc>
          <w:tcPr>
            <w:tcW w:w="1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运行效率</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城乡社区公共设施正常运转情况</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指标得分=运转效率/标准值*指标正分值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（运转效率/标准值＞1按1计算）</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运转效率=政策运转设施个数/设计正常运转设施个数*100%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主要包括城乡社区公共交通、照明、燃气、环境保护、娱乐、体育等相关公共设施正常运转情况</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水利设施</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完成质量</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是否符合验收标准，达到行业基准水平</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指标得分=项目达标数/实施项目总数×100%*指标分值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质量达标率＞100%时按100%计算；当质量达标率＜90%时，指标不得分</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15</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0" w:hRule="atLeast"/>
        </w:trPr>
        <w:tc>
          <w:tcPr>
            <w:tcW w:w="1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能力实现率</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水利设施设计能实现情况</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指标得分=能力实现率/标准值*指标正分值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（能力实现率/标准值＞1按1计算）</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能力实现率=实现设计能力水利设施个数/水利设施总个数*100%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主要包括水利系统建设用于堤防、河道、水库、水利枢纽、涵闸、灌区、供水、蓄滞洪区等水利工程建设及设备、设施改造维护后能力实现情况</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设备购置</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运行状况</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购置的设备常态化运行情况</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较好</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好</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重点查看购置设备日常使用频率及正常运转情况</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2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10%</w:t>
            </w:r>
          </w:p>
        </w:tc>
        <w:tc>
          <w:tcPr>
            <w:tcW w:w="2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个性指标</w:t>
            </w:r>
          </w:p>
        </w:tc>
        <w:tc>
          <w:tcPr>
            <w:tcW w:w="1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2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10</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4787" w:type="pct"/>
            <w:gridSpan w:val="23"/>
            <w:vMerge w:val="restart"/>
            <w:tcBorders>
              <w:top w:val="single" w:color="000000" w:sz="4" w:space="0"/>
              <w:left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Style w:val="16"/>
                <w:rFonts w:hint="eastAsia" w:ascii="宋体" w:hAnsi="宋体" w:eastAsia="宋体" w:cs="宋体"/>
                <w:sz w:val="21"/>
                <w:szCs w:val="21"/>
                <w:lang w:val="en-US" w:eastAsia="zh-CN" w:bidi="ar"/>
              </w:rPr>
            </w:pPr>
            <w:r>
              <w:rPr>
                <w:rStyle w:val="16"/>
                <w:rFonts w:hint="eastAsia" w:ascii="宋体" w:hAnsi="宋体" w:eastAsia="宋体" w:cs="宋体"/>
                <w:sz w:val="21"/>
                <w:szCs w:val="21"/>
                <w:lang w:val="en-US" w:eastAsia="zh-CN" w:bidi="ar"/>
              </w:rPr>
              <w:t>1、评分方法归为六类：（1）是否评分法：</w:t>
            </w:r>
            <w:r>
              <w:rPr>
                <w:rStyle w:val="17"/>
                <w:rFonts w:hint="eastAsia" w:ascii="宋体" w:hAnsi="宋体" w:eastAsia="宋体" w:cs="宋体"/>
                <w:sz w:val="21"/>
                <w:szCs w:val="21"/>
                <w:lang w:val="en-US" w:eastAsia="zh-CN" w:bidi="ar"/>
              </w:rPr>
              <w:t>适用于合规性等正反判断指标，正向满分，反向0分。</w:t>
            </w:r>
            <w:r>
              <w:rPr>
                <w:rStyle w:val="16"/>
                <w:rFonts w:hint="eastAsia" w:ascii="宋体" w:hAnsi="宋体" w:eastAsia="宋体" w:cs="宋体"/>
                <w:sz w:val="21"/>
                <w:szCs w:val="21"/>
                <w:lang w:val="en-US" w:eastAsia="zh-CN" w:bidi="ar"/>
              </w:rPr>
              <w:t>（2）分级评分法：</w:t>
            </w:r>
            <w:r>
              <w:rPr>
                <w:rStyle w:val="17"/>
                <w:rFonts w:hint="eastAsia" w:ascii="宋体" w:hAnsi="宋体" w:eastAsia="宋体" w:cs="宋体"/>
                <w:sz w:val="21"/>
                <w:szCs w:val="21"/>
                <w:lang w:val="en-US" w:eastAsia="zh-CN" w:bidi="ar"/>
              </w:rPr>
              <w:t>指标评分设置n级权重，指标得分按指标值所处区间的权重计算。</w:t>
            </w:r>
            <w:r>
              <w:rPr>
                <w:rStyle w:val="16"/>
                <w:rFonts w:hint="eastAsia" w:ascii="宋体" w:hAnsi="宋体" w:eastAsia="宋体" w:cs="宋体"/>
                <w:sz w:val="21"/>
                <w:szCs w:val="21"/>
                <w:lang w:val="en-US" w:eastAsia="zh-CN" w:bidi="ar"/>
              </w:rPr>
              <w:t>（3）比率分值法：</w:t>
            </w:r>
            <w:r>
              <w:rPr>
                <w:rStyle w:val="17"/>
                <w:rFonts w:hint="eastAsia" w:ascii="宋体" w:hAnsi="宋体" w:eastAsia="宋体" w:cs="宋体"/>
                <w:sz w:val="21"/>
                <w:szCs w:val="21"/>
                <w:lang w:val="en-US" w:eastAsia="zh-CN" w:bidi="ar"/>
              </w:rPr>
              <w:t>对存在连续性比率的指标，按比率乘以指标分值计算得分。</w:t>
            </w:r>
            <w:r>
              <w:rPr>
                <w:rStyle w:val="16"/>
                <w:rFonts w:hint="eastAsia" w:ascii="宋体" w:hAnsi="宋体" w:eastAsia="宋体" w:cs="宋体"/>
                <w:sz w:val="21"/>
                <w:szCs w:val="21"/>
                <w:lang w:val="en-US" w:eastAsia="zh-CN" w:bidi="ar"/>
              </w:rPr>
              <w:t>（4）缺（错）项扣分法：</w:t>
            </w:r>
            <w:r>
              <w:rPr>
                <w:rStyle w:val="17"/>
                <w:rFonts w:hint="eastAsia" w:ascii="宋体" w:hAnsi="宋体" w:eastAsia="宋体" w:cs="宋体"/>
                <w:sz w:val="21"/>
                <w:szCs w:val="21"/>
                <w:lang w:val="en-US" w:eastAsia="zh-CN" w:bidi="ar"/>
              </w:rPr>
              <w:t>按照要求所具备的事项计算，全部具备得满分，缺少一项扣X分。</w:t>
            </w:r>
            <w:r>
              <w:rPr>
                <w:rStyle w:val="16"/>
                <w:rFonts w:hint="eastAsia" w:ascii="宋体" w:hAnsi="宋体" w:eastAsia="宋体" w:cs="宋体"/>
                <w:sz w:val="21"/>
                <w:szCs w:val="21"/>
                <w:lang w:val="en-US" w:eastAsia="zh-CN" w:bidi="ar"/>
              </w:rPr>
              <w:t>（5）满意值赋分法：</w:t>
            </w:r>
            <w:r>
              <w:rPr>
                <w:rStyle w:val="17"/>
                <w:rFonts w:hint="eastAsia" w:ascii="宋体" w:hAnsi="宋体" w:eastAsia="宋体" w:cs="宋体"/>
                <w:sz w:val="21"/>
                <w:szCs w:val="21"/>
                <w:lang w:val="en-US" w:eastAsia="zh-CN" w:bidi="ar"/>
              </w:rPr>
              <w:t>设置一个满意值，指标值达到满意值得满分，未达到不得分或扣分。</w:t>
            </w:r>
            <w:r>
              <w:rPr>
                <w:rStyle w:val="16"/>
                <w:rFonts w:hint="eastAsia" w:ascii="宋体" w:hAnsi="宋体" w:eastAsia="宋体" w:cs="宋体"/>
                <w:sz w:val="21"/>
                <w:szCs w:val="21"/>
                <w:lang w:val="en-US" w:eastAsia="zh-CN" w:bidi="ar"/>
              </w:rPr>
              <w:t>（6）按数累加法：</w:t>
            </w:r>
            <w:r>
              <w:rPr>
                <w:rStyle w:val="17"/>
                <w:rFonts w:hint="eastAsia" w:ascii="宋体" w:hAnsi="宋体" w:eastAsia="宋体" w:cs="宋体"/>
                <w:sz w:val="21"/>
                <w:szCs w:val="21"/>
                <w:lang w:val="en-US" w:eastAsia="zh-CN" w:bidi="ar"/>
              </w:rPr>
              <w:t>若有必要用于加分项指标。</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bCs/>
                <w:i w:val="0"/>
                <w:iCs w:val="0"/>
                <w:color w:val="000000"/>
                <w:sz w:val="21"/>
                <w:szCs w:val="21"/>
                <w:u w:val="none"/>
              </w:rPr>
            </w:pPr>
            <w:r>
              <w:rPr>
                <w:rStyle w:val="16"/>
                <w:rFonts w:hint="eastAsia" w:ascii="宋体" w:hAnsi="宋体" w:eastAsia="宋体" w:cs="宋体"/>
                <w:sz w:val="21"/>
                <w:szCs w:val="21"/>
                <w:lang w:val="en-US" w:eastAsia="zh-CN" w:bidi="ar"/>
              </w:rPr>
              <w:t>2、预算绩效指标标准：</w:t>
            </w:r>
            <w:r>
              <w:rPr>
                <w:rStyle w:val="16"/>
                <w:rFonts w:hint="eastAsia" w:ascii="宋体" w:hAnsi="宋体" w:eastAsia="宋体" w:cs="宋体"/>
                <w:sz w:val="21"/>
                <w:szCs w:val="21"/>
                <w:lang w:val="en-US" w:eastAsia="zh-CN" w:bidi="ar"/>
              </w:rPr>
              <w:br w:type="textWrapping"/>
            </w:r>
            <w:r>
              <w:rPr>
                <w:rStyle w:val="16"/>
                <w:rFonts w:hint="eastAsia" w:ascii="宋体" w:hAnsi="宋体" w:eastAsia="宋体" w:cs="宋体"/>
                <w:sz w:val="21"/>
                <w:szCs w:val="21"/>
                <w:lang w:val="en-US" w:eastAsia="zh-CN" w:bidi="ar"/>
              </w:rPr>
              <w:t>（1）定性指标标准：</w:t>
            </w:r>
            <w:r>
              <w:rPr>
                <w:rStyle w:val="17"/>
                <w:rFonts w:hint="eastAsia" w:ascii="宋体" w:hAnsi="宋体" w:eastAsia="宋体" w:cs="宋体"/>
                <w:sz w:val="21"/>
                <w:szCs w:val="21"/>
                <w:lang w:val="en-US" w:eastAsia="zh-CN" w:bidi="ar"/>
              </w:rPr>
              <w:t>根据客观依据判断指标得分，一般采用是否评分法。</w:t>
            </w:r>
            <w:r>
              <w:rPr>
                <w:rStyle w:val="17"/>
                <w:rFonts w:hint="eastAsia" w:ascii="宋体" w:hAnsi="宋体" w:eastAsia="宋体" w:cs="宋体"/>
                <w:sz w:val="21"/>
                <w:szCs w:val="21"/>
                <w:lang w:val="en-US" w:eastAsia="zh-CN" w:bidi="ar"/>
              </w:rPr>
              <w:br w:type="textWrapping"/>
            </w:r>
            <w:r>
              <w:rPr>
                <w:rStyle w:val="16"/>
                <w:rFonts w:hint="eastAsia" w:ascii="宋体" w:hAnsi="宋体" w:eastAsia="宋体" w:cs="宋体"/>
                <w:sz w:val="21"/>
                <w:szCs w:val="21"/>
                <w:lang w:val="en-US" w:eastAsia="zh-CN" w:bidi="ar"/>
              </w:rPr>
              <w:t>（2）定量指标标准：</w:t>
            </w:r>
            <w:r>
              <w:rPr>
                <w:rStyle w:val="17"/>
                <w:rFonts w:hint="eastAsia" w:ascii="宋体" w:hAnsi="宋体" w:eastAsia="宋体" w:cs="宋体"/>
                <w:sz w:val="21"/>
                <w:szCs w:val="21"/>
                <w:lang w:val="en-US" w:eastAsia="zh-CN" w:bidi="ar"/>
              </w:rPr>
              <w:t>（技术标准、管理标准、工作标准）：</w:t>
            </w:r>
            <w:r>
              <w:rPr>
                <w:rStyle w:val="17"/>
                <w:rFonts w:hint="eastAsia" w:ascii="宋体" w:hAnsi="宋体" w:eastAsia="宋体" w:cs="宋体"/>
                <w:sz w:val="21"/>
                <w:szCs w:val="21"/>
                <w:lang w:val="en-US" w:eastAsia="zh-CN" w:bidi="ar"/>
              </w:rPr>
              <w:br w:type="textWrapping"/>
            </w:r>
            <w:r>
              <w:rPr>
                <w:rStyle w:val="16"/>
                <w:rFonts w:hint="eastAsia" w:ascii="宋体" w:hAnsi="宋体" w:eastAsia="宋体" w:cs="宋体"/>
                <w:sz w:val="21"/>
                <w:szCs w:val="21"/>
                <w:lang w:val="en-US" w:eastAsia="zh-CN" w:bidi="ar"/>
              </w:rPr>
              <w:t>国家标准：</w:t>
            </w:r>
            <w:r>
              <w:rPr>
                <w:rStyle w:val="17"/>
                <w:rFonts w:hint="eastAsia" w:ascii="宋体" w:hAnsi="宋体" w:eastAsia="宋体" w:cs="宋体"/>
                <w:sz w:val="21"/>
                <w:szCs w:val="21"/>
                <w:lang w:val="en-US" w:eastAsia="zh-CN" w:bidi="ar"/>
              </w:rPr>
              <w:t>国家质量技术监督总局与国家标准化管理委员会制定，全国范围内适用，其他各级别标准不得与其抵触。</w:t>
            </w:r>
            <w:r>
              <w:rPr>
                <w:rStyle w:val="17"/>
                <w:rFonts w:hint="eastAsia" w:ascii="宋体" w:hAnsi="宋体" w:eastAsia="宋体" w:cs="宋体"/>
                <w:sz w:val="21"/>
                <w:szCs w:val="21"/>
                <w:lang w:val="en-US" w:eastAsia="zh-CN" w:bidi="ar"/>
              </w:rPr>
              <w:br w:type="textWrapping"/>
            </w:r>
            <w:r>
              <w:rPr>
                <w:rStyle w:val="16"/>
                <w:rFonts w:hint="eastAsia" w:ascii="宋体" w:hAnsi="宋体" w:eastAsia="宋体" w:cs="宋体"/>
                <w:sz w:val="21"/>
                <w:szCs w:val="21"/>
                <w:lang w:val="en-US" w:eastAsia="zh-CN" w:bidi="ar"/>
              </w:rPr>
              <w:t>行业标准：</w:t>
            </w:r>
            <w:r>
              <w:rPr>
                <w:rStyle w:val="17"/>
                <w:rFonts w:hint="eastAsia" w:ascii="宋体" w:hAnsi="宋体" w:eastAsia="宋体" w:cs="宋体"/>
                <w:sz w:val="21"/>
                <w:szCs w:val="21"/>
                <w:lang w:val="en-US" w:eastAsia="zh-CN" w:bidi="ar"/>
              </w:rPr>
              <w:t>国务院行政主管部门制定，行业标准用于特定行业。</w:t>
            </w:r>
            <w:r>
              <w:rPr>
                <w:rStyle w:val="17"/>
                <w:rFonts w:hint="eastAsia" w:ascii="宋体" w:hAnsi="宋体" w:eastAsia="宋体" w:cs="宋体"/>
                <w:sz w:val="21"/>
                <w:szCs w:val="21"/>
                <w:lang w:val="en-US" w:eastAsia="zh-CN" w:bidi="ar"/>
              </w:rPr>
              <w:br w:type="textWrapping"/>
            </w:r>
            <w:r>
              <w:rPr>
                <w:rStyle w:val="16"/>
                <w:rFonts w:hint="eastAsia" w:ascii="宋体" w:hAnsi="宋体" w:eastAsia="宋体" w:cs="宋体"/>
                <w:sz w:val="21"/>
                <w:szCs w:val="21"/>
                <w:lang w:val="en-US" w:eastAsia="zh-CN" w:bidi="ar"/>
              </w:rPr>
              <w:t>地方标准：</w:t>
            </w:r>
            <w:r>
              <w:rPr>
                <w:rStyle w:val="17"/>
                <w:rFonts w:hint="eastAsia" w:ascii="宋体" w:hAnsi="宋体" w:eastAsia="宋体" w:cs="宋体"/>
                <w:sz w:val="21"/>
                <w:szCs w:val="21"/>
                <w:lang w:val="en-US" w:eastAsia="zh-CN" w:bidi="ar"/>
              </w:rPr>
              <w:t>在没有国家标准和行业标准的情况下，地方政府、省级主管部门、财政部门可根据历史数据、统计数据、调研数据等设定绩效标准，可根据四川的实际情况按经济片区分设标准。</w:t>
            </w:r>
            <w:r>
              <w:rPr>
                <w:rStyle w:val="17"/>
                <w:rFonts w:hint="eastAsia" w:ascii="宋体" w:hAnsi="宋体" w:eastAsia="宋体" w:cs="宋体"/>
                <w:sz w:val="21"/>
                <w:szCs w:val="21"/>
                <w:lang w:val="en-US" w:eastAsia="zh-CN" w:bidi="ar"/>
              </w:rPr>
              <w:br w:type="textWrapping"/>
            </w:r>
            <w:r>
              <w:rPr>
                <w:rStyle w:val="16"/>
                <w:rFonts w:hint="eastAsia" w:ascii="宋体" w:hAnsi="宋体" w:eastAsia="宋体" w:cs="宋体"/>
                <w:sz w:val="21"/>
                <w:szCs w:val="21"/>
                <w:lang w:val="en-US" w:eastAsia="zh-CN" w:bidi="ar"/>
              </w:rPr>
              <w:t>申报标准：</w:t>
            </w:r>
            <w:r>
              <w:rPr>
                <w:rStyle w:val="17"/>
                <w:rFonts w:hint="eastAsia" w:ascii="宋体" w:hAnsi="宋体" w:eastAsia="宋体" w:cs="宋体"/>
                <w:sz w:val="21"/>
                <w:szCs w:val="21"/>
                <w:lang w:val="en-US" w:eastAsia="zh-CN" w:bidi="ar"/>
              </w:rPr>
              <w:t>对新实施的政策项目且相关基础数据匮乏的基础上，各方根据试点探索商定绩效标准，并在以后年度动态修订完善。</w:t>
            </w:r>
            <w:r>
              <w:rPr>
                <w:rStyle w:val="17"/>
                <w:rFonts w:hint="eastAsia" w:ascii="宋体" w:hAnsi="宋体" w:eastAsia="宋体" w:cs="宋体"/>
                <w:sz w:val="21"/>
                <w:szCs w:val="21"/>
                <w:lang w:val="en-US" w:eastAsia="zh-CN" w:bidi="ar"/>
              </w:rPr>
              <w:br w:type="textWrapping"/>
            </w:r>
            <w:r>
              <w:rPr>
                <w:rStyle w:val="17"/>
                <w:rFonts w:hint="eastAsia" w:ascii="宋体" w:hAnsi="宋体" w:eastAsia="宋体" w:cs="宋体"/>
                <w:sz w:val="21"/>
                <w:szCs w:val="21"/>
                <w:lang w:val="en-US" w:eastAsia="zh-CN" w:bidi="ar"/>
              </w:rPr>
              <w:t>3、★为核心指标，需要评价组重点关注深入分析。未涉及个性指标的项目，其分值权重按比例调整到其他效果指标。</w:t>
            </w:r>
          </w:p>
        </w:tc>
        <w:tc>
          <w:tcPr>
            <w:tcW w:w="114"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bCs/>
                <w:i w:val="0"/>
                <w:iCs w:val="0"/>
                <w:color w:val="000000"/>
                <w:sz w:val="21"/>
                <w:szCs w:val="21"/>
                <w:u w:val="none"/>
              </w:rPr>
            </w:pPr>
          </w:p>
        </w:tc>
        <w:tc>
          <w:tcPr>
            <w:tcW w:w="98"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0" w:hRule="atLeast"/>
        </w:trPr>
        <w:tc>
          <w:tcPr>
            <w:tcW w:w="4787" w:type="pct"/>
            <w:gridSpan w:val="23"/>
            <w:vMerge w:val="continue"/>
            <w:tcBorders>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bCs/>
                <w:i w:val="0"/>
                <w:iCs w:val="0"/>
                <w:color w:val="000000"/>
                <w:sz w:val="21"/>
                <w:szCs w:val="21"/>
                <w:u w:val="none"/>
              </w:rPr>
            </w:pPr>
          </w:p>
        </w:tc>
        <w:tc>
          <w:tcPr>
            <w:tcW w:w="114"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bCs/>
                <w:i w:val="0"/>
                <w:iCs w:val="0"/>
                <w:color w:val="000000"/>
                <w:sz w:val="21"/>
                <w:szCs w:val="21"/>
                <w:u w:val="none"/>
              </w:rPr>
            </w:pPr>
          </w:p>
        </w:tc>
        <w:tc>
          <w:tcPr>
            <w:tcW w:w="98"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bCs/>
                <w:i w:val="0"/>
                <w:iCs w:val="0"/>
                <w:color w:val="000000"/>
                <w:sz w:val="21"/>
                <w:szCs w:val="21"/>
                <w:u w:val="none"/>
              </w:rPr>
            </w:pPr>
          </w:p>
        </w:tc>
      </w:tr>
    </w:tbl>
    <w:p>
      <w:pPr>
        <w:pageBreakBefore w:val="0"/>
        <w:widowControl w:val="0"/>
        <w:kinsoku/>
        <w:wordWrap/>
        <w:overflowPunct/>
        <w:topLinePunct w:val="0"/>
        <w:autoSpaceDE/>
        <w:autoSpaceDN/>
        <w:bidi w:val="0"/>
        <w:spacing w:line="576" w:lineRule="exact"/>
        <w:ind w:left="0" w:leftChars="0" w:right="0" w:rightChars="0" w:firstLine="0" w:firstLineChars="0"/>
        <w:jc w:val="both"/>
        <w:rPr>
          <w:rFonts w:hint="eastAsia" w:ascii="仿宋_GB2312" w:hAnsi="仿宋_GB2312" w:eastAsia="仿宋_GB2312" w:cs="仿宋_GB2312"/>
          <w:b/>
          <w:bCs/>
          <w:color w:val="auto"/>
          <w:sz w:val="32"/>
          <w:szCs w:val="32"/>
          <w:highlight w:val="none"/>
          <w:u w:val="none"/>
          <w:vertAlign w:val="baseline"/>
          <w:lang w:val="en-US" w:eastAsia="zh-CN"/>
        </w:rPr>
        <w:sectPr>
          <w:pgSz w:w="23811" w:h="16838" w:orient="landscape"/>
          <w:pgMar w:top="1134" w:right="1020" w:bottom="1134" w:left="1134" w:header="851" w:footer="992" w:gutter="0"/>
          <w:pgNumType w:fmt="decimal"/>
          <w:cols w:space="425" w:num="1"/>
          <w:docGrid w:type="lines" w:linePitch="312" w:charSpace="0"/>
        </w:sectPr>
      </w:pPr>
      <w:r>
        <w:rPr>
          <w:rFonts w:hint="eastAsia" w:ascii="仿宋_GB2312" w:hAnsi="仿宋_GB2312" w:eastAsia="仿宋_GB2312" w:cs="仿宋_GB2312"/>
          <w:b/>
          <w:bCs/>
          <w:color w:val="auto"/>
          <w:sz w:val="32"/>
          <w:szCs w:val="32"/>
          <w:highlight w:val="none"/>
          <w:u w:val="none"/>
          <w:vertAlign w:val="baseline"/>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矿业权出让收益市场基准价调整专项资金项目支出绩效自评报告</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黑体" w:hAnsi="黑体" w:eastAsia="黑体" w:cs="黑体"/>
          <w:b w:val="0"/>
          <w:bCs w:val="0"/>
          <w:sz w:val="32"/>
          <w:szCs w:val="32"/>
          <w:lang w:val="zh-CN" w:eastAsia="zh-CN"/>
        </w:rPr>
      </w:pP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lang w:val="zh-CN" w:eastAsia="zh-CN"/>
        </w:rPr>
        <w:t>项目概况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（一）项目基本情况</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根据省自然资源厅、省财政厅《关于抓紧开展矿业权出让收益基准价调整工作有关事项的通知》（川自然资涵[2020]682号）要求，对2019年矿业权出让市场基准价执行调研论证按照采矿权、探或一定</w:t>
      </w:r>
      <w:r>
        <w:rPr>
          <w:rFonts w:hint="eastAsia" w:ascii="仿宋_GB2312" w:hAnsi="仿宋_GB2312" w:cs="仿宋_GB2312"/>
          <w:sz w:val="32"/>
          <w:szCs w:val="32"/>
          <w:lang w:val="en-US" w:eastAsia="zh-CN"/>
        </w:rPr>
        <w:t>资源</w:t>
      </w:r>
      <w:r>
        <w:rPr>
          <w:rFonts w:hint="eastAsia" w:ascii="仿宋_GB2312" w:hAnsi="仿宋_GB2312" w:eastAsia="仿宋_GB2312" w:cs="仿宋_GB2312"/>
          <w:sz w:val="32"/>
          <w:szCs w:val="32"/>
          <w:lang w:val="en-US" w:eastAsia="zh-CN"/>
        </w:rPr>
        <w:t>储量的探矿权，未探或资源储量的空白探矿权分类拟定覆盖广元市所有矿种、符合广元市实际的矿业权出让收益市场基准价，经过各级部门和社会公众意见建议和听证的基础上，报市土管会审定，再报省自然资源厅、省财政厅审核，报省政府批准后报市政府发布。该项目技术服务经过竞争性谈判中标金额为10.2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（二）项目绩效目标</w:t>
      </w: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对2019年矿业权出让市场基准价执行调研论证，根据广元市矿产资源禀赋、现有矿权、矿产资源规划对广元市矿业权综合研判，实现基准价平稳、合理衔接、确保矿业权有序进行。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w:t>
      </w:r>
      <w:r>
        <w:rPr>
          <w:rFonts w:hint="eastAsia" w:ascii="楷体_GB2312" w:hAnsi="楷体_GB2312" w:eastAsia="楷体_GB2312" w:cs="楷体_GB2312"/>
          <w:b w:val="0"/>
          <w:bCs w:val="0"/>
          <w:sz w:val="32"/>
          <w:szCs w:val="32"/>
          <w:lang w:val="en-US" w:eastAsia="zh-CN"/>
        </w:rPr>
        <w:t>三</w:t>
      </w:r>
      <w:r>
        <w:rPr>
          <w:rFonts w:hint="eastAsia" w:ascii="楷体_GB2312" w:hAnsi="楷体_GB2312" w:eastAsia="楷体_GB2312" w:cs="楷体_GB2312"/>
          <w:b w:val="0"/>
          <w:bCs w:val="0"/>
          <w:sz w:val="32"/>
          <w:szCs w:val="32"/>
          <w:lang w:val="zh-CN" w:eastAsia="zh-CN"/>
        </w:rPr>
        <w:t>）</w:t>
      </w:r>
      <w:r>
        <w:rPr>
          <w:rFonts w:hint="eastAsia" w:ascii="仿宋_GB2312" w:hAnsi="仿宋_GB2312" w:eastAsia="仿宋_GB2312" w:cs="仿宋_GB2312"/>
          <w:sz w:val="32"/>
          <w:szCs w:val="32"/>
          <w:lang w:val="zh-CN" w:eastAsia="zh-CN"/>
        </w:rPr>
        <w:t>申报内容与实际相符，申报目标合理可行。</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二、项目资金申报及使用情况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（一）项目资金申报及批复情况</w:t>
      </w:r>
    </w:p>
    <w:p>
      <w:pPr>
        <w:keepNext w:val="0"/>
        <w:keepLines w:val="0"/>
        <w:pageBreakBefore w:val="0"/>
        <w:widowControl w:val="0"/>
        <w:kinsoku/>
        <w:wordWrap/>
        <w:overflowPunct/>
        <w:topLinePunct w:val="0"/>
        <w:autoSpaceDE/>
        <w:autoSpaceDN/>
        <w:bidi w:val="0"/>
        <w:spacing w:line="576" w:lineRule="exact"/>
        <w:ind w:left="0" w:leftChars="0" w:right="0" w:rightChars="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我局矿管科根据相关文件申报财政资金10.2万元，市财政投资科根据《广元市矿业权出让收益征收管理实施细则（暂行）》2022年下达我局财政资金9.75万元，由我局直接支付县区局，另0.45万元由年初下达我局矿业权管理专项业务工作经费解决。</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（二）资金计划、到位及使用情况</w:t>
      </w:r>
    </w:p>
    <w:p>
      <w:pPr>
        <w:keepNext w:val="0"/>
        <w:keepLines w:val="0"/>
        <w:pageBreakBefore w:val="0"/>
        <w:widowControl w:val="0"/>
        <w:shd w:val="clear" w:color="auto" w:fill="FFFFFF"/>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val="zh-CN"/>
        </w:rPr>
        <w:t>1</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val="zh-CN"/>
        </w:rPr>
        <w:t>资金计划及到位情况。</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该项目</w:t>
      </w:r>
      <w:r>
        <w:rPr>
          <w:rFonts w:hint="eastAsia" w:ascii="仿宋_GB2312" w:hAnsi="仿宋_GB2312" w:eastAsia="仿宋_GB2312" w:cs="仿宋_GB2312"/>
          <w:sz w:val="32"/>
          <w:szCs w:val="32"/>
        </w:rPr>
        <w:t>预算</w:t>
      </w:r>
      <w:r>
        <w:rPr>
          <w:rFonts w:hint="eastAsia" w:ascii="仿宋_GB2312" w:hAnsi="仿宋_GB2312" w:eastAsia="仿宋_GB2312" w:cs="仿宋_GB2312"/>
          <w:sz w:val="32"/>
          <w:szCs w:val="32"/>
          <w:lang w:val="en-US" w:eastAsia="zh-CN"/>
        </w:rPr>
        <w:t>10.2</w:t>
      </w:r>
      <w:r>
        <w:rPr>
          <w:rFonts w:hint="eastAsia" w:ascii="仿宋_GB2312" w:hAnsi="仿宋_GB2312" w:eastAsia="仿宋_GB2312" w:cs="仿宋_GB2312"/>
          <w:sz w:val="32"/>
          <w:szCs w:val="32"/>
        </w:rPr>
        <w:t>万元，202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9月9日</w:t>
      </w:r>
      <w:r>
        <w:rPr>
          <w:rFonts w:hint="eastAsia" w:ascii="仿宋_GB2312" w:hAnsi="仿宋_GB2312" w:eastAsia="仿宋_GB2312" w:cs="仿宋_GB2312"/>
          <w:sz w:val="32"/>
          <w:szCs w:val="32"/>
        </w:rPr>
        <w:t>，市财政实际拨付资金</w:t>
      </w:r>
      <w:r>
        <w:rPr>
          <w:rFonts w:hint="eastAsia" w:ascii="仿宋_GB2312" w:hAnsi="仿宋_GB2312" w:eastAsia="仿宋_GB2312" w:cs="仿宋_GB2312"/>
          <w:sz w:val="32"/>
          <w:szCs w:val="32"/>
          <w:lang w:val="en-US" w:eastAsia="zh-CN"/>
        </w:rPr>
        <w:t>9.75万元</w:t>
      </w:r>
      <w:r>
        <w:rPr>
          <w:rFonts w:hint="eastAsia" w:ascii="仿宋_GB2312" w:hAnsi="仿宋_GB2312" w:cs="仿宋_GB2312"/>
          <w:sz w:val="32"/>
          <w:szCs w:val="32"/>
          <w:lang w:val="en-US" w:eastAsia="zh-CN"/>
        </w:rPr>
        <w:t>。</w:t>
      </w:r>
    </w:p>
    <w:p>
      <w:pPr>
        <w:keepNext w:val="0"/>
        <w:keepLines w:val="0"/>
        <w:pageBreakBefore w:val="0"/>
        <w:widowControl w:val="0"/>
        <w:kinsoku/>
        <w:wordWrap/>
        <w:overflowPunct/>
        <w:topLinePunct w:val="0"/>
        <w:autoSpaceDE/>
        <w:autoSpaceDN/>
        <w:bidi w:val="0"/>
        <w:spacing w:line="576"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 xml:space="preserve">2. </w:t>
      </w:r>
      <w:r>
        <w:rPr>
          <w:rFonts w:hint="eastAsia" w:ascii="仿宋_GB2312" w:hAnsi="仿宋_GB2312" w:eastAsia="仿宋_GB2312" w:cs="仿宋_GB2312"/>
          <w:sz w:val="32"/>
          <w:szCs w:val="32"/>
          <w:highlight w:val="none"/>
          <w:lang w:val="zh-CN"/>
        </w:rPr>
        <w:t>资金使用情况。该项目</w:t>
      </w:r>
      <w:r>
        <w:rPr>
          <w:rFonts w:hint="eastAsia" w:ascii="仿宋_GB2312" w:hAnsi="仿宋_GB2312" w:eastAsia="仿宋_GB2312" w:cs="仿宋_GB2312"/>
          <w:sz w:val="32"/>
          <w:szCs w:val="32"/>
          <w:highlight w:val="none"/>
          <w:lang w:val="en-US" w:eastAsia="zh-CN"/>
        </w:rPr>
        <w:t>2022年使用9.75万元，预算执行率为100%。主要</w:t>
      </w:r>
      <w:r>
        <w:rPr>
          <w:rFonts w:hint="eastAsia" w:ascii="仿宋_GB2312" w:hAnsi="仿宋_GB2312" w:cs="仿宋_GB2312"/>
          <w:sz w:val="32"/>
          <w:szCs w:val="32"/>
          <w:highlight w:val="none"/>
          <w:lang w:val="en-US" w:eastAsia="zh-CN"/>
        </w:rPr>
        <w:t>是</w:t>
      </w:r>
      <w:r>
        <w:rPr>
          <w:rFonts w:hint="eastAsia" w:ascii="仿宋_GB2312" w:hAnsi="仿宋_GB2312" w:eastAsia="仿宋_GB2312" w:cs="仿宋_GB2312"/>
          <w:sz w:val="32"/>
          <w:szCs w:val="32"/>
          <w:highlight w:val="none"/>
          <w:lang w:val="en-US" w:eastAsia="zh-CN"/>
        </w:rPr>
        <w:t>矿业</w:t>
      </w:r>
      <w:r>
        <w:rPr>
          <w:rFonts w:hint="eastAsia" w:ascii="仿宋_GB2312" w:hAnsi="仿宋_GB2312" w:cs="仿宋_GB2312"/>
          <w:sz w:val="32"/>
          <w:szCs w:val="32"/>
          <w:highlight w:val="none"/>
          <w:lang w:val="en-US" w:eastAsia="zh-CN"/>
        </w:rPr>
        <w:t>权</w:t>
      </w:r>
      <w:r>
        <w:rPr>
          <w:rFonts w:hint="eastAsia" w:ascii="仿宋_GB2312" w:hAnsi="仿宋_GB2312" w:eastAsia="仿宋_GB2312" w:cs="仿宋_GB2312"/>
          <w:sz w:val="32"/>
          <w:szCs w:val="32"/>
          <w:highlight w:val="none"/>
          <w:lang w:val="en-US" w:eastAsia="zh-CN"/>
        </w:rPr>
        <w:t>出让收益市场基准价调整</w:t>
      </w:r>
      <w:r>
        <w:rPr>
          <w:rFonts w:hint="eastAsia" w:ascii="仿宋_GB2312" w:hAnsi="仿宋_GB2312" w:cs="仿宋_GB2312"/>
          <w:sz w:val="32"/>
          <w:szCs w:val="32"/>
          <w:highlight w:val="none"/>
          <w:lang w:val="en-US" w:eastAsia="zh-CN"/>
        </w:rPr>
        <w:t>技术服务费。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（三）项目财务管理情况</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我局</w:t>
      </w:r>
      <w:r>
        <w:rPr>
          <w:rFonts w:hint="eastAsia" w:ascii="仿宋_GB2312" w:hAnsi="仿宋_GB2312" w:eastAsia="仿宋_GB2312" w:cs="仿宋_GB2312"/>
          <w:sz w:val="32"/>
          <w:szCs w:val="32"/>
        </w:rPr>
        <w:t>严格按照财务管理相关制度规定，建立健全财务管理制度及内控制度，加强对</w:t>
      </w:r>
      <w:r>
        <w:rPr>
          <w:rFonts w:hint="eastAsia" w:ascii="仿宋_GB2312" w:hAnsi="仿宋_GB2312" w:cs="仿宋_GB2312"/>
          <w:sz w:val="32"/>
          <w:szCs w:val="32"/>
          <w:lang w:val="en-US" w:eastAsia="zh-CN"/>
        </w:rPr>
        <w:t>该</w:t>
      </w:r>
      <w:r>
        <w:rPr>
          <w:rFonts w:hint="eastAsia" w:ascii="仿宋_GB2312" w:hAnsi="仿宋_GB2312" w:eastAsia="仿宋_GB2312" w:cs="仿宋_GB2312"/>
          <w:sz w:val="32"/>
          <w:szCs w:val="32"/>
          <w:lang w:val="en-US" w:eastAsia="zh-CN"/>
        </w:rPr>
        <w:t>项目</w:t>
      </w:r>
      <w:r>
        <w:rPr>
          <w:rFonts w:hint="eastAsia" w:ascii="仿宋_GB2312" w:hAnsi="仿宋_GB2312" w:cs="仿宋_GB2312"/>
          <w:sz w:val="32"/>
          <w:szCs w:val="32"/>
          <w:lang w:val="en-US" w:eastAsia="zh-CN"/>
        </w:rPr>
        <w:t>资金</w:t>
      </w:r>
      <w:r>
        <w:rPr>
          <w:rFonts w:hint="eastAsia" w:ascii="仿宋_GB2312" w:hAnsi="仿宋_GB2312" w:eastAsia="仿宋_GB2312" w:cs="仿宋_GB2312"/>
          <w:sz w:val="32"/>
          <w:szCs w:val="32"/>
        </w:rPr>
        <w:t>的使用管理，按照专项资金管理办法做好项目实施和监管，及时、规范进行账务处理及会计核算。切实做到专款专用，最大可能发挥专项资金作用。</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zh-CN" w:eastAsia="zh-CN"/>
        </w:rPr>
        <w:t>三、项目实施及管理情况</w:t>
      </w:r>
    </w:p>
    <w:p>
      <w:pPr>
        <w:keepNext w:val="0"/>
        <w:keepLines w:val="0"/>
        <w:pageBreakBefore w:val="0"/>
        <w:widowControl w:val="0"/>
        <w:kinsoku/>
        <w:wordWrap/>
        <w:overflowPunct/>
        <w:topLinePunct w:val="0"/>
        <w:autoSpaceDE/>
        <w:autoSpaceDN/>
        <w:bidi w:val="0"/>
        <w:spacing w:line="576"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我局</w:t>
      </w:r>
      <w:r>
        <w:rPr>
          <w:rFonts w:hint="eastAsia" w:ascii="仿宋_GB2312" w:hAnsi="仿宋_GB2312" w:eastAsia="仿宋_GB2312" w:cs="仿宋_GB2312"/>
          <w:sz w:val="32"/>
          <w:szCs w:val="32"/>
        </w:rPr>
        <w:t>严格按照项目管理有关规定管理专项经费，为保障项目资金安全，确保资金专款专用， 从资金申请、资金使用、会计核算三个环节加强资金管理，在项目资金申请环节，严格按照国库集中支付流程申请财政资金；在资金使用环节，严格遵守相关法律法规规定，严格按照单位财务管理审批流程办理款项支付；在会计核算环节，对本项目资金实行单独核算，确保专款专用。</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黑体" w:hAnsi="黑体" w:eastAsia="黑体" w:cs="黑体"/>
          <w:b w:val="0"/>
          <w:bCs w:val="0"/>
          <w:sz w:val="32"/>
          <w:szCs w:val="32"/>
          <w:lang w:val="zh-CN" w:eastAsia="zh-CN"/>
        </w:rPr>
      </w:pPr>
      <w:r>
        <w:rPr>
          <w:rFonts w:hint="eastAsia" w:ascii="黑体" w:hAnsi="黑体" w:eastAsia="黑体" w:cs="黑体"/>
          <w:b w:val="0"/>
          <w:bCs w:val="0"/>
          <w:sz w:val="32"/>
          <w:szCs w:val="32"/>
          <w:lang w:val="en-US" w:eastAsia="zh-CN"/>
        </w:rPr>
        <w:t>四、项目绩效情况</w:t>
      </w:r>
      <w:r>
        <w:rPr>
          <w:rFonts w:hint="eastAsia" w:ascii="黑体" w:hAnsi="黑体" w:eastAsia="黑体" w:cs="黑体"/>
          <w:b w:val="0"/>
          <w:bCs w:val="0"/>
          <w:sz w:val="32"/>
          <w:szCs w:val="32"/>
          <w:lang w:val="zh-CN" w:eastAsia="zh-CN"/>
        </w:rPr>
        <w:tab/>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（一）项目完成情况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cs="仿宋_GB2312"/>
          <w:sz w:val="32"/>
          <w:szCs w:val="32"/>
          <w:highlight w:val="none"/>
          <w:lang w:val="en-US" w:eastAsia="zh-CN"/>
        </w:rPr>
      </w:pPr>
      <w:r>
        <w:rPr>
          <w:rFonts w:hint="eastAsia" w:ascii="仿宋_GB2312" w:hAnsi="仿宋_GB2312" w:eastAsia="仿宋_GB2312" w:cs="仿宋_GB2312"/>
          <w:bCs/>
          <w:kern w:val="0"/>
          <w:sz w:val="32"/>
          <w:szCs w:val="32"/>
          <w:highlight w:val="none"/>
          <w:lang w:val="en-US" w:eastAsia="zh-CN"/>
        </w:rPr>
        <w:t>我市调整上报的矿业权出让收益基准价已经省人民政府同意，</w:t>
      </w:r>
      <w:r>
        <w:rPr>
          <w:rFonts w:hint="eastAsia" w:ascii="仿宋_GB2312" w:hAnsi="仿宋_GB2312" w:cs="仿宋_GB2312"/>
          <w:sz w:val="32"/>
          <w:szCs w:val="32"/>
          <w:highlight w:val="none"/>
          <w:lang w:val="en-US" w:eastAsia="zh-CN"/>
        </w:rPr>
        <w:t>并经广元市人民政府公布。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（二）项目效益情况</w:t>
      </w: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通过该项目的实施，顺利完成并发布</w:t>
      </w:r>
      <w:r>
        <w:rPr>
          <w:rFonts w:hint="eastAsia" w:ascii="仿宋_GB2312" w:hAnsi="仿宋_GB2312" w:eastAsia="仿宋_GB2312" w:cs="仿宋_GB2312"/>
          <w:bCs/>
          <w:kern w:val="0"/>
          <w:sz w:val="32"/>
          <w:szCs w:val="32"/>
          <w:highlight w:val="none"/>
          <w:lang w:val="en-US" w:eastAsia="zh-CN"/>
        </w:rPr>
        <w:t>广元市矿业权出让收益市场基准价。</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五、评价结论及建议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（一）评价结论</w:t>
      </w:r>
    </w:p>
    <w:p>
      <w:pPr>
        <w:keepNext w:val="0"/>
        <w:keepLines w:val="0"/>
        <w:pageBreakBefore w:val="0"/>
        <w:widowControl w:val="0"/>
        <w:shd w:val="clear" w:color="auto" w:fill="auto"/>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zh-CN"/>
        </w:rPr>
        <w:t>通过</w:t>
      </w:r>
      <w:r>
        <w:rPr>
          <w:rFonts w:hint="eastAsia" w:ascii="仿宋_GB2312" w:hAnsi="仿宋_GB2312" w:cs="仿宋_GB2312"/>
          <w:sz w:val="32"/>
          <w:szCs w:val="32"/>
          <w:highlight w:val="none"/>
          <w:lang w:val="en-US" w:eastAsia="zh-CN"/>
        </w:rPr>
        <w:t>该</w:t>
      </w:r>
      <w:r>
        <w:rPr>
          <w:rFonts w:hint="eastAsia" w:ascii="仿宋_GB2312" w:hAnsi="仿宋_GB2312" w:eastAsia="仿宋_GB2312" w:cs="仿宋_GB2312"/>
          <w:sz w:val="32"/>
          <w:szCs w:val="32"/>
          <w:highlight w:val="none"/>
          <w:lang w:val="zh-CN"/>
        </w:rPr>
        <w:t>项目实施，</w:t>
      </w:r>
      <w:r>
        <w:rPr>
          <w:rFonts w:hint="eastAsia" w:ascii="仿宋_GB2312" w:hAnsi="仿宋_GB2312" w:eastAsia="仿宋_GB2312" w:cs="仿宋_GB2312"/>
          <w:sz w:val="32"/>
          <w:szCs w:val="32"/>
          <w:highlight w:val="none"/>
          <w:lang w:val="en-US" w:eastAsia="zh-CN"/>
        </w:rPr>
        <w:t>实现我市矿业权基准价平稳、合理衔接，确保矿业权出让有序推进。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（二）存在的问题</w:t>
      </w:r>
    </w:p>
    <w:p>
      <w:pPr>
        <w:keepNext w:val="0"/>
        <w:keepLines w:val="0"/>
        <w:pageBreakBefore w:val="0"/>
        <w:widowControl w:val="0"/>
        <w:shd w:val="clear" w:color="auto" w:fill="auto"/>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zh-CN" w:eastAsia="zh-CN"/>
        </w:rPr>
        <w:t>（一）</w:t>
      </w:r>
      <w:r>
        <w:rPr>
          <w:rFonts w:hint="eastAsia" w:ascii="楷体_GB2312" w:hAnsi="楷体_GB2312" w:eastAsia="楷体_GB2312" w:cs="楷体_GB2312"/>
          <w:b w:val="0"/>
          <w:bCs w:val="0"/>
          <w:sz w:val="32"/>
          <w:szCs w:val="32"/>
          <w:lang w:val="en-US" w:eastAsia="zh-CN"/>
        </w:rPr>
        <w:t>相关建议。</w:t>
      </w:r>
    </w:p>
    <w:p>
      <w:pPr>
        <w:keepNext w:val="0"/>
        <w:keepLines w:val="0"/>
        <w:pageBreakBefore w:val="0"/>
        <w:widowControl w:val="0"/>
        <w:kinsoku/>
        <w:wordWrap/>
        <w:overflowPunct/>
        <w:topLinePunct w:val="0"/>
        <w:autoSpaceDE/>
        <w:autoSpaceDN/>
        <w:bidi w:val="0"/>
        <w:spacing w:line="576"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ind w:firstLine="5120" w:firstLineChars="16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广元市自然资源局</w:t>
      </w:r>
    </w:p>
    <w:p>
      <w:pPr>
        <w:pStyle w:val="2"/>
        <w:ind w:firstLine="5120" w:firstLineChars="16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2023年4月28日</w:t>
      </w:r>
    </w:p>
    <w:p>
      <w:pPr>
        <w:pageBreakBefore w:val="0"/>
        <w:widowControl w:val="0"/>
        <w:kinsoku/>
        <w:wordWrap/>
        <w:overflowPunct/>
        <w:topLinePunct w:val="0"/>
        <w:autoSpaceDE/>
        <w:autoSpaceDN/>
        <w:bidi w:val="0"/>
        <w:spacing w:line="576" w:lineRule="exact"/>
        <w:ind w:left="0" w:leftChars="0" w:right="0" w:rightChars="0" w:firstLine="0" w:firstLineChars="0"/>
        <w:jc w:val="both"/>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pP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br w:type="page"/>
      </w:r>
    </w:p>
    <w:p>
      <w:pPr>
        <w:pStyle w:val="12"/>
        <w:keepNext w:val="0"/>
        <w:keepLines w:val="0"/>
        <w:pageBreakBefore w:val="0"/>
        <w:widowControl w:val="0"/>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rPr>
          <w:rFonts w:hint="eastAsia" w:ascii="黑体" w:hAnsi="黑体" w:eastAsia="黑体" w:cs="黑体"/>
          <w:b w:val="0"/>
          <w:bCs w:val="0"/>
          <w:color w:val="auto"/>
          <w:kern w:val="0"/>
          <w:sz w:val="32"/>
          <w:szCs w:val="32"/>
          <w:highlight w:val="none"/>
          <w:u w:val="none"/>
          <w:shd w:val="clear" w:color="auto" w:fill="FFFFFF"/>
          <w:lang w:val="zh-CN" w:eastAsia="zh-CN"/>
        </w:rPr>
      </w:pPr>
      <w:r>
        <w:rPr>
          <w:rFonts w:hint="eastAsia" w:ascii="黑体" w:hAnsi="黑体" w:eastAsia="黑体" w:cs="黑体"/>
          <w:b w:val="0"/>
          <w:bCs w:val="0"/>
          <w:color w:val="auto"/>
          <w:kern w:val="0"/>
          <w:sz w:val="32"/>
          <w:szCs w:val="32"/>
          <w:highlight w:val="none"/>
          <w:u w:val="none"/>
          <w:shd w:val="clear" w:color="auto" w:fill="FFFFFF"/>
          <w:lang w:val="zh-CN" w:eastAsia="zh-CN"/>
        </w:rPr>
        <w:t>附表</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市级主管部门（单位）项目资金分配涉及</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所有点位自评得分情况表</w:t>
      </w:r>
    </w:p>
    <w:tbl>
      <w:tblPr>
        <w:tblStyle w:val="10"/>
        <w:tblW w:w="8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0"/>
        <w:gridCol w:w="2625"/>
        <w:gridCol w:w="2622"/>
        <w:gridCol w:w="1319"/>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r>
              <w:rPr>
                <w:rFonts w:hint="eastAsia" w:ascii="仿宋_GB2312" w:hAnsi="仿宋_GB2312" w:eastAsia="仿宋_GB2312" w:cs="仿宋_GB2312"/>
                <w:b w:val="0"/>
                <w:bCs w:val="0"/>
                <w:color w:val="auto"/>
                <w:sz w:val="24"/>
                <w:szCs w:val="24"/>
                <w:highlight w:val="none"/>
                <w:u w:val="none"/>
                <w:vertAlign w:val="baseline"/>
                <w:lang w:val="en-US" w:eastAsia="zh-CN"/>
              </w:rPr>
              <w:t>序号</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r>
              <w:rPr>
                <w:rFonts w:hint="eastAsia" w:ascii="仿宋_GB2312" w:hAnsi="仿宋_GB2312" w:eastAsia="仿宋_GB2312" w:cs="仿宋_GB2312"/>
                <w:b w:val="0"/>
                <w:bCs w:val="0"/>
                <w:color w:val="auto"/>
                <w:sz w:val="24"/>
                <w:szCs w:val="24"/>
                <w:highlight w:val="none"/>
                <w:u w:val="none"/>
                <w:vertAlign w:val="baseline"/>
                <w:lang w:val="en-US" w:eastAsia="zh-CN"/>
              </w:rPr>
              <w:t>项目资金末端分配点位</w:t>
            </w: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r>
              <w:rPr>
                <w:rFonts w:hint="eastAsia" w:ascii="仿宋_GB2312" w:hAnsi="仿宋_GB2312" w:eastAsia="仿宋_GB2312" w:cs="仿宋_GB2312"/>
                <w:b w:val="0"/>
                <w:bCs w:val="0"/>
                <w:color w:val="auto"/>
                <w:sz w:val="24"/>
                <w:szCs w:val="24"/>
                <w:highlight w:val="none"/>
                <w:u w:val="none"/>
                <w:vertAlign w:val="baseline"/>
                <w:lang w:val="en" w:eastAsia="zh-CN"/>
              </w:rPr>
              <w:t>自评得分（百分制）</w:t>
            </w: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r>
              <w:rPr>
                <w:rFonts w:hint="eastAsia" w:ascii="仿宋_GB2312" w:hAnsi="仿宋_GB2312" w:eastAsia="仿宋_GB2312" w:cs="仿宋_GB2312"/>
                <w:b w:val="0"/>
                <w:bCs w:val="0"/>
                <w:color w:val="auto"/>
                <w:sz w:val="24"/>
                <w:szCs w:val="24"/>
                <w:highlight w:val="none"/>
                <w:u w:val="none"/>
                <w:vertAlign w:val="baseline"/>
                <w:lang w:val="en-US" w:eastAsia="zh-CN"/>
              </w:rPr>
              <w:t>财政科室审核得分</w:t>
            </w: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r>
              <w:rPr>
                <w:rFonts w:hint="eastAsia" w:ascii="仿宋_GB2312" w:hAnsi="仿宋_GB2312" w:eastAsia="仿宋_GB2312" w:cs="仿宋_GB2312"/>
                <w:b w:val="0"/>
                <w:bCs w:val="0"/>
                <w:color w:val="auto"/>
                <w:sz w:val="24"/>
                <w:szCs w:val="24"/>
                <w:highlight w:val="none"/>
                <w:u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1</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r>
              <w:rPr>
                <w:rFonts w:hint="eastAsia" w:ascii="仿宋_GB2312" w:hAnsi="仿宋_GB2312" w:eastAsia="仿宋_GB2312" w:cs="仿宋_GB2312"/>
                <w:b w:val="0"/>
                <w:bCs w:val="0"/>
                <w:color w:val="auto"/>
                <w:sz w:val="24"/>
                <w:szCs w:val="24"/>
                <w:highlight w:val="none"/>
                <w:u w:val="none"/>
                <w:vertAlign w:val="baseline"/>
                <w:lang w:val="en-US" w:eastAsia="zh-CN"/>
              </w:rPr>
              <w:t>广元市自然资源局局机关</w:t>
            </w: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default" w:ascii="仿宋_GB2312" w:hAnsi="仿宋_GB2312" w:eastAsia="仿宋_GB2312" w:cs="仿宋_GB2312"/>
                <w:b w:val="0"/>
                <w:bCs w:val="0"/>
                <w:color w:val="auto"/>
                <w:sz w:val="24"/>
                <w:szCs w:val="24"/>
                <w:highlight w:val="none"/>
                <w:u w:val="none"/>
                <w:vertAlign w:val="baseline"/>
                <w:lang w:val="en-US" w:eastAsia="zh-CN"/>
              </w:rPr>
            </w:pPr>
            <w:r>
              <w:rPr>
                <w:rFonts w:hint="eastAsia" w:ascii="仿宋_GB2312" w:hAnsi="仿宋_GB2312" w:cs="仿宋_GB2312"/>
                <w:b w:val="0"/>
                <w:bCs w:val="0"/>
                <w:color w:val="auto"/>
                <w:sz w:val="24"/>
                <w:szCs w:val="24"/>
                <w:highlight w:val="none"/>
                <w:u w:val="none"/>
                <w:vertAlign w:val="baseline"/>
                <w:lang w:val="en-US" w:eastAsia="zh-CN"/>
              </w:rPr>
              <w:t>100</w:t>
            </w: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2</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3</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4</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5</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6</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7</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8</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0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w:t>
            </w:r>
          </w:p>
        </w:tc>
        <w:tc>
          <w:tcPr>
            <w:tcW w:w="262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31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1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rPr>
          <w:rFonts w:hint="eastAsia" w:ascii="仿宋_GB2312" w:hAnsi="仿宋_GB2312" w:eastAsia="仿宋_GB2312" w:cs="仿宋_GB2312"/>
          <w:b w:val="0"/>
          <w:bCs w:val="0"/>
          <w:color w:val="auto"/>
          <w:sz w:val="32"/>
          <w:szCs w:val="32"/>
          <w:highlight w:val="none"/>
          <w:u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rPr>
          <w:rFonts w:hint="eastAsia" w:ascii="仿宋_GB2312" w:hAnsi="仿宋_GB2312" w:eastAsia="仿宋_GB2312" w:cs="仿宋_GB2312"/>
          <w:b w:val="0"/>
          <w:bCs w:val="0"/>
          <w:color w:val="auto"/>
          <w:sz w:val="32"/>
          <w:szCs w:val="32"/>
          <w:highlight w:val="none"/>
          <w:u w:val="none"/>
          <w:vertAlign w:val="baseline"/>
          <w:lang w:val="en-US" w:eastAsia="zh-CN"/>
        </w:rPr>
      </w:pPr>
      <w:r>
        <w:rPr>
          <w:rFonts w:hint="eastAsia" w:ascii="仿宋_GB2312" w:hAnsi="仿宋_GB2312" w:eastAsia="仿宋_GB2312" w:cs="仿宋_GB2312"/>
          <w:b w:val="0"/>
          <w:bCs w:val="0"/>
          <w:color w:val="auto"/>
          <w:sz w:val="32"/>
          <w:szCs w:val="32"/>
          <w:highlight w:val="none"/>
          <w:u w:val="none"/>
          <w:vertAlign w:val="baseline"/>
          <w:lang w:val="en-US" w:eastAsia="zh-CN"/>
        </w:rPr>
        <w:t>备注：1、项目资金末端分配点位包括县（区）、市级部门下属单位及一次性单位等。</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left="0" w:leftChars="0" w:right="0" w:rightChars="0" w:firstLine="0" w:firstLineChars="0"/>
        <w:jc w:val="both"/>
        <w:textAlignment w:val="auto"/>
        <w:rPr>
          <w:rFonts w:hint="eastAsia" w:ascii="仿宋_GB2312" w:hAnsi="仿宋_GB2312" w:eastAsia="仿宋_GB2312" w:cs="仿宋_GB2312"/>
          <w:b w:val="0"/>
          <w:bCs w:val="0"/>
          <w:color w:val="auto"/>
          <w:sz w:val="32"/>
          <w:szCs w:val="32"/>
          <w:highlight w:val="none"/>
          <w:u w:val="none"/>
          <w:vertAlign w:val="baseline"/>
          <w:lang w:val="en-US" w:eastAsia="zh-CN"/>
        </w:rPr>
      </w:pPr>
      <w:r>
        <w:rPr>
          <w:rFonts w:hint="eastAsia" w:ascii="仿宋_GB2312" w:hAnsi="仿宋_GB2312" w:eastAsia="仿宋_GB2312" w:cs="仿宋_GB2312"/>
          <w:b w:val="0"/>
          <w:bCs w:val="0"/>
          <w:color w:val="auto"/>
          <w:sz w:val="32"/>
          <w:szCs w:val="32"/>
          <w:highlight w:val="none"/>
          <w:u w:val="none"/>
          <w:vertAlign w:val="baseline"/>
          <w:lang w:val="en-US" w:eastAsia="zh-CN"/>
        </w:rPr>
        <w:t>自评得分（百分制）从高到低划分为优、良、中、差四个档次，各个档次数量占比分别为20%、20%、55%、5%，且不同档次间得分分值应体现差异化，同档次得分分值相同的比例不超过该档次总数量的10%。</w:t>
      </w:r>
    </w:p>
    <w:p>
      <w:pPr>
        <w:pageBreakBefore w:val="0"/>
        <w:widowControl w:val="0"/>
        <w:kinsoku/>
        <w:wordWrap/>
        <w:overflowPunct/>
        <w:topLinePunct w:val="0"/>
        <w:autoSpaceDE/>
        <w:autoSpaceDN/>
        <w:bidi w:val="0"/>
        <w:spacing w:line="576" w:lineRule="exact"/>
        <w:ind w:left="0" w:leftChars="0" w:right="0" w:rightChars="0" w:firstLine="0" w:firstLineChars="0"/>
        <w:jc w:val="both"/>
        <w:rPr>
          <w:rFonts w:hint="eastAsia" w:ascii="仿宋_GB2312" w:hAnsi="仿宋_GB2312" w:eastAsia="仿宋_GB2312" w:cs="仿宋_GB2312"/>
          <w:b/>
          <w:bCs/>
          <w:color w:val="auto"/>
          <w:sz w:val="32"/>
          <w:szCs w:val="32"/>
          <w:highlight w:val="none"/>
          <w:u w:val="none"/>
          <w:vertAlign w:val="baseline"/>
          <w:lang w:val="en-US" w:eastAsia="zh-CN"/>
        </w:rPr>
        <w:sectPr>
          <w:pgSz w:w="11906" w:h="16838"/>
          <w:pgMar w:top="2098" w:right="1474" w:bottom="1984" w:left="1587" w:header="851" w:footer="992" w:gutter="0"/>
          <w:pgNumType w:fmt="decimal"/>
          <w:cols w:space="425" w:num="1"/>
          <w:docGrid w:type="lines" w:linePitch="312" w:charSpace="0"/>
        </w:sectPr>
      </w:pPr>
    </w:p>
    <w:p>
      <w:pPr>
        <w:pStyle w:val="2"/>
        <w:ind w:left="0" w:leftChars="0" w:firstLine="0" w:firstLineChars="0"/>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附件5</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2023年市级专项资金预算项目支出绩效评价指标体系</w:t>
      </w:r>
    </w:p>
    <w:tbl>
      <w:tblPr>
        <w:tblStyle w:val="9"/>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42"/>
        <w:gridCol w:w="450"/>
        <w:gridCol w:w="655"/>
        <w:gridCol w:w="842"/>
        <w:gridCol w:w="868"/>
        <w:gridCol w:w="1377"/>
        <w:gridCol w:w="1999"/>
        <w:gridCol w:w="1052"/>
        <w:gridCol w:w="756"/>
        <w:gridCol w:w="756"/>
        <w:gridCol w:w="756"/>
        <w:gridCol w:w="982"/>
        <w:gridCol w:w="1125"/>
        <w:gridCol w:w="3948"/>
        <w:gridCol w:w="517"/>
        <w:gridCol w:w="521"/>
        <w:gridCol w:w="517"/>
        <w:gridCol w:w="521"/>
        <w:gridCol w:w="495"/>
        <w:gridCol w:w="495"/>
        <w:gridCol w:w="495"/>
        <w:gridCol w:w="617"/>
        <w:gridCol w:w="538"/>
        <w:gridCol w:w="495"/>
        <w:gridCol w:w="4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blHeader/>
        </w:trPr>
        <w:tc>
          <w:tcPr>
            <w:tcW w:w="1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分值权重</w:t>
            </w:r>
          </w:p>
        </w:tc>
        <w:tc>
          <w:tcPr>
            <w:tcW w:w="966" w:type="pct"/>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分层分类指标</w:t>
            </w:r>
          </w:p>
        </w:tc>
        <w:tc>
          <w:tcPr>
            <w:tcW w:w="4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指标解释</w:t>
            </w:r>
          </w:p>
        </w:tc>
        <w:tc>
          <w:tcPr>
            <w:tcW w:w="1249" w:type="pct"/>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评分方法</w:t>
            </w:r>
          </w:p>
        </w:tc>
        <w:tc>
          <w:tcPr>
            <w:tcW w:w="9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评价要点及说明</w:t>
            </w:r>
          </w:p>
        </w:tc>
        <w:tc>
          <w:tcPr>
            <w:tcW w:w="239" w:type="pct"/>
            <w:gridSpan w:val="2"/>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评价方式</w:t>
            </w:r>
          </w:p>
        </w:tc>
        <w:tc>
          <w:tcPr>
            <w:tcW w:w="23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评价属性</w:t>
            </w:r>
          </w:p>
        </w:tc>
        <w:tc>
          <w:tcPr>
            <w:tcW w:w="598" w:type="pct"/>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定量评价标准</w:t>
            </w:r>
          </w:p>
        </w:tc>
        <w:tc>
          <w:tcPr>
            <w:tcW w:w="1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自评得分</w:t>
            </w:r>
          </w:p>
        </w:tc>
        <w:tc>
          <w:tcPr>
            <w:tcW w:w="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blHeader/>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966"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249" w:type="pct"/>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9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39" w:type="pct"/>
            <w:gridSpan w:val="2"/>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3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598"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blHeader/>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分层指标</w:t>
            </w:r>
          </w:p>
        </w:tc>
        <w:tc>
          <w:tcPr>
            <w:tcW w:w="34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适用范围</w:t>
            </w: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一级指标</w:t>
            </w:r>
          </w:p>
        </w:tc>
        <w:tc>
          <w:tcPr>
            <w:tcW w:w="31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二级指标</w:t>
            </w: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4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方法归类</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计算公式</w:t>
            </w:r>
          </w:p>
        </w:tc>
        <w:tc>
          <w:tcPr>
            <w:tcW w:w="9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整体评价</w:t>
            </w:r>
          </w:p>
        </w:tc>
        <w:tc>
          <w:tcPr>
            <w:tcW w:w="1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样本评价</w:t>
            </w:r>
          </w:p>
        </w:tc>
        <w:tc>
          <w:tcPr>
            <w:tcW w:w="1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定性评价</w:t>
            </w:r>
          </w:p>
        </w:tc>
        <w:tc>
          <w:tcPr>
            <w:tcW w:w="1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定量评价</w:t>
            </w:r>
          </w:p>
        </w:tc>
        <w:tc>
          <w:tcPr>
            <w:tcW w:w="1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国家标准</w:t>
            </w:r>
          </w:p>
        </w:tc>
        <w:tc>
          <w:tcPr>
            <w:tcW w:w="1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行业标准</w:t>
            </w:r>
          </w:p>
        </w:tc>
        <w:tc>
          <w:tcPr>
            <w:tcW w:w="1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地方标准</w:t>
            </w:r>
          </w:p>
        </w:tc>
        <w:tc>
          <w:tcPr>
            <w:tcW w:w="14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申报标准</w:t>
            </w:r>
          </w:p>
        </w:tc>
        <w:tc>
          <w:tcPr>
            <w:tcW w:w="1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历史均值</w:t>
            </w:r>
          </w:p>
        </w:tc>
        <w:tc>
          <w:tcPr>
            <w:tcW w:w="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blHeader/>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0.3</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0.6</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0.8</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w:t>
            </w:r>
          </w:p>
        </w:tc>
        <w:tc>
          <w:tcPr>
            <w:tcW w:w="9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w:t>
            </w:r>
          </w:p>
        </w:tc>
        <w:tc>
          <w:tcPr>
            <w:tcW w:w="1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通用指标</w:t>
            </w:r>
          </w:p>
        </w:tc>
        <w:tc>
          <w:tcPr>
            <w:tcW w:w="34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所有项目</w:t>
            </w:r>
          </w:p>
        </w:tc>
        <w:tc>
          <w:tcPr>
            <w:tcW w:w="200"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项目决策</w:t>
            </w: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程序严密</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项目设立是否经过严格评估论证和集体决策，是否与部门职责相符，是否属于公共财政支持范围，是否符合地方事权支出责任划分原则，是否与相关部门同类项目或部门内部相关项目重复</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不完善</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较完善</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完善</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专项项目设立是否经过事前评估或可行性论证，是否符合专项设立的基本规范和程序要求。项目设立是否属于部门职责相符，是否属于公共财政支持范围，符合地方事权支出责任划分原则，是否与相关部门同类项目或部门内部相关项目重复。存在一项不符合的为较完善，存在两项及两项以上不符合的为不完善</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规划合理★</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项目规划是否符合省委、省政府重大决策部署，是否与项目年度目标一致</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不合理</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较合理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合理</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项目设立依据是否充分，符合省委、省政府重大决策部署和宏观政策规划，项目年度绩效目标与中长期规划是否一致，项目绩效目标是否具有合理性。样本评价中，规划是否与现实需求匹配，是否存在因规划不够合理导致项目效益欠佳的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制度完备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项目指导意见、管理办法、申报指南、实施细则等管理制度是否完善，是否存在脱离实际、缺陷、漏洞导致执行偏离预期</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缺（错）项扣分法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发现一处扣0.5分，直至扣完</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主要查看项目的相关管理制度机制是否健全完善，在项目执行过程中，是否存在管理制度有悖于实际的情况，是否存在难以操作、无法落地、执行不畅的情况，是否存在不能满足实际需求，未及时动态调整的情况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项目实施</w:t>
            </w: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分配合理★</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项目资金分配结果是否与规划计划一致；是否按规定及时分配专项预算资金</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项目法分配的项目，以所有项目点实施完成情况与规划计划情况进行对比。按因素法分配的项目和据实据效分配的项目，将资金分配方向与规划计划支持方向进行对比；省级接到中央一般性转移支付和专项转移支付后，应当在30日内正式下达到本行政区域县级以上各级政府；县级以上地方各级预算安排对下级政府的一般性转移支付和专项转移支付，应当分别在本级人民代表大会批准预算后的30日和60日内正式下达；《预算法》其他规定；分配依据充分的得分，明显不充分扣分。两种情况分值权重各占一半</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4</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使用合规</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项目资金使用是否符合相关的财务管理制度规定</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缺（错）项扣分法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发现一处扣0.5分，直至扣完</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项目资金是否符合国家财经法规和财务管理制度及有关专项资金管理办法规定；资金拨付是否有完整的审批程序和手续；是否符合项目预算批复或合同规定用途；是否存在截留、挤占、挪用、虚列支出等情况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执行有效</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项目实施是否符合相关管理制度规定</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缺（错）项扣分法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发现一处扣0.5分，直至扣完</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项目实施是否遵守相关法律法规；项目调整手续是否完备；项目合同、验收报告、技术鉴定等资料是否齐全并及时归档；项目实施的人员条件、场地设备、信息支撑等是否落实到位</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完成结果</w:t>
            </w: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预算完成★</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项目资金拨付到具体支持对象企业、项目（人）的情况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指标得分=项目实际到位金额/承诺到位金额×100%*指标分值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主要查看项目资金拨付到人到户、到项目、到企业与资金总量的对比，配套预算到位率。</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10%</w:t>
            </w:r>
          </w:p>
        </w:tc>
        <w:tc>
          <w:tcPr>
            <w:tcW w:w="1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通用指标</w:t>
            </w:r>
          </w:p>
        </w:tc>
        <w:tc>
          <w:tcPr>
            <w:tcW w:w="34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所有项目</w:t>
            </w: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完成结果</w:t>
            </w: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资金结余★</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项目资金结余的情况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指标得分=（1-结余率/0.2）*指标分值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结余率大于等于0.2，指标得0分                             结余率=结余金额/省级财政资金预算数×100%                                                                                               </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结余资金是指项目实施周期已结束、项目目标完成或项目提前终止，尚未列支的项目支出预算资金；因项目实施计划调整，不需要继续支出的预算资金；预算批复后连续两年未用完的预算资金。</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10</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目标完成★</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项目实施后是否完成预期目标</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指标得分=实际完成任务量/绩效目标设定任务量×100%*指标分值  </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主要查看项目实施后产出数量指标完成情况。以样本点资金量为权重，加权计算指标得分。当实际完成任务量/绩效目标设定任务量&gt;1时按1计算</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4</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完成及时</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项目实际完成时间与计划完成时间的比较，用以反映和考核项目产出实效目标的实现程度</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指标得分=(1-(实际完成时间-计划完成时间)/计划完成时间)×100%*指标分值  </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主要查看项目实际计划完成时间情况，一般以天数、月数或年数为单位。当实际完成时间-计划完成时间小于等于0时得满分；实际完成时间超过计划完成时间1倍时得0分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4</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违规记录</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项目管理是否合规</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不合规</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3处及以上不合规</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2处不合规</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1处不合规</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合规</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根据审计监督、财政检查结果反映专项管理是否合规</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0" w:hRule="atLeast"/>
        </w:trPr>
        <w:tc>
          <w:tcPr>
            <w:tcW w:w="1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20%</w:t>
            </w:r>
          </w:p>
        </w:tc>
        <w:tc>
          <w:tcPr>
            <w:tcW w:w="1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共性指标</w:t>
            </w:r>
          </w:p>
        </w:tc>
        <w:tc>
          <w:tcPr>
            <w:tcW w:w="34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产业发展项目</w:t>
            </w: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项目效果</w:t>
            </w: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符合性</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项目实施效果是否与绩效目标或申报目标符合</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指标得分=项目实施符合的点位数/所有选点总数×100%*指标分值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根据项目现场评价实施效果与绩效目标进行对比，汇总所有样本点情况综合分析政策整体吻合度</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20</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成长性★</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反映不同类型产业政策实施对相关行业企业成长性的促进作用，主要反映支持对象的创新、创造、创业能力情况，产业结构情况，持续盈利能力情况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指标得分=各项具体指标得分的平均分</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根据产业政策实施对象的主营业务收入增长率、净利润增长率或税收增长率等情况综合判断，统计年鉴相关数据为准（主要查看企业2018年度、2019年度财报，2020年根据实际情况收集）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民生保障项目</w:t>
            </w:r>
          </w:p>
        </w:tc>
        <w:tc>
          <w:tcPr>
            <w:tcW w:w="200" w:type="pct"/>
            <w:vMerge w:val="restar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项目效果</w:t>
            </w: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区域均衡性</w:t>
            </w:r>
          </w:p>
        </w:tc>
        <w:tc>
          <w:tcPr>
            <w:tcW w:w="46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项目资金分配体现的均衡公平情况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不均衡</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较均衡</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均衡</w:t>
            </w:r>
          </w:p>
        </w:tc>
        <w:tc>
          <w:tcPr>
            <w:tcW w:w="908"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按实际分配结果选择客观因素测算验证资金分配方法制定、分配要素设定、基础数据应用、测算依据选取等是否科学合理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对象公平性★</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项目资金分配结果是否公平合理，是否充分考虑地域条件、经济条件等</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不公平</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公平</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主要查看项目资金分配和实施结果是否体现公平公正性，在支持</w:t>
            </w:r>
            <w:r>
              <w:rPr>
                <w:rStyle w:val="15"/>
                <w:rFonts w:hint="eastAsia" w:ascii="宋体" w:hAnsi="宋体" w:eastAsia="宋体" w:cs="宋体"/>
                <w:sz w:val="21"/>
                <w:szCs w:val="21"/>
                <w:lang w:val="en-US" w:eastAsia="zh-CN" w:bidi="ar"/>
              </w:rPr>
              <w:t>范围、标准、程序</w:t>
            </w:r>
            <w:r>
              <w:rPr>
                <w:rStyle w:val="14"/>
                <w:rFonts w:hint="eastAsia" w:ascii="宋体" w:hAnsi="宋体" w:eastAsia="宋体" w:cs="宋体"/>
                <w:sz w:val="21"/>
                <w:szCs w:val="21"/>
                <w:lang w:val="en-US" w:eastAsia="zh-CN" w:bidi="ar"/>
              </w:rPr>
              <w:t>上是否存在明显的排他性和歧视性规定，是否做到大多数和少数的协调统一，统筹兼顾。标黑因素存在一项不公平的按一般档次计算分值，存在两项因素不公平的得0分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社会满意度</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相关群体满意度调查情况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按根据实际满意度与满意度标准值的比率计算指标得分</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主要调研政策和项目相关方在政策实施过程中的满意值，通过不满意情况汇总分析政策在顶层设计、制度构建、管理实施及成效各环节的情况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基础设施（设备购置）项目</w:t>
            </w: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项目效果</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功能性★</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反映公共基础设施建设功能是否达到计划能力，建成后是否正常并良好运行，延续性是否达到预期</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发现基础设施功能明显未实现预期的，发现一项扣1分，直至扣完</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主要查看建设项目是否实施方案实现预期功能，是否能够持续良好地运作，有效地维护，特别是公共设施类的项目，是否能有效满足人民群众的现实需要</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配套性★</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项目建成后相关工程、点位是否相关协调，配套设施是否整体协调，是否全面衔接发挥整体效益</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较好</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好</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重点查看区域内建设规划在空间分布、功能配套整合、土地利用等方面是否存在明显有违常理，不科学合理的情况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1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30%</w:t>
            </w:r>
          </w:p>
        </w:tc>
        <w:tc>
          <w:tcPr>
            <w:tcW w:w="1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特性指标</w:t>
            </w:r>
          </w:p>
        </w:tc>
        <w:tc>
          <w:tcPr>
            <w:tcW w:w="1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产业发展项目</w:t>
            </w: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工业产业（包括技术改造）</w:t>
            </w: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经济效益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利税增长率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项目实施单位利税增长情况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指标得分=利税增长率/标准值*指标分值（利税增长率/标准值＞1按1计算，负值按0计算）</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评价年度前三年利税平均增长率（不含评价当年，不足三年按实际存续年限计算）</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投资回报率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项目投产后回报情况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指标得分=投资回报率/标准值*指标得分（投资回报率/标准值＞1按1计算，负值按0计算）</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投资回报率=项目年新增利税额/项目投入资金总额</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社会贡献率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企业运用资产为社会创造价值的能力</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指标得分=社会贡献率/标准值*指标分值（社会贡献率/标准值＞1按1计算，负值按0计算）</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社会贡献率=社会贡献额/资产总额 ×100%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社会贡献额=工资总额+主营业务税金及附加+利润总额+五险一金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资产总额=（期初资产总额+期末资产总额）/2 </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就业贡献率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企业就业人数增量变化</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指标得分=就业贡献率/标准值*指标分值（就业贡献率/标准值＞1按1计算，负值按0计算）</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就业贡献率=企业三年平均新增就业人数/行业新增就业总人数×100%</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农业产业（包括林业产业）</w:t>
            </w: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经济效益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增加值提升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项目实施涉及产值增长情况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指标得分=三年产值平均增长率/标准值*指标分值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产值增长率=当年涉农产值增量/上一年度涉农产值总量×100%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重点查看项目实施区域涉农增加值变动情况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年均收入变动率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项目实施后农户收入变动情况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指标得分=三年人均年收入增长率/标准值*指标分值（三年人均年收入增长率/标准值负值为0，＞1按1计算）</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人均年收入增长率=（项目实施后人均年收入-项目实施前人均年收入）/项目实施前人均年收入×100%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重点查看三年来农民人均年收入增长变化情况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从业带动能力</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项目带动周边从事相关行业情况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指标得分=三年平均新增带动就业户数/标准值*指标分值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通过实地走访、调研、收集带动就业户数相关基础数据进行对比分析</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服务业</w:t>
            </w: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经济效益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消费增长</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项目支持区域内社会消费品零售总额增长情况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指标得分根据三年社会消费品零售增长变化计算得分，社会消费品零售增长≥标准值的得满分，＜标准值80%的不得分，其余按比值计算得分</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重点收集三年来区域内社会消费品零售增长数据，主要通过官方统计数据采集，同时结合实地调查对比，综合计算指标得分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增加值增长率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项目实施涉及增加值增长情况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指标得分=三年增加值平均增长率/标准值*指标分值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增加值增长率=当年服务业增加值增量/上一年度服务业增加值总量×100%。重点查看项目实施区域服务业增加值变动情况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服务效能</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区域内相关事务处理能力提升情况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较好</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好</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重点查看区域内相关事务处理能力提升状况，通过资料记录查询，现场持续跟踪，走访调研了解等手段综合判断</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30%</w:t>
            </w:r>
          </w:p>
        </w:tc>
        <w:tc>
          <w:tcPr>
            <w:tcW w:w="1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特性指标</w:t>
            </w:r>
          </w:p>
        </w:tc>
        <w:tc>
          <w:tcPr>
            <w:tcW w:w="1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民生保障项目</w:t>
            </w: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社会保障与就业</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基础管理</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审核把关</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项目申报是否真实准确</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指标得分=基础数据真实客观的人数/项目受益总人数×100%*指标分值，基础数据真实客观的人数/项目受益总人数小于70%不得分</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主要查看项目受益人群的精准性和客观性，是否存在因制度机制缺陷或管理疏漏导致审核把关不严的情况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资金使用率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项目资金支付使用情况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指标得分=资金实际使用金额/资金实际拨付金额×100%*指标分值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主要查看财政资金实际支付使用，是否存在因制度机制、操作流程、管理疏漏、数据缺失等导致的资金结余，闲置浪费的情况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医疗卫生计生</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基础管理</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服务质量提升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反映服务安全、便捷、规范情况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较好</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好</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主要调查医疗卫生计生机构提供服务的安全性、便捷程度和规范性</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健康状况改善</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反映区域内居民健康状况改善情况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较好</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好</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主要包括健康档案使用率、新生儿死亡率、高血压患者控制率等，通过几个主要的维度综合衡量区域内居民健康状况改善情况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教育文化</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基础管理</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对象覆盖全面</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项目区域范围内实施对象覆盖情况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明显疏漏</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基本覆盖</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全面覆盖</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主要查看项目实施对相关群体的覆盖情况，是否充分考虑主要群体和特殊个体的统一，做到全面覆盖</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项目效果</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教学（文化）设备利用率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反映教育（文化）设备使用情况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设备使用率=设备使用时间/设备计划用时（分钟、小时、日、月）×100%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指标得分=设备使用率/标准值*指标分值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主要调查设备工作状态及工作效率的情况，和绩效目标及相关标准对比</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基础设施（设备购置）项目</w:t>
            </w: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交通运输</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完成质量</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是否符合验收标准，达到行业基准水平</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指标得分=项目达标数/实施项目总数×100%*指标分值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质量达标率＞100%时按100%计算；当质量达标率＜90%时，指标不得分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道路通行能力提升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项目区域内道路通行能力提升情况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指标得分=实际通行能力/计划通行能力×100%*指标分值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（实际通行能力/计划通行能力＞1按1计算）</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通行能力=设计每小时通车数量，按照各种等级道路通行能力标准测算</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住房保障</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完成质量</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是否符合验收标准，达到行业基准水平</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指标得分=项目达标数/实施项目总数×100%*指标分值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质量达标率＞100%时按100%计算；当质量达标率＜90%时，指标不得分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保障实现率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项目区域内应保家庭住房保障实现情况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满意值赋分法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保障实现率达到标准值得满分，每低一个百分点扣1分</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住房保障率=已保家庭户数/应保家庭户数*100%</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城乡社区</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完成质量</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是否符合验收标准，达到行业基准水平</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指标得分=项目达标数/实施项目总数×100%*指标分值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质量达标率＞100%时按100%计算；当质量达标率＜90%时，指标不得分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30</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运行效率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城乡社区公共设施正常运转情况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指标得分=运转效率/标准值*指标正分值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（运转效率/标准值＞1按1计算）</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运转效率=政策运转设施个数/设计正常运转设施个数*100%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主要包括城乡社区公共交通、照明、燃气、环境保护、娱乐、体育等相关公共设施正常运转情况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水利设施</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完成质量</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是否符合验收标准，达到行业基准水平</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指标得分=项目达标数/实施项目总数×100%*指标分值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质量达标率＞100%时按100%计算；当质量达标率＜90%时，指标不得分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能力实现率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水利设施设计能实现情况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指标得分=能力实现率/标准值*指标正分值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（能力实现率/标准值＞1按1计算）</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能力实现率=实现设计能力水利设施个数/水利设施总个数*100%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主要包括水利系统建设用于堤防、河道、水库、水利枢纽、涵闸、灌区、供水、蓄滞洪区等水利工程建设及设备、设施改造维护后能力实现情况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设备购置</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运行状况</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购置的设备常态化运行情况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较好</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好</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重点查看购置设备日常使用频率及正常运转情况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10%</w:t>
            </w:r>
          </w:p>
        </w:tc>
        <w:tc>
          <w:tcPr>
            <w:tcW w:w="2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个性指标</w:t>
            </w: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10</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4787" w:type="pct"/>
            <w:gridSpan w:val="23"/>
            <w:vMerge w:val="restart"/>
            <w:tcBorders>
              <w:top w:val="single" w:color="000000" w:sz="4" w:space="0"/>
              <w:left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Style w:val="16"/>
                <w:rFonts w:hint="eastAsia" w:ascii="宋体" w:hAnsi="宋体" w:eastAsia="宋体" w:cs="宋体"/>
                <w:sz w:val="21"/>
                <w:szCs w:val="21"/>
                <w:lang w:val="en-US" w:eastAsia="zh-CN" w:bidi="ar"/>
              </w:rPr>
            </w:pPr>
            <w:r>
              <w:rPr>
                <w:rStyle w:val="16"/>
                <w:rFonts w:hint="eastAsia" w:ascii="宋体" w:hAnsi="宋体" w:eastAsia="宋体" w:cs="宋体"/>
                <w:sz w:val="21"/>
                <w:szCs w:val="21"/>
                <w:lang w:val="en-US" w:eastAsia="zh-CN" w:bidi="ar"/>
              </w:rPr>
              <w:t>1、评分方法归为六类：（1）是否评分法：</w:t>
            </w:r>
            <w:r>
              <w:rPr>
                <w:rStyle w:val="17"/>
                <w:rFonts w:hint="eastAsia" w:ascii="宋体" w:hAnsi="宋体" w:eastAsia="宋体" w:cs="宋体"/>
                <w:sz w:val="21"/>
                <w:szCs w:val="21"/>
                <w:lang w:val="en-US" w:eastAsia="zh-CN" w:bidi="ar"/>
              </w:rPr>
              <w:t>适用于合规性等正反判断指标，正向满分，反向0分。</w:t>
            </w:r>
            <w:r>
              <w:rPr>
                <w:rStyle w:val="16"/>
                <w:rFonts w:hint="eastAsia" w:ascii="宋体" w:hAnsi="宋体" w:eastAsia="宋体" w:cs="宋体"/>
                <w:sz w:val="21"/>
                <w:szCs w:val="21"/>
                <w:lang w:val="en-US" w:eastAsia="zh-CN" w:bidi="ar"/>
              </w:rPr>
              <w:t>（2）分级评分法：</w:t>
            </w:r>
            <w:r>
              <w:rPr>
                <w:rStyle w:val="17"/>
                <w:rFonts w:hint="eastAsia" w:ascii="宋体" w:hAnsi="宋体" w:eastAsia="宋体" w:cs="宋体"/>
                <w:sz w:val="21"/>
                <w:szCs w:val="21"/>
                <w:lang w:val="en-US" w:eastAsia="zh-CN" w:bidi="ar"/>
              </w:rPr>
              <w:t>指标评分设置n级权重，指标得分按指标值所处区间的权重计算。</w:t>
            </w:r>
            <w:r>
              <w:rPr>
                <w:rStyle w:val="16"/>
                <w:rFonts w:hint="eastAsia" w:ascii="宋体" w:hAnsi="宋体" w:eastAsia="宋体" w:cs="宋体"/>
                <w:sz w:val="21"/>
                <w:szCs w:val="21"/>
                <w:lang w:val="en-US" w:eastAsia="zh-CN" w:bidi="ar"/>
              </w:rPr>
              <w:t>（3）比率分值法：</w:t>
            </w:r>
            <w:r>
              <w:rPr>
                <w:rStyle w:val="17"/>
                <w:rFonts w:hint="eastAsia" w:ascii="宋体" w:hAnsi="宋体" w:eastAsia="宋体" w:cs="宋体"/>
                <w:sz w:val="21"/>
                <w:szCs w:val="21"/>
                <w:lang w:val="en-US" w:eastAsia="zh-CN" w:bidi="ar"/>
              </w:rPr>
              <w:t>对存在连续性比率的指标，按比率乘以指标分值计算得分。</w:t>
            </w:r>
            <w:r>
              <w:rPr>
                <w:rStyle w:val="16"/>
                <w:rFonts w:hint="eastAsia" w:ascii="宋体" w:hAnsi="宋体" w:eastAsia="宋体" w:cs="宋体"/>
                <w:sz w:val="21"/>
                <w:szCs w:val="21"/>
                <w:lang w:val="en-US" w:eastAsia="zh-CN" w:bidi="ar"/>
              </w:rPr>
              <w:t>（4）缺（错）项扣分法：</w:t>
            </w:r>
            <w:r>
              <w:rPr>
                <w:rStyle w:val="17"/>
                <w:rFonts w:hint="eastAsia" w:ascii="宋体" w:hAnsi="宋体" w:eastAsia="宋体" w:cs="宋体"/>
                <w:sz w:val="21"/>
                <w:szCs w:val="21"/>
                <w:lang w:val="en-US" w:eastAsia="zh-CN" w:bidi="ar"/>
              </w:rPr>
              <w:t>按照要求所具备的事项计算，全部具备得满分，缺少一项扣X分。</w:t>
            </w:r>
            <w:r>
              <w:rPr>
                <w:rStyle w:val="16"/>
                <w:rFonts w:hint="eastAsia" w:ascii="宋体" w:hAnsi="宋体" w:eastAsia="宋体" w:cs="宋体"/>
                <w:sz w:val="21"/>
                <w:szCs w:val="21"/>
                <w:lang w:val="en-US" w:eastAsia="zh-CN" w:bidi="ar"/>
              </w:rPr>
              <w:t>（5）满意值赋分法：</w:t>
            </w:r>
            <w:r>
              <w:rPr>
                <w:rStyle w:val="17"/>
                <w:rFonts w:hint="eastAsia" w:ascii="宋体" w:hAnsi="宋体" w:eastAsia="宋体" w:cs="宋体"/>
                <w:sz w:val="21"/>
                <w:szCs w:val="21"/>
                <w:lang w:val="en-US" w:eastAsia="zh-CN" w:bidi="ar"/>
              </w:rPr>
              <w:t>设置一个满意值，指标值达到满意值得满分，未达到不得分或扣分。</w:t>
            </w:r>
            <w:r>
              <w:rPr>
                <w:rStyle w:val="16"/>
                <w:rFonts w:hint="eastAsia" w:ascii="宋体" w:hAnsi="宋体" w:eastAsia="宋体" w:cs="宋体"/>
                <w:sz w:val="21"/>
                <w:szCs w:val="21"/>
                <w:lang w:val="en-US" w:eastAsia="zh-CN" w:bidi="ar"/>
              </w:rPr>
              <w:t>（6）按数累加法：</w:t>
            </w:r>
            <w:r>
              <w:rPr>
                <w:rStyle w:val="17"/>
                <w:rFonts w:hint="eastAsia" w:ascii="宋体" w:hAnsi="宋体" w:eastAsia="宋体" w:cs="宋体"/>
                <w:sz w:val="21"/>
                <w:szCs w:val="21"/>
                <w:lang w:val="en-US" w:eastAsia="zh-CN" w:bidi="ar"/>
              </w:rPr>
              <w:t>若有必要用于加分项指标。</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bCs/>
                <w:i w:val="0"/>
                <w:iCs w:val="0"/>
                <w:color w:val="000000"/>
                <w:sz w:val="21"/>
                <w:szCs w:val="21"/>
                <w:u w:val="none"/>
              </w:rPr>
            </w:pPr>
            <w:r>
              <w:rPr>
                <w:rStyle w:val="16"/>
                <w:rFonts w:hint="eastAsia" w:ascii="宋体" w:hAnsi="宋体" w:eastAsia="宋体" w:cs="宋体"/>
                <w:sz w:val="21"/>
                <w:szCs w:val="21"/>
                <w:lang w:val="en-US" w:eastAsia="zh-CN" w:bidi="ar"/>
              </w:rPr>
              <w:t>2、预算绩效指标标准：</w:t>
            </w:r>
            <w:r>
              <w:rPr>
                <w:rStyle w:val="16"/>
                <w:rFonts w:hint="eastAsia" w:ascii="宋体" w:hAnsi="宋体" w:eastAsia="宋体" w:cs="宋体"/>
                <w:sz w:val="21"/>
                <w:szCs w:val="21"/>
                <w:lang w:val="en-US" w:eastAsia="zh-CN" w:bidi="ar"/>
              </w:rPr>
              <w:br w:type="textWrapping"/>
            </w:r>
            <w:r>
              <w:rPr>
                <w:rStyle w:val="16"/>
                <w:rFonts w:hint="eastAsia" w:ascii="宋体" w:hAnsi="宋体" w:eastAsia="宋体" w:cs="宋体"/>
                <w:sz w:val="21"/>
                <w:szCs w:val="21"/>
                <w:lang w:val="en-US" w:eastAsia="zh-CN" w:bidi="ar"/>
              </w:rPr>
              <w:t>（1）定性指标标准：</w:t>
            </w:r>
            <w:r>
              <w:rPr>
                <w:rStyle w:val="17"/>
                <w:rFonts w:hint="eastAsia" w:ascii="宋体" w:hAnsi="宋体" w:eastAsia="宋体" w:cs="宋体"/>
                <w:sz w:val="21"/>
                <w:szCs w:val="21"/>
                <w:lang w:val="en-US" w:eastAsia="zh-CN" w:bidi="ar"/>
              </w:rPr>
              <w:t>根据客观依据判断指标得分，一般采用是否评分法。</w:t>
            </w:r>
            <w:r>
              <w:rPr>
                <w:rStyle w:val="17"/>
                <w:rFonts w:hint="eastAsia" w:ascii="宋体" w:hAnsi="宋体" w:eastAsia="宋体" w:cs="宋体"/>
                <w:sz w:val="21"/>
                <w:szCs w:val="21"/>
                <w:lang w:val="en-US" w:eastAsia="zh-CN" w:bidi="ar"/>
              </w:rPr>
              <w:br w:type="textWrapping"/>
            </w:r>
            <w:r>
              <w:rPr>
                <w:rStyle w:val="16"/>
                <w:rFonts w:hint="eastAsia" w:ascii="宋体" w:hAnsi="宋体" w:eastAsia="宋体" w:cs="宋体"/>
                <w:sz w:val="21"/>
                <w:szCs w:val="21"/>
                <w:lang w:val="en-US" w:eastAsia="zh-CN" w:bidi="ar"/>
              </w:rPr>
              <w:t>（2）定量指标标准：</w:t>
            </w:r>
            <w:r>
              <w:rPr>
                <w:rStyle w:val="17"/>
                <w:rFonts w:hint="eastAsia" w:ascii="宋体" w:hAnsi="宋体" w:eastAsia="宋体" w:cs="宋体"/>
                <w:sz w:val="21"/>
                <w:szCs w:val="21"/>
                <w:lang w:val="en-US" w:eastAsia="zh-CN" w:bidi="ar"/>
              </w:rPr>
              <w:t>（技术标准、管理标准、工作标准）：</w:t>
            </w:r>
            <w:r>
              <w:rPr>
                <w:rStyle w:val="17"/>
                <w:rFonts w:hint="eastAsia" w:ascii="宋体" w:hAnsi="宋体" w:eastAsia="宋体" w:cs="宋体"/>
                <w:sz w:val="21"/>
                <w:szCs w:val="21"/>
                <w:lang w:val="en-US" w:eastAsia="zh-CN" w:bidi="ar"/>
              </w:rPr>
              <w:br w:type="textWrapping"/>
            </w:r>
            <w:r>
              <w:rPr>
                <w:rStyle w:val="16"/>
                <w:rFonts w:hint="eastAsia" w:ascii="宋体" w:hAnsi="宋体" w:eastAsia="宋体" w:cs="宋体"/>
                <w:sz w:val="21"/>
                <w:szCs w:val="21"/>
                <w:lang w:val="en-US" w:eastAsia="zh-CN" w:bidi="ar"/>
              </w:rPr>
              <w:t>国家标准：</w:t>
            </w:r>
            <w:r>
              <w:rPr>
                <w:rStyle w:val="17"/>
                <w:rFonts w:hint="eastAsia" w:ascii="宋体" w:hAnsi="宋体" w:eastAsia="宋体" w:cs="宋体"/>
                <w:sz w:val="21"/>
                <w:szCs w:val="21"/>
                <w:lang w:val="en-US" w:eastAsia="zh-CN" w:bidi="ar"/>
              </w:rPr>
              <w:t>国家质量技术监督总局与国家标准化管理委员会制定，全国范围内适用，其他各级别标准不得与其抵触。</w:t>
            </w:r>
            <w:r>
              <w:rPr>
                <w:rStyle w:val="17"/>
                <w:rFonts w:hint="eastAsia" w:ascii="宋体" w:hAnsi="宋体" w:eastAsia="宋体" w:cs="宋体"/>
                <w:sz w:val="21"/>
                <w:szCs w:val="21"/>
                <w:lang w:val="en-US" w:eastAsia="zh-CN" w:bidi="ar"/>
              </w:rPr>
              <w:br w:type="textWrapping"/>
            </w:r>
            <w:r>
              <w:rPr>
                <w:rStyle w:val="16"/>
                <w:rFonts w:hint="eastAsia" w:ascii="宋体" w:hAnsi="宋体" w:eastAsia="宋体" w:cs="宋体"/>
                <w:sz w:val="21"/>
                <w:szCs w:val="21"/>
                <w:lang w:val="en-US" w:eastAsia="zh-CN" w:bidi="ar"/>
              </w:rPr>
              <w:t>行业标准：</w:t>
            </w:r>
            <w:r>
              <w:rPr>
                <w:rStyle w:val="17"/>
                <w:rFonts w:hint="eastAsia" w:ascii="宋体" w:hAnsi="宋体" w:eastAsia="宋体" w:cs="宋体"/>
                <w:sz w:val="21"/>
                <w:szCs w:val="21"/>
                <w:lang w:val="en-US" w:eastAsia="zh-CN" w:bidi="ar"/>
              </w:rPr>
              <w:t>国务院行政主管部门制定，行业标准用于特定行业。</w:t>
            </w:r>
            <w:r>
              <w:rPr>
                <w:rStyle w:val="17"/>
                <w:rFonts w:hint="eastAsia" w:ascii="宋体" w:hAnsi="宋体" w:eastAsia="宋体" w:cs="宋体"/>
                <w:sz w:val="21"/>
                <w:szCs w:val="21"/>
                <w:lang w:val="en-US" w:eastAsia="zh-CN" w:bidi="ar"/>
              </w:rPr>
              <w:br w:type="textWrapping"/>
            </w:r>
            <w:r>
              <w:rPr>
                <w:rStyle w:val="16"/>
                <w:rFonts w:hint="eastAsia" w:ascii="宋体" w:hAnsi="宋体" w:eastAsia="宋体" w:cs="宋体"/>
                <w:sz w:val="21"/>
                <w:szCs w:val="21"/>
                <w:lang w:val="en-US" w:eastAsia="zh-CN" w:bidi="ar"/>
              </w:rPr>
              <w:t>地方标准：</w:t>
            </w:r>
            <w:r>
              <w:rPr>
                <w:rStyle w:val="17"/>
                <w:rFonts w:hint="eastAsia" w:ascii="宋体" w:hAnsi="宋体" w:eastAsia="宋体" w:cs="宋体"/>
                <w:sz w:val="21"/>
                <w:szCs w:val="21"/>
                <w:lang w:val="en-US" w:eastAsia="zh-CN" w:bidi="ar"/>
              </w:rPr>
              <w:t>在没有国家标准和行业标准的情况下，地方政府、省级主管部门、财政部门可根据历史数据、统计数据、调研数据等设定绩效标准，可根据四川的实际情况按经济片区分设标准。</w:t>
            </w:r>
            <w:r>
              <w:rPr>
                <w:rStyle w:val="17"/>
                <w:rFonts w:hint="eastAsia" w:ascii="宋体" w:hAnsi="宋体" w:eastAsia="宋体" w:cs="宋体"/>
                <w:sz w:val="21"/>
                <w:szCs w:val="21"/>
                <w:lang w:val="en-US" w:eastAsia="zh-CN" w:bidi="ar"/>
              </w:rPr>
              <w:br w:type="textWrapping"/>
            </w:r>
            <w:r>
              <w:rPr>
                <w:rStyle w:val="16"/>
                <w:rFonts w:hint="eastAsia" w:ascii="宋体" w:hAnsi="宋体" w:eastAsia="宋体" w:cs="宋体"/>
                <w:sz w:val="21"/>
                <w:szCs w:val="21"/>
                <w:lang w:val="en-US" w:eastAsia="zh-CN" w:bidi="ar"/>
              </w:rPr>
              <w:t>申报标准：</w:t>
            </w:r>
            <w:r>
              <w:rPr>
                <w:rStyle w:val="17"/>
                <w:rFonts w:hint="eastAsia" w:ascii="宋体" w:hAnsi="宋体" w:eastAsia="宋体" w:cs="宋体"/>
                <w:sz w:val="21"/>
                <w:szCs w:val="21"/>
                <w:lang w:val="en-US" w:eastAsia="zh-CN" w:bidi="ar"/>
              </w:rPr>
              <w:t>对新实施的政策项目且相关基础数据匮乏的基础上，各方根据试点探索商定绩效标准，并在以后年度动态修订完善。</w:t>
            </w:r>
            <w:r>
              <w:rPr>
                <w:rStyle w:val="17"/>
                <w:rFonts w:hint="eastAsia" w:ascii="宋体" w:hAnsi="宋体" w:eastAsia="宋体" w:cs="宋体"/>
                <w:sz w:val="21"/>
                <w:szCs w:val="21"/>
                <w:lang w:val="en-US" w:eastAsia="zh-CN" w:bidi="ar"/>
              </w:rPr>
              <w:br w:type="textWrapping"/>
            </w:r>
            <w:r>
              <w:rPr>
                <w:rStyle w:val="17"/>
                <w:rFonts w:hint="eastAsia" w:ascii="宋体" w:hAnsi="宋体" w:eastAsia="宋体" w:cs="宋体"/>
                <w:sz w:val="21"/>
                <w:szCs w:val="21"/>
                <w:lang w:val="en-US" w:eastAsia="zh-CN" w:bidi="ar"/>
              </w:rPr>
              <w:t>3、★为核心指标，需要评价组重点关注深入分析。未涉及个性指标的项目，其分值权重按比例调整到其他效果指标。</w:t>
            </w:r>
          </w:p>
        </w:tc>
        <w:tc>
          <w:tcPr>
            <w:tcW w:w="114"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bCs/>
                <w:i w:val="0"/>
                <w:iCs w:val="0"/>
                <w:color w:val="000000"/>
                <w:sz w:val="21"/>
                <w:szCs w:val="21"/>
                <w:u w:val="none"/>
              </w:rPr>
            </w:pPr>
          </w:p>
        </w:tc>
        <w:tc>
          <w:tcPr>
            <w:tcW w:w="98"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0" w:hRule="atLeast"/>
        </w:trPr>
        <w:tc>
          <w:tcPr>
            <w:tcW w:w="4787" w:type="pct"/>
            <w:gridSpan w:val="23"/>
            <w:vMerge w:val="continue"/>
            <w:tcBorders>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bCs/>
                <w:i w:val="0"/>
                <w:iCs w:val="0"/>
                <w:color w:val="000000"/>
                <w:sz w:val="21"/>
                <w:szCs w:val="21"/>
                <w:u w:val="none"/>
              </w:rPr>
            </w:pPr>
          </w:p>
        </w:tc>
        <w:tc>
          <w:tcPr>
            <w:tcW w:w="114"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bCs/>
                <w:i w:val="0"/>
                <w:iCs w:val="0"/>
                <w:color w:val="000000"/>
                <w:sz w:val="21"/>
                <w:szCs w:val="21"/>
                <w:u w:val="none"/>
              </w:rPr>
            </w:pPr>
          </w:p>
        </w:tc>
        <w:tc>
          <w:tcPr>
            <w:tcW w:w="98"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bCs/>
                <w:i w:val="0"/>
                <w:iCs w:val="0"/>
                <w:color w:val="000000"/>
                <w:sz w:val="21"/>
                <w:szCs w:val="21"/>
                <w:u w:val="none"/>
              </w:rPr>
            </w:pPr>
          </w:p>
        </w:tc>
      </w:tr>
    </w:tbl>
    <w:p>
      <w:pPr>
        <w:pageBreakBefore w:val="0"/>
        <w:widowControl w:val="0"/>
        <w:kinsoku/>
        <w:wordWrap/>
        <w:overflowPunct/>
        <w:topLinePunct w:val="0"/>
        <w:autoSpaceDE/>
        <w:autoSpaceDN/>
        <w:bidi w:val="0"/>
        <w:spacing w:line="576" w:lineRule="exact"/>
        <w:ind w:left="0" w:leftChars="0" w:right="0" w:rightChars="0" w:firstLine="0" w:firstLineChars="0"/>
        <w:jc w:val="both"/>
        <w:rPr>
          <w:rFonts w:hint="eastAsia" w:ascii="仿宋_GB2312" w:hAnsi="仿宋_GB2312" w:eastAsia="仿宋_GB2312" w:cs="仿宋_GB2312"/>
          <w:b/>
          <w:bCs/>
          <w:color w:val="auto"/>
          <w:sz w:val="32"/>
          <w:szCs w:val="32"/>
          <w:highlight w:val="none"/>
          <w:u w:val="none"/>
          <w:vertAlign w:val="baseline"/>
          <w:lang w:val="en-US" w:eastAsia="zh-CN"/>
        </w:rPr>
        <w:sectPr>
          <w:pgSz w:w="23811" w:h="16838" w:orient="landscape"/>
          <w:pgMar w:top="1134" w:right="1134" w:bottom="1134" w:left="1134" w:header="851" w:footer="992" w:gutter="0"/>
          <w:pgNumType w:fmt="decimal"/>
          <w:cols w:space="425" w:num="1"/>
          <w:docGrid w:type="lines" w:linePitch="312" w:charSpace="0"/>
        </w:sectPr>
      </w:pPr>
      <w:r>
        <w:rPr>
          <w:rFonts w:hint="eastAsia" w:ascii="仿宋_GB2312" w:hAnsi="仿宋_GB2312" w:eastAsia="仿宋_GB2312" w:cs="仿宋_GB2312"/>
          <w:b/>
          <w:bCs/>
          <w:color w:val="auto"/>
          <w:sz w:val="32"/>
          <w:szCs w:val="32"/>
          <w:highlight w:val="none"/>
          <w:u w:val="none"/>
          <w:vertAlign w:val="baseline"/>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2020年建设用地节约集约利用状况整体评价工作经费项目支出绩效自评报告</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黑体" w:hAnsi="黑体" w:eastAsia="黑体" w:cs="黑体"/>
          <w:b w:val="0"/>
          <w:bCs w:val="0"/>
          <w:sz w:val="32"/>
          <w:szCs w:val="32"/>
          <w:lang w:val="zh-CN" w:eastAsia="zh-CN"/>
        </w:rPr>
      </w:pP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lang w:val="zh-CN" w:eastAsia="zh-CN"/>
        </w:rPr>
        <w:t>项目概况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（一）项目基本情况</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四川省《2020年度四川省行政区建设用地节约集约利用状况整体评价技术方案》，对广元市2020年度行政区建设用地节约集约利用状况整体评价，主要评价市本级建设用地供应和利用情况、建设用地承载人口、经济投入产出强度及变化趋势，汇总辖区、县级相关数据，以全面、动态反应全市建设用地节约集约利用整体情况，促进区域减少用地利用效率和和效益提升，为广元市建设用地管理、政策制定和国土空间规划编制及实施评估等提供基础数据和</w:t>
      </w:r>
      <w:r>
        <w:rPr>
          <w:rFonts w:hint="eastAsia" w:ascii="仿宋_GB2312" w:hAnsi="仿宋_GB2312" w:cs="仿宋_GB2312"/>
          <w:sz w:val="32"/>
          <w:szCs w:val="32"/>
          <w:lang w:val="en-US" w:eastAsia="zh-CN"/>
        </w:rPr>
        <w:t>技术</w:t>
      </w:r>
      <w:r>
        <w:rPr>
          <w:rFonts w:hint="eastAsia" w:ascii="仿宋_GB2312" w:hAnsi="仿宋_GB2312" w:eastAsia="仿宋_GB2312" w:cs="仿宋_GB2312"/>
          <w:sz w:val="32"/>
          <w:szCs w:val="32"/>
          <w:lang w:val="en-US" w:eastAsia="zh-CN"/>
        </w:rPr>
        <w:t>支撑，该项目技术服务已于2020年8月25日经过竞争性谈判中标金额为6万元。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（二）项目绩效目标</w:t>
      </w: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完成</w:t>
      </w:r>
      <w:r>
        <w:rPr>
          <w:rFonts w:hint="eastAsia" w:ascii="仿宋_GB2312" w:hAnsi="仿宋_GB2312" w:eastAsia="仿宋_GB2312" w:cs="仿宋_GB2312"/>
          <w:sz w:val="32"/>
          <w:szCs w:val="32"/>
          <w:lang w:val="en-US" w:eastAsia="zh-CN"/>
        </w:rPr>
        <w:t>广元市2020年度行政区建设用地节约集约利用状况整体评价，促进区域建设用地利用效率和和效益提升，为广元市建设用地管理、政策制定和国土空间规划编制及实施评估等提供基础数据和</w:t>
      </w:r>
      <w:r>
        <w:rPr>
          <w:rFonts w:hint="eastAsia" w:ascii="仿宋_GB2312" w:hAnsi="仿宋_GB2312" w:cs="仿宋_GB2312"/>
          <w:sz w:val="32"/>
          <w:szCs w:val="32"/>
          <w:lang w:val="en-US" w:eastAsia="zh-CN"/>
        </w:rPr>
        <w:t>技术</w:t>
      </w:r>
      <w:r>
        <w:rPr>
          <w:rFonts w:hint="eastAsia" w:ascii="仿宋_GB2312" w:hAnsi="仿宋_GB2312" w:eastAsia="仿宋_GB2312" w:cs="仿宋_GB2312"/>
          <w:sz w:val="32"/>
          <w:szCs w:val="32"/>
          <w:lang w:val="en-US" w:eastAsia="zh-CN"/>
        </w:rPr>
        <w:t>支撑。</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w:t>
      </w:r>
      <w:r>
        <w:rPr>
          <w:rFonts w:hint="eastAsia" w:ascii="楷体_GB2312" w:hAnsi="楷体_GB2312" w:eastAsia="楷体_GB2312" w:cs="楷体_GB2312"/>
          <w:b w:val="0"/>
          <w:bCs w:val="0"/>
          <w:sz w:val="32"/>
          <w:szCs w:val="32"/>
          <w:lang w:val="en-US" w:eastAsia="zh-CN"/>
        </w:rPr>
        <w:t>三</w:t>
      </w:r>
      <w:r>
        <w:rPr>
          <w:rFonts w:hint="eastAsia" w:ascii="楷体_GB2312" w:hAnsi="楷体_GB2312" w:eastAsia="楷体_GB2312" w:cs="楷体_GB2312"/>
          <w:b w:val="0"/>
          <w:bCs w:val="0"/>
          <w:sz w:val="32"/>
          <w:szCs w:val="32"/>
          <w:lang w:val="zh-CN" w:eastAsia="zh-CN"/>
        </w:rPr>
        <w:t>）</w:t>
      </w:r>
      <w:r>
        <w:rPr>
          <w:rFonts w:hint="eastAsia" w:ascii="仿宋_GB2312" w:hAnsi="仿宋_GB2312" w:eastAsia="仿宋_GB2312" w:cs="仿宋_GB2312"/>
          <w:sz w:val="32"/>
          <w:szCs w:val="32"/>
          <w:lang w:val="zh-CN" w:eastAsia="zh-CN"/>
        </w:rPr>
        <w:t>申报内容与实际相符，申报目标合理可行。</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二、项目资金申报及使用情况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（一）项目资金申报及批复情况</w:t>
      </w:r>
    </w:p>
    <w:p>
      <w:pPr>
        <w:keepNext w:val="0"/>
        <w:keepLines w:val="0"/>
        <w:pageBreakBefore w:val="0"/>
        <w:widowControl w:val="0"/>
        <w:kinsoku/>
        <w:wordWrap/>
        <w:overflowPunct/>
        <w:topLinePunct w:val="0"/>
        <w:autoSpaceDE/>
        <w:autoSpaceDN/>
        <w:bidi w:val="0"/>
        <w:spacing w:line="576" w:lineRule="exact"/>
        <w:ind w:left="0" w:leftChars="0" w:right="0" w:rightChars="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我局利用科根据相关文件申报财政资金6万元，市财政投资科于2022年</w:t>
      </w:r>
      <w:r>
        <w:rPr>
          <w:rFonts w:hint="eastAsia" w:ascii="仿宋_GB2312" w:hAnsi="仿宋_GB2312" w:cs="仿宋_GB2312"/>
          <w:sz w:val="32"/>
          <w:szCs w:val="32"/>
          <w:lang w:val="en-US" w:eastAsia="zh-CN"/>
        </w:rPr>
        <w:t>下达</w:t>
      </w:r>
      <w:r>
        <w:rPr>
          <w:rFonts w:hint="eastAsia" w:ascii="仿宋_GB2312" w:hAnsi="仿宋_GB2312" w:eastAsia="仿宋_GB2312" w:cs="仿宋_GB2312"/>
          <w:sz w:val="32"/>
          <w:szCs w:val="32"/>
          <w:lang w:val="en-US" w:eastAsia="zh-CN"/>
        </w:rPr>
        <w:t>财政资金6万元。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（二）资金计划、到位及使用情况</w:t>
      </w:r>
    </w:p>
    <w:p>
      <w:pPr>
        <w:keepNext w:val="0"/>
        <w:keepLines w:val="0"/>
        <w:pageBreakBefore w:val="0"/>
        <w:widowControl w:val="0"/>
        <w:shd w:val="clear" w:color="auto" w:fill="FFFFFF"/>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val="zh-CN"/>
        </w:rPr>
        <w:t>1</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val="zh-CN"/>
        </w:rPr>
        <w:t>资金计划及到位情况。</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该项目</w:t>
      </w:r>
      <w:r>
        <w:rPr>
          <w:rFonts w:hint="eastAsia" w:ascii="仿宋_GB2312" w:hAnsi="仿宋_GB2312" w:eastAsia="仿宋_GB2312" w:cs="仿宋_GB2312"/>
          <w:sz w:val="32"/>
          <w:szCs w:val="32"/>
        </w:rPr>
        <w:t>预算</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万元，202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9月</w:t>
      </w:r>
      <w:r>
        <w:rPr>
          <w:rFonts w:hint="eastAsia" w:ascii="仿宋_GB2312" w:hAnsi="仿宋_GB2312" w:eastAsia="仿宋_GB2312" w:cs="仿宋_GB2312"/>
          <w:sz w:val="32"/>
          <w:szCs w:val="32"/>
        </w:rPr>
        <w:t>市财政实际拨付资金</w:t>
      </w:r>
      <w:r>
        <w:rPr>
          <w:rFonts w:hint="eastAsia" w:ascii="仿宋_GB2312" w:hAnsi="仿宋_GB2312" w:cs="仿宋_GB2312"/>
          <w:sz w:val="32"/>
          <w:szCs w:val="32"/>
          <w:lang w:val="en-US" w:eastAsia="zh-CN"/>
        </w:rPr>
        <w:t>6</w:t>
      </w:r>
      <w:r>
        <w:rPr>
          <w:rFonts w:hint="eastAsia" w:ascii="仿宋_GB2312" w:hAnsi="仿宋_GB2312" w:eastAsia="仿宋_GB2312" w:cs="仿宋_GB2312"/>
          <w:sz w:val="32"/>
          <w:szCs w:val="32"/>
          <w:lang w:val="en-US" w:eastAsia="zh-CN"/>
        </w:rPr>
        <w:t>万元，</w:t>
      </w:r>
      <w:r>
        <w:rPr>
          <w:rFonts w:hint="eastAsia" w:ascii="仿宋_GB2312" w:hAnsi="仿宋_GB2312" w:eastAsia="仿宋_GB2312" w:cs="仿宋_GB2312"/>
          <w:sz w:val="32"/>
          <w:szCs w:val="32"/>
        </w:rPr>
        <w:t>资金拨付率为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576"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 xml:space="preserve">2. </w:t>
      </w:r>
      <w:r>
        <w:rPr>
          <w:rFonts w:hint="eastAsia" w:ascii="仿宋_GB2312" w:hAnsi="仿宋_GB2312" w:eastAsia="仿宋_GB2312" w:cs="仿宋_GB2312"/>
          <w:sz w:val="32"/>
          <w:szCs w:val="32"/>
          <w:highlight w:val="none"/>
          <w:lang w:val="zh-CN"/>
        </w:rPr>
        <w:t>资金使用情况。该项目</w:t>
      </w:r>
      <w:r>
        <w:rPr>
          <w:rFonts w:hint="eastAsia" w:ascii="仿宋_GB2312" w:hAnsi="仿宋_GB2312" w:eastAsia="仿宋_GB2312" w:cs="仿宋_GB2312"/>
          <w:sz w:val="32"/>
          <w:szCs w:val="32"/>
          <w:highlight w:val="none"/>
          <w:lang w:val="en-US" w:eastAsia="zh-CN"/>
        </w:rPr>
        <w:t>2022年9月使用6万元，预算执行率为100%。主要用于2020年度建设用地节约集约利用状况整体评价</w:t>
      </w:r>
      <w:r>
        <w:rPr>
          <w:rFonts w:hint="eastAsia" w:ascii="仿宋_GB2312" w:hAnsi="仿宋_GB2312" w:cs="仿宋_GB2312"/>
          <w:sz w:val="32"/>
          <w:szCs w:val="32"/>
          <w:highlight w:val="none"/>
          <w:lang w:val="en-US" w:eastAsia="zh-CN"/>
        </w:rPr>
        <w:t>委托</w:t>
      </w:r>
      <w:r>
        <w:rPr>
          <w:rFonts w:hint="eastAsia" w:ascii="仿宋_GB2312" w:hAnsi="仿宋_GB2312" w:eastAsia="仿宋_GB2312" w:cs="仿宋_GB2312"/>
          <w:sz w:val="32"/>
          <w:szCs w:val="32"/>
          <w:highlight w:val="none"/>
          <w:lang w:val="en-US" w:eastAsia="zh-CN"/>
        </w:rPr>
        <w:t>服务费。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（三）项目财务管理情况</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我局</w:t>
      </w:r>
      <w:r>
        <w:rPr>
          <w:rFonts w:hint="eastAsia" w:ascii="仿宋_GB2312" w:hAnsi="仿宋_GB2312" w:eastAsia="仿宋_GB2312" w:cs="仿宋_GB2312"/>
          <w:sz w:val="32"/>
          <w:szCs w:val="32"/>
        </w:rPr>
        <w:t>严格按照财务管理相关制度规定，建立健全财务管理制度及内控制度，加强对</w:t>
      </w:r>
      <w:r>
        <w:rPr>
          <w:rFonts w:hint="eastAsia" w:ascii="仿宋_GB2312" w:hAnsi="仿宋_GB2312" w:cs="仿宋_GB2312"/>
          <w:sz w:val="32"/>
          <w:szCs w:val="32"/>
          <w:lang w:val="en-US" w:eastAsia="zh-CN"/>
        </w:rPr>
        <w:t>该</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的</w:t>
      </w:r>
      <w:r>
        <w:rPr>
          <w:rFonts w:hint="eastAsia" w:ascii="仿宋_GB2312" w:hAnsi="仿宋_GB2312" w:cs="仿宋_GB2312"/>
          <w:sz w:val="32"/>
          <w:szCs w:val="32"/>
          <w:lang w:val="en-US" w:eastAsia="zh-CN"/>
        </w:rPr>
        <w:t>资金</w:t>
      </w:r>
      <w:r>
        <w:rPr>
          <w:rFonts w:hint="eastAsia" w:ascii="仿宋_GB2312" w:hAnsi="仿宋_GB2312" w:eastAsia="仿宋_GB2312" w:cs="仿宋_GB2312"/>
          <w:sz w:val="32"/>
          <w:szCs w:val="32"/>
        </w:rPr>
        <w:t>使用管理，按照专项资金管理办法做好项目实施和监管，及时、规范进行账务处理及会计核算。切实做到专款专用，最大可能发挥专项资金作用。</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zh-CN" w:eastAsia="zh-CN"/>
        </w:rPr>
        <w:t>三、项目实施及管理情况</w:t>
      </w:r>
    </w:p>
    <w:p>
      <w:pPr>
        <w:keepNext w:val="0"/>
        <w:keepLines w:val="0"/>
        <w:pageBreakBefore w:val="0"/>
        <w:widowControl w:val="0"/>
        <w:kinsoku/>
        <w:wordWrap/>
        <w:overflowPunct/>
        <w:topLinePunct w:val="0"/>
        <w:autoSpaceDE/>
        <w:autoSpaceDN/>
        <w:bidi w:val="0"/>
        <w:spacing w:line="576"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我局</w:t>
      </w:r>
      <w:r>
        <w:rPr>
          <w:rFonts w:hint="eastAsia" w:ascii="仿宋_GB2312" w:hAnsi="仿宋_GB2312" w:eastAsia="仿宋_GB2312" w:cs="仿宋_GB2312"/>
          <w:sz w:val="32"/>
          <w:szCs w:val="32"/>
        </w:rPr>
        <w:t>严格按照项目管理有关规定管理专项经费，为保障项目资金安全，确保资金专款专用， 从资金申请、资金使用、会计核算三个环节加强资金管理，在项目资金申请环节，严格按照国库集中支付流程申请财政资金；在资金使用环节，严格遵守相关法律法规规定，严格按照单位财务管理审批流程办理款项支付；在会计核算环节，对本项目资金实行单独核算，确保专款专用。</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黑体" w:hAnsi="黑体" w:eastAsia="黑体" w:cs="黑体"/>
          <w:b w:val="0"/>
          <w:bCs w:val="0"/>
          <w:sz w:val="32"/>
          <w:szCs w:val="32"/>
          <w:lang w:val="zh-CN" w:eastAsia="zh-CN"/>
        </w:rPr>
      </w:pPr>
      <w:r>
        <w:rPr>
          <w:rFonts w:hint="eastAsia" w:ascii="黑体" w:hAnsi="黑体" w:eastAsia="黑体" w:cs="黑体"/>
          <w:b w:val="0"/>
          <w:bCs w:val="0"/>
          <w:sz w:val="32"/>
          <w:szCs w:val="32"/>
          <w:lang w:val="en-US" w:eastAsia="zh-CN"/>
        </w:rPr>
        <w:t>四、项目绩效情况</w:t>
      </w:r>
      <w:r>
        <w:rPr>
          <w:rFonts w:hint="eastAsia" w:ascii="黑体" w:hAnsi="黑体" w:eastAsia="黑体" w:cs="黑体"/>
          <w:b w:val="0"/>
          <w:bCs w:val="0"/>
          <w:sz w:val="32"/>
          <w:szCs w:val="32"/>
          <w:lang w:val="zh-CN" w:eastAsia="zh-CN"/>
        </w:rPr>
        <w:tab/>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（一）项目完成情况</w:t>
      </w:r>
    </w:p>
    <w:p>
      <w:pPr>
        <w:keepNext w:val="0"/>
        <w:keepLines w:val="0"/>
        <w:pageBreakBefore w:val="0"/>
        <w:widowControl w:val="0"/>
        <w:shd w:val="clear" w:color="auto" w:fill="auto"/>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2"/>
        <w:rPr>
          <w:rFonts w:hint="eastAsia" w:ascii="仿宋_GB2312" w:hAnsi="仿宋_GB2312" w:eastAsia="仿宋_GB2312" w:cs="仿宋_GB2312"/>
          <w:bCs/>
          <w:kern w:val="0"/>
          <w:sz w:val="32"/>
          <w:szCs w:val="32"/>
          <w:highlight w:val="none"/>
          <w:lang w:val="en-US" w:eastAsia="zh-CN"/>
        </w:rPr>
      </w:pPr>
      <w:r>
        <w:rPr>
          <w:rFonts w:hint="eastAsia" w:ascii="仿宋_GB2312" w:hAnsi="仿宋_GB2312" w:eastAsia="仿宋_GB2312" w:cs="仿宋_GB2312"/>
          <w:bCs/>
          <w:kern w:val="0"/>
          <w:sz w:val="32"/>
          <w:szCs w:val="32"/>
          <w:highlight w:val="none"/>
          <w:lang w:val="en-US" w:eastAsia="zh-CN"/>
        </w:rPr>
        <w:t>项目所涉及的成果汇交已上报四川省国土科学研究院进行技术审查通过。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（二）项目效益情况</w:t>
      </w: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评价市本级建设用地供应和利用情况、建设用地承载人口、经济投入产出强度及变化趋势，汇总辖区、县级相关数据，以全面、动态反应全市建设用地节约集约利用整体情况，促进区域建设用地利用效率和和效益提升，为广元市建设用地管理、政策制定和国土空间规划编制及实施评估等提供基础数据和技术支撑。</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五、评价结论及建议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（一）评价结论</w:t>
      </w:r>
    </w:p>
    <w:p>
      <w:pPr>
        <w:keepNext w:val="0"/>
        <w:keepLines w:val="0"/>
        <w:pageBreakBefore w:val="0"/>
        <w:widowControl w:val="0"/>
        <w:shd w:val="clear" w:color="auto" w:fill="auto"/>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outlineLvl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通过对广元市2020年度行政区建设用地节约集约利用状况整体评价，促进区域建设用地利用效率和和效益提升，为广元市建设用地管理、政策制定和国土空间规划编制及实施评估等提供基础数据和及时支撑。</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zh-CN" w:eastAsia="zh-CN"/>
        </w:rPr>
      </w:pPr>
      <w:r>
        <w:rPr>
          <w:rFonts w:hint="eastAsia" w:ascii="楷体_GB2312" w:hAnsi="楷体_GB2312" w:eastAsia="楷体_GB2312" w:cs="楷体_GB2312"/>
          <w:b w:val="0"/>
          <w:bCs w:val="0"/>
          <w:sz w:val="32"/>
          <w:szCs w:val="32"/>
          <w:lang w:val="zh-CN" w:eastAsia="zh-CN"/>
        </w:rPr>
        <w:t>（二）存在的问题</w:t>
      </w:r>
    </w:p>
    <w:p>
      <w:pPr>
        <w:keepNext w:val="0"/>
        <w:keepLines w:val="0"/>
        <w:pageBreakBefore w:val="0"/>
        <w:widowControl w:val="0"/>
        <w:shd w:val="clear" w:color="auto" w:fill="auto"/>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zh-CN" w:eastAsia="zh-CN"/>
        </w:rPr>
        <w:t>（一）</w:t>
      </w:r>
      <w:r>
        <w:rPr>
          <w:rFonts w:hint="eastAsia" w:ascii="楷体_GB2312" w:hAnsi="楷体_GB2312" w:eastAsia="楷体_GB2312" w:cs="楷体_GB2312"/>
          <w:b w:val="0"/>
          <w:bCs w:val="0"/>
          <w:sz w:val="32"/>
          <w:szCs w:val="32"/>
          <w:lang w:val="en-US" w:eastAsia="zh-CN"/>
        </w:rPr>
        <w:t>相关建议。</w:t>
      </w:r>
    </w:p>
    <w:p>
      <w:pPr>
        <w:pStyle w:val="5"/>
        <w:keepNext w:val="0"/>
        <w:keepLines w:val="0"/>
        <w:pageBreakBefore w:val="0"/>
        <w:widowControl w:val="0"/>
        <w:numPr>
          <w:ilvl w:val="0"/>
          <w:numId w:val="0"/>
        </w:numPr>
        <w:kinsoku/>
        <w:wordWrap/>
        <w:overflowPunct/>
        <w:topLinePunct w:val="0"/>
        <w:autoSpaceDE/>
        <w:autoSpaceDN/>
        <w:bidi w:val="0"/>
        <w:spacing w:before="0" w:after="0" w:line="576" w:lineRule="exact"/>
        <w:ind w:left="0" w:leftChars="0" w:right="0" w:righ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rPr>
          <w:rFonts w:hint="eastAsia" w:ascii="仿宋_GB2312" w:hAnsi="仿宋_GB2312" w:eastAsia="仿宋_GB2312" w:cs="仿宋_GB2312"/>
          <w:sz w:val="32"/>
          <w:szCs w:val="32"/>
          <w:lang w:val="en-US" w:eastAsia="zh-CN"/>
        </w:rPr>
      </w:pPr>
    </w:p>
    <w:p>
      <w:pPr>
        <w:pStyle w:val="2"/>
        <w:ind w:firstLine="5120" w:firstLineChars="16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广元市自然资源局</w:t>
      </w:r>
    </w:p>
    <w:p>
      <w:pPr>
        <w:pStyle w:val="2"/>
        <w:ind w:firstLine="5120" w:firstLineChars="1600"/>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pPr>
      <w:r>
        <w:rPr>
          <w:rFonts w:hint="eastAsia" w:ascii="仿宋_GB2312" w:hAnsi="仿宋_GB2312" w:eastAsia="仿宋_GB2312" w:cs="仿宋_GB2312"/>
          <w:sz w:val="32"/>
          <w:szCs w:val="32"/>
          <w:lang w:val="en-US" w:eastAsia="zh-CN"/>
        </w:rPr>
        <w:t>2023年4月28日</w:t>
      </w:r>
      <w:r>
        <w:rPr>
          <w:rFonts w:hint="eastAsia" w:ascii="仿宋_GB2312" w:hAnsi="仿宋_GB2312" w:eastAsia="仿宋_GB2312" w:cs="仿宋_GB2312"/>
          <w:b w:val="0"/>
          <w:bCs w:val="0"/>
          <w:color w:val="auto"/>
          <w:kern w:val="0"/>
          <w:sz w:val="32"/>
          <w:szCs w:val="32"/>
          <w:highlight w:val="none"/>
          <w:u w:val="none"/>
          <w:shd w:val="clear" w:color="auto" w:fill="FFFFFF"/>
          <w:lang w:val="zh-CN" w:eastAsia="zh-CN"/>
        </w:rPr>
        <w:br w:type="page"/>
      </w:r>
    </w:p>
    <w:p>
      <w:pPr>
        <w:pStyle w:val="12"/>
        <w:keepNext w:val="0"/>
        <w:keepLines w:val="0"/>
        <w:pageBreakBefore w:val="0"/>
        <w:widowControl w:val="0"/>
        <w:kinsoku/>
        <w:wordWrap/>
        <w:overflowPunct/>
        <w:topLinePunct w:val="0"/>
        <w:autoSpaceDE/>
        <w:autoSpaceDN/>
        <w:bidi w:val="0"/>
        <w:adjustRightInd/>
        <w:snapToGrid/>
        <w:spacing w:before="0" w:after="0" w:line="576" w:lineRule="exact"/>
        <w:ind w:left="0" w:leftChars="0" w:right="0" w:rightChars="0" w:firstLine="0" w:firstLineChars="0"/>
        <w:jc w:val="both"/>
        <w:textAlignment w:val="auto"/>
        <w:rPr>
          <w:rFonts w:hint="eastAsia" w:ascii="黑体" w:hAnsi="黑体" w:eastAsia="黑体" w:cs="黑体"/>
          <w:b w:val="0"/>
          <w:bCs w:val="0"/>
          <w:color w:val="auto"/>
          <w:kern w:val="0"/>
          <w:sz w:val="32"/>
          <w:szCs w:val="32"/>
          <w:highlight w:val="none"/>
          <w:u w:val="none"/>
          <w:shd w:val="clear" w:color="auto" w:fill="FFFFFF"/>
          <w:lang w:val="zh-CN" w:eastAsia="zh-CN"/>
        </w:rPr>
      </w:pPr>
      <w:r>
        <w:rPr>
          <w:rFonts w:hint="eastAsia" w:ascii="黑体" w:hAnsi="黑体" w:eastAsia="黑体" w:cs="黑体"/>
          <w:b w:val="0"/>
          <w:bCs w:val="0"/>
          <w:color w:val="auto"/>
          <w:kern w:val="0"/>
          <w:sz w:val="32"/>
          <w:szCs w:val="32"/>
          <w:highlight w:val="none"/>
          <w:u w:val="none"/>
          <w:shd w:val="clear" w:color="auto" w:fill="FFFFFF"/>
          <w:lang w:val="zh-CN" w:eastAsia="zh-CN"/>
        </w:rPr>
        <w:t>附表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市级主管部门（单位）项目资金分配涉及所有点位自评得分情况表</w:t>
      </w:r>
    </w:p>
    <w:tbl>
      <w:tblPr>
        <w:tblStyle w:val="10"/>
        <w:tblW w:w="86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7"/>
        <w:gridCol w:w="2837"/>
        <w:gridCol w:w="2616"/>
        <w:gridCol w:w="1215"/>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102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r>
              <w:rPr>
                <w:rFonts w:hint="eastAsia" w:ascii="仿宋_GB2312" w:hAnsi="仿宋_GB2312" w:eastAsia="仿宋_GB2312" w:cs="仿宋_GB2312"/>
                <w:b w:val="0"/>
                <w:bCs w:val="0"/>
                <w:color w:val="auto"/>
                <w:sz w:val="24"/>
                <w:szCs w:val="24"/>
                <w:highlight w:val="none"/>
                <w:u w:val="none"/>
                <w:vertAlign w:val="baseline"/>
                <w:lang w:val="en-US" w:eastAsia="zh-CN"/>
              </w:rPr>
              <w:t>序号</w:t>
            </w:r>
          </w:p>
        </w:tc>
        <w:tc>
          <w:tcPr>
            <w:tcW w:w="283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r>
              <w:rPr>
                <w:rFonts w:hint="eastAsia" w:ascii="仿宋_GB2312" w:hAnsi="仿宋_GB2312" w:eastAsia="仿宋_GB2312" w:cs="仿宋_GB2312"/>
                <w:b w:val="0"/>
                <w:bCs w:val="0"/>
                <w:color w:val="auto"/>
                <w:sz w:val="24"/>
                <w:szCs w:val="24"/>
                <w:highlight w:val="none"/>
                <w:u w:val="none"/>
                <w:vertAlign w:val="baseline"/>
                <w:lang w:val="en-US" w:eastAsia="zh-CN"/>
              </w:rPr>
              <w:t>项目资金末端分配点位</w:t>
            </w:r>
          </w:p>
        </w:tc>
        <w:tc>
          <w:tcPr>
            <w:tcW w:w="261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r>
              <w:rPr>
                <w:rFonts w:hint="eastAsia" w:ascii="仿宋_GB2312" w:hAnsi="仿宋_GB2312" w:eastAsia="仿宋_GB2312" w:cs="仿宋_GB2312"/>
                <w:b w:val="0"/>
                <w:bCs w:val="0"/>
                <w:color w:val="auto"/>
                <w:sz w:val="24"/>
                <w:szCs w:val="24"/>
                <w:highlight w:val="none"/>
                <w:u w:val="none"/>
                <w:vertAlign w:val="baseline"/>
                <w:lang w:val="en" w:eastAsia="zh-CN"/>
              </w:rPr>
              <w:t>自评得分（百分制）</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r>
              <w:rPr>
                <w:rFonts w:hint="eastAsia" w:ascii="仿宋_GB2312" w:hAnsi="仿宋_GB2312" w:eastAsia="仿宋_GB2312" w:cs="仿宋_GB2312"/>
                <w:b w:val="0"/>
                <w:bCs w:val="0"/>
                <w:color w:val="auto"/>
                <w:sz w:val="24"/>
                <w:szCs w:val="24"/>
                <w:highlight w:val="none"/>
                <w:u w:val="none"/>
                <w:vertAlign w:val="baseline"/>
                <w:lang w:val="en-US" w:eastAsia="zh-CN"/>
              </w:rPr>
              <w:t>财政科室审核得分</w:t>
            </w: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r>
              <w:rPr>
                <w:rFonts w:hint="eastAsia" w:ascii="仿宋_GB2312" w:hAnsi="仿宋_GB2312" w:eastAsia="仿宋_GB2312" w:cs="仿宋_GB2312"/>
                <w:b w:val="0"/>
                <w:bCs w:val="0"/>
                <w:color w:val="auto"/>
                <w:sz w:val="24"/>
                <w:szCs w:val="24"/>
                <w:highlight w:val="none"/>
                <w:u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02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1</w:t>
            </w:r>
          </w:p>
        </w:tc>
        <w:tc>
          <w:tcPr>
            <w:tcW w:w="283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r>
              <w:rPr>
                <w:rFonts w:hint="eastAsia" w:ascii="仿宋_GB2312" w:hAnsi="仿宋_GB2312" w:eastAsia="仿宋_GB2312" w:cs="仿宋_GB2312"/>
                <w:b w:val="0"/>
                <w:bCs w:val="0"/>
                <w:color w:val="auto"/>
                <w:sz w:val="24"/>
                <w:szCs w:val="24"/>
                <w:highlight w:val="none"/>
                <w:u w:val="none"/>
                <w:vertAlign w:val="baseline"/>
                <w:lang w:val="en-US" w:eastAsia="zh-CN"/>
              </w:rPr>
              <w:t>广元市自然资源局局机关</w:t>
            </w:r>
          </w:p>
        </w:tc>
        <w:tc>
          <w:tcPr>
            <w:tcW w:w="261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r>
              <w:rPr>
                <w:rFonts w:hint="eastAsia" w:ascii="仿宋_GB2312" w:hAnsi="仿宋_GB2312" w:eastAsia="仿宋_GB2312" w:cs="仿宋_GB2312"/>
                <w:b w:val="0"/>
                <w:bCs w:val="0"/>
                <w:color w:val="auto"/>
                <w:sz w:val="24"/>
                <w:szCs w:val="24"/>
                <w:highlight w:val="none"/>
                <w:u w:val="none"/>
                <w:vertAlign w:val="baseline"/>
                <w:lang w:val="en-US" w:eastAsia="zh-CN"/>
              </w:rPr>
              <w:t>100</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02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2</w:t>
            </w:r>
          </w:p>
        </w:tc>
        <w:tc>
          <w:tcPr>
            <w:tcW w:w="283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1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02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3</w:t>
            </w:r>
          </w:p>
        </w:tc>
        <w:tc>
          <w:tcPr>
            <w:tcW w:w="283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1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02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4</w:t>
            </w:r>
          </w:p>
        </w:tc>
        <w:tc>
          <w:tcPr>
            <w:tcW w:w="283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1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02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5</w:t>
            </w:r>
          </w:p>
        </w:tc>
        <w:tc>
          <w:tcPr>
            <w:tcW w:w="283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1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02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6</w:t>
            </w:r>
          </w:p>
        </w:tc>
        <w:tc>
          <w:tcPr>
            <w:tcW w:w="283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1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02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7</w:t>
            </w:r>
          </w:p>
        </w:tc>
        <w:tc>
          <w:tcPr>
            <w:tcW w:w="283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1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02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8</w:t>
            </w:r>
          </w:p>
        </w:tc>
        <w:tc>
          <w:tcPr>
            <w:tcW w:w="283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1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02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lang w:val="en-US" w:eastAsia="zh-CN"/>
              </w:rPr>
            </w:pPr>
            <w:r>
              <w:rPr>
                <w:rFonts w:hint="eastAsia" w:ascii="仿宋_GB2312" w:hAnsi="仿宋_GB2312" w:eastAsia="仿宋_GB2312" w:cs="仿宋_GB2312"/>
                <w:b w:val="0"/>
                <w:bCs w:val="0"/>
                <w:color w:val="auto"/>
                <w:sz w:val="24"/>
                <w:szCs w:val="24"/>
                <w:highlight w:val="none"/>
                <w:u w:val="none"/>
                <w:lang w:val="en-US" w:eastAsia="zh-CN"/>
              </w:rPr>
              <w:t>……</w:t>
            </w:r>
          </w:p>
        </w:tc>
        <w:tc>
          <w:tcPr>
            <w:tcW w:w="283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2616"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 w:eastAsia="zh-CN"/>
              </w:rPr>
            </w:pPr>
          </w:p>
        </w:tc>
        <w:tc>
          <w:tcPr>
            <w:tcW w:w="909"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仿宋_GB2312" w:hAnsi="仿宋_GB2312" w:eastAsia="仿宋_GB2312" w:cs="仿宋_GB2312"/>
                <w:b w:val="0"/>
                <w:bCs w:val="0"/>
                <w:color w:val="auto"/>
                <w:sz w:val="24"/>
                <w:szCs w:val="24"/>
                <w:highlight w:val="none"/>
                <w:u w:val="none"/>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rPr>
          <w:rFonts w:hint="eastAsia" w:ascii="仿宋_GB2312" w:hAnsi="仿宋_GB2312" w:eastAsia="仿宋_GB2312" w:cs="仿宋_GB2312"/>
          <w:b w:val="0"/>
          <w:bCs w:val="0"/>
          <w:color w:val="auto"/>
          <w:sz w:val="32"/>
          <w:szCs w:val="32"/>
          <w:highlight w:val="none"/>
          <w:u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0" w:firstLineChars="0"/>
        <w:jc w:val="both"/>
        <w:textAlignment w:val="auto"/>
        <w:rPr>
          <w:rFonts w:hint="eastAsia" w:ascii="仿宋_GB2312" w:hAnsi="仿宋_GB2312" w:eastAsia="仿宋_GB2312" w:cs="仿宋_GB2312"/>
          <w:b w:val="0"/>
          <w:bCs w:val="0"/>
          <w:color w:val="auto"/>
          <w:sz w:val="32"/>
          <w:szCs w:val="32"/>
          <w:highlight w:val="none"/>
          <w:u w:val="none"/>
          <w:vertAlign w:val="baseline"/>
          <w:lang w:val="en-US" w:eastAsia="zh-CN"/>
        </w:rPr>
      </w:pPr>
      <w:r>
        <w:rPr>
          <w:rFonts w:hint="eastAsia" w:ascii="仿宋_GB2312" w:hAnsi="仿宋_GB2312" w:eastAsia="仿宋_GB2312" w:cs="仿宋_GB2312"/>
          <w:b w:val="0"/>
          <w:bCs w:val="0"/>
          <w:color w:val="auto"/>
          <w:sz w:val="32"/>
          <w:szCs w:val="32"/>
          <w:highlight w:val="none"/>
          <w:u w:val="none"/>
          <w:vertAlign w:val="baseline"/>
          <w:lang w:val="en-US" w:eastAsia="zh-CN"/>
        </w:rPr>
        <w:t>备注：1、项目资金末端分配点位包括县（区）、市级部门下属单位及一次性单位等。</w:t>
      </w:r>
    </w:p>
    <w:p>
      <w:pPr>
        <w:pStyle w:val="2"/>
        <w:rPr>
          <w:rFonts w:hint="eastAsia" w:ascii="仿宋_GB2312" w:hAnsi="仿宋_GB2312" w:eastAsia="仿宋_GB2312" w:cs="仿宋_GB2312"/>
          <w:b w:val="0"/>
          <w:bCs w:val="0"/>
          <w:color w:val="auto"/>
          <w:sz w:val="32"/>
          <w:szCs w:val="32"/>
          <w:highlight w:val="none"/>
          <w:u w:val="none"/>
          <w:vertAlign w:val="baseline"/>
          <w:lang w:val="en-US" w:eastAsia="zh-CN"/>
        </w:rPr>
      </w:pPr>
      <w:r>
        <w:rPr>
          <w:rFonts w:hint="eastAsia" w:ascii="仿宋_GB2312" w:hAnsi="仿宋_GB2312" w:eastAsia="仿宋_GB2312" w:cs="仿宋_GB2312"/>
          <w:b w:val="0"/>
          <w:bCs w:val="0"/>
          <w:color w:val="auto"/>
          <w:sz w:val="32"/>
          <w:szCs w:val="32"/>
          <w:highlight w:val="none"/>
          <w:u w:val="none"/>
          <w:vertAlign w:val="baseline"/>
          <w:lang w:val="en-US" w:eastAsia="zh-CN"/>
        </w:rPr>
        <w:t>自评得分（百分制）从高到低划分为优、良、中、差四个档次，各个档次数量占比分别为20%、20%、55%、5%，且不同档次间得分分值应体现差异化，同档次得分分值相同的比例不超过该档次总数量的10%。</w:t>
      </w:r>
    </w:p>
    <w:p>
      <w:pPr>
        <w:pStyle w:val="2"/>
        <w:rPr>
          <w:rFonts w:hint="eastAsia" w:ascii="仿宋_GB2312" w:hAnsi="仿宋_GB2312" w:eastAsia="仿宋_GB2312" w:cs="仿宋_GB2312"/>
          <w:b w:val="0"/>
          <w:bCs w:val="0"/>
          <w:color w:val="auto"/>
          <w:sz w:val="32"/>
          <w:szCs w:val="32"/>
          <w:highlight w:val="none"/>
          <w:u w:val="none"/>
          <w:vertAlign w:val="baseline"/>
          <w:lang w:val="en-US" w:eastAsia="zh-CN"/>
        </w:rPr>
        <w:sectPr>
          <w:pgSz w:w="11906" w:h="16838"/>
          <w:pgMar w:top="2098" w:right="1474" w:bottom="1984" w:left="1587" w:header="851" w:footer="992" w:gutter="0"/>
          <w:pgNumType w:fmt="decimal"/>
          <w:cols w:space="425" w:num="1"/>
          <w:docGrid w:type="lines" w:linePitch="312" w:charSpace="0"/>
        </w:sectPr>
      </w:pPr>
    </w:p>
    <w:p>
      <w:pPr>
        <w:pStyle w:val="2"/>
        <w:ind w:left="0" w:leftChars="0" w:firstLine="0" w:firstLineChars="0"/>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附件5</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2023年市级专项资金预算项目支出绩效评价指标体系</w:t>
      </w:r>
    </w:p>
    <w:tbl>
      <w:tblPr>
        <w:tblStyle w:val="9"/>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42"/>
        <w:gridCol w:w="450"/>
        <w:gridCol w:w="655"/>
        <w:gridCol w:w="842"/>
        <w:gridCol w:w="868"/>
        <w:gridCol w:w="1377"/>
        <w:gridCol w:w="1999"/>
        <w:gridCol w:w="1052"/>
        <w:gridCol w:w="756"/>
        <w:gridCol w:w="756"/>
        <w:gridCol w:w="756"/>
        <w:gridCol w:w="982"/>
        <w:gridCol w:w="1125"/>
        <w:gridCol w:w="3948"/>
        <w:gridCol w:w="517"/>
        <w:gridCol w:w="521"/>
        <w:gridCol w:w="517"/>
        <w:gridCol w:w="521"/>
        <w:gridCol w:w="495"/>
        <w:gridCol w:w="495"/>
        <w:gridCol w:w="495"/>
        <w:gridCol w:w="617"/>
        <w:gridCol w:w="538"/>
        <w:gridCol w:w="495"/>
        <w:gridCol w:w="4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blHeader/>
        </w:trPr>
        <w:tc>
          <w:tcPr>
            <w:tcW w:w="1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分值权重</w:t>
            </w:r>
          </w:p>
        </w:tc>
        <w:tc>
          <w:tcPr>
            <w:tcW w:w="966" w:type="pct"/>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分层分类指标</w:t>
            </w:r>
          </w:p>
        </w:tc>
        <w:tc>
          <w:tcPr>
            <w:tcW w:w="4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指标解释</w:t>
            </w:r>
          </w:p>
        </w:tc>
        <w:tc>
          <w:tcPr>
            <w:tcW w:w="1249" w:type="pct"/>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评分方法</w:t>
            </w:r>
          </w:p>
        </w:tc>
        <w:tc>
          <w:tcPr>
            <w:tcW w:w="9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评价要点及说明</w:t>
            </w:r>
          </w:p>
        </w:tc>
        <w:tc>
          <w:tcPr>
            <w:tcW w:w="239" w:type="pct"/>
            <w:gridSpan w:val="2"/>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评价方式</w:t>
            </w:r>
          </w:p>
        </w:tc>
        <w:tc>
          <w:tcPr>
            <w:tcW w:w="239"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评价属性</w:t>
            </w:r>
          </w:p>
        </w:tc>
        <w:tc>
          <w:tcPr>
            <w:tcW w:w="598" w:type="pct"/>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定量评价标准</w:t>
            </w:r>
          </w:p>
        </w:tc>
        <w:tc>
          <w:tcPr>
            <w:tcW w:w="1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自评得分</w:t>
            </w:r>
          </w:p>
        </w:tc>
        <w:tc>
          <w:tcPr>
            <w:tcW w:w="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blHeader/>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966"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249" w:type="pct"/>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9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39" w:type="pct"/>
            <w:gridSpan w:val="2"/>
            <w:vMerge w:val="continue"/>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39"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598"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blHeader/>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分层指标</w:t>
            </w:r>
          </w:p>
        </w:tc>
        <w:tc>
          <w:tcPr>
            <w:tcW w:w="34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适用范围</w:t>
            </w: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一级指标</w:t>
            </w:r>
          </w:p>
        </w:tc>
        <w:tc>
          <w:tcPr>
            <w:tcW w:w="31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二级指标</w:t>
            </w: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4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方法归类</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计算公式</w:t>
            </w:r>
          </w:p>
        </w:tc>
        <w:tc>
          <w:tcPr>
            <w:tcW w:w="9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整体评价</w:t>
            </w:r>
          </w:p>
        </w:tc>
        <w:tc>
          <w:tcPr>
            <w:tcW w:w="1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样本评价</w:t>
            </w:r>
          </w:p>
        </w:tc>
        <w:tc>
          <w:tcPr>
            <w:tcW w:w="1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定性评价</w:t>
            </w:r>
          </w:p>
        </w:tc>
        <w:tc>
          <w:tcPr>
            <w:tcW w:w="1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定量评价</w:t>
            </w:r>
          </w:p>
        </w:tc>
        <w:tc>
          <w:tcPr>
            <w:tcW w:w="1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国家标准</w:t>
            </w:r>
          </w:p>
        </w:tc>
        <w:tc>
          <w:tcPr>
            <w:tcW w:w="1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行业标准</w:t>
            </w:r>
          </w:p>
        </w:tc>
        <w:tc>
          <w:tcPr>
            <w:tcW w:w="1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地方标准</w:t>
            </w:r>
          </w:p>
        </w:tc>
        <w:tc>
          <w:tcPr>
            <w:tcW w:w="14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申报标准</w:t>
            </w:r>
          </w:p>
        </w:tc>
        <w:tc>
          <w:tcPr>
            <w:tcW w:w="1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历史均值</w:t>
            </w:r>
          </w:p>
        </w:tc>
        <w:tc>
          <w:tcPr>
            <w:tcW w:w="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blHeader/>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4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0</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0.3</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0.6</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0.8</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w:t>
            </w:r>
          </w:p>
        </w:tc>
        <w:tc>
          <w:tcPr>
            <w:tcW w:w="9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4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w:t>
            </w:r>
          </w:p>
        </w:tc>
        <w:tc>
          <w:tcPr>
            <w:tcW w:w="1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通用指标</w:t>
            </w:r>
          </w:p>
        </w:tc>
        <w:tc>
          <w:tcPr>
            <w:tcW w:w="34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所有项目</w:t>
            </w:r>
          </w:p>
        </w:tc>
        <w:tc>
          <w:tcPr>
            <w:tcW w:w="200"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项目决策</w:t>
            </w: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程序严密</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项目设立是否经过严格评估论证和集体决策，是否与部门职责相符，是否属于公共财政支持范围，是否符合地方事权支出责任划分原则，是否与相关部门同类项目或部门内部相关项目重复</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不完善</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较完善</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完善</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专项项目设立是否经过事前评估或可行性论证，是否符合专项设立的基本规范和程序要求。项目设立是否属于部门职责相符，是否属于公共财政支持范围，符合地方事权支出责任划分原则，是否与相关部门同类项目或部门内部相关项目重复。存在一项不符合的为较完善，存在两项及两项以上不符合的为不完善</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规划合理★</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项目规划是否符合省委、省政府重大决策部署，是否与项目年度目标一致</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不合理</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较合理</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合理</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项目设立依据是否充分，符合省委、省政府重大决策部署和宏观政策规划，项目年度绩效目标与中长期规划是否一致，项目绩效目标是否具有合理性。样本评价中，规划是否与现实需求匹配，是否存在因规划不够合理导致项目效益欠佳的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制度完备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项目指导意见、管理办法、申报指南、实施细则等管理制度是否完善，是否存在脱离实际、缺陷、漏洞导致执行偏离预期</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缺（错）项扣分法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发现一处扣0.5分，直至扣完</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主要查看项目的相关管理制度机制是否健全完善，在项目执行过程中，是否存在管理制度有悖于实际的情况，是否存在难以操作、无法落地、执行不畅的情况，是否存在不能满足实际需求，未及时动态调整的情况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项目实施</w:t>
            </w: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分配合理★</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项目资金分配结果是否与规划计划一致；是否按规定及时分配专项预算资金</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项目法分配的项目，以所有项目点实施完成情况与规划计划情况进行对比。按因素法分配的项目和据实据效分配的项目，将资金分配方向与规划计划支持方向进行对比；省级接到中央一般性转移支付和专项转移支付后，应当在30日内正式下达到本行政区域县级以上各级政府；县级以上地方各级预算安排对下级政府的一般性转移支付和专项转移支付，应当分别在本级人民代表大会批准预算后的30日和60日内正式下达；《预算法》其他规定；分配依据充分的得分，明显不充分扣分。两种情况分值权重各占一半</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4</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使用合规</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项目资金使用是否符合相关的财务管理制度规定</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缺（错）项扣分法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发现一处扣0.5分，直至扣完</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项目资金是否符合国家财经法规和财务管理制度及有关专项资金管理办法规定；资金拨付是否有完整的审批程序和手续；是否符合项目预算批复或合同规定用途；是否存在截留、挤占、挪用、虚列支出等情况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执行有效</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项目实施是否符合相关管理制度规定</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缺（错）项扣分法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发现一处扣0.5分，直至扣完</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项目实施是否遵守相关法律法规；项目调整手续是否完备；项目合同、验收报告、技术鉴定等资料是否齐全并及时归档；项目实施的人员条件、场地设备、信息支撑等是否落实到位</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完成结果</w:t>
            </w: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预算完成★</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项目资金拨付到具体支持对象企业、项目（人）的情况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指标得分=项目实际到位金额/承诺到位金额×100%*指标分值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主要查看项目资金拨付到人到户、到项目、到企业与资金总量的对比，配套预算到位率。</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10%</w:t>
            </w:r>
          </w:p>
        </w:tc>
        <w:tc>
          <w:tcPr>
            <w:tcW w:w="1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通用指标</w:t>
            </w:r>
          </w:p>
        </w:tc>
        <w:tc>
          <w:tcPr>
            <w:tcW w:w="34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所有项目</w:t>
            </w: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完成结果</w:t>
            </w: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资金结余★</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项目资金结余的情况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指标得分=（1-结余率/0.2）*指标分值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结余率大于等于0.2，指标得0分                             结余率=结余金额/省级财政资金预算数×100%                                                                                               </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结余资金是指项目实施周期已结束、项目目标完成或项目提前终止，尚未列支的项目支出预算资金；因项目实施计划调整，不需要继续支出的预算资金；预算批复后连续两年未用完的预算资金。</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10</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目标完成★</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项目实施后是否完成预期目标</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指标得分=实际完成任务量/绩效目标设定任务量×100%*指标分值  </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主要查看项目实施后产出数量指标完成情况。以样本点资金量为权重，加权计算指标得分。当实际完成任务量/绩效目标设定任务量&gt;1时按1计算</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4</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4%</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完成及时</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项目实际完成时间与计划完成时间的比较，用以反映和考核项目产出实效目标的实现程度</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指标得分=(1-(实际完成时间-计划完成时间)/计划完成时间)×100%*指标分值  </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主要查看项目实际计划完成时间情况，一般以天数、月数或年数为单位。当实际完成时间-计划完成时间小于等于0时得满分；实际完成时间超过计划完成时间1倍时得0分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4</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w:t>
            </w: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违规记录</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项目管理是否合规</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不合规</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3处及以上不合规</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2处不合规</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1处不合规</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合规</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根据审计监督、财政检查结果反映专项管理是否合规</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1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20%</w:t>
            </w:r>
          </w:p>
        </w:tc>
        <w:tc>
          <w:tcPr>
            <w:tcW w:w="1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共性指标</w:t>
            </w:r>
          </w:p>
        </w:tc>
        <w:tc>
          <w:tcPr>
            <w:tcW w:w="34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产业发展项目</w:t>
            </w: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项目效果</w:t>
            </w: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符合性</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项目实施效果是否与绩效目标或申报目标符合</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指标得分=项目实施符合的点位数/所有选点总数×100%*指标分值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根据项目现场评价实施效果与绩效目标进行对比，汇总所有样本点情况综合分析政策整体吻合度</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20</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成长性★</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反映不同类型产业政策实施对相关行业企业成长性的促进作用，主要反映支持对象的创新、创造、创业能力情况，产业结构情况，持续盈利能力情况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指标得分=各项具体指标得分的平均分</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根据产业政策实施对象的主营业务收入增长率、净利润增长率或税收增长率等情况综合判断，统计年鉴相关数据为准（主要查看企业2018年度、2019年度财报，2020年根据实际情况收集）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民生保障项目</w:t>
            </w:r>
          </w:p>
        </w:tc>
        <w:tc>
          <w:tcPr>
            <w:tcW w:w="200" w:type="pct"/>
            <w:vMerge w:val="restar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项目效果</w:t>
            </w: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区域均衡性</w:t>
            </w:r>
          </w:p>
        </w:tc>
        <w:tc>
          <w:tcPr>
            <w:tcW w:w="46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项目资金分配体现的均衡公平情况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不均衡</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较均衡</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均衡</w:t>
            </w:r>
          </w:p>
        </w:tc>
        <w:tc>
          <w:tcPr>
            <w:tcW w:w="908"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按实际分配结果选择客观因素测算验证资金分配方法制定、分配要素设定、基础数据应用、测算依据选取等是否科学合理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对象公平性★</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项目资金分配结果是否公平合理，是否充分考虑地域条件、经济条件等</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不公平</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公平</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sz w:val="21"/>
                <w:szCs w:val="21"/>
                <w:lang w:val="en-US" w:eastAsia="zh-CN" w:bidi="ar"/>
              </w:rPr>
              <w:t>主要查看项目资金分配和实施结果是否体现公平公正性，在支持</w:t>
            </w:r>
            <w:r>
              <w:rPr>
                <w:rStyle w:val="15"/>
                <w:rFonts w:hint="eastAsia" w:ascii="宋体" w:hAnsi="宋体" w:eastAsia="宋体" w:cs="宋体"/>
                <w:sz w:val="21"/>
                <w:szCs w:val="21"/>
                <w:lang w:val="en-US" w:eastAsia="zh-CN" w:bidi="ar"/>
              </w:rPr>
              <w:t>范围、标准、程序</w:t>
            </w:r>
            <w:r>
              <w:rPr>
                <w:rStyle w:val="14"/>
                <w:rFonts w:hint="eastAsia" w:ascii="宋体" w:hAnsi="宋体" w:eastAsia="宋体" w:cs="宋体"/>
                <w:sz w:val="21"/>
                <w:szCs w:val="21"/>
                <w:lang w:val="en-US" w:eastAsia="zh-CN" w:bidi="ar"/>
              </w:rPr>
              <w:t>上是否存在明显的排他性和歧视性规定，是否做到大多数和少数的协调统一，统筹兼顾。标黑因素存在一项不公平的按一般档次计算分值，存在两项因素不公平的得0分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社会满意度</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相关群体满意度调查情况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按根据实际满意度与满意度标准值的比率计算指标得分</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主要调研政策和项目相关方在政策实施过程中的满意值，通过不满意情况汇总分析政策在顶层设计、制度构建、管理实施及成效各环节的情况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基础设施（设备购置）项目</w:t>
            </w: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项目效果</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功能性★</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反映公共基础设施建设功能是否达到计划能力，建成后是否正常并良好运行，延续性是否达到预期</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发现基础设施功能明显未实现预期的，发现一项扣1分，直至扣完</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主要查看建设项目是否实施方案实现预期功能，是否能够持续良好地运作，有效地维护，特别是公共设施类的项目，是否能有效满足人民群众的现实需要</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4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配套性★</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项目建成后相关工程、点位是否相关协调，配套设施是否整体协调，是否全面衔接发挥整体效益</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较好</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好</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重点查看区域内建设规划在空间分布、功能配套整合、土地利用等方面是否存在明显有违常理，不科学合理的情况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1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30%</w:t>
            </w:r>
          </w:p>
        </w:tc>
        <w:tc>
          <w:tcPr>
            <w:tcW w:w="1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特性指标</w:t>
            </w:r>
          </w:p>
        </w:tc>
        <w:tc>
          <w:tcPr>
            <w:tcW w:w="1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产业发展项目</w:t>
            </w: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工业产业（包括技术改造）</w:t>
            </w: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经济效益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利税增长率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项目实施单位利税增长情况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指标得分=利税增长率/标准值*指标分值（利税增长率/标准值＞1按1计算，负值按0计算）</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评价年度前三年利税平均增长率（不含评价当年，不足三年按实际存续年限计算）</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投资回报率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项目投产后回报情况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指标得分=投资回报率/标准值*指标得分（投资回报率/标准值＞1按1计算，负值按0计算）</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投资回报率=项目年新增利税额/项目投入资金总额</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社会贡献率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企业运用资产为社会创造价值的能力</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指标得分=社会贡献率/标准值*指标分值（社会贡献率/标准值＞1按1计算，负值按0计算）</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社会贡献率=社会贡献额/资产总额 ×100%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社会贡献额=工资总额+主营业务税金及附加+利润总额+五险一金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资产总额=（期初资产总额+期末资产总额）/2 </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就业贡献率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企业就业人数增量变化</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指标得分=就业贡献率/标准值*指标分值（就业贡献率/标准值＞1按1计算，负值按0计算）</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就业贡献率=企业三年平均新增就业人数/行业新增就业总人数×100%</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农业产业（包括林业产业）</w:t>
            </w: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经济效益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增加值提升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项目实施涉及产值增长情况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指标得分=三年产值平均增长率/标准值*指标分值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产值增长率=当年涉农产值增量/上一年度涉农产值总量×100%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重点查看项目实施区域涉农增加值变动情况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年均收入变动率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项目实施后农户收入变动情况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指标得分=三年人均年收入增长率/标准值*指标分值（三年人均年收入增长率/标准值负值为0，＞1按1计算）</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人均年收入增长率=（项目实施后人均年收入-项目实施前人均年收入）/项目实施前人均年收入×100%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重点查看三年来农民人均年收入增长变化情况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从业带动能力</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项目带动周边从事相关行业情况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指标得分=三年平均新增带动就业户数/标准值*指标分值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通过实地走访、调研、收集带动就业户数相关基础数据进行对比分析</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服务业</w:t>
            </w:r>
          </w:p>
        </w:tc>
        <w:tc>
          <w:tcPr>
            <w:tcW w:w="2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经济效益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消费增长</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项目支持区域内社会消费品零售总额增长情况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指标得分根据三年社会消费品零售增长变化计算得分，社会消费品零售增长≥标准值的得满分，＜标准值80%的不得分，其余按比值计算得分</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重点收集三年来区域内社会消费品零售增长数据，主要通过官方统计数据采集，同时结合实地调查对比，综合计算指标得分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增加值增长率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项目实施涉及增加值增长情况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指标得分=三年增加值平均增长率/标准值*指标分值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增加值增长率=当年服务业增加值增量/上一年度服务业增加值总量×100%。重点查看项目实施区域服务业增加值变动情况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服务效能</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区域内相关事务处理能力提升情况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较好</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好</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重点查看区域内相关事务处理能力提升状况，通过资料记录查询，现场持续跟踪，走访调研了解等手段综合判断</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30%</w:t>
            </w:r>
          </w:p>
        </w:tc>
        <w:tc>
          <w:tcPr>
            <w:tcW w:w="1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特性指标</w:t>
            </w:r>
          </w:p>
        </w:tc>
        <w:tc>
          <w:tcPr>
            <w:tcW w:w="1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民生保障项目</w:t>
            </w: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社会保障与就业</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基础管理</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审核把关</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项目申报是否真实准确</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指标得分=基础数据真实客观的人数/项目受益总人数×100%*指标分值，基础数据真实客观的人数/项目受益总人数小于70%不得分</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主要查看项目受益人群的精准性和客观性，是否存在因制度机制缺陷或管理疏漏导致审核把关不严的情况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资金使用率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项目资金支付使用情况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指标得分=资金实际使用金额/资金实际拨付金额×100%*指标分值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主要查看财政资金实际支付使用，是否存在因制度机制、操作流程、管理疏漏、数据缺失等导致的资金结余，闲置浪费的情况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医疗卫生计生</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基础管理</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服务质量提升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反映服务安全、便捷、规范情况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较好</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好</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主要调查医疗卫生计生机构提供服务的安全性、便捷程度和规范性</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健康状况改善</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反映区域内居民健康状况改善情况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较好</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好</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主要包括健康档案使用率、新生儿死亡率、高血压患者控制率等，通过几个主要的维度综合衡量区域内居民健康状况改善情况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教育文化</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基础管理</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对象覆盖全面</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项目区域范围内实施对象覆盖情况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明显疏漏</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基本覆盖</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全面覆盖</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主要查看项目实施对相关群体的覆盖情况，是否充分考虑主要群体和特殊个体的统一，做到全面覆盖</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项目效果</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教学（文化）设备利用率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反映教育（文化）设备使用情况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设备使用率=设备使用时间/设备计划用时（分钟、小时、日、月）×100%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指标得分=设备使用率/标准值*指标分值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主要调查设备工作状态及工作效率的情况，和绩效目标及相关标准对比</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基础设施（设备购置）项目</w:t>
            </w: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交通运输</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完成质量</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是否符合验收标准，达到行业基准水平</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指标得分=项目达标数/实施项目总数×100%*指标分值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质量达标率＞100%时按100%计算；当质量达标率＜90%时，指标不得分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道路通行能力提升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项目区域内道路通行能力提升情况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指标得分=实际通行能力/计划通行能力×100%*指标分值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（实际通行能力/计划通行能力＞1按1计算）</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通行能力=设计每小时通车数量，按照各种等级道路通行能力标准测算</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住房保障</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完成质量</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是否符合验收标准，达到行业基准水平</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指标得分=项目达标数/实施项目总数×100%*指标分值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质量达标率＞100%时按100%计算；当质量达标率＜90%时，指标不得分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保障实现率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项目区域内应保家庭住房保障实现情况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满意值赋分法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保障实现率达到标准值得满分，每低一个百分点扣1分</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住房保障率=已保家庭户数/应保家庭户数*100%</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城乡社区</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完成质量</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是否符合验收标准，达到行业基准水平</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指标得分=项目达标数/实施项目总数×100%*指标分值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质量达标率＞100%时按100%计算；当质量达标率＜90%时，指标不得分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30</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运行效率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城乡社区公共设施正常运转情况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指标得分=运转效率/标准值*指标正分值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（运转效率/标准值＞1按1计算）</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运转效率=政策运转设施个数/设计正常运转设施个数*100%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主要包括城乡社区公共交通、照明、燃气、环境保护、娱乐、体育等相关公共设施正常运转情况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水利设施</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完成质量</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是否符合验收标准，达到行业基准水平</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指标得分=项目达标数/实施项目总数×100%*指标分值</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质量达标率＞100%时按100%计算；当质量达标率＜90%时，指标不得分</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能力实现率</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水利设施设计能实现情况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比率分值法</w:t>
            </w: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指标得分=能力实现率/标准值*指标正分值</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（能力实现率/标准值＞1按1计算）</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能力实现率=实现设计能力水利设施个数/水利设施总个数*100%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主要包括水利系统建设用于堤防、河道、水库、水利枢纽、涵闸、灌区、供水、蓄滞洪区等水利工程建设及设备、设施改造维护后能力实现情况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00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设备购置</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社会效益</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运行状况</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购置的设备常态化运行情况</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分级评分法</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较差</w:t>
            </w: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一般</w:t>
            </w: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较好</w:t>
            </w: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好</w:t>
            </w: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重点查看购置设备日常使用频率及正常运转情况</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bCs/>
                <w:i w:val="0"/>
                <w:iCs w:val="0"/>
                <w:color w:val="000000"/>
                <w:sz w:val="21"/>
                <w:szCs w:val="21"/>
                <w:u w:val="none"/>
              </w:rPr>
            </w:pP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10%</w:t>
            </w:r>
          </w:p>
        </w:tc>
        <w:tc>
          <w:tcPr>
            <w:tcW w:w="2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个性指标</w:t>
            </w:r>
          </w:p>
        </w:tc>
        <w:tc>
          <w:tcPr>
            <w:tcW w:w="1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2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1"/>
                <w:szCs w:val="21"/>
                <w:u w:val="none"/>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9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c>
          <w:tcPr>
            <w:tcW w:w="1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10</w:t>
            </w:r>
          </w:p>
        </w:tc>
        <w:tc>
          <w:tcPr>
            <w:tcW w:w="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trPr>
        <w:tc>
          <w:tcPr>
            <w:tcW w:w="4787" w:type="pct"/>
            <w:gridSpan w:val="23"/>
            <w:vMerge w:val="restart"/>
            <w:tcBorders>
              <w:top w:val="single" w:color="000000" w:sz="4" w:space="0"/>
              <w:left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Style w:val="16"/>
                <w:rFonts w:hint="eastAsia" w:ascii="宋体" w:hAnsi="宋体" w:eastAsia="宋体" w:cs="宋体"/>
                <w:sz w:val="21"/>
                <w:szCs w:val="21"/>
                <w:lang w:val="en-US" w:eastAsia="zh-CN" w:bidi="ar"/>
              </w:rPr>
            </w:pPr>
            <w:r>
              <w:rPr>
                <w:rStyle w:val="16"/>
                <w:rFonts w:hint="eastAsia" w:ascii="宋体" w:hAnsi="宋体" w:eastAsia="宋体" w:cs="宋体"/>
                <w:sz w:val="21"/>
                <w:szCs w:val="21"/>
                <w:lang w:val="en-US" w:eastAsia="zh-CN" w:bidi="ar"/>
              </w:rPr>
              <w:t>1、评分方法归为六类：（1）是否评分法：</w:t>
            </w:r>
            <w:r>
              <w:rPr>
                <w:rStyle w:val="17"/>
                <w:rFonts w:hint="eastAsia" w:ascii="宋体" w:hAnsi="宋体" w:eastAsia="宋体" w:cs="宋体"/>
                <w:sz w:val="21"/>
                <w:szCs w:val="21"/>
                <w:lang w:val="en-US" w:eastAsia="zh-CN" w:bidi="ar"/>
              </w:rPr>
              <w:t>适用于合规性等正反判断指标，正向满分，反向0分。</w:t>
            </w:r>
            <w:r>
              <w:rPr>
                <w:rStyle w:val="16"/>
                <w:rFonts w:hint="eastAsia" w:ascii="宋体" w:hAnsi="宋体" w:eastAsia="宋体" w:cs="宋体"/>
                <w:sz w:val="21"/>
                <w:szCs w:val="21"/>
                <w:lang w:val="en-US" w:eastAsia="zh-CN" w:bidi="ar"/>
              </w:rPr>
              <w:t>（2）分级评分法：</w:t>
            </w:r>
            <w:r>
              <w:rPr>
                <w:rStyle w:val="17"/>
                <w:rFonts w:hint="eastAsia" w:ascii="宋体" w:hAnsi="宋体" w:eastAsia="宋体" w:cs="宋体"/>
                <w:sz w:val="21"/>
                <w:szCs w:val="21"/>
                <w:lang w:val="en-US" w:eastAsia="zh-CN" w:bidi="ar"/>
              </w:rPr>
              <w:t>指标评分设置n级权重，指标得分按指标值所处区间的权重计算。</w:t>
            </w:r>
            <w:r>
              <w:rPr>
                <w:rStyle w:val="16"/>
                <w:rFonts w:hint="eastAsia" w:ascii="宋体" w:hAnsi="宋体" w:eastAsia="宋体" w:cs="宋体"/>
                <w:sz w:val="21"/>
                <w:szCs w:val="21"/>
                <w:lang w:val="en-US" w:eastAsia="zh-CN" w:bidi="ar"/>
              </w:rPr>
              <w:t>（3）比率分值法：</w:t>
            </w:r>
            <w:r>
              <w:rPr>
                <w:rStyle w:val="17"/>
                <w:rFonts w:hint="eastAsia" w:ascii="宋体" w:hAnsi="宋体" w:eastAsia="宋体" w:cs="宋体"/>
                <w:sz w:val="21"/>
                <w:szCs w:val="21"/>
                <w:lang w:val="en-US" w:eastAsia="zh-CN" w:bidi="ar"/>
              </w:rPr>
              <w:t>对存在连续性比率的指标，按比率乘以指标分值计算得分。</w:t>
            </w:r>
            <w:r>
              <w:rPr>
                <w:rStyle w:val="16"/>
                <w:rFonts w:hint="eastAsia" w:ascii="宋体" w:hAnsi="宋体" w:eastAsia="宋体" w:cs="宋体"/>
                <w:sz w:val="21"/>
                <w:szCs w:val="21"/>
                <w:lang w:val="en-US" w:eastAsia="zh-CN" w:bidi="ar"/>
              </w:rPr>
              <w:t>（4）缺（错）项扣分法：</w:t>
            </w:r>
            <w:r>
              <w:rPr>
                <w:rStyle w:val="17"/>
                <w:rFonts w:hint="eastAsia" w:ascii="宋体" w:hAnsi="宋体" w:eastAsia="宋体" w:cs="宋体"/>
                <w:sz w:val="21"/>
                <w:szCs w:val="21"/>
                <w:lang w:val="en-US" w:eastAsia="zh-CN" w:bidi="ar"/>
              </w:rPr>
              <w:t>按照要求所具备的事项计算，全部具备得满分，缺少一项扣X分。</w:t>
            </w:r>
            <w:r>
              <w:rPr>
                <w:rStyle w:val="16"/>
                <w:rFonts w:hint="eastAsia" w:ascii="宋体" w:hAnsi="宋体" w:eastAsia="宋体" w:cs="宋体"/>
                <w:sz w:val="21"/>
                <w:szCs w:val="21"/>
                <w:lang w:val="en-US" w:eastAsia="zh-CN" w:bidi="ar"/>
              </w:rPr>
              <w:t>（5）满意值赋分法：</w:t>
            </w:r>
            <w:r>
              <w:rPr>
                <w:rStyle w:val="17"/>
                <w:rFonts w:hint="eastAsia" w:ascii="宋体" w:hAnsi="宋体" w:eastAsia="宋体" w:cs="宋体"/>
                <w:sz w:val="21"/>
                <w:szCs w:val="21"/>
                <w:lang w:val="en-US" w:eastAsia="zh-CN" w:bidi="ar"/>
              </w:rPr>
              <w:t>设置一个满意值，指标值达到满意值得满分，未达到不得分或扣分。</w:t>
            </w:r>
            <w:r>
              <w:rPr>
                <w:rStyle w:val="16"/>
                <w:rFonts w:hint="eastAsia" w:ascii="宋体" w:hAnsi="宋体" w:eastAsia="宋体" w:cs="宋体"/>
                <w:sz w:val="21"/>
                <w:szCs w:val="21"/>
                <w:lang w:val="en-US" w:eastAsia="zh-CN" w:bidi="ar"/>
              </w:rPr>
              <w:t>（6）按数累加法：</w:t>
            </w:r>
            <w:r>
              <w:rPr>
                <w:rStyle w:val="17"/>
                <w:rFonts w:hint="eastAsia" w:ascii="宋体" w:hAnsi="宋体" w:eastAsia="宋体" w:cs="宋体"/>
                <w:sz w:val="21"/>
                <w:szCs w:val="21"/>
                <w:lang w:val="en-US" w:eastAsia="zh-CN" w:bidi="ar"/>
              </w:rPr>
              <w:t>若有必要用于加分项指标。</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bCs/>
                <w:i w:val="0"/>
                <w:iCs w:val="0"/>
                <w:color w:val="000000"/>
                <w:sz w:val="21"/>
                <w:szCs w:val="21"/>
                <w:u w:val="none"/>
              </w:rPr>
            </w:pPr>
            <w:r>
              <w:rPr>
                <w:rStyle w:val="16"/>
                <w:rFonts w:hint="eastAsia" w:ascii="宋体" w:hAnsi="宋体" w:eastAsia="宋体" w:cs="宋体"/>
                <w:sz w:val="21"/>
                <w:szCs w:val="21"/>
                <w:lang w:val="en-US" w:eastAsia="zh-CN" w:bidi="ar"/>
              </w:rPr>
              <w:t>2、预算绩效指标标准：</w:t>
            </w:r>
            <w:r>
              <w:rPr>
                <w:rStyle w:val="16"/>
                <w:rFonts w:hint="eastAsia" w:ascii="宋体" w:hAnsi="宋体" w:eastAsia="宋体" w:cs="宋体"/>
                <w:sz w:val="21"/>
                <w:szCs w:val="21"/>
                <w:lang w:val="en-US" w:eastAsia="zh-CN" w:bidi="ar"/>
              </w:rPr>
              <w:br w:type="textWrapping"/>
            </w:r>
            <w:r>
              <w:rPr>
                <w:rStyle w:val="16"/>
                <w:rFonts w:hint="eastAsia" w:ascii="宋体" w:hAnsi="宋体" w:eastAsia="宋体" w:cs="宋体"/>
                <w:sz w:val="21"/>
                <w:szCs w:val="21"/>
                <w:lang w:val="en-US" w:eastAsia="zh-CN" w:bidi="ar"/>
              </w:rPr>
              <w:t>（1）定性指标标准：</w:t>
            </w:r>
            <w:r>
              <w:rPr>
                <w:rStyle w:val="17"/>
                <w:rFonts w:hint="eastAsia" w:ascii="宋体" w:hAnsi="宋体" w:eastAsia="宋体" w:cs="宋体"/>
                <w:sz w:val="21"/>
                <w:szCs w:val="21"/>
                <w:lang w:val="en-US" w:eastAsia="zh-CN" w:bidi="ar"/>
              </w:rPr>
              <w:t>根据客观依据判断指标得分，一般采用是否评分法。</w:t>
            </w:r>
            <w:r>
              <w:rPr>
                <w:rStyle w:val="17"/>
                <w:rFonts w:hint="eastAsia" w:ascii="宋体" w:hAnsi="宋体" w:eastAsia="宋体" w:cs="宋体"/>
                <w:sz w:val="21"/>
                <w:szCs w:val="21"/>
                <w:lang w:val="en-US" w:eastAsia="zh-CN" w:bidi="ar"/>
              </w:rPr>
              <w:br w:type="textWrapping"/>
            </w:r>
            <w:r>
              <w:rPr>
                <w:rStyle w:val="16"/>
                <w:rFonts w:hint="eastAsia" w:ascii="宋体" w:hAnsi="宋体" w:eastAsia="宋体" w:cs="宋体"/>
                <w:sz w:val="21"/>
                <w:szCs w:val="21"/>
                <w:lang w:val="en-US" w:eastAsia="zh-CN" w:bidi="ar"/>
              </w:rPr>
              <w:t>（2）定量指标标准：</w:t>
            </w:r>
            <w:r>
              <w:rPr>
                <w:rStyle w:val="17"/>
                <w:rFonts w:hint="eastAsia" w:ascii="宋体" w:hAnsi="宋体" w:eastAsia="宋体" w:cs="宋体"/>
                <w:sz w:val="21"/>
                <w:szCs w:val="21"/>
                <w:lang w:val="en-US" w:eastAsia="zh-CN" w:bidi="ar"/>
              </w:rPr>
              <w:t>（技术标准、管理标准、工作标准）：</w:t>
            </w:r>
            <w:r>
              <w:rPr>
                <w:rStyle w:val="17"/>
                <w:rFonts w:hint="eastAsia" w:ascii="宋体" w:hAnsi="宋体" w:eastAsia="宋体" w:cs="宋体"/>
                <w:sz w:val="21"/>
                <w:szCs w:val="21"/>
                <w:lang w:val="en-US" w:eastAsia="zh-CN" w:bidi="ar"/>
              </w:rPr>
              <w:br w:type="textWrapping"/>
            </w:r>
            <w:r>
              <w:rPr>
                <w:rStyle w:val="16"/>
                <w:rFonts w:hint="eastAsia" w:ascii="宋体" w:hAnsi="宋体" w:eastAsia="宋体" w:cs="宋体"/>
                <w:sz w:val="21"/>
                <w:szCs w:val="21"/>
                <w:lang w:val="en-US" w:eastAsia="zh-CN" w:bidi="ar"/>
              </w:rPr>
              <w:t>国家标准：</w:t>
            </w:r>
            <w:r>
              <w:rPr>
                <w:rStyle w:val="17"/>
                <w:rFonts w:hint="eastAsia" w:ascii="宋体" w:hAnsi="宋体" w:eastAsia="宋体" w:cs="宋体"/>
                <w:sz w:val="21"/>
                <w:szCs w:val="21"/>
                <w:lang w:val="en-US" w:eastAsia="zh-CN" w:bidi="ar"/>
              </w:rPr>
              <w:t>国家质量技术监督总局与国家标准化管理委员会制定，全国范围内适用，其他各级别标准不得与其抵触。</w:t>
            </w:r>
            <w:r>
              <w:rPr>
                <w:rStyle w:val="17"/>
                <w:rFonts w:hint="eastAsia" w:ascii="宋体" w:hAnsi="宋体" w:eastAsia="宋体" w:cs="宋体"/>
                <w:sz w:val="21"/>
                <w:szCs w:val="21"/>
                <w:lang w:val="en-US" w:eastAsia="zh-CN" w:bidi="ar"/>
              </w:rPr>
              <w:br w:type="textWrapping"/>
            </w:r>
            <w:r>
              <w:rPr>
                <w:rStyle w:val="16"/>
                <w:rFonts w:hint="eastAsia" w:ascii="宋体" w:hAnsi="宋体" w:eastAsia="宋体" w:cs="宋体"/>
                <w:sz w:val="21"/>
                <w:szCs w:val="21"/>
                <w:lang w:val="en-US" w:eastAsia="zh-CN" w:bidi="ar"/>
              </w:rPr>
              <w:t>行业标准：</w:t>
            </w:r>
            <w:r>
              <w:rPr>
                <w:rStyle w:val="17"/>
                <w:rFonts w:hint="eastAsia" w:ascii="宋体" w:hAnsi="宋体" w:eastAsia="宋体" w:cs="宋体"/>
                <w:sz w:val="21"/>
                <w:szCs w:val="21"/>
                <w:lang w:val="en-US" w:eastAsia="zh-CN" w:bidi="ar"/>
              </w:rPr>
              <w:t>国务院行政主管部门制定，行业标准用于特定行业。</w:t>
            </w:r>
            <w:r>
              <w:rPr>
                <w:rStyle w:val="17"/>
                <w:rFonts w:hint="eastAsia" w:ascii="宋体" w:hAnsi="宋体" w:eastAsia="宋体" w:cs="宋体"/>
                <w:sz w:val="21"/>
                <w:szCs w:val="21"/>
                <w:lang w:val="en-US" w:eastAsia="zh-CN" w:bidi="ar"/>
              </w:rPr>
              <w:br w:type="textWrapping"/>
            </w:r>
            <w:r>
              <w:rPr>
                <w:rStyle w:val="16"/>
                <w:rFonts w:hint="eastAsia" w:ascii="宋体" w:hAnsi="宋体" w:eastAsia="宋体" w:cs="宋体"/>
                <w:sz w:val="21"/>
                <w:szCs w:val="21"/>
                <w:lang w:val="en-US" w:eastAsia="zh-CN" w:bidi="ar"/>
              </w:rPr>
              <w:t>地方标准：</w:t>
            </w:r>
            <w:r>
              <w:rPr>
                <w:rStyle w:val="17"/>
                <w:rFonts w:hint="eastAsia" w:ascii="宋体" w:hAnsi="宋体" w:eastAsia="宋体" w:cs="宋体"/>
                <w:sz w:val="21"/>
                <w:szCs w:val="21"/>
                <w:lang w:val="en-US" w:eastAsia="zh-CN" w:bidi="ar"/>
              </w:rPr>
              <w:t>在没有国家标准和行业标准的情况下，地方政府、省级主管部门、财政部门可根据历史数据、统计数据、调研数据等设定绩效标准，可根据四川的实际情况按经济片区分设标准。</w:t>
            </w:r>
            <w:r>
              <w:rPr>
                <w:rStyle w:val="17"/>
                <w:rFonts w:hint="eastAsia" w:ascii="宋体" w:hAnsi="宋体" w:eastAsia="宋体" w:cs="宋体"/>
                <w:sz w:val="21"/>
                <w:szCs w:val="21"/>
                <w:lang w:val="en-US" w:eastAsia="zh-CN" w:bidi="ar"/>
              </w:rPr>
              <w:br w:type="textWrapping"/>
            </w:r>
            <w:r>
              <w:rPr>
                <w:rStyle w:val="16"/>
                <w:rFonts w:hint="eastAsia" w:ascii="宋体" w:hAnsi="宋体" w:eastAsia="宋体" w:cs="宋体"/>
                <w:sz w:val="21"/>
                <w:szCs w:val="21"/>
                <w:lang w:val="en-US" w:eastAsia="zh-CN" w:bidi="ar"/>
              </w:rPr>
              <w:t>申报标准：</w:t>
            </w:r>
            <w:r>
              <w:rPr>
                <w:rStyle w:val="17"/>
                <w:rFonts w:hint="eastAsia" w:ascii="宋体" w:hAnsi="宋体" w:eastAsia="宋体" w:cs="宋体"/>
                <w:sz w:val="21"/>
                <w:szCs w:val="21"/>
                <w:lang w:val="en-US" w:eastAsia="zh-CN" w:bidi="ar"/>
              </w:rPr>
              <w:t>对新实施的政策项目且相关基础数据匮乏的基础上，各方根据试点探索商定绩效标准，并在以后年度动态修订完善。</w:t>
            </w:r>
            <w:r>
              <w:rPr>
                <w:rStyle w:val="17"/>
                <w:rFonts w:hint="eastAsia" w:ascii="宋体" w:hAnsi="宋体" w:eastAsia="宋体" w:cs="宋体"/>
                <w:sz w:val="21"/>
                <w:szCs w:val="21"/>
                <w:lang w:val="en-US" w:eastAsia="zh-CN" w:bidi="ar"/>
              </w:rPr>
              <w:br w:type="textWrapping"/>
            </w:r>
            <w:r>
              <w:rPr>
                <w:rStyle w:val="17"/>
                <w:rFonts w:hint="eastAsia" w:ascii="宋体" w:hAnsi="宋体" w:eastAsia="宋体" w:cs="宋体"/>
                <w:sz w:val="21"/>
                <w:szCs w:val="21"/>
                <w:lang w:val="en-US" w:eastAsia="zh-CN" w:bidi="ar"/>
              </w:rPr>
              <w:t>3、★为核心指标，需要评价组重点关注深入分析。未涉及个性指标的项目，其分值权重按比例调整到其他效果指标。</w:t>
            </w:r>
          </w:p>
        </w:tc>
        <w:tc>
          <w:tcPr>
            <w:tcW w:w="114"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bCs/>
                <w:i w:val="0"/>
                <w:iCs w:val="0"/>
                <w:color w:val="000000"/>
                <w:sz w:val="21"/>
                <w:szCs w:val="21"/>
                <w:u w:val="none"/>
              </w:rPr>
            </w:pPr>
          </w:p>
        </w:tc>
        <w:tc>
          <w:tcPr>
            <w:tcW w:w="98"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0" w:hRule="atLeast"/>
        </w:trPr>
        <w:tc>
          <w:tcPr>
            <w:tcW w:w="4787" w:type="pct"/>
            <w:gridSpan w:val="23"/>
            <w:vMerge w:val="continue"/>
            <w:tcBorders>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bCs/>
                <w:i w:val="0"/>
                <w:iCs w:val="0"/>
                <w:color w:val="000000"/>
                <w:sz w:val="21"/>
                <w:szCs w:val="21"/>
                <w:u w:val="none"/>
              </w:rPr>
            </w:pPr>
          </w:p>
        </w:tc>
        <w:tc>
          <w:tcPr>
            <w:tcW w:w="114"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bCs/>
                <w:i w:val="0"/>
                <w:iCs w:val="0"/>
                <w:color w:val="000000"/>
                <w:sz w:val="21"/>
                <w:szCs w:val="21"/>
                <w:u w:val="none"/>
              </w:rPr>
            </w:pPr>
          </w:p>
        </w:tc>
        <w:tc>
          <w:tcPr>
            <w:tcW w:w="98" w:type="pct"/>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bCs/>
                <w:i w:val="0"/>
                <w:iCs w:val="0"/>
                <w:color w:val="000000"/>
                <w:sz w:val="21"/>
                <w:szCs w:val="21"/>
                <w:u w:val="none"/>
              </w:rPr>
            </w:pPr>
          </w:p>
        </w:tc>
      </w:tr>
    </w:tbl>
    <w:p>
      <w:pPr>
        <w:pStyle w:val="2"/>
        <w:ind w:left="0" w:leftChars="0" w:firstLine="0" w:firstLineChars="0"/>
        <w:rPr>
          <w:rFonts w:hint="eastAsia" w:ascii="仿宋_GB2312" w:hAnsi="仿宋_GB2312" w:eastAsia="仿宋_GB2312" w:cs="仿宋_GB2312"/>
          <w:sz w:val="32"/>
          <w:szCs w:val="32"/>
        </w:rPr>
      </w:pPr>
    </w:p>
    <w:sectPr>
      <w:pgSz w:w="23811" w:h="16838" w:orient="landscape"/>
      <w:pgMar w:top="1134" w:right="1134" w:bottom="1134" w:left="113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ADBB1B"/>
    <w:multiLevelType w:val="singleLevel"/>
    <w:tmpl w:val="86ADBB1B"/>
    <w:lvl w:ilvl="0" w:tentative="0">
      <w:start w:val="2"/>
      <w:numFmt w:val="decimal"/>
      <w:lvlText w:val="%1."/>
      <w:lvlJc w:val="left"/>
      <w:pPr>
        <w:tabs>
          <w:tab w:val="left" w:pos="312"/>
        </w:tabs>
      </w:pPr>
    </w:lvl>
  </w:abstractNum>
  <w:abstractNum w:abstractNumId="1">
    <w:nsid w:val="E18E0A4F"/>
    <w:multiLevelType w:val="singleLevel"/>
    <w:tmpl w:val="E18E0A4F"/>
    <w:lvl w:ilvl="0" w:tentative="0">
      <w:start w:val="2"/>
      <w:numFmt w:val="chineseCounting"/>
      <w:suff w:val="nothing"/>
      <w:lvlText w:val="（%1）"/>
      <w:lvlJc w:val="left"/>
      <w:rPr>
        <w:rFonts w:hint="eastAsia"/>
      </w:rPr>
    </w:lvl>
  </w:abstractNum>
  <w:abstractNum w:abstractNumId="2">
    <w:nsid w:val="E9880F23"/>
    <w:multiLevelType w:val="singleLevel"/>
    <w:tmpl w:val="E9880F23"/>
    <w:lvl w:ilvl="0" w:tentative="0">
      <w:start w:val="2"/>
      <w:numFmt w:val="decimal"/>
      <w:suff w:val="nothing"/>
      <w:lvlText w:val="%1、"/>
      <w:lvlJc w:val="left"/>
      <w:pPr>
        <w:ind w:left="630" w:leftChars="0" w:firstLine="0" w:firstLineChars="0"/>
      </w:pPr>
    </w:lvl>
  </w:abstractNum>
  <w:abstractNum w:abstractNumId="3">
    <w:nsid w:val="1F8B5A23"/>
    <w:multiLevelType w:val="singleLevel"/>
    <w:tmpl w:val="1F8B5A23"/>
    <w:lvl w:ilvl="0" w:tentative="0">
      <w:start w:val="2"/>
      <w:numFmt w:val="decimal"/>
      <w:lvlText w:val="%1."/>
      <w:lvlJc w:val="left"/>
      <w:pPr>
        <w:tabs>
          <w:tab w:val="left" w:pos="312"/>
        </w:tabs>
      </w:pPr>
    </w:lvl>
  </w:abstractNum>
  <w:abstractNum w:abstractNumId="4">
    <w:nsid w:val="22A41839"/>
    <w:multiLevelType w:val="multilevel"/>
    <w:tmpl w:val="22A41839"/>
    <w:lvl w:ilvl="0" w:tentative="0">
      <w:start w:val="1"/>
      <w:numFmt w:val="ideographDigital"/>
      <w:lvlText w:val="第%1章"/>
      <w:lvlJc w:val="left"/>
      <w:pPr>
        <w:ind w:left="432" w:hanging="432"/>
      </w:pPr>
      <w:rPr>
        <w:rFonts w:hint="eastAsia"/>
      </w:rPr>
    </w:lvl>
    <w:lvl w:ilvl="1" w:tentative="0">
      <w:start w:val="1"/>
      <w:numFmt w:val="decimal"/>
      <w:lvlText w:val="%2"/>
      <w:lvlJc w:val="left"/>
      <w:pPr>
        <w:ind w:left="576" w:hanging="576"/>
      </w:pPr>
      <w:rPr>
        <w:rFonts w:hint="eastAsia"/>
      </w:rPr>
    </w:lvl>
    <w:lvl w:ilvl="2" w:tentative="0">
      <w:start w:val="1"/>
      <w:numFmt w:val="decimal"/>
      <w:lvlText w:val="%2.%3"/>
      <w:lvlJc w:val="left"/>
      <w:pPr>
        <w:ind w:left="720" w:hanging="720"/>
      </w:pPr>
      <w:rPr>
        <w:rFonts w:hint="eastAsia"/>
      </w:rPr>
    </w:lvl>
    <w:lvl w:ilvl="3" w:tentative="0">
      <w:start w:val="1"/>
      <w:numFmt w:val="decimal"/>
      <w:lvlText w:val="%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1ZWZiMGQ3NTg1YmJjMGY1MmZlMmYwNjQ0Nzk3NTMifQ=="/>
  </w:docVars>
  <w:rsids>
    <w:rsidRoot w:val="00000000"/>
    <w:rsid w:val="00A31820"/>
    <w:rsid w:val="00D36096"/>
    <w:rsid w:val="00D9012D"/>
    <w:rsid w:val="0147153B"/>
    <w:rsid w:val="016D1E1A"/>
    <w:rsid w:val="017460A8"/>
    <w:rsid w:val="019D115B"/>
    <w:rsid w:val="01D12DF8"/>
    <w:rsid w:val="021242F8"/>
    <w:rsid w:val="02355837"/>
    <w:rsid w:val="031C3069"/>
    <w:rsid w:val="034253AD"/>
    <w:rsid w:val="04086360"/>
    <w:rsid w:val="04A23547"/>
    <w:rsid w:val="04C56876"/>
    <w:rsid w:val="053E7690"/>
    <w:rsid w:val="058C4B5D"/>
    <w:rsid w:val="05CC3CFA"/>
    <w:rsid w:val="06255BC2"/>
    <w:rsid w:val="06F2019A"/>
    <w:rsid w:val="06F51A39"/>
    <w:rsid w:val="07082FF7"/>
    <w:rsid w:val="07155C37"/>
    <w:rsid w:val="073C31C4"/>
    <w:rsid w:val="07B2792A"/>
    <w:rsid w:val="08055CAB"/>
    <w:rsid w:val="091108AA"/>
    <w:rsid w:val="091907A5"/>
    <w:rsid w:val="09383E5F"/>
    <w:rsid w:val="093E4C85"/>
    <w:rsid w:val="09D2698E"/>
    <w:rsid w:val="09F31B49"/>
    <w:rsid w:val="0A034687"/>
    <w:rsid w:val="0A6539E9"/>
    <w:rsid w:val="0A90206F"/>
    <w:rsid w:val="0A93759F"/>
    <w:rsid w:val="0A9D5D74"/>
    <w:rsid w:val="0BB974D9"/>
    <w:rsid w:val="0C715722"/>
    <w:rsid w:val="0D9E2119"/>
    <w:rsid w:val="0DA970D9"/>
    <w:rsid w:val="0E146C48"/>
    <w:rsid w:val="0ED14B39"/>
    <w:rsid w:val="0EE7136F"/>
    <w:rsid w:val="0F023581"/>
    <w:rsid w:val="0F276507"/>
    <w:rsid w:val="0F3B1939"/>
    <w:rsid w:val="0F9164A8"/>
    <w:rsid w:val="0FA14478"/>
    <w:rsid w:val="0FB83C20"/>
    <w:rsid w:val="11386E78"/>
    <w:rsid w:val="11600E43"/>
    <w:rsid w:val="11AD2B47"/>
    <w:rsid w:val="11FA0403"/>
    <w:rsid w:val="12955E7E"/>
    <w:rsid w:val="130F133B"/>
    <w:rsid w:val="13370CE3"/>
    <w:rsid w:val="133B5D84"/>
    <w:rsid w:val="137A7462"/>
    <w:rsid w:val="13805A3A"/>
    <w:rsid w:val="13CB7DA9"/>
    <w:rsid w:val="141334FE"/>
    <w:rsid w:val="15CA4090"/>
    <w:rsid w:val="15EB4B94"/>
    <w:rsid w:val="176C1DDB"/>
    <w:rsid w:val="17753C8E"/>
    <w:rsid w:val="17AE4CAF"/>
    <w:rsid w:val="17F174E9"/>
    <w:rsid w:val="18124F29"/>
    <w:rsid w:val="189334B5"/>
    <w:rsid w:val="190F0738"/>
    <w:rsid w:val="19856C4C"/>
    <w:rsid w:val="19E71D13"/>
    <w:rsid w:val="1A7A4D92"/>
    <w:rsid w:val="1AC94917"/>
    <w:rsid w:val="1AD27C6F"/>
    <w:rsid w:val="1BA13298"/>
    <w:rsid w:val="1BB428F7"/>
    <w:rsid w:val="1C543666"/>
    <w:rsid w:val="1C645A43"/>
    <w:rsid w:val="1D86484F"/>
    <w:rsid w:val="1DA40F58"/>
    <w:rsid w:val="1DCC0F99"/>
    <w:rsid w:val="1EFF0FBD"/>
    <w:rsid w:val="1F460C2C"/>
    <w:rsid w:val="1F7617A7"/>
    <w:rsid w:val="1FF71F26"/>
    <w:rsid w:val="20765541"/>
    <w:rsid w:val="20875058"/>
    <w:rsid w:val="21876716"/>
    <w:rsid w:val="22105417"/>
    <w:rsid w:val="228B1651"/>
    <w:rsid w:val="228C2DF9"/>
    <w:rsid w:val="2464007D"/>
    <w:rsid w:val="251323B2"/>
    <w:rsid w:val="252B04DA"/>
    <w:rsid w:val="257858B7"/>
    <w:rsid w:val="25785A64"/>
    <w:rsid w:val="25946700"/>
    <w:rsid w:val="26B84D63"/>
    <w:rsid w:val="27457A1B"/>
    <w:rsid w:val="27B31967"/>
    <w:rsid w:val="27E9319D"/>
    <w:rsid w:val="28532DE7"/>
    <w:rsid w:val="288B65CD"/>
    <w:rsid w:val="28A569C3"/>
    <w:rsid w:val="28F2772E"/>
    <w:rsid w:val="29D05279"/>
    <w:rsid w:val="2A0C4820"/>
    <w:rsid w:val="2A837C3F"/>
    <w:rsid w:val="2A900FAD"/>
    <w:rsid w:val="2AB0127A"/>
    <w:rsid w:val="2AB90504"/>
    <w:rsid w:val="2B4E6345"/>
    <w:rsid w:val="2B593A95"/>
    <w:rsid w:val="2B7B1C5D"/>
    <w:rsid w:val="2B9E2E6C"/>
    <w:rsid w:val="2BAC1E16"/>
    <w:rsid w:val="2BFD0162"/>
    <w:rsid w:val="2D695C98"/>
    <w:rsid w:val="2ECE3C79"/>
    <w:rsid w:val="2ED7364E"/>
    <w:rsid w:val="2F9124A4"/>
    <w:rsid w:val="32312075"/>
    <w:rsid w:val="32805DAB"/>
    <w:rsid w:val="32AB72CC"/>
    <w:rsid w:val="33047B34"/>
    <w:rsid w:val="34627E5E"/>
    <w:rsid w:val="34997C01"/>
    <w:rsid w:val="34AB3BF3"/>
    <w:rsid w:val="35750536"/>
    <w:rsid w:val="35BF4E3C"/>
    <w:rsid w:val="35F72581"/>
    <w:rsid w:val="36BB38BB"/>
    <w:rsid w:val="36FA2386"/>
    <w:rsid w:val="36FD5C1C"/>
    <w:rsid w:val="37207EEF"/>
    <w:rsid w:val="373B6744"/>
    <w:rsid w:val="37517257"/>
    <w:rsid w:val="376D0FF4"/>
    <w:rsid w:val="377E2171"/>
    <w:rsid w:val="37BF1D6A"/>
    <w:rsid w:val="38276143"/>
    <w:rsid w:val="38397128"/>
    <w:rsid w:val="385348B0"/>
    <w:rsid w:val="389600D6"/>
    <w:rsid w:val="392832A3"/>
    <w:rsid w:val="3B9D177C"/>
    <w:rsid w:val="3C357C06"/>
    <w:rsid w:val="3CEB6EE5"/>
    <w:rsid w:val="3DF84269"/>
    <w:rsid w:val="3ECC2612"/>
    <w:rsid w:val="3F0D4E6A"/>
    <w:rsid w:val="3F1B2C82"/>
    <w:rsid w:val="3F6F2332"/>
    <w:rsid w:val="3FF102E8"/>
    <w:rsid w:val="40142772"/>
    <w:rsid w:val="402746A5"/>
    <w:rsid w:val="40D32A7B"/>
    <w:rsid w:val="410E2E20"/>
    <w:rsid w:val="4191768D"/>
    <w:rsid w:val="42BE7CFC"/>
    <w:rsid w:val="42F83EBC"/>
    <w:rsid w:val="4410514F"/>
    <w:rsid w:val="45A15422"/>
    <w:rsid w:val="45F7430D"/>
    <w:rsid w:val="46075B66"/>
    <w:rsid w:val="46AC4F69"/>
    <w:rsid w:val="46EA2103"/>
    <w:rsid w:val="47425894"/>
    <w:rsid w:val="47D44646"/>
    <w:rsid w:val="47DF0117"/>
    <w:rsid w:val="47FD3CCE"/>
    <w:rsid w:val="48592ECE"/>
    <w:rsid w:val="48BF297E"/>
    <w:rsid w:val="496A2C18"/>
    <w:rsid w:val="4A2455BB"/>
    <w:rsid w:val="4A33606D"/>
    <w:rsid w:val="4A34774F"/>
    <w:rsid w:val="4A4F0367"/>
    <w:rsid w:val="4B625F01"/>
    <w:rsid w:val="4BC64321"/>
    <w:rsid w:val="4C3457E4"/>
    <w:rsid w:val="4CAA019C"/>
    <w:rsid w:val="4DC60ADA"/>
    <w:rsid w:val="4DC86B2C"/>
    <w:rsid w:val="4E0A3669"/>
    <w:rsid w:val="4E1963C9"/>
    <w:rsid w:val="4E8460CA"/>
    <w:rsid w:val="4EBD2220"/>
    <w:rsid w:val="4F061EA2"/>
    <w:rsid w:val="4FDD075D"/>
    <w:rsid w:val="505770C8"/>
    <w:rsid w:val="51F179D5"/>
    <w:rsid w:val="53233CEE"/>
    <w:rsid w:val="533A6782"/>
    <w:rsid w:val="557A50E2"/>
    <w:rsid w:val="5698159C"/>
    <w:rsid w:val="56E421BA"/>
    <w:rsid w:val="56E85B49"/>
    <w:rsid w:val="576A47B0"/>
    <w:rsid w:val="579E2BC1"/>
    <w:rsid w:val="58093FC9"/>
    <w:rsid w:val="58403763"/>
    <w:rsid w:val="59211829"/>
    <w:rsid w:val="592702C6"/>
    <w:rsid w:val="596811C3"/>
    <w:rsid w:val="5AC10B8B"/>
    <w:rsid w:val="5C3A6E47"/>
    <w:rsid w:val="5C3F26AF"/>
    <w:rsid w:val="5C47551E"/>
    <w:rsid w:val="5C6524F9"/>
    <w:rsid w:val="5D5F6439"/>
    <w:rsid w:val="5DA33272"/>
    <w:rsid w:val="5DED1C97"/>
    <w:rsid w:val="5DFB1768"/>
    <w:rsid w:val="5E35109B"/>
    <w:rsid w:val="5ECE467C"/>
    <w:rsid w:val="5F7563E8"/>
    <w:rsid w:val="5F8F74AA"/>
    <w:rsid w:val="5FF11F12"/>
    <w:rsid w:val="60074BE5"/>
    <w:rsid w:val="602F1590"/>
    <w:rsid w:val="604A6C7E"/>
    <w:rsid w:val="60522285"/>
    <w:rsid w:val="607827A3"/>
    <w:rsid w:val="6094063A"/>
    <w:rsid w:val="60957869"/>
    <w:rsid w:val="60C74A21"/>
    <w:rsid w:val="612334DA"/>
    <w:rsid w:val="61BC20AC"/>
    <w:rsid w:val="61EC6853"/>
    <w:rsid w:val="625422E5"/>
    <w:rsid w:val="627B1F67"/>
    <w:rsid w:val="63585997"/>
    <w:rsid w:val="63DD7768"/>
    <w:rsid w:val="645C1924"/>
    <w:rsid w:val="646A4041"/>
    <w:rsid w:val="64D4595F"/>
    <w:rsid w:val="65704519"/>
    <w:rsid w:val="65784910"/>
    <w:rsid w:val="66F542D5"/>
    <w:rsid w:val="680A343F"/>
    <w:rsid w:val="68482324"/>
    <w:rsid w:val="69696F33"/>
    <w:rsid w:val="69823BDB"/>
    <w:rsid w:val="69BB533F"/>
    <w:rsid w:val="6A9F720A"/>
    <w:rsid w:val="6AEF0052"/>
    <w:rsid w:val="6B8062DA"/>
    <w:rsid w:val="6BB42046"/>
    <w:rsid w:val="6DBD3434"/>
    <w:rsid w:val="6E423939"/>
    <w:rsid w:val="6E4853C0"/>
    <w:rsid w:val="6E4C0C5C"/>
    <w:rsid w:val="6E55366C"/>
    <w:rsid w:val="6E6A388E"/>
    <w:rsid w:val="6EB03A00"/>
    <w:rsid w:val="6F3C4F00"/>
    <w:rsid w:val="6F3D65D0"/>
    <w:rsid w:val="6FD74555"/>
    <w:rsid w:val="7002147B"/>
    <w:rsid w:val="71772547"/>
    <w:rsid w:val="72084E9A"/>
    <w:rsid w:val="72157FE9"/>
    <w:rsid w:val="72733731"/>
    <w:rsid w:val="730E05E9"/>
    <w:rsid w:val="732C5072"/>
    <w:rsid w:val="733046A8"/>
    <w:rsid w:val="73C13552"/>
    <w:rsid w:val="749973A3"/>
    <w:rsid w:val="74A96FA5"/>
    <w:rsid w:val="74D71F1F"/>
    <w:rsid w:val="752F5748"/>
    <w:rsid w:val="7544268D"/>
    <w:rsid w:val="755328D0"/>
    <w:rsid w:val="755D72AA"/>
    <w:rsid w:val="756E14B8"/>
    <w:rsid w:val="76A74C81"/>
    <w:rsid w:val="76AF3B36"/>
    <w:rsid w:val="76D7062F"/>
    <w:rsid w:val="77D632A2"/>
    <w:rsid w:val="7A362E22"/>
    <w:rsid w:val="7A513707"/>
    <w:rsid w:val="7A8B6646"/>
    <w:rsid w:val="7A917472"/>
    <w:rsid w:val="7AD859D6"/>
    <w:rsid w:val="7AE87D7A"/>
    <w:rsid w:val="7B7808EB"/>
    <w:rsid w:val="7B9466A0"/>
    <w:rsid w:val="7CE64029"/>
    <w:rsid w:val="7CFC39CF"/>
    <w:rsid w:val="7D7B5C07"/>
    <w:rsid w:val="7DD56578"/>
    <w:rsid w:val="7DE40569"/>
    <w:rsid w:val="7FE27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3">
    <w:name w:val="heading 2"/>
    <w:basedOn w:val="1"/>
    <w:next w:val="1"/>
    <w:qFormat/>
    <w:uiPriority w:val="0"/>
    <w:pPr>
      <w:keepNext/>
      <w:keepLines/>
      <w:tabs>
        <w:tab w:val="left" w:pos="360"/>
      </w:tabs>
      <w:adjustRightInd w:val="0"/>
      <w:snapToGrid w:val="0"/>
      <w:spacing w:before="240" w:after="120"/>
      <w:textAlignment w:val="baseline"/>
      <w:outlineLvl w:val="1"/>
    </w:pPr>
    <w:rPr>
      <w:rFonts w:ascii="仿宋" w:hAnsi="仿宋" w:eastAsia="仿宋"/>
      <w:b/>
      <w:bCs/>
      <w:color w:val="000000"/>
      <w:sz w:val="32"/>
      <w:szCs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val="0"/>
      <w:ind w:firstLine="420" w:firstLineChars="200"/>
      <w:jc w:val="both"/>
    </w:pPr>
    <w:rPr>
      <w:rFonts w:ascii="Calibri" w:hAnsi="Calibri" w:eastAsia="宋体" w:cs="Times New Roman"/>
      <w:kern w:val="2"/>
      <w:sz w:val="21"/>
      <w:szCs w:val="24"/>
      <w:lang w:val="en-US" w:eastAsia="zh-CN" w:bidi="ar-SA"/>
    </w:rPr>
  </w:style>
  <w:style w:type="paragraph" w:styleId="4">
    <w:name w:val="Body Text"/>
    <w:basedOn w:val="1"/>
    <w:next w:val="5"/>
    <w:qFormat/>
    <w:uiPriority w:val="99"/>
    <w:pPr>
      <w:spacing w:beforeLines="30"/>
    </w:pPr>
    <w:rPr>
      <w:rFonts w:ascii="仿宋_GB2312" w:eastAsia="仿宋_GB2312"/>
      <w:kern w:val="0"/>
      <w:sz w:val="30"/>
    </w:rPr>
  </w:style>
  <w:style w:type="paragraph" w:styleId="5">
    <w:name w:val="Subtitle"/>
    <w:basedOn w:val="1"/>
    <w:next w:val="1"/>
    <w:qFormat/>
    <w:uiPriority w:val="0"/>
    <w:pPr>
      <w:spacing w:before="240" w:after="60" w:line="312" w:lineRule="auto"/>
      <w:jc w:val="center"/>
      <w:outlineLvl w:val="1"/>
    </w:pPr>
    <w:rPr>
      <w:rFonts w:ascii="Arial" w:hAnsi="Arial" w:cs="Arial"/>
      <w:b/>
      <w:bCs/>
      <w:kern w:val="28"/>
      <w:sz w:val="32"/>
      <w:szCs w:val="32"/>
      <w:lang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2"/>
    <w:basedOn w:val="1"/>
    <w:next w:val="1"/>
    <w:unhideWhenUsed/>
    <w:qFormat/>
    <w:uiPriority w:val="39"/>
    <w:pPr>
      <w:ind w:left="280"/>
      <w:jc w:val="left"/>
    </w:pPr>
    <w:rPr>
      <w:rFonts w:ascii="Calibri" w:hAnsi="Calibri" w:cs="Calibri"/>
      <w:smallCaps/>
      <w:sz w:val="20"/>
      <w:szCs w:val="20"/>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标题 5（有编号）（绿盟科技）"/>
    <w:next w:val="1"/>
    <w:qFormat/>
    <w:uiPriority w:val="99"/>
    <w:pPr>
      <w:keepNext/>
      <w:keepLines/>
      <w:widowControl w:val="0"/>
      <w:spacing w:before="280" w:after="156" w:line="377" w:lineRule="auto"/>
      <w:jc w:val="left"/>
      <w:outlineLvl w:val="4"/>
    </w:pPr>
    <w:rPr>
      <w:rFonts w:ascii="Arial" w:hAnsi="Arial" w:eastAsia="黑体" w:cs="Times New Roman"/>
      <w:b/>
      <w:kern w:val="2"/>
      <w:sz w:val="24"/>
      <w:szCs w:val="28"/>
      <w:lang w:val="en-US" w:eastAsia="zh-CN" w:bidi="ar-SA"/>
    </w:rPr>
  </w:style>
  <w:style w:type="paragraph" w:customStyle="1" w:styleId="13">
    <w:name w:val="_正文"/>
    <w:basedOn w:val="1"/>
    <w:qFormat/>
    <w:uiPriority w:val="0"/>
    <w:pPr>
      <w:widowControl/>
      <w:adjustRightInd w:val="0"/>
      <w:snapToGrid w:val="0"/>
      <w:ind w:firstLine="200" w:firstLineChars="200"/>
      <w:jc w:val="left"/>
    </w:pPr>
    <w:rPr>
      <w:kern w:val="0"/>
    </w:rPr>
  </w:style>
  <w:style w:type="character" w:customStyle="1" w:styleId="14">
    <w:name w:val="font21"/>
    <w:basedOn w:val="11"/>
    <w:qFormat/>
    <w:uiPriority w:val="0"/>
    <w:rPr>
      <w:rFonts w:hint="eastAsia" w:ascii="宋体" w:hAnsi="宋体" w:eastAsia="宋体" w:cs="宋体"/>
      <w:color w:val="000000"/>
      <w:sz w:val="22"/>
      <w:szCs w:val="22"/>
      <w:u w:val="none"/>
    </w:rPr>
  </w:style>
  <w:style w:type="character" w:customStyle="1" w:styleId="15">
    <w:name w:val="font101"/>
    <w:basedOn w:val="11"/>
    <w:qFormat/>
    <w:uiPriority w:val="0"/>
    <w:rPr>
      <w:rFonts w:hint="eastAsia" w:ascii="宋体" w:hAnsi="宋体" w:eastAsia="宋体" w:cs="宋体"/>
      <w:b/>
      <w:bCs/>
      <w:color w:val="000000"/>
      <w:sz w:val="22"/>
      <w:szCs w:val="22"/>
      <w:u w:val="none"/>
    </w:rPr>
  </w:style>
  <w:style w:type="character" w:customStyle="1" w:styleId="16">
    <w:name w:val="font41"/>
    <w:basedOn w:val="11"/>
    <w:qFormat/>
    <w:uiPriority w:val="0"/>
    <w:rPr>
      <w:rFonts w:hint="eastAsia" w:ascii="宋体" w:hAnsi="宋体" w:eastAsia="宋体" w:cs="宋体"/>
      <w:b/>
      <w:bCs/>
      <w:color w:val="000000"/>
      <w:sz w:val="24"/>
      <w:szCs w:val="24"/>
      <w:u w:val="none"/>
    </w:rPr>
  </w:style>
  <w:style w:type="character" w:customStyle="1" w:styleId="17">
    <w:name w:val="font81"/>
    <w:basedOn w:val="1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89</Pages>
  <Words>63310</Words>
  <Characters>65406</Characters>
  <Lines>0</Lines>
  <Paragraphs>0</Paragraphs>
  <TotalTime>28</TotalTime>
  <ScaleCrop>false</ScaleCrop>
  <LinksUpToDate>false</LinksUpToDate>
  <CharactersWithSpaces>66658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2023-05-12T03:17:00Z</dcterms:created>
  <dc:creator>Administrator</dc:creator>
  <cp:lastModifiedBy>Administrator</cp:lastModifiedBy>
  <dcterms:modified xsi:type="dcterms:W3CDTF">2023-09-28T03:13:17Z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C33197C7E73446C99FFC8F34C253DF98_12</vt:lpwstr>
  </property>
</Properties>
</file>