
<file path=[Content_Types].xml><?xml version="1.0" encoding="utf-8"?>
<Types xmlns="http://schemas.openxmlformats.org/package/2006/content-types">
  <Default Extension="xlsx" ContentType="application/vnd.openxmlformats-officedocument.spreadsheetml.sheet"/>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sz w:val="72"/>
          <w:szCs w:val="72"/>
        </w:rPr>
      </w:pPr>
      <w:bookmarkStart w:id="0" w:name="_Toc15306267"/>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1" w:name="_Toc15378441"/>
      <w:bookmarkStart w:id="2" w:name="_Toc15396597"/>
      <w:bookmarkStart w:id="3" w:name="_Toc15396475"/>
      <w:bookmarkStart w:id="4" w:name="_Toc15377425"/>
      <w:bookmarkStart w:id="5" w:name="_Toc15377193"/>
      <w:r>
        <w:rPr>
          <w:rFonts w:hint="eastAsia" w:ascii="方正小标宋简体" w:hAnsi="方正小标宋简体" w:eastAsia="方正小标宋简体" w:cs="方正小标宋简体"/>
          <w:sz w:val="72"/>
          <w:szCs w:val="72"/>
        </w:rPr>
        <w:t>2021年度</w:t>
      </w:r>
      <w:bookmarkEnd w:id="1"/>
      <w:bookmarkEnd w:id="2"/>
      <w:bookmarkEnd w:id="3"/>
      <w:bookmarkEnd w:id="4"/>
      <w:bookmarkEnd w:id="5"/>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6" w:name="_Toc15396476"/>
      <w:bookmarkStart w:id="7" w:name="_Toc15377194"/>
      <w:bookmarkStart w:id="8" w:name="_Toc15396598"/>
      <w:bookmarkStart w:id="9" w:name="_Toc15377426"/>
      <w:bookmarkStart w:id="10" w:name="_Toc15378442"/>
      <w:r>
        <w:rPr>
          <w:rFonts w:hint="eastAsia" w:ascii="方正小标宋简体" w:hAnsi="方正小标宋简体" w:eastAsia="方正小标宋简体" w:cs="方正小标宋简体"/>
          <w:sz w:val="72"/>
          <w:szCs w:val="72"/>
        </w:rPr>
        <w:t>广元市</w:t>
      </w:r>
      <w:bookmarkEnd w:id="0"/>
      <w:bookmarkStart w:id="11" w:name="_Toc15306268"/>
      <w:r>
        <w:rPr>
          <w:rFonts w:hint="eastAsia" w:ascii="方正小标宋简体" w:hAnsi="方正小标宋简体" w:eastAsia="方正小标宋简体" w:cs="方正小标宋简体"/>
          <w:sz w:val="72"/>
          <w:szCs w:val="72"/>
        </w:rPr>
        <w:t>自然资源储备交易中心单位决算</w:t>
      </w:r>
      <w:bookmarkEnd w:id="6"/>
      <w:bookmarkEnd w:id="7"/>
      <w:bookmarkEnd w:id="8"/>
      <w:bookmarkEnd w:id="9"/>
      <w:bookmarkEnd w:id="10"/>
      <w:bookmarkEnd w:id="11"/>
      <w:r>
        <w:rPr>
          <w:rFonts w:hint="eastAsia" w:ascii="方正小标宋简体" w:hAnsi="方正小标宋简体" w:eastAsia="方正小标宋简体" w:cs="方正小标宋简体"/>
          <w:sz w:val="72"/>
          <w:szCs w:val="72"/>
        </w:rPr>
        <w:t>公开</w:t>
      </w:r>
    </w:p>
    <w:p>
      <w:pPr>
        <w:widowControl/>
        <w:jc w:val="center"/>
        <w:rPr>
          <w:rFonts w:ascii="黑体" w:hAnsi="黑体" w:eastAsia="黑体"/>
          <w:sz w:val="48"/>
          <w:szCs w:val="48"/>
        </w:rPr>
      </w:pPr>
      <w:r>
        <w:rPr>
          <w:rFonts w:ascii="方正小标宋简体" w:hAnsi="宋体" w:eastAsia="方正小标宋简体"/>
          <w:sz w:val="36"/>
          <w:szCs w:val="36"/>
        </w:rPr>
        <w:br w:type="page"/>
      </w:r>
      <w:r>
        <w:rPr>
          <w:rFonts w:hint="eastAsia" w:ascii="黑体" w:hAnsi="黑体" w:eastAsia="黑体"/>
          <w:sz w:val="48"/>
          <w:szCs w:val="48"/>
        </w:rPr>
        <w:t>目录</w:t>
      </w:r>
    </w:p>
    <w:p>
      <w:pPr>
        <w:widowControl/>
        <w:jc w:val="center"/>
        <w:rPr>
          <w:rFonts w:ascii="黑体" w:hAnsi="黑体" w:eastAsia="黑体" w:cstheme="minorBidi"/>
          <w:sz w:val="28"/>
          <w:szCs w:val="28"/>
        </w:rPr>
      </w:pPr>
    </w:p>
    <w:p>
      <w:pPr>
        <w:pStyle w:val="10"/>
      </w:pPr>
      <w:r>
        <w:rPr>
          <w:rFonts w:hint="eastAsia"/>
        </w:rPr>
        <w:t>公开时间：2022年9月30日</w:t>
      </w:r>
    </w:p>
    <w:p/>
    <w:p>
      <w:pPr>
        <w:pStyle w:val="10"/>
        <w:adjustRightInd w:val="0"/>
        <w:snapToGrid w:val="0"/>
        <w:spacing w:before="0" w:line="440" w:lineRule="exact"/>
        <w:jc w:val="left"/>
        <w:rPr>
          <w:rFonts w:cstheme="minorBidi"/>
          <w:sz w:val="24"/>
          <w:szCs w:val="24"/>
        </w:rPr>
      </w:pPr>
      <w:r>
        <w:rPr>
          <w:rFonts w:hint="eastAsia"/>
          <w:sz w:val="24"/>
        </w:rPr>
        <w:t>第一部分</w:t>
      </w:r>
      <w:r>
        <w:rPr>
          <w:sz w:val="24"/>
        </w:rPr>
        <w:t xml:space="preserve"> </w:t>
      </w:r>
      <w:r>
        <w:rPr>
          <w:rFonts w:hint="eastAsia"/>
          <w:sz w:val="24"/>
        </w:rPr>
        <w:t>单位概况</w:t>
      </w:r>
    </w:p>
    <w:p>
      <w:pPr>
        <w:pStyle w:val="11"/>
        <w:adjustRightInd w:val="0"/>
        <w:snapToGrid w:val="0"/>
        <w:spacing w:line="440" w:lineRule="exact"/>
        <w:jc w:val="left"/>
        <w:rPr>
          <w:rFonts w:ascii="宋体" w:hAnsi="宋体" w:cs="宋体"/>
          <w:sz w:val="24"/>
        </w:rPr>
      </w:pPr>
      <w:r>
        <w:rPr>
          <w:rFonts w:hint="eastAsia"/>
          <w:sz w:val="24"/>
        </w:rPr>
        <w:t>一、职能简介……………………………………………………………………4</w:t>
      </w:r>
    </w:p>
    <w:p>
      <w:pPr>
        <w:pStyle w:val="11"/>
        <w:adjustRightInd w:val="0"/>
        <w:snapToGrid w:val="0"/>
        <w:spacing w:line="44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二、2021年重点工作完成情况…………………………………………………4</w:t>
      </w:r>
    </w:p>
    <w:p>
      <w:pPr>
        <w:pStyle w:val="10"/>
        <w:adjustRightInd w:val="0"/>
        <w:snapToGrid w:val="0"/>
        <w:spacing w:before="0" w:line="440" w:lineRule="exact"/>
        <w:jc w:val="left"/>
        <w:rPr>
          <w:sz w:val="24"/>
          <w:szCs w:val="24"/>
        </w:rPr>
      </w:pPr>
      <w:r>
        <w:rPr>
          <w:rFonts w:hint="eastAsia"/>
          <w:sz w:val="24"/>
        </w:rPr>
        <w:t>第二部分 2021年度单位决算情况说明</w:t>
      </w:r>
    </w:p>
    <w:p>
      <w:pPr>
        <w:pStyle w:val="11"/>
        <w:adjustRightInd w:val="0"/>
        <w:snapToGrid w:val="0"/>
        <w:spacing w:line="440" w:lineRule="exact"/>
        <w:jc w:val="left"/>
        <w:rPr>
          <w:rFonts w:ascii="仿宋" w:hAnsi="仿宋" w:cstheme="minorBidi"/>
          <w:sz w:val="24"/>
        </w:rPr>
      </w:pPr>
      <w:r>
        <w:rPr>
          <w:rFonts w:hint="eastAsia"/>
          <w:sz w:val="24"/>
        </w:rPr>
        <w:t>一、收入支出决算总体情况说明………………………………………………7</w:t>
      </w:r>
    </w:p>
    <w:p>
      <w:pPr>
        <w:pStyle w:val="11"/>
        <w:adjustRightInd w:val="0"/>
        <w:snapToGrid w:val="0"/>
        <w:spacing w:line="440" w:lineRule="exact"/>
        <w:jc w:val="left"/>
        <w:rPr>
          <w:rFonts w:ascii="仿宋" w:hAnsi="仿宋" w:cstheme="minorBidi"/>
          <w:sz w:val="24"/>
        </w:rPr>
      </w:pPr>
      <w:r>
        <w:rPr>
          <w:rFonts w:hint="eastAsia"/>
          <w:sz w:val="24"/>
        </w:rPr>
        <w:t>二、收入决算情况说明…………………………………………………………7</w:t>
      </w:r>
    </w:p>
    <w:p>
      <w:pPr>
        <w:pStyle w:val="11"/>
        <w:adjustRightInd w:val="0"/>
        <w:snapToGrid w:val="0"/>
        <w:spacing w:line="440" w:lineRule="exact"/>
        <w:jc w:val="left"/>
        <w:rPr>
          <w:rFonts w:ascii="仿宋" w:hAnsi="仿宋" w:cstheme="minorBidi"/>
          <w:sz w:val="24"/>
        </w:rPr>
      </w:pPr>
      <w:r>
        <w:rPr>
          <w:rFonts w:hint="eastAsia"/>
          <w:sz w:val="24"/>
        </w:rPr>
        <w:t>三、支出决算情况说明…………………………………………………………8</w:t>
      </w:r>
    </w:p>
    <w:p>
      <w:pPr>
        <w:pStyle w:val="11"/>
        <w:adjustRightInd w:val="0"/>
        <w:snapToGrid w:val="0"/>
        <w:spacing w:line="440" w:lineRule="exact"/>
        <w:jc w:val="left"/>
        <w:rPr>
          <w:rFonts w:ascii="仿宋" w:hAnsi="仿宋" w:cstheme="minorBidi"/>
          <w:sz w:val="24"/>
        </w:rPr>
      </w:pPr>
      <w:r>
        <w:rPr>
          <w:rFonts w:hint="eastAsia"/>
          <w:sz w:val="24"/>
        </w:rPr>
        <w:t>四、财政拨款收入支出决算总体情况说明……………………………………8</w:t>
      </w:r>
    </w:p>
    <w:p>
      <w:pPr>
        <w:pStyle w:val="11"/>
        <w:adjustRightInd w:val="0"/>
        <w:snapToGrid w:val="0"/>
        <w:spacing w:line="440" w:lineRule="exact"/>
        <w:jc w:val="left"/>
        <w:rPr>
          <w:rFonts w:ascii="仿宋" w:hAnsi="仿宋" w:cstheme="minorBidi"/>
          <w:sz w:val="24"/>
        </w:rPr>
      </w:pPr>
      <w:r>
        <w:rPr>
          <w:rFonts w:hint="eastAsia"/>
          <w:sz w:val="24"/>
        </w:rPr>
        <w:t>五、一般公共预算财政拨款支出决算情况说明………………………………9</w:t>
      </w:r>
    </w:p>
    <w:p>
      <w:pPr>
        <w:pStyle w:val="11"/>
        <w:adjustRightInd w:val="0"/>
        <w:snapToGrid w:val="0"/>
        <w:spacing w:line="440" w:lineRule="exact"/>
        <w:jc w:val="left"/>
        <w:rPr>
          <w:rFonts w:ascii="仿宋" w:hAnsi="仿宋" w:cstheme="minorBidi"/>
          <w:sz w:val="24"/>
        </w:rPr>
      </w:pPr>
      <w:r>
        <w:rPr>
          <w:rFonts w:hint="eastAsia"/>
          <w:sz w:val="24"/>
        </w:rPr>
        <w:t>六、一般公共预算财政拨款基本支出决算情况说明…………………………11</w:t>
      </w:r>
    </w:p>
    <w:p>
      <w:pPr>
        <w:pStyle w:val="11"/>
        <w:adjustRightInd w:val="0"/>
        <w:snapToGrid w:val="0"/>
        <w:spacing w:line="440" w:lineRule="exact"/>
        <w:jc w:val="left"/>
        <w:rPr>
          <w:rFonts w:ascii="仿宋" w:hAnsi="仿宋" w:cstheme="minorBidi"/>
          <w:sz w:val="24"/>
        </w:rPr>
      </w:pPr>
      <w:r>
        <w:rPr>
          <w:rFonts w:hint="eastAsia"/>
          <w:sz w:val="24"/>
        </w:rPr>
        <w:t>七、“三公”经费财政拨款支出决算情况说明………………………………11八、政府性基金预算支出决算情况明…………………………………………13</w:t>
      </w:r>
    </w:p>
    <w:p>
      <w:pPr>
        <w:pStyle w:val="11"/>
        <w:tabs>
          <w:tab w:val="left" w:pos="5872"/>
          <w:tab w:val="clear" w:pos="8296"/>
        </w:tabs>
        <w:adjustRightInd w:val="0"/>
        <w:snapToGrid w:val="0"/>
        <w:spacing w:line="440" w:lineRule="exact"/>
        <w:jc w:val="left"/>
        <w:rPr>
          <w:sz w:val="24"/>
        </w:rPr>
      </w:pPr>
      <w:r>
        <w:rPr>
          <w:rFonts w:hint="eastAsia"/>
          <w:sz w:val="24"/>
        </w:rPr>
        <w:t>九、国有资本经营预算支出决算情况说明……………………………………13</w:t>
      </w:r>
    </w:p>
    <w:p>
      <w:pPr>
        <w:pStyle w:val="11"/>
        <w:adjustRightInd w:val="0"/>
        <w:snapToGrid w:val="0"/>
        <w:spacing w:line="440" w:lineRule="exact"/>
        <w:jc w:val="left"/>
      </w:pPr>
      <w:r>
        <w:rPr>
          <w:rFonts w:hint="eastAsia"/>
          <w:sz w:val="24"/>
        </w:rPr>
        <w:t>十、</w:t>
      </w:r>
      <w:r>
        <w:rPr>
          <w:rFonts w:hint="eastAsia" w:asciiTheme="minorEastAsia" w:hAnsiTheme="minorEastAsia" w:eastAsiaTheme="minorEastAsia" w:cstheme="minorEastAsia"/>
          <w:sz w:val="24"/>
        </w:rPr>
        <w:t>预算绩效管理情况…………………………………………………………13</w:t>
      </w:r>
    </w:p>
    <w:p>
      <w:pPr>
        <w:pStyle w:val="11"/>
        <w:adjustRightInd w:val="0"/>
        <w:snapToGrid w:val="0"/>
        <w:spacing w:line="440" w:lineRule="exact"/>
        <w:jc w:val="left"/>
      </w:pPr>
      <w:r>
        <w:rPr>
          <w:rFonts w:hint="eastAsia"/>
          <w:sz w:val="24"/>
        </w:rPr>
        <w:t>十一、其他重要事项的情况说明………………………………………………13</w:t>
      </w:r>
    </w:p>
    <w:p>
      <w:pPr>
        <w:pStyle w:val="10"/>
        <w:adjustRightInd w:val="0"/>
        <w:snapToGrid w:val="0"/>
        <w:spacing w:before="0" w:line="440" w:lineRule="exact"/>
        <w:jc w:val="left"/>
        <w:rPr>
          <w:rFonts w:cstheme="minorBidi"/>
          <w:sz w:val="24"/>
          <w:szCs w:val="24"/>
        </w:rPr>
      </w:pPr>
      <w:r>
        <w:rPr>
          <w:rFonts w:hint="eastAsia"/>
          <w:sz w:val="24"/>
        </w:rPr>
        <w:t>第三部分</w:t>
      </w:r>
      <w:r>
        <w:rPr>
          <w:sz w:val="24"/>
        </w:rPr>
        <w:t xml:space="preserve"> </w:t>
      </w:r>
      <w:r>
        <w:rPr>
          <w:rFonts w:hint="eastAsia"/>
          <w:sz w:val="24"/>
        </w:rPr>
        <w:t>名词解释…………………………………………………………………15</w:t>
      </w:r>
    </w:p>
    <w:p>
      <w:pPr>
        <w:pStyle w:val="10"/>
        <w:adjustRightInd w:val="0"/>
        <w:snapToGrid w:val="0"/>
        <w:spacing w:before="0" w:line="440" w:lineRule="exact"/>
        <w:jc w:val="left"/>
        <w:rPr>
          <w:rFonts w:cstheme="minorBidi"/>
          <w:sz w:val="24"/>
          <w:szCs w:val="24"/>
        </w:rPr>
      </w:pPr>
      <w:r>
        <w:rPr>
          <w:rFonts w:hint="eastAsia"/>
          <w:sz w:val="24"/>
        </w:rPr>
        <w:t>第四部分</w:t>
      </w:r>
      <w:r>
        <w:rPr>
          <w:sz w:val="24"/>
        </w:rPr>
        <w:t xml:space="preserve"> </w:t>
      </w:r>
      <w:r>
        <w:rPr>
          <w:rFonts w:hint="eastAsia"/>
          <w:sz w:val="24"/>
        </w:rPr>
        <w:t>附件………………………………………………………………………18</w:t>
      </w:r>
    </w:p>
    <w:p>
      <w:pPr>
        <w:pStyle w:val="10"/>
        <w:adjustRightInd w:val="0"/>
        <w:snapToGrid w:val="0"/>
        <w:spacing w:before="0" w:line="440" w:lineRule="exact"/>
        <w:jc w:val="left"/>
        <w:rPr>
          <w:rFonts w:cstheme="minorBidi"/>
          <w:sz w:val="24"/>
          <w:szCs w:val="24"/>
        </w:rPr>
      </w:pPr>
      <w:r>
        <w:rPr>
          <w:rFonts w:hint="eastAsia"/>
          <w:sz w:val="24"/>
        </w:rPr>
        <w:t>第五部分</w:t>
      </w:r>
      <w:r>
        <w:rPr>
          <w:sz w:val="24"/>
        </w:rPr>
        <w:t xml:space="preserve"> </w:t>
      </w:r>
      <w:r>
        <w:rPr>
          <w:rFonts w:hint="eastAsia"/>
          <w:sz w:val="24"/>
        </w:rPr>
        <w:t>附表………………………………………………………………………24</w:t>
      </w:r>
    </w:p>
    <w:p>
      <w:pPr>
        <w:pStyle w:val="11"/>
        <w:adjustRightInd w:val="0"/>
        <w:snapToGrid w:val="0"/>
        <w:spacing w:line="440" w:lineRule="exact"/>
        <w:jc w:val="left"/>
        <w:rPr>
          <w:sz w:val="24"/>
        </w:rPr>
      </w:pPr>
      <w:r>
        <w:rPr>
          <w:rFonts w:hint="eastAsia"/>
          <w:sz w:val="24"/>
        </w:rPr>
        <w:t>一、收入支出决算总表</w:t>
      </w:r>
    </w:p>
    <w:p>
      <w:pPr>
        <w:pStyle w:val="11"/>
        <w:adjustRightInd w:val="0"/>
        <w:snapToGrid w:val="0"/>
        <w:spacing w:line="440" w:lineRule="exact"/>
        <w:jc w:val="left"/>
        <w:rPr>
          <w:sz w:val="24"/>
        </w:rPr>
      </w:pPr>
      <w:r>
        <w:rPr>
          <w:rFonts w:hint="eastAsia"/>
          <w:sz w:val="24"/>
        </w:rPr>
        <w:t>二、收入决算表</w:t>
      </w:r>
    </w:p>
    <w:p>
      <w:pPr>
        <w:pStyle w:val="11"/>
        <w:adjustRightInd w:val="0"/>
        <w:snapToGrid w:val="0"/>
        <w:spacing w:line="440" w:lineRule="exact"/>
        <w:jc w:val="left"/>
        <w:rPr>
          <w:sz w:val="24"/>
        </w:rPr>
      </w:pPr>
      <w:r>
        <w:rPr>
          <w:rFonts w:hint="eastAsia"/>
          <w:sz w:val="24"/>
        </w:rPr>
        <w:t>三、支出决算表</w:t>
      </w:r>
    </w:p>
    <w:p>
      <w:pPr>
        <w:pStyle w:val="11"/>
        <w:adjustRightInd w:val="0"/>
        <w:snapToGrid w:val="0"/>
        <w:spacing w:line="440" w:lineRule="exact"/>
        <w:jc w:val="left"/>
        <w:rPr>
          <w:sz w:val="24"/>
        </w:rPr>
      </w:pPr>
      <w:r>
        <w:rPr>
          <w:rFonts w:hint="eastAsia"/>
          <w:sz w:val="24"/>
        </w:rPr>
        <w:t>四、财政拨款收入支出决算总表</w:t>
      </w:r>
    </w:p>
    <w:p>
      <w:pPr>
        <w:pStyle w:val="11"/>
        <w:adjustRightInd w:val="0"/>
        <w:snapToGrid w:val="0"/>
        <w:spacing w:line="440" w:lineRule="exact"/>
        <w:jc w:val="left"/>
        <w:rPr>
          <w:sz w:val="24"/>
        </w:rPr>
      </w:pPr>
      <w:r>
        <w:rPr>
          <w:rFonts w:hint="eastAsia"/>
          <w:sz w:val="24"/>
        </w:rPr>
        <w:t>五、财政拨款支出决算明细表</w:t>
      </w:r>
    </w:p>
    <w:p>
      <w:pPr>
        <w:pStyle w:val="11"/>
        <w:adjustRightInd w:val="0"/>
        <w:snapToGrid w:val="0"/>
        <w:spacing w:line="440" w:lineRule="exact"/>
        <w:jc w:val="left"/>
        <w:rPr>
          <w:sz w:val="24"/>
        </w:rPr>
      </w:pPr>
      <w:r>
        <w:rPr>
          <w:rFonts w:hint="eastAsia"/>
          <w:sz w:val="24"/>
        </w:rPr>
        <w:t>六、一般公共预算财政拨款支出决算表</w:t>
      </w:r>
    </w:p>
    <w:p>
      <w:pPr>
        <w:pStyle w:val="11"/>
        <w:adjustRightInd w:val="0"/>
        <w:snapToGrid w:val="0"/>
        <w:spacing w:line="440" w:lineRule="exact"/>
        <w:jc w:val="left"/>
        <w:rPr>
          <w:sz w:val="24"/>
        </w:rPr>
      </w:pPr>
      <w:r>
        <w:rPr>
          <w:rFonts w:hint="eastAsia"/>
          <w:sz w:val="24"/>
        </w:rPr>
        <w:t>七、一般公共预算财政拨款支出决算明细表</w:t>
      </w:r>
    </w:p>
    <w:p>
      <w:pPr>
        <w:pStyle w:val="11"/>
        <w:adjustRightInd w:val="0"/>
        <w:snapToGrid w:val="0"/>
        <w:spacing w:line="440" w:lineRule="exact"/>
        <w:jc w:val="left"/>
        <w:rPr>
          <w:sz w:val="24"/>
        </w:rPr>
      </w:pPr>
      <w:r>
        <w:rPr>
          <w:rFonts w:hint="eastAsia"/>
          <w:sz w:val="24"/>
        </w:rPr>
        <w:t>八、一般公共预算财政拨款基本支出决算表</w:t>
      </w:r>
    </w:p>
    <w:p>
      <w:pPr>
        <w:pStyle w:val="11"/>
        <w:adjustRightInd w:val="0"/>
        <w:snapToGrid w:val="0"/>
        <w:spacing w:line="440" w:lineRule="exact"/>
        <w:jc w:val="left"/>
        <w:rPr>
          <w:sz w:val="24"/>
        </w:rPr>
      </w:pPr>
      <w:r>
        <w:rPr>
          <w:rFonts w:hint="eastAsia"/>
          <w:sz w:val="24"/>
        </w:rPr>
        <w:t>九、一般公共预算财政拨款项目支出决算表</w:t>
      </w:r>
    </w:p>
    <w:p>
      <w:pPr>
        <w:pStyle w:val="11"/>
        <w:adjustRightInd w:val="0"/>
        <w:snapToGrid w:val="0"/>
        <w:spacing w:line="440" w:lineRule="exact"/>
        <w:jc w:val="left"/>
        <w:rPr>
          <w:sz w:val="24"/>
        </w:rPr>
      </w:pPr>
      <w:r>
        <w:rPr>
          <w:rFonts w:hint="eastAsia"/>
          <w:sz w:val="24"/>
        </w:rPr>
        <w:t>十、一般公共预算财政拨款“三公”经费支出决算表</w:t>
      </w:r>
    </w:p>
    <w:p>
      <w:pPr>
        <w:pStyle w:val="11"/>
        <w:adjustRightInd w:val="0"/>
        <w:snapToGrid w:val="0"/>
        <w:spacing w:line="440" w:lineRule="exact"/>
        <w:jc w:val="left"/>
        <w:rPr>
          <w:sz w:val="24"/>
        </w:rPr>
      </w:pPr>
      <w:r>
        <w:rPr>
          <w:rFonts w:hint="eastAsia"/>
          <w:sz w:val="24"/>
        </w:rPr>
        <w:t>十一、政府性基金预算财政拨款收入支出决算表</w:t>
      </w:r>
    </w:p>
    <w:p>
      <w:pPr>
        <w:pStyle w:val="11"/>
        <w:adjustRightInd w:val="0"/>
        <w:snapToGrid w:val="0"/>
        <w:spacing w:line="440" w:lineRule="exact"/>
        <w:jc w:val="left"/>
        <w:rPr>
          <w:sz w:val="24"/>
        </w:rPr>
      </w:pPr>
      <w:r>
        <w:rPr>
          <w:rFonts w:hint="eastAsia"/>
          <w:sz w:val="24"/>
        </w:rPr>
        <w:t>十二、政府性基金预算财政拨款“三公”经费支出决算表</w:t>
      </w:r>
    </w:p>
    <w:p>
      <w:pPr>
        <w:pStyle w:val="11"/>
        <w:adjustRightInd w:val="0"/>
        <w:snapToGrid w:val="0"/>
        <w:spacing w:line="440" w:lineRule="exact"/>
        <w:jc w:val="left"/>
        <w:rPr>
          <w:sz w:val="24"/>
        </w:rPr>
      </w:pPr>
      <w:r>
        <w:rPr>
          <w:rFonts w:hint="eastAsia"/>
          <w:sz w:val="24"/>
        </w:rPr>
        <w:t>十三、国有资本经营预算财政拨款收入支出决算表</w:t>
      </w:r>
    </w:p>
    <w:p>
      <w:pPr>
        <w:pStyle w:val="11"/>
        <w:adjustRightInd w:val="0"/>
        <w:snapToGrid w:val="0"/>
        <w:spacing w:line="440" w:lineRule="exact"/>
        <w:jc w:val="left"/>
        <w:rPr>
          <w:sz w:val="24"/>
        </w:rPr>
      </w:pPr>
      <w:r>
        <w:rPr>
          <w:rFonts w:hint="eastAsia"/>
          <w:sz w:val="24"/>
        </w:rPr>
        <w:t>十四、国有资本经营预算财政拨款支出决算表</w:t>
      </w:r>
    </w:p>
    <w:p>
      <w:pPr>
        <w:widowControl/>
        <w:spacing w:line="440" w:lineRule="exact"/>
        <w:jc w:val="left"/>
        <w:rPr>
          <w:rFonts w:ascii="仿宋" w:hAnsi="仿宋" w:eastAsia="仿宋"/>
          <w:bCs/>
          <w:kern w:val="44"/>
          <w:sz w:val="24"/>
        </w:rPr>
      </w:pPr>
      <w:bookmarkStart w:id="12" w:name="_Toc15396599"/>
      <w:bookmarkStart w:id="13" w:name="_Toc15377196"/>
      <w:bookmarkStart w:id="69" w:name="_GoBack"/>
      <w:bookmarkEnd w:id="69"/>
      <w:r>
        <w:rPr>
          <w:rFonts w:ascii="仿宋" w:hAnsi="仿宋" w:eastAsia="仿宋"/>
          <w:b/>
          <w:sz w:val="24"/>
        </w:rPr>
        <w:br w:type="page"/>
      </w:r>
    </w:p>
    <w:p>
      <w:pPr>
        <w:pStyle w:val="3"/>
        <w:jc w:val="center"/>
        <w:rPr>
          <w:rStyle w:val="25"/>
          <w:rFonts w:ascii="黑体" w:hAnsi="黑体" w:eastAsia="黑体"/>
          <w:b/>
          <w:bCs w:val="0"/>
        </w:rPr>
      </w:pPr>
      <w:r>
        <w:rPr>
          <w:rFonts w:hint="eastAsia" w:ascii="黑体" w:hAnsi="黑体" w:eastAsia="黑体"/>
          <w:b w:val="0"/>
        </w:rPr>
        <w:t>第一部分 单位</w:t>
      </w:r>
      <w:r>
        <w:rPr>
          <w:rStyle w:val="25"/>
          <w:rFonts w:hint="eastAsia" w:ascii="黑体" w:hAnsi="黑体" w:eastAsia="黑体"/>
          <w:b w:val="0"/>
          <w:bCs w:val="0"/>
        </w:rPr>
        <w:t>概况</w:t>
      </w:r>
      <w:bookmarkEnd w:id="12"/>
      <w:bookmarkEnd w:id="13"/>
    </w:p>
    <w:p>
      <w:pPr>
        <w:widowControl/>
        <w:jc w:val="left"/>
        <w:rPr>
          <w:rFonts w:ascii="黑体" w:eastAsia="黑体"/>
          <w:sz w:val="32"/>
          <w:szCs w:val="32"/>
        </w:rPr>
      </w:pPr>
    </w:p>
    <w:p>
      <w:pPr>
        <w:pStyle w:val="2"/>
        <w:spacing w:before="0" w:after="0" w:line="500" w:lineRule="exact"/>
        <w:rPr>
          <w:rFonts w:ascii="黑体" w:hAnsi="黑体" w:eastAsia="黑体" w:cs="黑体"/>
          <w:b w:val="0"/>
          <w:bCs w:val="0"/>
          <w:color w:val="000000"/>
          <w:sz w:val="30"/>
          <w:szCs w:val="30"/>
        </w:rPr>
      </w:pPr>
      <w:bookmarkStart w:id="14" w:name="_Toc15377197"/>
      <w:bookmarkStart w:id="15" w:name="_Toc15396600"/>
      <w:r>
        <w:rPr>
          <w:rFonts w:hint="eastAsia" w:ascii="黑体" w:hAnsi="黑体" w:eastAsia="黑体" w:cs="黑体"/>
          <w:b w:val="0"/>
          <w:bCs w:val="0"/>
          <w:color w:val="000000"/>
          <w:sz w:val="30"/>
          <w:szCs w:val="30"/>
        </w:rPr>
        <w:t>一、职能简介</w:t>
      </w:r>
      <w:bookmarkStart w:id="16" w:name="_Toc15378445"/>
      <w:bookmarkStart w:id="17" w:name="_Toc15377198"/>
    </w:p>
    <w:p>
      <w:pPr>
        <w:pStyle w:val="2"/>
        <w:spacing w:before="0" w:after="0" w:line="500" w:lineRule="exact"/>
        <w:rPr>
          <w:rFonts w:ascii="黑体" w:hAnsi="黑体" w:eastAsia="黑体" w:cs="黑体"/>
          <w:b w:val="0"/>
          <w:bCs w:val="0"/>
          <w:color w:val="000000"/>
          <w:sz w:val="30"/>
          <w:szCs w:val="30"/>
        </w:rPr>
      </w:pPr>
      <w:r>
        <w:rPr>
          <w:rFonts w:hint="eastAsia" w:ascii="黑体" w:hAnsi="黑体" w:eastAsia="黑体" w:cs="黑体"/>
          <w:b w:val="0"/>
          <w:bCs w:val="0"/>
          <w:color w:val="000000"/>
          <w:sz w:val="30"/>
          <w:szCs w:val="30"/>
        </w:rPr>
        <w:t>（一）基本职能</w:t>
      </w:r>
      <w:bookmarkEnd w:id="16"/>
      <w:bookmarkEnd w:id="17"/>
    </w:p>
    <w:p>
      <w:pPr>
        <w:spacing w:line="540" w:lineRule="exact"/>
        <w:ind w:firstLine="640" w:firstLineChars="200"/>
      </w:pPr>
      <w:r>
        <w:rPr>
          <w:rFonts w:hint="eastAsia" w:ascii="仿宋_GB2312" w:eastAsia="仿宋_GB2312"/>
          <w:sz w:val="32"/>
          <w:szCs w:val="32"/>
        </w:rPr>
        <w:t>负责编制市本级土地储备计划并实施；负责储备土地实施前期开发和管护；配合土地储备专项债券发行工作；承担国有建设用地供应事务性工作；负责国有建设用地二级市场相关工作。</w:t>
      </w:r>
    </w:p>
    <w:p>
      <w:pPr>
        <w:rPr>
          <w:rStyle w:val="26"/>
          <w:rFonts w:ascii="黑体" w:hAnsi="黑体" w:eastAsia="黑体"/>
          <w:b w:val="0"/>
          <w:bCs w:val="0"/>
        </w:rPr>
      </w:pPr>
      <w:r>
        <w:rPr>
          <w:rStyle w:val="26"/>
          <w:rFonts w:hint="eastAsia" w:ascii="黑体" w:hAnsi="黑体" w:eastAsia="黑体"/>
          <w:b w:val="0"/>
          <w:bCs w:val="0"/>
        </w:rPr>
        <w:t>二、2021年重点工作</w:t>
      </w:r>
      <w:bookmarkEnd w:id="14"/>
      <w:bookmarkEnd w:id="15"/>
      <w:r>
        <w:rPr>
          <w:rStyle w:val="26"/>
          <w:rFonts w:hint="eastAsia" w:ascii="黑体" w:hAnsi="黑体" w:eastAsia="黑体"/>
          <w:b w:val="0"/>
          <w:bCs w:val="0"/>
        </w:rPr>
        <w:t>完成情况</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2021年，我中心在新冠肺炎疫情大环境下，主动担当，在做好土地规划指标核实、权属来源及勘测定界调查、地质灾害危险性评估委托、地价评估委托、征拆完成情况核实等供地前期准备工作的基础上，报请市政府召开15次市土管会，审议我中心编制和报批的供地方案或审批表49份，审议通过49份；按程序录入、下载、修改报批国有建设用地使用权出让合同19份，颁发划拨决定书11份，国有建设用地使用权出让合同变更协议17份，签订收回协议2份。拍卖成交出让土地2宗、面积142亩（不含棚改、旧城等产业项目用地以及已供土地改变利用条件），签订成交土地出让合同价款9.3亿元。</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截止12月14日，我中心全年实现上缴财政入库土地价款21.8168亿元，其中，土地出让价款收入19.2309亿元、划拨价款0.1050亿元、补缴土地出让价款（超容积率、续期、改变用途等2.1300亿元、其他土地收入0.3509亿元，超额完成下达的20亿元目标任务，完成率109%。</w:t>
      </w:r>
    </w:p>
    <w:p>
      <w:pPr>
        <w:spacing w:line="360" w:lineRule="auto"/>
        <w:ind w:firstLine="640" w:firstLineChars="200"/>
        <w:rPr>
          <w:rFonts w:ascii="仿宋" w:hAnsi="仿宋" w:eastAsia="仿宋" w:cs="仿宋"/>
          <w:sz w:val="32"/>
          <w:szCs w:val="32"/>
        </w:rPr>
      </w:pPr>
      <w:r>
        <w:rPr>
          <w:rFonts w:hint="eastAsia" w:ascii="楷体" w:hAnsi="楷体" w:eastAsia="楷体" w:cs="楷体"/>
          <w:sz w:val="32"/>
          <w:szCs w:val="32"/>
        </w:rPr>
        <w:t>(一)土地交易、收回，处理遗留问题工作</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2021年，我中心认真贯彻落实上级对产业项目用地保障工作的安排和要求，委托拍卖康养产业园医院项目（KY02）用地、凤凰山棚户区改造项目1号地块内A地块、位于广元市利州区东坝办事处莲花片区莲花B安置点东侧、北二环南侧、电子路北延线西侧(东坪社区一二三组、莲花社区二组)地块；在做好保障产业项目用地工作的同时，继续推进棚户区项目供地，按照棚户区改造进度，完善人才市场、解家岩、凤凰山等棚改项目用地手续，保障限价商品房项目供地。</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收回武警广元支队嘉陵路105号营区、213教导队营区和103原一中队营区3宗土地和“南岸.半山”项目国有建设用地使用权；收回位于广元市利州区东坝办事处瓷莲路东侧、莲花社区四组用于建设碧翠园公租房项目二期的住宅用地，将该宗地有低价拍卖出让，用于限价商品房建设。</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处理“高金.凤琴岚湾”调整地下用地边界、“天润.新天地”项目一期开时间认定、“阳光.壹号院”周边零星地块征收、“广元凤凰城”明确开竣工期限等历史遗留问题。</w:t>
      </w:r>
    </w:p>
    <w:p>
      <w:pPr>
        <w:spacing w:line="360" w:lineRule="auto"/>
        <w:ind w:firstLine="640" w:firstLineChars="200"/>
        <w:rPr>
          <w:rFonts w:ascii="楷体" w:hAnsi="楷体" w:eastAsia="楷体" w:cs="楷体"/>
          <w:sz w:val="32"/>
          <w:szCs w:val="32"/>
        </w:rPr>
      </w:pPr>
      <w:r>
        <w:rPr>
          <w:rFonts w:hint="eastAsia" w:ascii="楷体" w:hAnsi="楷体" w:eastAsia="楷体" w:cs="楷体"/>
          <w:sz w:val="32"/>
          <w:szCs w:val="32"/>
        </w:rPr>
        <w:t>（二）土地储备和储备土地日常管护工作</w:t>
      </w:r>
    </w:p>
    <w:p>
      <w:pPr>
        <w:spacing w:line="360" w:lineRule="auto"/>
        <w:ind w:firstLine="640" w:firstLineChars="200"/>
        <w:rPr>
          <w:rFonts w:ascii="楷体" w:hAnsi="楷体" w:eastAsia="楷体" w:cs="楷体"/>
          <w:sz w:val="32"/>
          <w:szCs w:val="32"/>
        </w:rPr>
      </w:pPr>
      <w:r>
        <w:rPr>
          <w:rFonts w:hint="eastAsia" w:ascii="仿宋" w:hAnsi="仿宋" w:eastAsia="仿宋" w:cs="仿宋"/>
          <w:sz w:val="32"/>
          <w:szCs w:val="32"/>
        </w:rPr>
        <w:t>在市局安排下，编制年度工作计划，确保年度经营性供地和产业项目等用地计划落实到位。2021年，我中心继续采取聘请看护值班人员、安排专职工作人员等方式巡查管护储备土地，保障储备土地场内秩序和规范，未发生乱弃、乱倒、乱占储备土地的行为。</w:t>
      </w:r>
      <w:r>
        <w:rPr>
          <w:rFonts w:hint="eastAsia" w:ascii="仿宋" w:hAnsi="仿宋" w:eastAsia="仿宋"/>
          <w:kern w:val="0"/>
          <w:sz w:val="32"/>
          <w:szCs w:val="32"/>
        </w:rPr>
        <w:t>加强对已建成弃土场的安全管理工作。安排专人值班并定期对弃土场常态化安全巡查和督导，继续执行《雪峰、瓷莲路弃土场汛期应急预案》</w:t>
      </w:r>
      <w:r>
        <w:rPr>
          <w:rFonts w:hint="eastAsia" w:ascii="仿宋" w:hAnsi="仿宋" w:eastAsia="仿宋"/>
          <w:sz w:val="32"/>
          <w:szCs w:val="32"/>
        </w:rPr>
        <w:t>，做好隐患排查和预防工作。</w:t>
      </w:r>
    </w:p>
    <w:p>
      <w:pPr>
        <w:spacing w:line="360" w:lineRule="auto"/>
        <w:ind w:firstLine="640" w:firstLineChars="200"/>
        <w:rPr>
          <w:rFonts w:ascii="楷体" w:hAnsi="楷体" w:eastAsia="楷体" w:cs="楷体"/>
          <w:sz w:val="32"/>
          <w:szCs w:val="32"/>
        </w:rPr>
      </w:pPr>
      <w:r>
        <w:rPr>
          <w:rFonts w:hint="eastAsia" w:ascii="楷体" w:hAnsi="楷体" w:eastAsia="楷体" w:cs="楷体"/>
          <w:sz w:val="32"/>
          <w:szCs w:val="32"/>
        </w:rPr>
        <w:t>（三）档案管理工作</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我中心在做好储备交易、土地收回、遗留问题处理等工作的同时，高度重视档案管理工作，落实专人管理档案，今年共计梳理、移交档案馆资产档案45宗。</w:t>
      </w:r>
    </w:p>
    <w:p>
      <w:pPr>
        <w:pStyle w:val="2"/>
        <w:rPr>
          <w:rFonts w:ascii="仿宋" w:hAnsi="仿宋" w:eastAsia="仿宋" w:cs="仿宋"/>
        </w:rPr>
      </w:pPr>
    </w:p>
    <w:p>
      <w:pPr>
        <w:rPr>
          <w:rFonts w:ascii="仿宋" w:hAnsi="仿宋" w:eastAsia="仿宋" w:cs="仿宋"/>
          <w:sz w:val="32"/>
          <w:szCs w:val="32"/>
        </w:rPr>
      </w:pPr>
    </w:p>
    <w:p>
      <w:pPr>
        <w:pStyle w:val="2"/>
        <w:rPr>
          <w:rFonts w:ascii="仿宋" w:hAnsi="仿宋" w:eastAsia="仿宋" w:cs="仿宋"/>
        </w:rPr>
      </w:pPr>
    </w:p>
    <w:p>
      <w:pPr>
        <w:rPr>
          <w:rFonts w:ascii="仿宋" w:hAnsi="仿宋" w:eastAsia="仿宋" w:cs="仿宋"/>
          <w:sz w:val="32"/>
          <w:szCs w:val="32"/>
        </w:rPr>
      </w:pPr>
    </w:p>
    <w:p>
      <w:pPr>
        <w:pStyle w:val="2"/>
      </w:pPr>
    </w:p>
    <w:p>
      <w:pPr>
        <w:pStyle w:val="2"/>
        <w:rPr>
          <w:rFonts w:ascii="仿宋" w:hAnsi="仿宋" w:eastAsia="仿宋" w:cs="仿宋"/>
        </w:rPr>
      </w:pPr>
    </w:p>
    <w:p/>
    <w:p>
      <w:pPr>
        <w:pStyle w:val="3"/>
        <w:ind w:right="440"/>
        <w:jc w:val="center"/>
        <w:rPr>
          <w:rStyle w:val="25"/>
          <w:rFonts w:ascii="黑体" w:hAnsi="黑体" w:eastAsia="黑体"/>
          <w:b w:val="0"/>
          <w:bCs/>
        </w:rPr>
      </w:pPr>
      <w:bookmarkStart w:id="18" w:name="_Toc15396602"/>
      <w:bookmarkStart w:id="19" w:name="_Toc15377204"/>
      <w:r>
        <w:rPr>
          <w:rFonts w:hint="eastAsia" w:ascii="黑体" w:hAnsi="黑体" w:eastAsia="黑体"/>
          <w:b w:val="0"/>
        </w:rPr>
        <w:t>第二部分 2021年度</w:t>
      </w:r>
      <w:r>
        <w:rPr>
          <w:rStyle w:val="25"/>
          <w:rFonts w:hint="eastAsia" w:ascii="黑体" w:hAnsi="黑体" w:eastAsia="黑体"/>
          <w:b w:val="0"/>
          <w:bCs/>
        </w:rPr>
        <w:t>单位决算情况说明</w:t>
      </w:r>
      <w:bookmarkEnd w:id="18"/>
      <w:bookmarkEnd w:id="19"/>
    </w:p>
    <w:p/>
    <w:p>
      <w:pPr>
        <w:pStyle w:val="24"/>
        <w:numPr>
          <w:ilvl w:val="0"/>
          <w:numId w:val="1"/>
        </w:numPr>
        <w:spacing w:line="600" w:lineRule="exact"/>
        <w:ind w:firstLineChars="0"/>
        <w:outlineLvl w:val="1"/>
        <w:rPr>
          <w:rStyle w:val="26"/>
          <w:rFonts w:ascii="黑体" w:hAnsi="黑体" w:eastAsia="黑体"/>
          <w:b w:val="0"/>
        </w:rPr>
      </w:pPr>
      <w:bookmarkStart w:id="20" w:name="_Toc15377205"/>
      <w:bookmarkStart w:id="21" w:name="_Toc15396603"/>
      <w:r>
        <w:rPr>
          <w:rFonts w:hint="eastAsia" w:ascii="黑体" w:hAnsi="黑体" w:eastAsia="黑体"/>
          <w:sz w:val="32"/>
          <w:szCs w:val="32"/>
        </w:rPr>
        <w:t>收</w:t>
      </w:r>
      <w:r>
        <w:rPr>
          <w:rStyle w:val="26"/>
          <w:rFonts w:hint="eastAsia" w:ascii="黑体" w:hAnsi="黑体" w:eastAsia="黑体"/>
          <w:b w:val="0"/>
        </w:rPr>
        <w:t>入支出决算总体情况说明</w:t>
      </w:r>
      <w:bookmarkEnd w:id="20"/>
      <w:bookmarkEnd w:id="21"/>
    </w:p>
    <w:p>
      <w:pPr>
        <w:spacing w:line="600" w:lineRule="exact"/>
        <w:ind w:firstLine="640" w:firstLineChars="200"/>
        <w:rPr>
          <w:rFonts w:ascii="仿宋" w:hAnsi="仿宋" w:eastAsia="仿宋"/>
          <w:sz w:val="32"/>
          <w:szCs w:val="32"/>
        </w:rPr>
      </w:pPr>
      <w:r>
        <w:rPr>
          <w:rFonts w:hint="eastAsia" w:ascii="仿宋" w:hAnsi="仿宋" w:eastAsia="仿宋"/>
          <w:sz w:val="32"/>
          <w:szCs w:val="32"/>
        </w:rPr>
        <w:t>2021年度收、支总计3054.07万元。与2020年相比，收、支总计各增加1894.26万元，增加62.02</w:t>
      </w:r>
      <w:r>
        <w:rPr>
          <w:rFonts w:ascii="仿宋" w:hAnsi="仿宋" w:eastAsia="仿宋"/>
          <w:sz w:val="32"/>
          <w:szCs w:val="32"/>
        </w:rPr>
        <w:t>%</w:t>
      </w:r>
      <w:r>
        <w:rPr>
          <w:rFonts w:hint="eastAsia" w:ascii="仿宋" w:hAnsi="仿宋" w:eastAsia="仿宋"/>
          <w:sz w:val="32"/>
          <w:szCs w:val="32"/>
        </w:rPr>
        <w:t>。主要变动原因是征地和拆迁补偿支出增加。</w:t>
      </w:r>
    </w:p>
    <w:p>
      <w:pPr>
        <w:pStyle w:val="23"/>
      </w:pPr>
      <w:r>
        <w:rPr>
          <w:rFonts w:hint="eastAsia"/>
        </w:rPr>
        <w:t xml:space="preserve">                   </w:t>
      </w:r>
      <w:r>
        <w:drawing>
          <wp:inline distT="0" distB="0" distL="114300" distR="114300">
            <wp:extent cx="4706620" cy="3387090"/>
            <wp:effectExtent l="4445" t="4445" r="13335" b="6985"/>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spacing w:line="600" w:lineRule="exact"/>
        <w:ind w:firstLine="1280" w:firstLineChars="400"/>
        <w:rPr>
          <w:rFonts w:ascii="仿宋" w:hAnsi="仿宋" w:eastAsia="仿宋"/>
          <w:sz w:val="32"/>
          <w:szCs w:val="32"/>
        </w:rPr>
      </w:pPr>
      <w:r>
        <w:rPr>
          <w:rFonts w:hint="eastAsia" w:ascii="仿宋" w:hAnsi="仿宋" w:eastAsia="仿宋"/>
          <w:sz w:val="32"/>
          <w:szCs w:val="32"/>
        </w:rPr>
        <w:t>（图</w:t>
      </w:r>
      <w:r>
        <w:rPr>
          <w:rFonts w:ascii="仿宋" w:hAnsi="仿宋" w:eastAsia="仿宋"/>
          <w:sz w:val="32"/>
          <w:szCs w:val="32"/>
        </w:rPr>
        <w:t>1</w:t>
      </w:r>
      <w:r>
        <w:rPr>
          <w:rFonts w:hint="eastAsia" w:ascii="仿宋" w:hAnsi="仿宋" w:eastAsia="仿宋"/>
          <w:sz w:val="32"/>
          <w:szCs w:val="32"/>
        </w:rPr>
        <w:t>：收、支决算总计变动情况图）</w:t>
      </w:r>
    </w:p>
    <w:p>
      <w:pPr>
        <w:pStyle w:val="23"/>
      </w:pPr>
    </w:p>
    <w:p>
      <w:pPr>
        <w:pStyle w:val="24"/>
        <w:numPr>
          <w:ilvl w:val="0"/>
          <w:numId w:val="1"/>
        </w:numPr>
        <w:spacing w:line="600" w:lineRule="exact"/>
        <w:ind w:firstLineChars="0"/>
        <w:outlineLvl w:val="1"/>
        <w:rPr>
          <w:rStyle w:val="26"/>
          <w:rFonts w:ascii="黑体" w:hAnsi="黑体" w:eastAsia="黑体"/>
          <w:b w:val="0"/>
        </w:rPr>
      </w:pPr>
      <w:bookmarkStart w:id="22" w:name="_Toc15396604"/>
      <w:bookmarkStart w:id="23" w:name="_Toc15377206"/>
      <w:r>
        <w:rPr>
          <w:rFonts w:hint="eastAsia" w:ascii="黑体" w:hAnsi="黑体" w:eastAsia="黑体"/>
          <w:sz w:val="32"/>
          <w:szCs w:val="32"/>
        </w:rPr>
        <w:t>收</w:t>
      </w:r>
      <w:r>
        <w:rPr>
          <w:rStyle w:val="26"/>
          <w:rFonts w:hint="eastAsia" w:ascii="黑体" w:hAnsi="黑体" w:eastAsia="黑体"/>
          <w:b w:val="0"/>
        </w:rPr>
        <w:t>入决算情况说明</w:t>
      </w:r>
      <w:bookmarkEnd w:id="22"/>
      <w:bookmarkEnd w:id="23"/>
    </w:p>
    <w:p>
      <w:pPr>
        <w:spacing w:line="600" w:lineRule="exact"/>
        <w:ind w:firstLine="640" w:firstLineChars="200"/>
        <w:outlineLvl w:val="1"/>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21年本年收入合计2915.72万元，其中：一般公共预算财政拨款收入2915.69万元，占99.99</w:t>
      </w:r>
      <w:r>
        <w:rPr>
          <w:rFonts w:ascii="仿宋" w:hAnsi="仿宋" w:eastAsia="仿宋"/>
          <w:sz w:val="32"/>
          <w:szCs w:val="32"/>
        </w:rPr>
        <w:t>%</w:t>
      </w:r>
      <w:r>
        <w:rPr>
          <w:rFonts w:hint="eastAsia" w:ascii="仿宋" w:hAnsi="仿宋" w:eastAsia="仿宋"/>
          <w:sz w:val="32"/>
          <w:szCs w:val="32"/>
        </w:rPr>
        <w:t>；其他收入0.03万元，占0.01</w:t>
      </w:r>
      <w:r>
        <w:rPr>
          <w:rFonts w:ascii="仿宋" w:hAnsi="仿宋" w:eastAsia="仿宋"/>
          <w:sz w:val="32"/>
          <w:szCs w:val="32"/>
        </w:rPr>
        <w:t>%</w:t>
      </w:r>
      <w:r>
        <w:rPr>
          <w:rFonts w:hint="eastAsia" w:ascii="仿宋" w:hAnsi="仿宋" w:eastAsia="仿宋"/>
          <w:sz w:val="32"/>
          <w:szCs w:val="32"/>
        </w:rPr>
        <w:t>。</w:t>
      </w:r>
    </w:p>
    <w:p>
      <w:pPr>
        <w:pStyle w:val="23"/>
        <w:rPr>
          <w:rFonts w:hAnsi="仿宋"/>
          <w:color w:val="auto"/>
          <w:sz w:val="32"/>
          <w:szCs w:val="32"/>
        </w:rPr>
      </w:pPr>
      <w:r>
        <w:rPr>
          <w:rFonts w:hint="eastAsia" w:hAnsi="仿宋"/>
          <w:color w:val="auto"/>
          <w:sz w:val="32"/>
          <w:szCs w:val="32"/>
        </w:rPr>
        <w:t xml:space="preserve">   </w:t>
      </w:r>
      <w:r>
        <w:rPr>
          <w:rFonts w:hint="eastAsia" w:hAnsi="仿宋"/>
          <w:color w:val="auto"/>
          <w:sz w:val="32"/>
          <w:szCs w:val="32"/>
        </w:rPr>
        <w:drawing>
          <wp:inline distT="0" distB="0" distL="114300" distR="114300">
            <wp:extent cx="4547235" cy="2495550"/>
            <wp:effectExtent l="4445" t="4445" r="5080" b="14605"/>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spacing w:line="600" w:lineRule="exact"/>
        <w:ind w:firstLine="2240" w:firstLineChars="700"/>
        <w:rPr>
          <w:rFonts w:ascii="仿宋_GB2312" w:eastAsia="仿宋_GB2312"/>
          <w:sz w:val="32"/>
          <w:szCs w:val="32"/>
        </w:rPr>
      </w:pPr>
      <w:r>
        <w:rPr>
          <w:rFonts w:hint="eastAsia" w:ascii="仿宋" w:hAnsi="仿宋" w:eastAsia="仿宋"/>
          <w:sz w:val="32"/>
          <w:szCs w:val="32"/>
        </w:rPr>
        <w:t>（图2：收入决算结构图）</w:t>
      </w:r>
    </w:p>
    <w:p>
      <w:pPr>
        <w:pStyle w:val="24"/>
        <w:numPr>
          <w:ilvl w:val="0"/>
          <w:numId w:val="1"/>
        </w:numPr>
        <w:spacing w:line="600" w:lineRule="exact"/>
        <w:ind w:firstLineChars="0"/>
        <w:outlineLvl w:val="1"/>
        <w:rPr>
          <w:rStyle w:val="26"/>
          <w:rFonts w:ascii="黑体" w:hAnsi="黑体" w:eastAsia="黑体"/>
          <w:b w:val="0"/>
        </w:rPr>
      </w:pPr>
      <w:bookmarkStart w:id="24" w:name="_Toc15396605"/>
      <w:bookmarkStart w:id="25" w:name="_Toc15377207"/>
      <w:r>
        <w:rPr>
          <w:rFonts w:hint="eastAsia" w:ascii="黑体" w:hAnsi="黑体" w:eastAsia="黑体"/>
          <w:sz w:val="32"/>
          <w:szCs w:val="32"/>
        </w:rPr>
        <w:t>支</w:t>
      </w:r>
      <w:r>
        <w:rPr>
          <w:rStyle w:val="26"/>
          <w:rFonts w:hint="eastAsia" w:ascii="黑体" w:hAnsi="黑体" w:eastAsia="黑体"/>
          <w:b w:val="0"/>
        </w:rPr>
        <w:t>出决算情况说明</w:t>
      </w:r>
      <w:bookmarkEnd w:id="24"/>
      <w:bookmarkEnd w:id="25"/>
    </w:p>
    <w:p>
      <w:pPr>
        <w:spacing w:line="600" w:lineRule="exact"/>
        <w:ind w:firstLine="640" w:firstLineChars="200"/>
        <w:outlineLvl w:val="1"/>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21年本年支出合计2915.5万元，其中：基本支出203.27万元，占7</w:t>
      </w:r>
      <w:r>
        <w:rPr>
          <w:rFonts w:ascii="仿宋" w:hAnsi="仿宋" w:eastAsia="仿宋"/>
          <w:sz w:val="32"/>
          <w:szCs w:val="32"/>
        </w:rPr>
        <w:t>%</w:t>
      </w:r>
      <w:r>
        <w:rPr>
          <w:rFonts w:hint="eastAsia" w:ascii="仿宋" w:hAnsi="仿宋" w:eastAsia="仿宋"/>
          <w:sz w:val="32"/>
          <w:szCs w:val="32"/>
        </w:rPr>
        <w:t>；项目支出2712.23万元，占93%。</w:t>
      </w:r>
    </w:p>
    <w:p>
      <w:pPr>
        <w:pStyle w:val="23"/>
        <w:rPr>
          <w:rFonts w:hAnsi="仿宋"/>
          <w:color w:val="auto"/>
          <w:sz w:val="32"/>
          <w:szCs w:val="32"/>
          <w:shd w:val="pct10" w:color="auto" w:fill="FFFFFF"/>
        </w:rPr>
      </w:pPr>
      <w:r>
        <w:rPr>
          <w:rFonts w:hint="eastAsia" w:hAnsi="仿宋"/>
          <w:color w:val="auto"/>
          <w:sz w:val="32"/>
          <w:szCs w:val="32"/>
          <w:shd w:val="pct10" w:color="auto" w:fill="FFFFFF"/>
        </w:rPr>
        <w:t xml:space="preserve">  </w:t>
      </w:r>
      <w:r>
        <w:rPr>
          <w:rFonts w:hint="eastAsia" w:hAnsi="仿宋"/>
          <w:color w:val="auto"/>
          <w:sz w:val="32"/>
          <w:szCs w:val="32"/>
          <w:shd w:val="pct10" w:color="auto" w:fill="FFFFFF"/>
        </w:rPr>
        <w:drawing>
          <wp:inline distT="0" distB="0" distL="114300" distR="114300">
            <wp:extent cx="4906645" cy="2644775"/>
            <wp:effectExtent l="4445" t="4445" r="11430" b="17780"/>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spacing w:line="600" w:lineRule="exact"/>
        <w:ind w:firstLine="2240" w:firstLineChars="700"/>
        <w:rPr>
          <w:rFonts w:ascii="仿宋_GB2312" w:eastAsia="仿宋_GB2312"/>
          <w:sz w:val="32"/>
          <w:szCs w:val="32"/>
        </w:rPr>
      </w:pPr>
      <w:r>
        <w:rPr>
          <w:rFonts w:hint="eastAsia" w:ascii="仿宋" w:hAnsi="仿宋" w:eastAsia="仿宋"/>
          <w:sz w:val="32"/>
          <w:szCs w:val="32"/>
        </w:rPr>
        <w:t>（图3：支出决算结构图）</w:t>
      </w:r>
    </w:p>
    <w:p>
      <w:pPr>
        <w:spacing w:line="600" w:lineRule="exact"/>
        <w:ind w:firstLine="640" w:firstLineChars="200"/>
        <w:outlineLvl w:val="1"/>
        <w:rPr>
          <w:rStyle w:val="26"/>
          <w:rFonts w:ascii="黑体" w:hAnsi="黑体" w:eastAsia="黑体"/>
          <w:b w:val="0"/>
        </w:rPr>
      </w:pPr>
      <w:bookmarkStart w:id="26" w:name="_Toc15396606"/>
      <w:bookmarkStart w:id="27" w:name="_Toc15377208"/>
      <w:r>
        <w:rPr>
          <w:rFonts w:hint="eastAsia" w:ascii="黑体" w:hAnsi="黑体" w:eastAsia="黑体"/>
          <w:sz w:val="32"/>
          <w:szCs w:val="32"/>
        </w:rPr>
        <w:t>四、财</w:t>
      </w:r>
      <w:r>
        <w:rPr>
          <w:rStyle w:val="26"/>
          <w:rFonts w:hint="eastAsia" w:ascii="黑体" w:hAnsi="黑体" w:eastAsia="黑体"/>
          <w:b w:val="0"/>
        </w:rPr>
        <w:t>政拨款收入支出决算总体情况说明</w:t>
      </w:r>
      <w:bookmarkEnd w:id="26"/>
      <w:bookmarkEnd w:id="27"/>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21年财政拨款收、支总计2956.4万元。与</w:t>
      </w:r>
      <w:r>
        <w:rPr>
          <w:rFonts w:ascii="仿宋" w:hAnsi="仿宋" w:eastAsia="仿宋"/>
          <w:sz w:val="32"/>
          <w:szCs w:val="32"/>
        </w:rPr>
        <w:t>20</w:t>
      </w:r>
      <w:r>
        <w:rPr>
          <w:rFonts w:hint="eastAsia" w:ascii="仿宋" w:hAnsi="仿宋" w:eastAsia="仿宋"/>
          <w:sz w:val="32"/>
          <w:szCs w:val="32"/>
        </w:rPr>
        <w:t>20年相比，财政拨款收、支总计各增加1904.46万元，增加64.42</w:t>
      </w:r>
      <w:r>
        <w:rPr>
          <w:rFonts w:ascii="仿宋" w:hAnsi="仿宋" w:eastAsia="仿宋"/>
          <w:sz w:val="32"/>
          <w:szCs w:val="32"/>
        </w:rPr>
        <w:t>%</w:t>
      </w:r>
      <w:r>
        <w:rPr>
          <w:rFonts w:hint="eastAsia" w:ascii="仿宋" w:hAnsi="仿宋" w:eastAsia="仿宋"/>
          <w:sz w:val="32"/>
          <w:szCs w:val="32"/>
        </w:rPr>
        <w:t>。主要变动原因是征地和拆迁补偿支出增加。</w:t>
      </w:r>
    </w:p>
    <w:p>
      <w:pPr>
        <w:pStyle w:val="23"/>
        <w:rPr>
          <w:rFonts w:hAnsi="仿宋"/>
          <w:color w:val="auto"/>
          <w:sz w:val="32"/>
          <w:szCs w:val="32"/>
        </w:rPr>
      </w:pPr>
      <w:r>
        <w:rPr>
          <w:rFonts w:hint="eastAsia" w:hAnsi="仿宋"/>
          <w:color w:val="auto"/>
          <w:sz w:val="32"/>
          <w:szCs w:val="32"/>
        </w:rPr>
        <w:t xml:space="preserve">    </w:t>
      </w:r>
      <w:r>
        <w:rPr>
          <w:rFonts w:hint="eastAsia" w:hAnsi="仿宋"/>
          <w:color w:val="auto"/>
          <w:sz w:val="32"/>
          <w:szCs w:val="32"/>
        </w:rPr>
        <w:drawing>
          <wp:inline distT="0" distB="0" distL="114300" distR="114300">
            <wp:extent cx="5218430" cy="2578735"/>
            <wp:effectExtent l="4445" t="4445" r="19685" b="7620"/>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600" w:lineRule="exact"/>
        <w:ind w:firstLine="1280" w:firstLineChars="400"/>
        <w:rPr>
          <w:rFonts w:ascii="仿宋" w:hAnsi="仿宋" w:eastAsia="仿宋"/>
          <w:b/>
          <w:sz w:val="32"/>
          <w:szCs w:val="32"/>
        </w:rPr>
      </w:pPr>
      <w:r>
        <w:rPr>
          <w:rFonts w:hint="eastAsia" w:ascii="仿宋" w:hAnsi="仿宋" w:eastAsia="仿宋"/>
          <w:sz w:val="32"/>
          <w:szCs w:val="32"/>
        </w:rPr>
        <w:t>（图4：财政拨款收、支决算总计变动情况）</w:t>
      </w:r>
    </w:p>
    <w:p>
      <w:pPr>
        <w:spacing w:line="600" w:lineRule="exact"/>
        <w:ind w:firstLine="640" w:firstLineChars="200"/>
        <w:outlineLvl w:val="1"/>
        <w:rPr>
          <w:rStyle w:val="26"/>
          <w:rFonts w:ascii="黑体" w:hAnsi="黑体" w:eastAsia="黑体"/>
          <w:b w:val="0"/>
        </w:rPr>
      </w:pPr>
      <w:bookmarkStart w:id="28" w:name="_Toc15377209"/>
      <w:bookmarkStart w:id="29" w:name="_Toc15396607"/>
      <w:r>
        <w:rPr>
          <w:rFonts w:hint="eastAsia" w:ascii="黑体" w:hAnsi="黑体" w:eastAsia="黑体"/>
          <w:sz w:val="32"/>
          <w:szCs w:val="32"/>
        </w:rPr>
        <w:t>五、</w:t>
      </w:r>
      <w:r>
        <w:rPr>
          <w:rFonts w:hint="eastAsia" w:ascii="黑体" w:hAnsi="黑体" w:eastAsia="黑体"/>
          <w:b/>
          <w:sz w:val="32"/>
          <w:szCs w:val="32"/>
        </w:rPr>
        <w:t>一</w:t>
      </w:r>
      <w:r>
        <w:rPr>
          <w:rStyle w:val="26"/>
          <w:rFonts w:hint="eastAsia" w:ascii="黑体" w:hAnsi="黑体" w:eastAsia="黑体"/>
          <w:b w:val="0"/>
        </w:rPr>
        <w:t>般公共预算财政拨款支出决算情况说明</w:t>
      </w:r>
      <w:bookmarkEnd w:id="28"/>
      <w:bookmarkEnd w:id="29"/>
    </w:p>
    <w:p>
      <w:pPr>
        <w:spacing w:line="600" w:lineRule="exact"/>
        <w:ind w:firstLine="643" w:firstLineChars="200"/>
        <w:outlineLvl w:val="2"/>
        <w:rPr>
          <w:rFonts w:ascii="仿宋" w:hAnsi="仿宋" w:eastAsia="仿宋"/>
          <w:b/>
          <w:sz w:val="32"/>
          <w:szCs w:val="32"/>
        </w:rPr>
      </w:pPr>
      <w:bookmarkStart w:id="30" w:name="_Toc15377210"/>
      <w:r>
        <w:rPr>
          <w:rFonts w:hint="eastAsia" w:ascii="仿宋" w:hAnsi="仿宋" w:eastAsia="仿宋"/>
          <w:b/>
          <w:sz w:val="32"/>
          <w:szCs w:val="32"/>
        </w:rPr>
        <w:t>（一）一般公共预算财政拨款支出决算总体情况</w:t>
      </w:r>
      <w:bookmarkEnd w:id="30"/>
    </w:p>
    <w:p>
      <w:pPr>
        <w:spacing w:line="600" w:lineRule="exact"/>
        <w:ind w:firstLine="640" w:firstLineChars="20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21年一般公共预算财政拨款支出203.27万元，占本年支出合计的7</w:t>
      </w:r>
      <w:r>
        <w:rPr>
          <w:rFonts w:ascii="仿宋" w:hAnsi="仿宋" w:eastAsia="仿宋"/>
          <w:sz w:val="32"/>
          <w:szCs w:val="32"/>
        </w:rPr>
        <w:t>%</w:t>
      </w:r>
      <w:r>
        <w:rPr>
          <w:rFonts w:hint="eastAsia" w:ascii="仿宋" w:hAnsi="仿宋" w:eastAsia="仿宋"/>
          <w:sz w:val="32"/>
          <w:szCs w:val="32"/>
        </w:rPr>
        <w:t>。与</w:t>
      </w:r>
      <w:r>
        <w:rPr>
          <w:rFonts w:ascii="仿宋" w:hAnsi="仿宋" w:eastAsia="仿宋"/>
          <w:sz w:val="32"/>
          <w:szCs w:val="32"/>
        </w:rPr>
        <w:t>20</w:t>
      </w:r>
      <w:r>
        <w:rPr>
          <w:rFonts w:hint="eastAsia" w:ascii="仿宋" w:hAnsi="仿宋" w:eastAsia="仿宋"/>
          <w:sz w:val="32"/>
          <w:szCs w:val="32"/>
        </w:rPr>
        <w:t>20年相比，一般公共预算财政拨款支出减少5.7万元，下降2.7</w:t>
      </w:r>
      <w:r>
        <w:rPr>
          <w:rFonts w:ascii="仿宋" w:hAnsi="仿宋" w:eastAsia="仿宋"/>
          <w:sz w:val="32"/>
          <w:szCs w:val="32"/>
        </w:rPr>
        <w:t>%</w:t>
      </w:r>
      <w:r>
        <w:rPr>
          <w:rFonts w:hint="eastAsia" w:ascii="仿宋" w:hAnsi="仿宋" w:eastAsia="仿宋"/>
          <w:sz w:val="32"/>
          <w:szCs w:val="32"/>
        </w:rPr>
        <w:t>。主要变动原因是例行节约，压减支出。</w:t>
      </w:r>
    </w:p>
    <w:p>
      <w:pPr>
        <w:pStyle w:val="23"/>
        <w:rPr>
          <w:rFonts w:hAnsi="仿宋"/>
          <w:color w:val="auto"/>
          <w:sz w:val="32"/>
          <w:szCs w:val="32"/>
        </w:rPr>
      </w:pPr>
      <w:r>
        <w:rPr>
          <w:rFonts w:hint="eastAsia" w:hAnsi="仿宋"/>
          <w:color w:val="auto"/>
          <w:sz w:val="32"/>
          <w:szCs w:val="32"/>
        </w:rPr>
        <w:drawing>
          <wp:inline distT="0" distB="0" distL="114300" distR="114300">
            <wp:extent cx="5501640" cy="2531110"/>
            <wp:effectExtent l="4445" t="4445" r="10795" b="9525"/>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600" w:lineRule="exact"/>
        <w:ind w:firstLine="960" w:firstLineChars="300"/>
        <w:rPr>
          <w:rFonts w:ascii="仿宋" w:hAnsi="仿宋" w:eastAsia="仿宋"/>
          <w:sz w:val="32"/>
          <w:szCs w:val="32"/>
        </w:rPr>
      </w:pPr>
      <w:r>
        <w:rPr>
          <w:rFonts w:hint="eastAsia" w:ascii="仿宋" w:hAnsi="仿宋" w:eastAsia="仿宋"/>
          <w:sz w:val="32"/>
          <w:szCs w:val="32"/>
        </w:rPr>
        <w:t>（图5：一般公共预算财政拨款支出决算变动情况）</w:t>
      </w:r>
    </w:p>
    <w:p>
      <w:pPr>
        <w:spacing w:line="600" w:lineRule="exact"/>
        <w:ind w:firstLine="640" w:firstLineChars="200"/>
        <w:rPr>
          <w:rFonts w:ascii="仿宋" w:hAnsi="仿宋" w:eastAsia="仿宋"/>
          <w:sz w:val="32"/>
          <w:szCs w:val="32"/>
        </w:rPr>
      </w:pPr>
    </w:p>
    <w:p>
      <w:pPr>
        <w:spacing w:line="600" w:lineRule="exact"/>
        <w:ind w:firstLine="643" w:firstLineChars="200"/>
        <w:outlineLvl w:val="2"/>
        <w:rPr>
          <w:rFonts w:ascii="仿宋" w:hAnsi="仿宋" w:eastAsia="仿宋"/>
          <w:b/>
          <w:sz w:val="32"/>
          <w:szCs w:val="32"/>
        </w:rPr>
      </w:pPr>
      <w:bookmarkStart w:id="31" w:name="_Toc15377211"/>
      <w:r>
        <w:rPr>
          <w:rFonts w:hint="eastAsia" w:ascii="仿宋" w:hAnsi="仿宋" w:eastAsia="仿宋"/>
          <w:b/>
          <w:sz w:val="32"/>
          <w:szCs w:val="32"/>
        </w:rPr>
        <w:t>（二）一般公共预算财政拨款支出决算结构情况</w:t>
      </w:r>
      <w:bookmarkEnd w:id="31"/>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21年一般公共预算财政拨款支出203.27万元，主要用于以下方面</w:t>
      </w:r>
      <w:r>
        <w:rPr>
          <w:rFonts w:ascii="仿宋" w:hAnsi="仿宋" w:eastAsia="仿宋"/>
          <w:sz w:val="32"/>
          <w:szCs w:val="32"/>
        </w:rPr>
        <w:t>:</w:t>
      </w:r>
      <w:r>
        <w:rPr>
          <w:rFonts w:hint="eastAsia" w:ascii="仿宋" w:hAnsi="仿宋" w:eastAsia="仿宋"/>
          <w:b/>
          <w:sz w:val="32"/>
          <w:szCs w:val="32"/>
        </w:rPr>
        <w:t>社会保障和就业（类）</w:t>
      </w:r>
      <w:r>
        <w:rPr>
          <w:rFonts w:hint="eastAsia" w:ascii="仿宋" w:hAnsi="仿宋" w:eastAsia="仿宋"/>
          <w:sz w:val="32"/>
          <w:szCs w:val="32"/>
        </w:rPr>
        <w:t>支出14.87万元，占7.3</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卫生健康支出7.44</w:t>
      </w:r>
      <w:r>
        <w:rPr>
          <w:rFonts w:hint="eastAsia" w:ascii="仿宋" w:hAnsi="仿宋" w:eastAsia="仿宋"/>
          <w:sz w:val="32"/>
          <w:szCs w:val="32"/>
        </w:rPr>
        <w:t>万元，占3.7</w:t>
      </w:r>
      <w:r>
        <w:rPr>
          <w:rFonts w:ascii="仿宋" w:hAnsi="仿宋" w:eastAsia="仿宋"/>
          <w:sz w:val="32"/>
          <w:szCs w:val="32"/>
        </w:rPr>
        <w:t>%</w:t>
      </w:r>
      <w:r>
        <w:rPr>
          <w:rFonts w:hint="eastAsia" w:ascii="仿宋" w:hAnsi="仿宋" w:eastAsia="仿宋"/>
          <w:sz w:val="32"/>
          <w:szCs w:val="32"/>
        </w:rPr>
        <w:t>；</w:t>
      </w:r>
      <w:r>
        <w:rPr>
          <w:rFonts w:hint="eastAsia" w:ascii="仿宋_GB2312" w:hAnsi="仿宋_GB2312" w:eastAsia="仿宋_GB2312" w:cs="仿宋_GB2312"/>
          <w:b/>
          <w:bCs/>
          <w:color w:val="000000"/>
          <w:sz w:val="32"/>
          <w:szCs w:val="32"/>
        </w:rPr>
        <w:t>自然资源海洋气象等</w:t>
      </w:r>
      <w:r>
        <w:rPr>
          <w:rFonts w:hint="eastAsia" w:ascii="仿宋_GB2312" w:hAnsi="仿宋_GB2312" w:eastAsia="仿宋_GB2312" w:cs="仿宋_GB2312"/>
          <w:color w:val="000000"/>
          <w:sz w:val="32"/>
          <w:szCs w:val="32"/>
        </w:rPr>
        <w:t>支出164.81万元，占 81.1%；</w:t>
      </w:r>
      <w:r>
        <w:rPr>
          <w:rFonts w:hint="eastAsia" w:ascii="仿宋" w:hAnsi="仿宋" w:eastAsia="仿宋"/>
          <w:b/>
          <w:bCs/>
          <w:sz w:val="32"/>
          <w:szCs w:val="32"/>
        </w:rPr>
        <w:t>住房保障支出</w:t>
      </w:r>
      <w:r>
        <w:rPr>
          <w:rFonts w:hint="eastAsia" w:ascii="仿宋" w:hAnsi="仿宋" w:eastAsia="仿宋"/>
          <w:sz w:val="32"/>
          <w:szCs w:val="32"/>
        </w:rPr>
        <w:t>16.15元，占7.9%。</w:t>
      </w:r>
    </w:p>
    <w:p>
      <w:pPr>
        <w:pStyle w:val="23"/>
        <w:rPr>
          <w:rFonts w:hAnsi="仿宋"/>
          <w:color w:val="auto"/>
          <w:sz w:val="32"/>
          <w:szCs w:val="32"/>
        </w:rPr>
      </w:pPr>
      <w:r>
        <w:rPr>
          <w:rFonts w:hint="eastAsia" w:hAnsi="仿宋"/>
          <w:color w:val="auto"/>
          <w:sz w:val="32"/>
          <w:szCs w:val="32"/>
        </w:rPr>
        <w:t xml:space="preserve">   </w:t>
      </w:r>
      <w:r>
        <w:rPr>
          <w:rFonts w:hint="eastAsia" w:hAnsi="仿宋"/>
          <w:color w:val="auto"/>
          <w:sz w:val="32"/>
          <w:szCs w:val="32"/>
        </w:rPr>
        <w:drawing>
          <wp:inline distT="0" distB="0" distL="114300" distR="114300">
            <wp:extent cx="4741545" cy="2798445"/>
            <wp:effectExtent l="4445" t="4445" r="8890" b="16510"/>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600" w:lineRule="exact"/>
        <w:ind w:firstLine="960" w:firstLineChars="300"/>
        <w:rPr>
          <w:rFonts w:ascii="仿宋" w:hAnsi="仿宋" w:eastAsia="仿宋"/>
          <w:sz w:val="32"/>
          <w:szCs w:val="32"/>
        </w:rPr>
      </w:pPr>
      <w:r>
        <w:rPr>
          <w:rFonts w:hint="eastAsia" w:ascii="仿宋" w:hAnsi="仿宋" w:eastAsia="仿宋"/>
          <w:sz w:val="32"/>
          <w:szCs w:val="32"/>
        </w:rPr>
        <w:t>（图6：一般公共预算财政拨款支出决算结构）</w:t>
      </w:r>
    </w:p>
    <w:p>
      <w:pPr>
        <w:spacing w:line="600" w:lineRule="exact"/>
        <w:ind w:firstLine="643" w:firstLineChars="200"/>
        <w:outlineLvl w:val="2"/>
        <w:rPr>
          <w:rFonts w:ascii="仿宋" w:hAnsi="仿宋" w:eastAsia="仿宋"/>
          <w:b/>
          <w:sz w:val="32"/>
          <w:szCs w:val="32"/>
        </w:rPr>
      </w:pPr>
      <w:bookmarkStart w:id="32" w:name="_Toc15377212"/>
      <w:r>
        <w:rPr>
          <w:rFonts w:hint="eastAsia" w:ascii="仿宋" w:hAnsi="仿宋" w:eastAsia="仿宋"/>
          <w:b/>
          <w:sz w:val="32"/>
          <w:szCs w:val="32"/>
        </w:rPr>
        <w:t>（三）一般公共预算财政拨款支出决算具体情况</w:t>
      </w:r>
      <w:bookmarkEnd w:id="32"/>
    </w:p>
    <w:p>
      <w:pPr>
        <w:spacing w:line="600" w:lineRule="exact"/>
        <w:ind w:firstLine="643" w:firstLineChars="200"/>
        <w:outlineLvl w:val="2"/>
        <w:rPr>
          <w:rFonts w:ascii="仿宋" w:hAnsi="仿宋" w:eastAsia="仿宋"/>
          <w:b/>
          <w:sz w:val="32"/>
          <w:szCs w:val="32"/>
        </w:rPr>
      </w:pPr>
      <w:bookmarkStart w:id="33" w:name="_Toc15378460"/>
      <w:bookmarkStart w:id="34" w:name="_Toc15377213"/>
      <w:bookmarkStart w:id="35" w:name="_Toc15377444"/>
      <w:r>
        <w:rPr>
          <w:rFonts w:hint="eastAsia" w:ascii="仿宋" w:hAnsi="仿宋" w:eastAsia="仿宋"/>
          <w:b/>
          <w:sz w:val="32"/>
          <w:szCs w:val="32"/>
        </w:rPr>
        <w:t>2021年一般公共预算支出决算数为203.27万元</w:t>
      </w:r>
      <w:r>
        <w:rPr>
          <w:rFonts w:hint="eastAsia" w:ascii="仿宋" w:hAnsi="仿宋" w:eastAsia="仿宋"/>
          <w:sz w:val="32"/>
          <w:szCs w:val="32"/>
        </w:rPr>
        <w:t>，</w:t>
      </w:r>
      <w:r>
        <w:rPr>
          <w:rStyle w:val="15"/>
          <w:rFonts w:hint="eastAsia" w:ascii="仿宋" w:hAnsi="仿宋" w:eastAsia="仿宋"/>
          <w:bCs/>
          <w:sz w:val="32"/>
          <w:szCs w:val="32"/>
        </w:rPr>
        <w:t>完成预算99.9</w:t>
      </w:r>
      <w:r>
        <w:rPr>
          <w:rStyle w:val="15"/>
          <w:rFonts w:ascii="仿宋" w:hAnsi="仿宋" w:eastAsia="仿宋"/>
          <w:bCs/>
          <w:sz w:val="32"/>
          <w:szCs w:val="32"/>
        </w:rPr>
        <w:t>%</w:t>
      </w:r>
      <w:r>
        <w:rPr>
          <w:rStyle w:val="15"/>
          <w:rFonts w:hint="eastAsia" w:ascii="仿宋" w:hAnsi="仿宋" w:eastAsia="仿宋"/>
          <w:bCs/>
          <w:sz w:val="32"/>
          <w:szCs w:val="32"/>
        </w:rPr>
        <w:t>。其中：</w:t>
      </w:r>
      <w:bookmarkEnd w:id="33"/>
      <w:bookmarkEnd w:id="34"/>
      <w:bookmarkEnd w:id="35"/>
    </w:p>
    <w:p>
      <w:pPr>
        <w:spacing w:line="600" w:lineRule="exact"/>
        <w:ind w:firstLine="643" w:firstLineChars="200"/>
        <w:rPr>
          <w:rFonts w:ascii="仿宋" w:hAnsi="仿宋" w:eastAsia="仿宋"/>
          <w:b/>
          <w:sz w:val="32"/>
          <w:szCs w:val="32"/>
        </w:rPr>
      </w:pPr>
      <w:r>
        <w:rPr>
          <w:rStyle w:val="15"/>
          <w:rFonts w:hint="eastAsia" w:ascii="仿宋" w:hAnsi="仿宋" w:eastAsia="仿宋"/>
          <w:bCs/>
          <w:sz w:val="32"/>
          <w:szCs w:val="32"/>
        </w:rPr>
        <w:t>1</w:t>
      </w:r>
      <w:r>
        <w:rPr>
          <w:rStyle w:val="15"/>
          <w:rFonts w:ascii="仿宋" w:hAnsi="仿宋" w:eastAsia="仿宋"/>
          <w:bCs/>
          <w:sz w:val="32"/>
          <w:szCs w:val="32"/>
        </w:rPr>
        <w:t>.</w:t>
      </w:r>
      <w:r>
        <w:rPr>
          <w:rFonts w:hint="eastAsia" w:ascii="仿宋_GB2312" w:hAnsi="仿宋_GB2312" w:eastAsia="仿宋_GB2312" w:cs="仿宋_GB2312"/>
          <w:b/>
          <w:bCs/>
          <w:color w:val="000000"/>
          <w:sz w:val="32"/>
          <w:szCs w:val="32"/>
        </w:rPr>
        <w:t>社会保障和就业（类）行政事业单位离退休（款）机关事业单位基本养老保险缴费支出（项）</w:t>
      </w:r>
      <w:r>
        <w:rPr>
          <w:rStyle w:val="15"/>
          <w:rFonts w:ascii="仿宋" w:hAnsi="仿宋" w:eastAsia="仿宋"/>
          <w:bCs/>
          <w:sz w:val="32"/>
          <w:szCs w:val="32"/>
        </w:rPr>
        <w:t>:</w:t>
      </w:r>
      <w:r>
        <w:rPr>
          <w:rStyle w:val="15"/>
          <w:rFonts w:ascii="仿宋" w:hAnsi="仿宋" w:eastAsia="仿宋"/>
          <w:b w:val="0"/>
          <w:bCs/>
          <w:sz w:val="32"/>
          <w:szCs w:val="32"/>
        </w:rPr>
        <w:t xml:space="preserve"> </w:t>
      </w:r>
      <w:r>
        <w:rPr>
          <w:rStyle w:val="15"/>
          <w:rFonts w:hint="eastAsia" w:ascii="仿宋" w:hAnsi="仿宋" w:eastAsia="仿宋"/>
          <w:b w:val="0"/>
          <w:bCs/>
          <w:sz w:val="32"/>
          <w:szCs w:val="32"/>
        </w:rPr>
        <w:t>支出决算为14.87万元，完成预算100</w:t>
      </w:r>
      <w:r>
        <w:rPr>
          <w:rStyle w:val="15"/>
          <w:rFonts w:ascii="仿宋" w:hAnsi="仿宋" w:eastAsia="仿宋"/>
          <w:b w:val="0"/>
          <w:bCs/>
          <w:sz w:val="32"/>
          <w:szCs w:val="32"/>
        </w:rPr>
        <w:t>%</w:t>
      </w:r>
      <w:r>
        <w:rPr>
          <w:rStyle w:val="15"/>
          <w:rFonts w:hint="eastAsia" w:ascii="仿宋" w:hAnsi="仿宋" w:eastAsia="仿宋"/>
          <w:b w:val="0"/>
          <w:bCs/>
          <w:sz w:val="32"/>
          <w:szCs w:val="32"/>
        </w:rPr>
        <w:t>，</w:t>
      </w:r>
      <w:r>
        <w:rPr>
          <w:rFonts w:hint="eastAsia" w:ascii="仿宋_GB2312" w:hAnsi="仿宋_GB2312" w:eastAsia="仿宋_GB2312" w:cs="仿宋_GB2312"/>
          <w:sz w:val="32"/>
          <w:szCs w:val="32"/>
        </w:rPr>
        <w:t>决算数与预算数持平</w:t>
      </w:r>
      <w:r>
        <w:rPr>
          <w:rStyle w:val="15"/>
          <w:rFonts w:hint="eastAsia" w:ascii="仿宋" w:hAnsi="仿宋" w:eastAsia="仿宋"/>
          <w:b w:val="0"/>
          <w:bCs/>
          <w:sz w:val="32"/>
          <w:szCs w:val="32"/>
        </w:rPr>
        <w:t>。</w:t>
      </w:r>
    </w:p>
    <w:p>
      <w:pPr>
        <w:spacing w:line="600" w:lineRule="exact"/>
        <w:ind w:firstLine="643" w:firstLineChars="200"/>
        <w:rPr>
          <w:rFonts w:ascii="仿宋" w:hAnsi="仿宋" w:eastAsia="仿宋"/>
          <w:b/>
          <w:sz w:val="32"/>
          <w:szCs w:val="32"/>
        </w:rPr>
      </w:pPr>
      <w:r>
        <w:rPr>
          <w:rStyle w:val="15"/>
          <w:rFonts w:hint="eastAsia" w:ascii="仿宋" w:hAnsi="仿宋" w:eastAsia="仿宋"/>
          <w:bCs/>
          <w:sz w:val="32"/>
          <w:szCs w:val="32"/>
        </w:rPr>
        <w:t>2</w:t>
      </w:r>
      <w:r>
        <w:rPr>
          <w:rStyle w:val="15"/>
          <w:rFonts w:ascii="仿宋" w:hAnsi="仿宋" w:eastAsia="仿宋"/>
          <w:bCs/>
          <w:sz w:val="32"/>
          <w:szCs w:val="32"/>
        </w:rPr>
        <w:t>.</w:t>
      </w:r>
      <w:r>
        <w:rPr>
          <w:rFonts w:hint="eastAsia" w:ascii="仿宋_GB2312" w:hAnsi="仿宋_GB2312" w:eastAsia="仿宋_GB2312" w:cs="仿宋_GB2312"/>
          <w:b/>
          <w:bCs/>
          <w:color w:val="000000"/>
          <w:sz w:val="32"/>
          <w:szCs w:val="32"/>
        </w:rPr>
        <w:t>卫生健康（类）行政事业单位医疗（款）事业单位医疗（项）</w:t>
      </w:r>
      <w:r>
        <w:rPr>
          <w:rStyle w:val="15"/>
          <w:rFonts w:ascii="仿宋" w:hAnsi="仿宋" w:eastAsia="仿宋"/>
          <w:bCs/>
          <w:sz w:val="32"/>
          <w:szCs w:val="32"/>
        </w:rPr>
        <w:t>:</w:t>
      </w:r>
      <w:r>
        <w:rPr>
          <w:rStyle w:val="15"/>
          <w:rFonts w:hint="eastAsia" w:ascii="仿宋" w:hAnsi="仿宋" w:eastAsia="仿宋"/>
          <w:b w:val="0"/>
          <w:bCs/>
          <w:sz w:val="32"/>
          <w:szCs w:val="32"/>
        </w:rPr>
        <w:t>支出决算为7.44万元，完成预算100</w:t>
      </w:r>
      <w:r>
        <w:rPr>
          <w:rStyle w:val="15"/>
          <w:rFonts w:ascii="仿宋" w:hAnsi="仿宋" w:eastAsia="仿宋"/>
          <w:b w:val="0"/>
          <w:bCs/>
          <w:sz w:val="32"/>
          <w:szCs w:val="32"/>
        </w:rPr>
        <w:t>%</w:t>
      </w:r>
      <w:r>
        <w:rPr>
          <w:rStyle w:val="15"/>
          <w:rFonts w:hint="eastAsia" w:ascii="仿宋" w:hAnsi="仿宋" w:eastAsia="仿宋"/>
          <w:b w:val="0"/>
          <w:bCs/>
          <w:sz w:val="32"/>
          <w:szCs w:val="32"/>
        </w:rPr>
        <w:t>，</w:t>
      </w:r>
      <w:r>
        <w:rPr>
          <w:rFonts w:hint="eastAsia" w:ascii="仿宋_GB2312" w:hAnsi="仿宋_GB2312" w:eastAsia="仿宋_GB2312" w:cs="仿宋_GB2312"/>
          <w:sz w:val="32"/>
          <w:szCs w:val="32"/>
        </w:rPr>
        <w:t>决算数与预算数持平</w:t>
      </w:r>
      <w:r>
        <w:rPr>
          <w:rStyle w:val="15"/>
          <w:rFonts w:hint="eastAsia" w:ascii="仿宋" w:hAnsi="仿宋" w:eastAsia="仿宋"/>
          <w:b w:val="0"/>
          <w:bCs/>
          <w:sz w:val="32"/>
          <w:szCs w:val="32"/>
        </w:rPr>
        <w:t>。</w:t>
      </w:r>
    </w:p>
    <w:p>
      <w:pPr>
        <w:widowControl/>
        <w:spacing w:line="546" w:lineRule="exact"/>
        <w:ind w:firstLine="640" w:firstLineChars="200"/>
        <w:jc w:val="left"/>
        <w:rPr>
          <w:rFonts w:ascii="仿宋_GB2312" w:hAnsi="仿宋_GB2312" w:eastAsia="仿宋_GB2312" w:cs="仿宋_GB2312"/>
          <w:sz w:val="32"/>
          <w:szCs w:val="32"/>
        </w:rPr>
      </w:pPr>
      <w:r>
        <w:rPr>
          <w:rFonts w:hint="eastAsia" w:ascii="仿宋" w:hAnsi="仿宋" w:eastAsia="仿宋"/>
          <w:sz w:val="32"/>
          <w:szCs w:val="32"/>
        </w:rPr>
        <w:t xml:space="preserve"> </w:t>
      </w:r>
      <w:r>
        <w:rPr>
          <w:rFonts w:hint="eastAsia" w:ascii="仿宋_GB2312" w:hAnsi="仿宋_GB2312" w:eastAsia="仿宋_GB2312" w:cs="仿宋_GB2312"/>
          <w:b/>
          <w:bCs/>
          <w:color w:val="000000"/>
          <w:sz w:val="32"/>
          <w:szCs w:val="32"/>
        </w:rPr>
        <w:t>3.自然资源海洋气象等支出（类）自然资源事务（款）事业运行(项）：</w:t>
      </w:r>
      <w:r>
        <w:rPr>
          <w:rFonts w:hint="eastAsia" w:ascii="仿宋_GB2312" w:hAnsi="仿宋_GB2312" w:eastAsia="仿宋_GB2312" w:cs="仿宋_GB2312"/>
          <w:color w:val="000000"/>
          <w:sz w:val="32"/>
          <w:szCs w:val="32"/>
        </w:rPr>
        <w:t>支出决算为164.81万元，</w:t>
      </w:r>
      <w:r>
        <w:rPr>
          <w:rFonts w:hint="eastAsia" w:ascii="仿宋_GB2312" w:hAnsi="仿宋_GB2312" w:eastAsia="仿宋_GB2312" w:cs="仿宋_GB2312"/>
          <w:sz w:val="32"/>
          <w:szCs w:val="32"/>
        </w:rPr>
        <w:t>完成预算99.87%，决算数决算数与预算数基本持平。</w:t>
      </w:r>
    </w:p>
    <w:p>
      <w:pPr>
        <w:widowControl/>
        <w:spacing w:line="546" w:lineRule="exact"/>
        <w:ind w:firstLine="420" w:firstLineChars="200"/>
        <w:jc w:val="left"/>
        <w:rPr>
          <w:rFonts w:ascii="仿宋_GB2312" w:hAnsi="仿宋_GB2312" w:eastAsia="仿宋_GB2312" w:cs="仿宋_GB2312"/>
          <w:color w:val="000000"/>
          <w:sz w:val="32"/>
          <w:szCs w:val="32"/>
        </w:rPr>
      </w:pPr>
      <w:r>
        <w:rPr>
          <w:rFonts w:hint="eastAsia" w:eastAsia="仿宋_GB2312"/>
        </w:rPr>
        <w:t xml:space="preserve">   </w:t>
      </w:r>
      <w:r>
        <w:rPr>
          <w:rFonts w:hint="eastAsia" w:ascii="仿宋_GB2312" w:hAnsi="仿宋_GB2312" w:eastAsia="仿宋_GB2312" w:cs="仿宋_GB2312"/>
          <w:b/>
          <w:bCs/>
          <w:color w:val="000000"/>
          <w:sz w:val="32"/>
          <w:szCs w:val="32"/>
        </w:rPr>
        <w:t xml:space="preserve"> 4.住房保障（类）住房改革（款）住房公积金（项）:</w:t>
      </w:r>
      <w:r>
        <w:rPr>
          <w:rFonts w:hint="eastAsia" w:ascii="仿宋_GB2312" w:hAnsi="仿宋_GB2312" w:eastAsia="仿宋_GB2312" w:cs="仿宋_GB2312"/>
          <w:color w:val="000000"/>
          <w:sz w:val="32"/>
          <w:szCs w:val="32"/>
        </w:rPr>
        <w:t>支出决算为16.15万元，完成预算100%，决算数与预算数持平。</w:t>
      </w:r>
    </w:p>
    <w:p>
      <w:pPr>
        <w:tabs>
          <w:tab w:val="right" w:pos="8306"/>
        </w:tabs>
        <w:spacing w:line="600" w:lineRule="exact"/>
        <w:ind w:firstLine="640"/>
        <w:outlineLvl w:val="1"/>
        <w:rPr>
          <w:rStyle w:val="26"/>
        </w:rPr>
      </w:pPr>
      <w:bookmarkStart w:id="36" w:name="_Toc15396608"/>
      <w:bookmarkStart w:id="37" w:name="_Toc15377214"/>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26"/>
          <w:rFonts w:hint="eastAsia" w:ascii="黑体" w:hAnsi="黑体" w:eastAsia="黑体"/>
          <w:b w:val="0"/>
        </w:rPr>
        <w:t>般公共预算财政拨款基本支出决算情况说明</w:t>
      </w:r>
      <w:bookmarkEnd w:id="36"/>
      <w:bookmarkEnd w:id="37"/>
      <w:r>
        <w:rPr>
          <w:rStyle w:val="26"/>
          <w:rFonts w:ascii="黑体" w:hAnsi="黑体" w:eastAsia="黑体"/>
          <w:b w:val="0"/>
        </w:rPr>
        <w:tab/>
      </w:r>
    </w:p>
    <w:p>
      <w:pPr>
        <w:spacing w:line="600" w:lineRule="exact"/>
        <w:ind w:firstLine="645"/>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21年一般公共预算财政拨款基本支出203.27万元，其中：</w:t>
      </w:r>
    </w:p>
    <w:p>
      <w:pPr>
        <w:spacing w:line="600" w:lineRule="exact"/>
        <w:ind w:firstLine="645"/>
        <w:rPr>
          <w:rFonts w:ascii="仿宋" w:hAnsi="仿宋" w:eastAsia="仿宋"/>
          <w:sz w:val="32"/>
          <w:szCs w:val="32"/>
        </w:rPr>
      </w:pPr>
      <w:r>
        <w:rPr>
          <w:rFonts w:hint="eastAsia" w:ascii="仿宋" w:hAnsi="仿宋" w:eastAsia="仿宋"/>
          <w:sz w:val="32"/>
          <w:szCs w:val="32"/>
        </w:rPr>
        <w:t>人员经费183.06万元，主要包括：基本工资、津贴补贴、绩效工资、机关事业单位基本养老保险缴费、职工</w:t>
      </w:r>
      <w:r>
        <w:rPr>
          <w:rFonts w:ascii="仿宋" w:hAnsi="仿宋" w:eastAsia="仿宋"/>
          <w:sz w:val="32"/>
          <w:szCs w:val="32"/>
        </w:rPr>
        <w:t>基本医疗保险缴费、</w:t>
      </w:r>
      <w:r>
        <w:rPr>
          <w:rFonts w:hint="eastAsia" w:ascii="仿宋" w:hAnsi="仿宋" w:eastAsia="仿宋"/>
          <w:sz w:val="32"/>
          <w:szCs w:val="32"/>
        </w:rPr>
        <w:t>其他社会保障缴费、其他工资福利支出、奖励金、住房公积金等。</w:t>
      </w:r>
    </w:p>
    <w:p>
      <w:pPr>
        <w:spacing w:line="600" w:lineRule="exact"/>
        <w:ind w:firstLine="645"/>
        <w:rPr>
          <w:rFonts w:ascii="仿宋" w:hAnsi="仿宋" w:eastAsia="仿宋"/>
          <w:b/>
          <w:sz w:val="32"/>
          <w:szCs w:val="32"/>
        </w:rPr>
      </w:pPr>
      <w:r>
        <w:rPr>
          <w:rFonts w:hint="eastAsia" w:ascii="仿宋" w:hAnsi="仿宋" w:eastAsia="仿宋"/>
          <w:sz w:val="32"/>
          <w:szCs w:val="32"/>
        </w:rPr>
        <w:t>公用经费20.21万元，主要包括：办公费、印刷费、咨询费</w:t>
      </w:r>
      <w:r>
        <w:rPr>
          <w:rFonts w:ascii="仿宋" w:hAnsi="仿宋" w:eastAsia="仿宋"/>
          <w:sz w:val="32"/>
          <w:szCs w:val="32"/>
        </w:rPr>
        <w:t>、</w:t>
      </w:r>
      <w:r>
        <w:rPr>
          <w:rFonts w:hint="eastAsia" w:ascii="仿宋" w:hAnsi="仿宋" w:eastAsia="仿宋"/>
          <w:sz w:val="32"/>
          <w:szCs w:val="32"/>
        </w:rPr>
        <w:t>手续费、水费、电费</w:t>
      </w:r>
      <w:r>
        <w:rPr>
          <w:rFonts w:ascii="仿宋" w:hAnsi="仿宋" w:eastAsia="仿宋"/>
          <w:sz w:val="32"/>
          <w:szCs w:val="32"/>
        </w:rPr>
        <w:t>、</w:t>
      </w:r>
      <w:r>
        <w:rPr>
          <w:rFonts w:hint="eastAsia" w:ascii="仿宋" w:hAnsi="仿宋" w:eastAsia="仿宋"/>
          <w:sz w:val="32"/>
          <w:szCs w:val="32"/>
        </w:rPr>
        <w:t>邮电费、物业管理费、差旅费、租赁费、培训费</w:t>
      </w:r>
      <w:r>
        <w:rPr>
          <w:rFonts w:ascii="仿宋" w:hAnsi="仿宋" w:eastAsia="仿宋"/>
          <w:sz w:val="32"/>
          <w:szCs w:val="32"/>
        </w:rPr>
        <w:t>、</w:t>
      </w:r>
      <w:r>
        <w:rPr>
          <w:rFonts w:hint="eastAsia" w:ascii="仿宋" w:hAnsi="仿宋" w:eastAsia="仿宋"/>
          <w:sz w:val="32"/>
          <w:szCs w:val="32"/>
        </w:rPr>
        <w:t>劳务费、委托业务费</w:t>
      </w:r>
      <w:r>
        <w:rPr>
          <w:rFonts w:ascii="仿宋" w:hAnsi="仿宋" w:eastAsia="仿宋"/>
          <w:sz w:val="32"/>
          <w:szCs w:val="32"/>
        </w:rPr>
        <w:t>、</w:t>
      </w:r>
      <w:r>
        <w:rPr>
          <w:rFonts w:hint="eastAsia" w:ascii="仿宋" w:hAnsi="仿宋" w:eastAsia="仿宋"/>
          <w:sz w:val="32"/>
          <w:szCs w:val="32"/>
        </w:rPr>
        <w:t>工会经费、福利费、其他交通费、税金及附加、其他商品和服务支出等。</w:t>
      </w:r>
    </w:p>
    <w:p>
      <w:pPr>
        <w:spacing w:line="600" w:lineRule="exact"/>
        <w:ind w:firstLine="640"/>
        <w:outlineLvl w:val="1"/>
        <w:rPr>
          <w:rStyle w:val="26"/>
          <w:rFonts w:ascii="黑体" w:hAnsi="黑体" w:eastAsia="黑体"/>
          <w:b w:val="0"/>
        </w:rPr>
      </w:pPr>
      <w:bookmarkStart w:id="38" w:name="_Toc15396609"/>
      <w:bookmarkStart w:id="39" w:name="_Toc15377215"/>
      <w:r>
        <w:rPr>
          <w:rFonts w:hint="eastAsia" w:ascii="黑体" w:eastAsia="黑体"/>
          <w:sz w:val="32"/>
          <w:szCs w:val="32"/>
        </w:rPr>
        <w:t>七、</w:t>
      </w:r>
      <w:r>
        <w:rPr>
          <w:rStyle w:val="26"/>
          <w:rFonts w:hint="eastAsia" w:ascii="黑体" w:hAnsi="黑体" w:eastAsia="黑体"/>
        </w:rPr>
        <w:t>“</w:t>
      </w:r>
      <w:r>
        <w:rPr>
          <w:rStyle w:val="26"/>
          <w:rFonts w:hint="eastAsia" w:ascii="黑体" w:hAnsi="黑体" w:eastAsia="黑体"/>
          <w:b w:val="0"/>
        </w:rPr>
        <w:t>三公”经费财政拨款支出决算情况说明</w:t>
      </w:r>
      <w:bookmarkEnd w:id="38"/>
      <w:bookmarkEnd w:id="39"/>
    </w:p>
    <w:p>
      <w:pPr>
        <w:spacing w:line="600" w:lineRule="exact"/>
        <w:ind w:firstLine="640"/>
        <w:outlineLvl w:val="2"/>
        <w:rPr>
          <w:rFonts w:ascii="仿宋" w:hAnsi="仿宋" w:eastAsia="仿宋"/>
          <w:b/>
          <w:sz w:val="32"/>
          <w:szCs w:val="32"/>
        </w:rPr>
      </w:pPr>
      <w:bookmarkStart w:id="40" w:name="_Toc15377216"/>
      <w:r>
        <w:rPr>
          <w:rFonts w:hint="eastAsia" w:ascii="仿宋" w:hAnsi="仿宋" w:eastAsia="仿宋"/>
          <w:b/>
          <w:sz w:val="32"/>
          <w:szCs w:val="32"/>
        </w:rPr>
        <w:t>（一）“三公”经费财政拨款支出决算总体情况说明</w:t>
      </w:r>
      <w:bookmarkEnd w:id="40"/>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21年“三公”经费财政拨款支出决算为1万元，完成预算0</w:t>
      </w:r>
      <w:r>
        <w:rPr>
          <w:rFonts w:ascii="仿宋" w:hAnsi="仿宋" w:eastAsia="仿宋"/>
          <w:sz w:val="32"/>
          <w:szCs w:val="32"/>
        </w:rPr>
        <w:t>%</w:t>
      </w:r>
      <w:r>
        <w:rPr>
          <w:rFonts w:hint="eastAsia" w:ascii="仿宋" w:hAnsi="仿宋" w:eastAsia="仿宋"/>
          <w:sz w:val="32"/>
          <w:szCs w:val="32"/>
        </w:rPr>
        <w:t>，决算数小于预算数的主要原因是本单位无公务用车，未产生经费，</w:t>
      </w:r>
      <w:r>
        <w:rPr>
          <w:rFonts w:hint="eastAsia" w:ascii="仿宋_GB2312" w:hAnsi="仿宋_GB2312" w:eastAsia="仿宋_GB2312" w:cs="仿宋_GB2312"/>
          <w:sz w:val="32"/>
          <w:szCs w:val="32"/>
        </w:rPr>
        <w:t>严格控制三公经费，压缩三公经费开支。</w:t>
      </w:r>
    </w:p>
    <w:p>
      <w:pPr>
        <w:spacing w:line="600" w:lineRule="exact"/>
        <w:ind w:firstLine="640"/>
        <w:outlineLvl w:val="2"/>
        <w:rPr>
          <w:rFonts w:ascii="仿宋" w:hAnsi="仿宋" w:eastAsia="仿宋"/>
          <w:b/>
          <w:sz w:val="32"/>
          <w:szCs w:val="32"/>
        </w:rPr>
      </w:pPr>
      <w:bookmarkStart w:id="41" w:name="_Toc15377217"/>
      <w:r>
        <w:rPr>
          <w:rFonts w:hint="eastAsia" w:ascii="仿宋" w:hAnsi="仿宋" w:eastAsia="仿宋"/>
          <w:b/>
          <w:sz w:val="32"/>
          <w:szCs w:val="32"/>
        </w:rPr>
        <w:t>（二）“三公”经费财政拨款支出决算具体情况说明</w:t>
      </w:r>
      <w:bookmarkEnd w:id="41"/>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21年“三公”经费财政拨款支出决算中，因公出国（境）费支出决算0万元，年初未安排预算；公务用车购置及运行维护费支出决算0万元，年初未安排预算；公务接待费支出决算0万元，主要原因为</w:t>
      </w:r>
      <w:r>
        <w:rPr>
          <w:rFonts w:hint="eastAsia" w:ascii="仿宋_GB2312" w:hAnsi="仿宋_GB2312" w:eastAsia="仿宋_GB2312" w:cs="仿宋_GB2312"/>
          <w:sz w:val="32"/>
          <w:szCs w:val="32"/>
        </w:rPr>
        <w:t>严格控制三公经费，压缩三公经费开支</w:t>
      </w:r>
      <w:r>
        <w:rPr>
          <w:rFonts w:hint="eastAsia" w:ascii="仿宋" w:hAnsi="仿宋" w:eastAsia="仿宋"/>
          <w:sz w:val="32"/>
          <w:szCs w:val="32"/>
        </w:rPr>
        <w:t>。具体情况如下：</w:t>
      </w:r>
    </w:p>
    <w:p>
      <w:pPr>
        <w:pStyle w:val="23"/>
        <w:rPr>
          <w:rFonts w:hAnsi="仿宋"/>
          <w:color w:val="auto"/>
          <w:sz w:val="32"/>
          <w:szCs w:val="32"/>
        </w:rPr>
      </w:pPr>
      <w:r>
        <w:rPr>
          <w:rFonts w:hint="eastAsia" w:hAnsi="仿宋"/>
          <w:color w:val="auto"/>
          <w:sz w:val="32"/>
          <w:szCs w:val="32"/>
        </w:rPr>
        <w:t xml:space="preserve">    </w:t>
      </w:r>
      <w:r>
        <w:rPr>
          <w:rFonts w:hint="eastAsia" w:hAnsi="仿宋"/>
          <w:color w:val="auto"/>
          <w:sz w:val="32"/>
          <w:szCs w:val="32"/>
        </w:rPr>
        <w:drawing>
          <wp:inline distT="0" distB="0" distL="114300" distR="114300">
            <wp:extent cx="4636770" cy="2771775"/>
            <wp:effectExtent l="4445" t="4445" r="6985" b="12700"/>
            <wp:docPr id="11"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spacing w:line="600" w:lineRule="exact"/>
        <w:ind w:firstLine="1600" w:firstLineChars="500"/>
        <w:rPr>
          <w:rFonts w:ascii="仿宋" w:hAnsi="仿宋" w:eastAsia="仿宋"/>
          <w:sz w:val="32"/>
          <w:szCs w:val="32"/>
        </w:rPr>
      </w:pPr>
      <w:r>
        <w:rPr>
          <w:rFonts w:hint="eastAsia" w:ascii="仿宋" w:hAnsi="仿宋" w:eastAsia="仿宋"/>
          <w:sz w:val="32"/>
          <w:szCs w:val="32"/>
        </w:rPr>
        <w:t>（图7：“三公”经费财政拨款支出结构）</w:t>
      </w:r>
    </w:p>
    <w:p>
      <w:pPr>
        <w:spacing w:line="600" w:lineRule="exact"/>
        <w:ind w:firstLine="640"/>
        <w:rPr>
          <w:rFonts w:ascii="仿宋_GB2312" w:eastAsia="仿宋_GB2312"/>
          <w:b/>
          <w:sz w:val="32"/>
          <w:szCs w:val="32"/>
        </w:rPr>
      </w:pPr>
      <w:r>
        <w:rPr>
          <w:rFonts w:ascii="仿宋_GB2312" w:eastAsia="仿宋_GB2312"/>
          <w:b/>
          <w:sz w:val="32"/>
          <w:szCs w:val="32"/>
        </w:rPr>
        <w:t>1.</w:t>
      </w:r>
      <w:r>
        <w:rPr>
          <w:rFonts w:hint="eastAsia" w:ascii="仿宋_GB2312" w:eastAsia="仿宋_GB2312"/>
          <w:b/>
          <w:sz w:val="32"/>
          <w:szCs w:val="32"/>
        </w:rPr>
        <w:t>因公出国（境）经费支出0</w:t>
      </w:r>
      <w:r>
        <w:rPr>
          <w:rFonts w:hint="eastAsia" w:ascii="仿宋_GB2312" w:eastAsia="仿宋_GB2312"/>
          <w:sz w:val="32"/>
          <w:szCs w:val="32"/>
        </w:rPr>
        <w:t>万元，</w:t>
      </w:r>
      <w:r>
        <w:rPr>
          <w:rStyle w:val="15"/>
          <w:rFonts w:hint="eastAsia" w:ascii="仿宋" w:hAnsi="仿宋" w:eastAsia="仿宋"/>
          <w:b w:val="0"/>
          <w:bCs/>
          <w:sz w:val="32"/>
          <w:szCs w:val="32"/>
        </w:rPr>
        <w:t>年初未安排预算</w:t>
      </w:r>
      <w:r>
        <w:rPr>
          <w:rFonts w:hint="eastAsia" w:ascii="仿宋_GB2312" w:eastAsia="仿宋_GB2312"/>
          <w:sz w:val="32"/>
          <w:szCs w:val="32"/>
        </w:rPr>
        <w:t>。</w:t>
      </w:r>
    </w:p>
    <w:p>
      <w:pPr>
        <w:spacing w:line="600" w:lineRule="exact"/>
        <w:ind w:firstLine="640"/>
        <w:rPr>
          <w:rFonts w:ascii="仿宋_GB2312" w:eastAsia="仿宋_GB2312"/>
          <w:b/>
          <w:sz w:val="32"/>
          <w:szCs w:val="32"/>
        </w:rPr>
      </w:pPr>
      <w:r>
        <w:rPr>
          <w:rFonts w:ascii="仿宋_GB2312" w:eastAsia="仿宋_GB2312"/>
          <w:b/>
          <w:sz w:val="32"/>
          <w:szCs w:val="32"/>
        </w:rPr>
        <w:t>2.</w:t>
      </w:r>
      <w:r>
        <w:rPr>
          <w:rFonts w:hint="eastAsia" w:ascii="仿宋_GB2312" w:eastAsia="仿宋_GB2312"/>
          <w:b/>
          <w:sz w:val="32"/>
          <w:szCs w:val="32"/>
        </w:rPr>
        <w:t>公务用车购置及运行维护费支出</w:t>
      </w:r>
      <w:r>
        <w:rPr>
          <w:rFonts w:hint="eastAsia" w:ascii="仿宋_GB2312" w:eastAsia="仿宋_GB2312"/>
          <w:sz w:val="32"/>
          <w:szCs w:val="32"/>
        </w:rPr>
        <w:t>0万元,</w:t>
      </w:r>
      <w:r>
        <w:rPr>
          <w:rStyle w:val="15"/>
          <w:rFonts w:hint="eastAsia" w:ascii="仿宋" w:hAnsi="仿宋" w:eastAsia="仿宋"/>
          <w:b w:val="0"/>
          <w:bCs/>
          <w:sz w:val="32"/>
          <w:szCs w:val="32"/>
        </w:rPr>
        <w:t>年初未安排预算。</w:t>
      </w:r>
      <w:r>
        <w:rPr>
          <w:rFonts w:hint="eastAsia" w:ascii="仿宋_GB2312" w:eastAsia="仿宋_GB2312"/>
          <w:sz w:val="32"/>
          <w:szCs w:val="32"/>
        </w:rPr>
        <w:t>公务用车购置及运行维护费支出决算比</w:t>
      </w:r>
      <w:r>
        <w:rPr>
          <w:rFonts w:ascii="仿宋_GB2312" w:eastAsia="仿宋_GB2312"/>
          <w:sz w:val="32"/>
          <w:szCs w:val="32"/>
        </w:rPr>
        <w:t>20</w:t>
      </w:r>
      <w:r>
        <w:rPr>
          <w:rFonts w:hint="eastAsia" w:ascii="仿宋_GB2312" w:eastAsia="仿宋_GB2312"/>
          <w:sz w:val="32"/>
          <w:szCs w:val="32"/>
        </w:rPr>
        <w:t>20年无变化。</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其中：</w:t>
      </w:r>
      <w:r>
        <w:rPr>
          <w:rFonts w:hint="eastAsia" w:ascii="仿宋_GB2312" w:eastAsia="仿宋_GB2312"/>
          <w:b/>
          <w:sz w:val="32"/>
          <w:szCs w:val="32"/>
        </w:rPr>
        <w:t>公务用车购置支出</w:t>
      </w:r>
      <w:r>
        <w:rPr>
          <w:rFonts w:hint="eastAsia" w:ascii="仿宋_GB2312" w:eastAsia="仿宋_GB2312"/>
          <w:sz w:val="32"/>
          <w:szCs w:val="32"/>
        </w:rPr>
        <w:t>0万元。截至</w:t>
      </w:r>
      <w:r>
        <w:rPr>
          <w:rFonts w:ascii="仿宋_GB2312" w:eastAsia="仿宋_GB2312"/>
          <w:sz w:val="32"/>
          <w:szCs w:val="32"/>
        </w:rPr>
        <w:t>20</w:t>
      </w:r>
      <w:r>
        <w:rPr>
          <w:rFonts w:hint="eastAsia" w:ascii="仿宋_GB2312" w:eastAsia="仿宋_GB2312"/>
          <w:sz w:val="32"/>
          <w:szCs w:val="32"/>
        </w:rPr>
        <w:t>21年</w:t>
      </w:r>
      <w:r>
        <w:rPr>
          <w:rFonts w:ascii="仿宋_GB2312" w:eastAsia="仿宋_GB2312"/>
          <w:sz w:val="32"/>
          <w:szCs w:val="32"/>
        </w:rPr>
        <w:t>12</w:t>
      </w:r>
      <w:r>
        <w:rPr>
          <w:rFonts w:hint="eastAsia" w:ascii="仿宋_GB2312" w:eastAsia="仿宋_GB2312"/>
          <w:sz w:val="32"/>
          <w:szCs w:val="32"/>
        </w:rPr>
        <w:t>月底，单位共有公务用车0辆。</w:t>
      </w:r>
    </w:p>
    <w:p>
      <w:pPr>
        <w:spacing w:line="600" w:lineRule="exact"/>
        <w:ind w:firstLine="643" w:firstLineChars="200"/>
        <w:rPr>
          <w:rFonts w:ascii="仿宋_GB2312" w:eastAsia="仿宋_GB2312"/>
          <w:sz w:val="32"/>
          <w:szCs w:val="32"/>
        </w:rPr>
      </w:pPr>
      <w:r>
        <w:rPr>
          <w:rFonts w:hint="eastAsia" w:ascii="仿宋_GB2312" w:eastAsia="仿宋_GB2312"/>
          <w:b/>
          <w:sz w:val="32"/>
          <w:szCs w:val="32"/>
        </w:rPr>
        <w:t>公务用车运行维护费支出</w:t>
      </w:r>
      <w:r>
        <w:rPr>
          <w:rFonts w:hint="eastAsia" w:ascii="仿宋_GB2312" w:eastAsia="仿宋_GB2312"/>
          <w:sz w:val="32"/>
          <w:szCs w:val="32"/>
        </w:rPr>
        <w:t>0万元。</w:t>
      </w:r>
      <w:r>
        <w:rPr>
          <w:rFonts w:hint="eastAsia" w:ascii="仿宋" w:hAnsi="仿宋" w:eastAsia="仿宋" w:cs="仿宋"/>
          <w:sz w:val="32"/>
          <w:szCs w:val="32"/>
        </w:rPr>
        <w:t>年初未安排预算。</w:t>
      </w:r>
    </w:p>
    <w:p>
      <w:pPr>
        <w:numPr>
          <w:ilvl w:val="0"/>
          <w:numId w:val="2"/>
        </w:numPr>
        <w:spacing w:line="600" w:lineRule="exact"/>
        <w:ind w:firstLine="640"/>
        <w:rPr>
          <w:rFonts w:ascii="仿宋_GB2312" w:eastAsia="仿宋_GB2312"/>
          <w:sz w:val="32"/>
          <w:szCs w:val="32"/>
        </w:rPr>
      </w:pPr>
      <w:r>
        <w:rPr>
          <w:rFonts w:hint="eastAsia" w:ascii="仿宋_GB2312" w:eastAsia="仿宋_GB2312"/>
          <w:b/>
          <w:sz w:val="32"/>
          <w:szCs w:val="32"/>
        </w:rPr>
        <w:t>公务接待费支出</w:t>
      </w:r>
      <w:r>
        <w:rPr>
          <w:rFonts w:hint="eastAsia" w:ascii="仿宋_GB2312" w:eastAsia="仿宋_GB2312"/>
          <w:sz w:val="32"/>
          <w:szCs w:val="32"/>
        </w:rPr>
        <w:t>0万元，</w:t>
      </w:r>
      <w:r>
        <w:rPr>
          <w:rStyle w:val="15"/>
          <w:rFonts w:hint="eastAsia" w:ascii="仿宋" w:hAnsi="仿宋" w:eastAsia="仿宋"/>
          <w:b w:val="0"/>
          <w:bCs/>
          <w:sz w:val="32"/>
          <w:szCs w:val="32"/>
        </w:rPr>
        <w:t>完成预算0</w:t>
      </w:r>
      <w:r>
        <w:rPr>
          <w:rStyle w:val="15"/>
          <w:rFonts w:ascii="仿宋" w:hAnsi="仿宋" w:eastAsia="仿宋"/>
          <w:b w:val="0"/>
          <w:bCs/>
          <w:sz w:val="32"/>
          <w:szCs w:val="32"/>
        </w:rPr>
        <w:t>%</w:t>
      </w:r>
      <w:r>
        <w:rPr>
          <w:rStyle w:val="15"/>
          <w:rFonts w:hint="eastAsia" w:ascii="仿宋" w:hAnsi="仿宋" w:eastAsia="仿宋"/>
          <w:b w:val="0"/>
          <w:bCs/>
          <w:sz w:val="32"/>
          <w:szCs w:val="32"/>
        </w:rPr>
        <w:t>。</w:t>
      </w:r>
      <w:r>
        <w:rPr>
          <w:rFonts w:hint="eastAsia" w:ascii="仿宋_GB2312" w:eastAsia="仿宋_GB2312"/>
          <w:sz w:val="32"/>
          <w:szCs w:val="32"/>
        </w:rPr>
        <w:t>公务接待费支出决算比</w:t>
      </w:r>
      <w:r>
        <w:rPr>
          <w:rFonts w:ascii="仿宋_GB2312" w:eastAsia="仿宋_GB2312"/>
          <w:sz w:val="32"/>
          <w:szCs w:val="32"/>
        </w:rPr>
        <w:t>20</w:t>
      </w:r>
      <w:r>
        <w:rPr>
          <w:rFonts w:hint="eastAsia" w:ascii="仿宋_GB2312" w:eastAsia="仿宋_GB2312"/>
          <w:sz w:val="32"/>
          <w:szCs w:val="32"/>
        </w:rPr>
        <w:t>20年减少0.13万元，下降100</w:t>
      </w:r>
      <w:r>
        <w:rPr>
          <w:rFonts w:ascii="仿宋_GB2312" w:eastAsia="仿宋_GB2312"/>
          <w:sz w:val="32"/>
          <w:szCs w:val="32"/>
        </w:rPr>
        <w:t>%</w:t>
      </w:r>
      <w:r>
        <w:rPr>
          <w:rFonts w:hint="eastAsia" w:ascii="仿宋_GB2312" w:eastAsia="仿宋_GB2312"/>
          <w:sz w:val="32"/>
          <w:szCs w:val="32"/>
        </w:rPr>
        <w:t>。主要原因是</w:t>
      </w:r>
      <w:r>
        <w:rPr>
          <w:rFonts w:hint="eastAsia" w:ascii="仿宋_GB2312" w:hAnsi="仿宋_GB2312" w:eastAsia="仿宋_GB2312" w:cs="仿宋_GB2312"/>
          <w:sz w:val="32"/>
          <w:szCs w:val="32"/>
        </w:rPr>
        <w:t>严格控制经费，按照厉行节约的原则压缩各项开支</w:t>
      </w:r>
      <w:r>
        <w:rPr>
          <w:rFonts w:hint="eastAsia" w:ascii="仿宋_GB2312" w:eastAsia="仿宋_GB2312"/>
          <w:sz w:val="32"/>
          <w:szCs w:val="32"/>
        </w:rPr>
        <w:t>。其中：</w:t>
      </w:r>
    </w:p>
    <w:p>
      <w:pPr>
        <w:spacing w:line="600" w:lineRule="exact"/>
        <w:rPr>
          <w:rFonts w:ascii="仿宋_GB2312" w:eastAsia="仿宋_GB2312"/>
          <w:sz w:val="32"/>
          <w:szCs w:val="32"/>
        </w:rPr>
      </w:pPr>
      <w:r>
        <w:rPr>
          <w:rFonts w:hint="eastAsia" w:ascii="仿宋" w:hAnsi="仿宋" w:eastAsia="仿宋"/>
          <w:b/>
          <w:sz w:val="32"/>
          <w:szCs w:val="32"/>
        </w:rPr>
        <w:t>国内公务接待支出</w:t>
      </w:r>
      <w:r>
        <w:rPr>
          <w:rFonts w:hint="eastAsia" w:ascii="仿宋" w:hAnsi="仿宋" w:eastAsia="仿宋"/>
          <w:sz w:val="32"/>
          <w:szCs w:val="32"/>
        </w:rPr>
        <w:t>0</w:t>
      </w:r>
      <w:r>
        <w:rPr>
          <w:rFonts w:hint="eastAsia" w:ascii="仿宋_GB2312" w:eastAsia="仿宋_GB2312"/>
          <w:sz w:val="32"/>
          <w:szCs w:val="32"/>
        </w:rPr>
        <w:t>万元。</w:t>
      </w:r>
    </w:p>
    <w:p>
      <w:pPr>
        <w:spacing w:line="600" w:lineRule="exact"/>
        <w:ind w:firstLine="643" w:firstLineChars="200"/>
        <w:rPr>
          <w:rFonts w:ascii="黑体" w:eastAsia="黑体"/>
          <w:sz w:val="32"/>
          <w:szCs w:val="32"/>
        </w:rPr>
      </w:pPr>
      <w:r>
        <w:rPr>
          <w:rFonts w:hint="eastAsia" w:ascii="仿宋" w:hAnsi="仿宋" w:eastAsia="仿宋"/>
          <w:b/>
          <w:sz w:val="32"/>
          <w:szCs w:val="32"/>
        </w:rPr>
        <w:t>外事接待支出</w:t>
      </w:r>
      <w:r>
        <w:rPr>
          <w:rFonts w:hint="eastAsia" w:ascii="仿宋" w:hAnsi="仿宋" w:eastAsia="仿宋"/>
          <w:sz w:val="32"/>
          <w:szCs w:val="32"/>
        </w:rPr>
        <w:t>0</w:t>
      </w:r>
      <w:r>
        <w:rPr>
          <w:rFonts w:hint="eastAsia" w:ascii="仿宋_GB2312" w:eastAsia="仿宋_GB2312"/>
          <w:sz w:val="32"/>
          <w:szCs w:val="32"/>
        </w:rPr>
        <w:t>万元。</w:t>
      </w:r>
      <w:bookmarkStart w:id="42" w:name="_Toc15377218"/>
      <w:bookmarkStart w:id="43" w:name="_Toc15396610"/>
    </w:p>
    <w:p>
      <w:pPr>
        <w:spacing w:line="600" w:lineRule="exact"/>
        <w:ind w:firstLine="640"/>
        <w:outlineLvl w:val="1"/>
        <w:rPr>
          <w:rStyle w:val="26"/>
          <w:rFonts w:ascii="黑体" w:hAnsi="黑体" w:eastAsia="黑体"/>
        </w:rPr>
      </w:pPr>
      <w:r>
        <w:rPr>
          <w:rFonts w:hint="eastAsia" w:ascii="黑体" w:eastAsia="黑体"/>
          <w:sz w:val="32"/>
          <w:szCs w:val="32"/>
        </w:rPr>
        <w:t>八、</w:t>
      </w:r>
      <w:r>
        <w:rPr>
          <w:rStyle w:val="26"/>
          <w:rFonts w:hint="eastAsia" w:ascii="黑体" w:hAnsi="黑体" w:eastAsia="黑体"/>
          <w:b w:val="0"/>
        </w:rPr>
        <w:t>政府性基金预算支出决算情况说明</w:t>
      </w:r>
      <w:bookmarkEnd w:id="42"/>
      <w:bookmarkEnd w:id="43"/>
    </w:p>
    <w:p>
      <w:pPr>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21年政府性基金预算财政拨款支出2712.23万元。</w:t>
      </w:r>
      <w:r>
        <w:rPr>
          <w:rFonts w:hint="eastAsia" w:ascii="仿宋" w:hAnsi="仿宋" w:eastAsia="仿宋" w:cs="仿宋"/>
          <w:sz w:val="32"/>
          <w:szCs w:val="32"/>
        </w:rPr>
        <w:t>未在政府性基金预算拨款安排“三公经费”支出。</w:t>
      </w:r>
    </w:p>
    <w:p>
      <w:pPr>
        <w:numPr>
          <w:ilvl w:val="0"/>
          <w:numId w:val="3"/>
        </w:numPr>
        <w:spacing w:line="600" w:lineRule="exact"/>
        <w:ind w:firstLine="640"/>
        <w:outlineLvl w:val="1"/>
        <w:rPr>
          <w:rStyle w:val="26"/>
          <w:rFonts w:ascii="黑体" w:hAnsi="黑体" w:eastAsia="黑体"/>
          <w:b w:val="0"/>
        </w:rPr>
      </w:pPr>
      <w:bookmarkStart w:id="44" w:name="_Toc15377219"/>
      <w:bookmarkStart w:id="45" w:name="_Toc15396611"/>
      <w:r>
        <w:rPr>
          <w:rStyle w:val="26"/>
          <w:rFonts w:hint="eastAsia" w:ascii="黑体" w:hAnsi="黑体" w:eastAsia="黑体"/>
          <w:b w:val="0"/>
        </w:rPr>
        <w:t>国有资本经营预算支出决算情况说明</w:t>
      </w:r>
      <w:bookmarkEnd w:id="44"/>
      <w:bookmarkEnd w:id="45"/>
    </w:p>
    <w:p>
      <w:pPr>
        <w:spacing w:line="600" w:lineRule="exact"/>
        <w:ind w:firstLine="640"/>
        <w:rPr>
          <w:rFonts w:ascii="方正小标宋简体" w:hAnsi="方正小标宋简体" w:eastAsia="方正小标宋简体" w:cs="方正小标宋简体"/>
          <w:sz w:val="44"/>
          <w:szCs w:val="44"/>
        </w:rPr>
      </w:pPr>
      <w:r>
        <w:rPr>
          <w:rFonts w:ascii="仿宋_GB2312" w:eastAsia="仿宋_GB2312"/>
          <w:sz w:val="32"/>
          <w:szCs w:val="32"/>
        </w:rPr>
        <w:t>20</w:t>
      </w:r>
      <w:r>
        <w:rPr>
          <w:rFonts w:hint="eastAsia" w:ascii="仿宋_GB2312" w:eastAsia="仿宋_GB2312"/>
          <w:sz w:val="32"/>
          <w:szCs w:val="32"/>
        </w:rPr>
        <w:t>21年国有资本经营预算财政拨款支出0万元。</w:t>
      </w:r>
    </w:p>
    <w:p>
      <w:pPr>
        <w:numPr>
          <w:ilvl w:val="0"/>
          <w:numId w:val="3"/>
        </w:numPr>
        <w:spacing w:line="600" w:lineRule="exact"/>
        <w:ind w:firstLine="640"/>
        <w:outlineLvl w:val="1"/>
        <w:rPr>
          <w:rStyle w:val="26"/>
          <w:rFonts w:ascii="黑体" w:hAnsi="黑体" w:eastAsia="黑体"/>
          <w:b w:val="0"/>
        </w:rPr>
      </w:pPr>
      <w:bookmarkStart w:id="46" w:name="_Toc15396612"/>
      <w:bookmarkStart w:id="47" w:name="_Toc15377221"/>
      <w:r>
        <w:rPr>
          <w:rStyle w:val="26"/>
          <w:rFonts w:hint="eastAsia" w:ascii="黑体" w:hAnsi="黑体" w:eastAsia="黑体"/>
          <w:b w:val="0"/>
        </w:rPr>
        <w:t>预算绩效管理情况</w:t>
      </w:r>
    </w:p>
    <w:p>
      <w:pPr>
        <w:spacing w:line="580" w:lineRule="exact"/>
        <w:ind w:firstLine="640" w:firstLineChars="200"/>
      </w:pPr>
      <w:r>
        <w:rPr>
          <w:rFonts w:hint="eastAsia" w:ascii="仿宋_GB2312" w:hAnsi="仿宋_GB2312" w:eastAsia="仿宋_GB2312" w:cs="仿宋_GB2312"/>
          <w:sz w:val="32"/>
          <w:szCs w:val="32"/>
        </w:rPr>
        <w:t>根据预算绩效管理要求，本单位在2021年度预算编制阶段，组织对0个项目开展了预算事前绩效评估，对0个项目编制了绩效目标，预算执行过程中，选取0个项目开展绩效监控，年终执行完毕后，对0个项目开展了绩效自评。</w:t>
      </w:r>
      <w:r>
        <w:rPr>
          <w:rFonts w:hint="eastAsia" w:ascii="仿宋" w:hAnsi="仿宋" w:eastAsia="仿宋" w:cs="仿宋"/>
          <w:sz w:val="32"/>
          <w:szCs w:val="32"/>
        </w:rPr>
        <w:t>广元市自然资源储备交易中心</w:t>
      </w:r>
      <w:r>
        <w:rPr>
          <w:rFonts w:hint="eastAsia" w:ascii="仿宋_GB2312" w:hAnsi="仿宋_GB2312" w:eastAsia="仿宋_GB2312" w:cs="仿宋_GB2312"/>
          <w:color w:val="000000"/>
          <w:sz w:val="32"/>
          <w:szCs w:val="32"/>
        </w:rPr>
        <w:t>按要求对2021年部门整体支出绩效评价情况开展了自评，《</w:t>
      </w:r>
      <w:r>
        <w:rPr>
          <w:rFonts w:hint="eastAsia" w:ascii="仿宋" w:hAnsi="仿宋" w:eastAsia="仿宋" w:cs="仿宋"/>
          <w:sz w:val="32"/>
          <w:szCs w:val="32"/>
        </w:rPr>
        <w:t>广元市自然资源储备交易中心</w:t>
      </w:r>
      <w:r>
        <w:rPr>
          <w:rFonts w:hint="eastAsia" w:ascii="仿宋_GB2312" w:hAnsi="仿宋_GB2312" w:eastAsia="仿宋_GB2312" w:cs="仿宋_GB2312"/>
          <w:color w:val="000000"/>
          <w:sz w:val="32"/>
          <w:szCs w:val="32"/>
        </w:rPr>
        <w:t>2021年部门整体支出绩效评价自评报告》</w:t>
      </w:r>
      <w:r>
        <w:rPr>
          <w:rFonts w:hint="eastAsia" w:ascii="仿宋_GB2312" w:hAnsi="仿宋_GB2312" w:eastAsia="仿宋_GB2312" w:cs="仿宋_GB2312"/>
          <w:sz w:val="32"/>
          <w:szCs w:val="32"/>
        </w:rPr>
        <w:t>见附件（第四部分）。</w:t>
      </w:r>
    </w:p>
    <w:p>
      <w:pPr>
        <w:numPr>
          <w:ilvl w:val="0"/>
          <w:numId w:val="3"/>
        </w:numPr>
        <w:spacing w:line="600" w:lineRule="exact"/>
        <w:ind w:firstLine="640"/>
        <w:outlineLvl w:val="1"/>
        <w:rPr>
          <w:rStyle w:val="26"/>
          <w:rFonts w:ascii="黑体" w:hAnsi="黑体" w:eastAsia="黑体"/>
          <w:b w:val="0"/>
        </w:rPr>
      </w:pPr>
      <w:r>
        <w:rPr>
          <w:rStyle w:val="26"/>
          <w:rFonts w:hint="eastAsia" w:ascii="黑体" w:hAnsi="黑体" w:eastAsia="黑体"/>
          <w:b w:val="0"/>
        </w:rPr>
        <w:t>其他重要事项的情况说明</w:t>
      </w:r>
      <w:bookmarkEnd w:id="46"/>
      <w:bookmarkEnd w:id="47"/>
    </w:p>
    <w:p>
      <w:pPr>
        <w:spacing w:line="600" w:lineRule="exact"/>
        <w:ind w:firstLine="643" w:firstLineChars="200"/>
        <w:outlineLvl w:val="2"/>
        <w:rPr>
          <w:rFonts w:ascii="仿宋" w:hAnsi="仿宋" w:eastAsia="仿宋"/>
          <w:sz w:val="32"/>
          <w:szCs w:val="32"/>
        </w:rPr>
      </w:pPr>
      <w:bookmarkStart w:id="48" w:name="_Toc15377222"/>
      <w:r>
        <w:rPr>
          <w:rFonts w:hint="eastAsia" w:ascii="仿宋" w:hAnsi="仿宋" w:eastAsia="仿宋"/>
          <w:b/>
          <w:sz w:val="32"/>
          <w:szCs w:val="32"/>
        </w:rPr>
        <w:t>（一）机关运行经费支出情况</w:t>
      </w:r>
      <w:bookmarkEnd w:id="48"/>
    </w:p>
    <w:p>
      <w:pPr>
        <w:spacing w:line="60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21年，</w:t>
      </w:r>
      <w:r>
        <w:rPr>
          <w:rFonts w:hint="eastAsia" w:ascii="仿宋" w:hAnsi="仿宋" w:eastAsia="仿宋" w:cs="仿宋"/>
          <w:sz w:val="32"/>
          <w:szCs w:val="32"/>
        </w:rPr>
        <w:t>广元市自然资源储备交易中心</w:t>
      </w:r>
      <w:r>
        <w:rPr>
          <w:rFonts w:hint="eastAsia" w:ascii="仿宋_GB2312" w:eastAsia="仿宋_GB2312"/>
          <w:sz w:val="32"/>
          <w:szCs w:val="32"/>
        </w:rPr>
        <w:t>未发生机关运行经费，</w:t>
      </w:r>
      <w:r>
        <w:rPr>
          <w:rFonts w:hint="eastAsia" w:ascii="仿宋_GB2312" w:hAnsi="仿宋_GB2312" w:eastAsia="仿宋_GB2312" w:cs="仿宋_GB2312"/>
          <w:sz w:val="32"/>
          <w:szCs w:val="32"/>
        </w:rPr>
        <w:t>与2020年无变化，年初未安排预算。</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49" w:name="_Toc15377223"/>
      <w:r>
        <w:rPr>
          <w:rFonts w:hint="eastAsia" w:ascii="仿宋" w:hAnsi="仿宋" w:eastAsia="仿宋"/>
          <w:b/>
          <w:sz w:val="32"/>
          <w:szCs w:val="32"/>
        </w:rPr>
        <w:t>（二）政府采购支出情况</w:t>
      </w:r>
      <w:bookmarkEnd w:id="49"/>
    </w:p>
    <w:p>
      <w:pPr>
        <w:spacing w:line="60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21年，</w:t>
      </w:r>
      <w:r>
        <w:rPr>
          <w:rFonts w:hint="eastAsia" w:ascii="仿宋" w:hAnsi="仿宋" w:eastAsia="仿宋" w:cs="仿宋"/>
          <w:sz w:val="32"/>
          <w:szCs w:val="32"/>
        </w:rPr>
        <w:t>广元市自然资源储备交易中心</w:t>
      </w:r>
      <w:r>
        <w:rPr>
          <w:rFonts w:hint="eastAsia" w:ascii="仿宋_GB2312" w:eastAsia="仿宋_GB2312"/>
          <w:sz w:val="32"/>
          <w:szCs w:val="32"/>
        </w:rPr>
        <w:t>政府采购支出总额0万元，年初未安排预算。</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50" w:name="_Toc15377224"/>
      <w:r>
        <w:rPr>
          <w:rFonts w:hint="eastAsia" w:ascii="仿宋" w:hAnsi="仿宋" w:eastAsia="仿宋"/>
          <w:b/>
          <w:sz w:val="32"/>
          <w:szCs w:val="32"/>
        </w:rPr>
        <w:t>（三）国有资产占有使用情况</w:t>
      </w:r>
      <w:bookmarkEnd w:id="50"/>
    </w:p>
    <w:p>
      <w:pPr>
        <w:autoSpaceDE w:val="0"/>
        <w:autoSpaceDN w:val="0"/>
        <w:adjustRightInd w:val="0"/>
        <w:spacing w:line="600" w:lineRule="exact"/>
        <w:ind w:firstLine="640" w:firstLineChars="200"/>
        <w:jc w:val="left"/>
        <w:rPr>
          <w:rFonts w:ascii="仿宋_GB2312" w:eastAsia="仿宋_GB2312"/>
          <w:sz w:val="32"/>
          <w:szCs w:val="32"/>
        </w:rPr>
      </w:pPr>
      <w:r>
        <w:rPr>
          <w:rFonts w:hint="eastAsia" w:ascii="仿宋_GB2312" w:eastAsia="仿宋_GB2312"/>
          <w:sz w:val="32"/>
          <w:szCs w:val="32"/>
        </w:rPr>
        <w:t>截至</w:t>
      </w:r>
      <w:r>
        <w:rPr>
          <w:rFonts w:ascii="仿宋_GB2312" w:eastAsia="仿宋_GB2312"/>
          <w:sz w:val="32"/>
          <w:szCs w:val="32"/>
        </w:rPr>
        <w:t>20</w:t>
      </w:r>
      <w:r>
        <w:rPr>
          <w:rFonts w:hint="eastAsia" w:ascii="仿宋_GB2312" w:eastAsia="仿宋_GB2312"/>
          <w:sz w:val="32"/>
          <w:szCs w:val="32"/>
        </w:rPr>
        <w:t>21年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w:t>
      </w:r>
      <w:r>
        <w:rPr>
          <w:rFonts w:hint="eastAsia" w:ascii="仿宋" w:hAnsi="仿宋" w:eastAsia="仿宋" w:cs="仿宋"/>
          <w:sz w:val="32"/>
          <w:szCs w:val="32"/>
        </w:rPr>
        <w:t>广元市自然资源储备交易中心</w:t>
      </w:r>
      <w:r>
        <w:rPr>
          <w:rFonts w:hint="eastAsia" w:ascii="仿宋_GB2312" w:eastAsia="仿宋_GB2312"/>
          <w:sz w:val="32"/>
          <w:szCs w:val="32"/>
        </w:rPr>
        <w:t>共有车辆0辆，其中：主要领导干部用0辆、机要通信用车0辆、应急保障用车0辆、其他用车0辆，其他用车主要是用于</w:t>
      </w:r>
      <w:r>
        <w:rPr>
          <w:rFonts w:hint="eastAsia" w:ascii="仿宋_GB2312" w:hAnsi="仿宋_GB2312" w:eastAsia="仿宋_GB2312" w:cs="仿宋_GB2312"/>
          <w:color w:val="000000"/>
          <w:sz w:val="32"/>
          <w:szCs w:val="32"/>
        </w:rPr>
        <w:t>一般公务、业务用车。</w:t>
      </w:r>
      <w:r>
        <w:rPr>
          <w:rFonts w:hint="eastAsia" w:ascii="仿宋_GB2312" w:eastAsia="仿宋_GB2312"/>
          <w:sz w:val="32"/>
          <w:szCs w:val="32"/>
        </w:rPr>
        <w:t>单价</w:t>
      </w:r>
      <w:r>
        <w:rPr>
          <w:rFonts w:ascii="仿宋_GB2312" w:eastAsia="仿宋_GB2312"/>
          <w:sz w:val="32"/>
          <w:szCs w:val="32"/>
        </w:rPr>
        <w:t>50</w:t>
      </w:r>
      <w:r>
        <w:rPr>
          <w:rFonts w:hint="eastAsia" w:ascii="仿宋_GB2312" w:eastAsia="仿宋_GB2312"/>
          <w:sz w:val="32"/>
          <w:szCs w:val="32"/>
        </w:rPr>
        <w:t>万元以上通用设备0台（套），单价</w:t>
      </w:r>
      <w:r>
        <w:rPr>
          <w:rFonts w:ascii="仿宋_GB2312" w:eastAsia="仿宋_GB2312"/>
          <w:sz w:val="32"/>
          <w:szCs w:val="32"/>
        </w:rPr>
        <w:t>100</w:t>
      </w:r>
      <w:r>
        <w:rPr>
          <w:rFonts w:hint="eastAsia" w:ascii="仿宋_GB2312" w:eastAsia="仿宋_GB2312"/>
          <w:sz w:val="32"/>
          <w:szCs w:val="32"/>
        </w:rPr>
        <w:t>万元以上专用设备0台（套）。</w:t>
      </w:r>
    </w:p>
    <w:p>
      <w:pPr>
        <w:pStyle w:val="5"/>
        <w:spacing w:before="93"/>
        <w:rPr>
          <w:highlight w:val="yellow"/>
        </w:rPr>
      </w:pPr>
    </w:p>
    <w:p>
      <w:pPr>
        <w:widowControl/>
        <w:jc w:val="left"/>
        <w:rPr>
          <w:rFonts w:ascii="仿宋_GB2312" w:eastAsia="仿宋_GB2312"/>
          <w:b/>
          <w:sz w:val="32"/>
          <w:szCs w:val="32"/>
        </w:rPr>
      </w:pPr>
      <w:r>
        <w:rPr>
          <w:rFonts w:ascii="仿宋_GB2312" w:eastAsia="仿宋_GB2312"/>
          <w:b/>
          <w:sz w:val="32"/>
          <w:szCs w:val="32"/>
        </w:rPr>
        <w:br w:type="page"/>
      </w:r>
    </w:p>
    <w:p>
      <w:pPr>
        <w:numPr>
          <w:ilvl w:val="0"/>
          <w:numId w:val="4"/>
        </w:numPr>
        <w:spacing w:line="600" w:lineRule="exact"/>
        <w:ind w:firstLine="660" w:firstLineChars="150"/>
        <w:jc w:val="center"/>
        <w:outlineLvl w:val="0"/>
        <w:rPr>
          <w:rStyle w:val="25"/>
          <w:rFonts w:ascii="黑体" w:hAnsi="黑体" w:eastAsia="黑体"/>
          <w:b w:val="0"/>
        </w:rPr>
      </w:pPr>
      <w:bookmarkStart w:id="51" w:name="_Toc15396613"/>
      <w:bookmarkStart w:id="52" w:name="_Toc15377225"/>
      <w:r>
        <w:rPr>
          <w:rFonts w:hint="eastAsia" w:ascii="黑体" w:hAnsi="黑体" w:eastAsia="黑体"/>
          <w:sz w:val="44"/>
          <w:szCs w:val="44"/>
        </w:rPr>
        <w:t>名</w:t>
      </w:r>
      <w:r>
        <w:rPr>
          <w:rStyle w:val="25"/>
          <w:rFonts w:hint="eastAsia" w:ascii="黑体" w:hAnsi="黑体" w:eastAsia="黑体"/>
          <w:b w:val="0"/>
        </w:rPr>
        <w:t>词解释</w:t>
      </w:r>
      <w:bookmarkEnd w:id="51"/>
      <w:bookmarkEnd w:id="52"/>
    </w:p>
    <w:p>
      <w:pPr>
        <w:spacing w:line="600" w:lineRule="exact"/>
        <w:jc w:val="left"/>
        <w:rPr>
          <w:rFonts w:ascii="宋体"/>
          <w:b/>
          <w:sz w:val="44"/>
          <w:szCs w:val="44"/>
        </w:rPr>
      </w:pPr>
    </w:p>
    <w:p>
      <w:pPr>
        <w:pStyle w:val="23"/>
        <w:spacing w:line="580" w:lineRule="exact"/>
        <w:ind w:firstLine="640" w:firstLineChars="200"/>
        <w:rPr>
          <w:rFonts w:ascii="仿宋_GB2312" w:hAnsi="仿宋_GB2312" w:eastAsia="仿宋_GB2312" w:cs="仿宋_GB2312"/>
          <w:sz w:val="32"/>
          <w:szCs w:val="32"/>
        </w:rPr>
      </w:pPr>
      <w:bookmarkStart w:id="53" w:name="_Toc15377226"/>
      <w:r>
        <w:rPr>
          <w:rFonts w:hint="eastAsia" w:ascii="仿宋_GB2312" w:hAnsi="仿宋_GB2312" w:eastAsia="仿宋_GB2312" w:cs="仿宋_GB2312"/>
          <w:sz w:val="32"/>
          <w:szCs w:val="32"/>
        </w:rPr>
        <w:t>1.财政拨款收入：指单位从同级财政部门取得的财政预算资金。</w:t>
      </w:r>
    </w:p>
    <w:p>
      <w:pPr>
        <w:pStyle w:val="23"/>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2.其他收入：指单位取得的除上述收入以外的各项收入。主要是单位银行存款利息和财政未通过大平台拨付的项目资金。</w:t>
      </w:r>
    </w:p>
    <w:p>
      <w:pPr>
        <w:pStyle w:val="23"/>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3.年初结转和结余：指以前年度尚未完成、结转到本年按有关规定继续使用的资金。</w:t>
      </w:r>
    </w:p>
    <w:p>
      <w:pPr>
        <w:pStyle w:val="23"/>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4.年末结转和结余：指单位按有关规定结转到下年或以后年度继续使用的资金。</w:t>
      </w:r>
    </w:p>
    <w:p>
      <w:pPr>
        <w:spacing w:line="580" w:lineRule="exact"/>
        <w:ind w:firstLine="643" w:firstLineChars="200"/>
        <w:rPr>
          <w:rStyle w:val="15"/>
          <w:rFonts w:ascii="仿宋_GB2312" w:hAnsi="仿宋_GB2312" w:eastAsia="仿宋_GB2312" w:cs="仿宋_GB2312"/>
          <w:bCs/>
          <w:color w:val="000000"/>
          <w:sz w:val="32"/>
          <w:szCs w:val="32"/>
        </w:rPr>
      </w:pPr>
      <w:r>
        <w:rPr>
          <w:rStyle w:val="15"/>
          <w:rFonts w:hint="eastAsia" w:ascii="仿宋_GB2312" w:hAnsi="仿宋_GB2312" w:eastAsia="仿宋_GB2312" w:cs="仿宋_GB2312"/>
          <w:bCs/>
          <w:color w:val="000000"/>
          <w:sz w:val="32"/>
          <w:szCs w:val="32"/>
        </w:rPr>
        <w:t>5.社会保障和就业（类）行政事业单位离退休（款）机关事业单位基本养老保险缴费支出（项）:</w:t>
      </w:r>
      <w:r>
        <w:rPr>
          <w:rStyle w:val="15"/>
          <w:rFonts w:hint="eastAsia" w:ascii="仿宋_GB2312" w:hAnsi="仿宋_GB2312" w:eastAsia="仿宋_GB2312" w:cs="仿宋_GB2312"/>
          <w:b w:val="0"/>
          <w:sz w:val="32"/>
          <w:szCs w:val="32"/>
        </w:rPr>
        <w:t>指机关事业单位</w:t>
      </w:r>
      <w:r>
        <w:rPr>
          <w:rStyle w:val="15"/>
          <w:rFonts w:hint="eastAsia" w:ascii="仿宋_GB2312" w:hAnsi="仿宋_GB2312" w:eastAsia="仿宋_GB2312" w:cs="仿宋_GB2312"/>
          <w:b w:val="0"/>
          <w:color w:val="000000"/>
          <w:sz w:val="32"/>
          <w:szCs w:val="32"/>
        </w:rPr>
        <w:t>实施养老保险制度由单位缴纳的基本养老保险费支出。</w:t>
      </w:r>
    </w:p>
    <w:p>
      <w:pPr>
        <w:spacing w:line="580" w:lineRule="exact"/>
        <w:ind w:firstLine="640" w:firstLineChars="200"/>
        <w:rPr>
          <w:rStyle w:val="15"/>
          <w:rFonts w:ascii="仿宋_GB2312" w:hAnsi="仿宋_GB2312" w:eastAsia="仿宋_GB2312" w:cs="仿宋_GB2312"/>
          <w:b w:val="0"/>
          <w:sz w:val="32"/>
          <w:szCs w:val="32"/>
        </w:rPr>
      </w:pPr>
      <w:r>
        <w:rPr>
          <w:rFonts w:ascii="仿宋_GB2312" w:hAnsi="仿宋_GB2312" w:eastAsia="仿宋_GB2312" w:cs="仿宋_GB2312"/>
          <w:color w:val="000000"/>
          <w:sz w:val="32"/>
          <w:szCs w:val="32"/>
        </w:rPr>
        <w:t>6</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b/>
          <w:bCs/>
          <w:color w:val="000000"/>
          <w:sz w:val="32"/>
          <w:szCs w:val="32"/>
        </w:rPr>
        <w:t>卫生健康</w:t>
      </w:r>
      <w:r>
        <w:rPr>
          <w:rStyle w:val="15"/>
          <w:rFonts w:hint="eastAsia" w:ascii="仿宋_GB2312" w:hAnsi="仿宋_GB2312" w:eastAsia="仿宋_GB2312" w:cs="仿宋_GB2312"/>
          <w:bCs/>
          <w:color w:val="000000"/>
          <w:sz w:val="32"/>
          <w:szCs w:val="32"/>
        </w:rPr>
        <w:t>（类）行政事业单位医疗（款）事业单位医疗（项）</w:t>
      </w:r>
      <w:r>
        <w:rPr>
          <w:rFonts w:hint="eastAsia" w:ascii="仿宋_GB2312" w:hAnsi="仿宋_GB2312" w:eastAsia="仿宋_GB2312" w:cs="仿宋_GB2312"/>
          <w:color w:val="000000"/>
          <w:sz w:val="32"/>
          <w:szCs w:val="32"/>
        </w:rPr>
        <w:t>：</w:t>
      </w:r>
      <w:r>
        <w:rPr>
          <w:rStyle w:val="15"/>
          <w:rFonts w:hint="eastAsia" w:ascii="仿宋_GB2312" w:hAnsi="仿宋_GB2312" w:eastAsia="仿宋_GB2312" w:cs="仿宋_GB2312"/>
          <w:b w:val="0"/>
          <w:sz w:val="32"/>
          <w:szCs w:val="32"/>
        </w:rPr>
        <w:t>指</w:t>
      </w:r>
      <w:r>
        <w:rPr>
          <w:rFonts w:hint="eastAsia" w:ascii="仿宋_GB2312" w:hAnsi="仿宋_GB2312" w:eastAsia="仿宋_GB2312" w:cs="仿宋_GB2312"/>
          <w:sz w:val="32"/>
          <w:szCs w:val="32"/>
          <w:shd w:val="clear" w:color="auto" w:fill="FFFFFF"/>
        </w:rPr>
        <w:t>事业单位用于缴纳单位基本医疗保险支出。</w:t>
      </w:r>
    </w:p>
    <w:p>
      <w:pPr>
        <w:spacing w:line="58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7</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b/>
          <w:bCs/>
          <w:color w:val="000000"/>
          <w:sz w:val="32"/>
          <w:szCs w:val="32"/>
        </w:rPr>
        <w:t>城区社区（类）其他城区社区支出（款）土地开发及出让支出（项）</w:t>
      </w:r>
      <w:r>
        <w:rPr>
          <w:rFonts w:hint="eastAsia" w:ascii="仿宋_GB2312" w:hAnsi="仿宋_GB2312" w:eastAsia="仿宋_GB2312" w:cs="仿宋_GB2312"/>
          <w:color w:val="000000"/>
          <w:sz w:val="32"/>
          <w:szCs w:val="32"/>
        </w:rPr>
        <w:t>：指土地开发及出让项目发生的业务支出、土地拆迁补偿支出、土地出让业务支出。</w:t>
      </w:r>
    </w:p>
    <w:p>
      <w:pPr>
        <w:spacing w:line="580" w:lineRule="exact"/>
        <w:ind w:firstLine="640" w:firstLineChars="200"/>
        <w:rPr>
          <w:rFonts w:ascii="仿宋_GB2312" w:hAnsi="仿宋_GB2312" w:eastAsia="仿宋_GB2312" w:cs="仿宋_GB2312"/>
          <w:sz w:val="32"/>
          <w:szCs w:val="32"/>
          <w:shd w:val="clear" w:color="auto" w:fill="FFFFFF"/>
        </w:rPr>
      </w:pPr>
      <w:r>
        <w:rPr>
          <w:rFonts w:ascii="仿宋_GB2312" w:hAnsi="仿宋_GB2312" w:eastAsia="仿宋_GB2312" w:cs="仿宋_GB2312"/>
          <w:color w:val="000000"/>
          <w:sz w:val="32"/>
          <w:szCs w:val="32"/>
        </w:rPr>
        <w:t>8</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b/>
          <w:bCs/>
          <w:color w:val="000000"/>
          <w:sz w:val="32"/>
          <w:szCs w:val="32"/>
        </w:rPr>
        <w:t>自然资源海洋气象等（类）自然资源事务（款)、事业运行（项）：</w:t>
      </w:r>
      <w:r>
        <w:rPr>
          <w:rFonts w:hint="eastAsia" w:ascii="仿宋_GB2312" w:hAnsi="仿宋_GB2312" w:eastAsia="仿宋_GB2312" w:cs="仿宋_GB2312"/>
          <w:color w:val="000000"/>
          <w:sz w:val="32"/>
          <w:szCs w:val="32"/>
        </w:rPr>
        <w:t>指</w:t>
      </w:r>
      <w:r>
        <w:rPr>
          <w:rFonts w:hint="eastAsia" w:ascii="仿宋_GB2312" w:hAnsi="仿宋_GB2312" w:eastAsia="仿宋_GB2312" w:cs="仿宋_GB2312"/>
          <w:sz w:val="32"/>
          <w:szCs w:val="32"/>
          <w:shd w:val="clear" w:color="auto" w:fill="FFFFFF"/>
        </w:rPr>
        <w:t>局事业单位用于保障机构正常运行、开展日常工作的基本支出。</w:t>
      </w:r>
    </w:p>
    <w:p>
      <w:pPr>
        <w:spacing w:line="580" w:lineRule="exact"/>
        <w:ind w:firstLine="640" w:firstLineChars="200"/>
        <w:rPr>
          <w:rFonts w:ascii="仿宋_GB2312" w:hAnsi="仿宋_GB2312" w:eastAsia="仿宋_GB2312" w:cs="仿宋_GB2312"/>
          <w:color w:val="000000"/>
          <w:sz w:val="32"/>
          <w:szCs w:val="32"/>
        </w:rPr>
      </w:pPr>
      <w:r>
        <w:rPr>
          <w:rStyle w:val="15"/>
          <w:rFonts w:ascii="仿宋_GB2312" w:hAnsi="仿宋_GB2312" w:eastAsia="仿宋_GB2312" w:cs="仿宋_GB2312"/>
          <w:b w:val="0"/>
          <w:bCs/>
          <w:color w:val="000000"/>
          <w:sz w:val="32"/>
          <w:szCs w:val="32"/>
        </w:rPr>
        <w:t>9</w:t>
      </w:r>
      <w:r>
        <w:rPr>
          <w:rStyle w:val="15"/>
          <w:rFonts w:hint="eastAsia" w:ascii="仿宋_GB2312" w:hAnsi="仿宋_GB2312" w:eastAsia="仿宋_GB2312" w:cs="仿宋_GB2312"/>
          <w:b w:val="0"/>
          <w:bCs/>
          <w:color w:val="000000"/>
          <w:sz w:val="32"/>
          <w:szCs w:val="32"/>
        </w:rPr>
        <w:t>.</w:t>
      </w:r>
      <w:r>
        <w:rPr>
          <w:rStyle w:val="15"/>
          <w:rFonts w:hint="eastAsia" w:ascii="仿宋_GB2312" w:hAnsi="仿宋_GB2312" w:eastAsia="仿宋_GB2312" w:cs="仿宋_GB2312"/>
          <w:color w:val="000000"/>
          <w:sz w:val="32"/>
          <w:szCs w:val="32"/>
        </w:rPr>
        <w:t>自然资源海洋气象等支出（类）自然资源事务（款）其他自然资源事务（项）</w:t>
      </w:r>
      <w:r>
        <w:rPr>
          <w:rStyle w:val="15"/>
          <w:rFonts w:hint="eastAsia" w:ascii="仿宋_GB2312" w:hAnsi="仿宋_GB2312" w:eastAsia="仿宋_GB2312" w:cs="仿宋_GB2312"/>
          <w:b w:val="0"/>
          <w:bCs/>
          <w:color w:val="000000"/>
          <w:sz w:val="32"/>
          <w:szCs w:val="32"/>
        </w:rPr>
        <w:t>：指除财政一般公共预算安排的项目之外的项目支出。</w:t>
      </w:r>
    </w:p>
    <w:p>
      <w:pPr>
        <w:spacing w:line="580" w:lineRule="exact"/>
        <w:ind w:firstLine="640" w:firstLineChars="200"/>
        <w:rPr>
          <w:rFonts w:ascii="仿宋_GB2312" w:hAnsi="仿宋_GB2312" w:eastAsia="仿宋_GB2312" w:cs="仿宋_GB2312"/>
          <w:sz w:val="32"/>
          <w:szCs w:val="32"/>
        </w:rPr>
      </w:pPr>
      <w:r>
        <w:rPr>
          <w:rFonts w:ascii="仿宋_GB2312" w:hAnsi="仿宋_GB2312" w:eastAsia="仿宋_GB2312" w:cs="仿宋_GB2312"/>
          <w:color w:val="000000"/>
          <w:sz w:val="32"/>
          <w:szCs w:val="32"/>
        </w:rPr>
        <w:t>10</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b/>
          <w:bCs/>
          <w:color w:val="000000"/>
          <w:sz w:val="32"/>
          <w:szCs w:val="32"/>
        </w:rPr>
        <w:t>住房保障（类）住房改革支出（款）住房公积金（项）：</w:t>
      </w:r>
      <w:r>
        <w:rPr>
          <w:rFonts w:hint="eastAsia" w:ascii="仿宋_GB2312" w:hAnsi="仿宋_GB2312" w:eastAsia="仿宋_GB2312" w:cs="仿宋_GB2312"/>
          <w:color w:val="000000"/>
          <w:sz w:val="32"/>
          <w:szCs w:val="32"/>
        </w:rPr>
        <w:t>指</w:t>
      </w:r>
      <w:r>
        <w:rPr>
          <w:rFonts w:hint="eastAsia" w:ascii="仿宋_GB2312" w:hAnsi="仿宋_GB2312" w:eastAsia="仿宋_GB2312" w:cs="仿宋_GB2312"/>
          <w:sz w:val="32"/>
          <w:szCs w:val="32"/>
        </w:rPr>
        <w:t>指局机关及事业单位按行政事业单位按人力资源部和社会保障部、财政部规定的基本工资和津贴补贴以及规定比例为职工缴纳的住房公积金。</w:t>
      </w:r>
    </w:p>
    <w:p>
      <w:pPr>
        <w:spacing w:line="58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11</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b/>
          <w:bCs/>
          <w:color w:val="000000"/>
          <w:sz w:val="32"/>
          <w:szCs w:val="32"/>
        </w:rPr>
        <w:t>基本支出</w:t>
      </w:r>
      <w:r>
        <w:rPr>
          <w:rFonts w:hint="eastAsia" w:ascii="仿宋_GB2312" w:hAnsi="仿宋_GB2312" w:eastAsia="仿宋_GB2312" w:cs="仿宋_GB2312"/>
          <w:color w:val="000000"/>
          <w:sz w:val="32"/>
          <w:szCs w:val="32"/>
        </w:rPr>
        <w:t>：指为保障机构正常运转、完成日常工作任务而发生的人员支出和公用支出。</w:t>
      </w:r>
    </w:p>
    <w:p>
      <w:pPr>
        <w:spacing w:line="58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12</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b/>
          <w:bCs/>
          <w:color w:val="000000"/>
          <w:sz w:val="32"/>
          <w:szCs w:val="32"/>
        </w:rPr>
        <w:t>项目支出</w:t>
      </w:r>
      <w:r>
        <w:rPr>
          <w:rFonts w:hint="eastAsia" w:ascii="仿宋_GB2312" w:hAnsi="仿宋_GB2312" w:eastAsia="仿宋_GB2312" w:cs="仿宋_GB2312"/>
          <w:color w:val="000000"/>
          <w:sz w:val="32"/>
          <w:szCs w:val="32"/>
        </w:rPr>
        <w:t>：指在基本支出之外为完成特定行政任务和事业发展目标所发生的支出。</w:t>
      </w:r>
    </w:p>
    <w:p>
      <w:pPr>
        <w:pStyle w:val="23"/>
        <w:spacing w:line="58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13</w:t>
      </w:r>
      <w:r>
        <w:rPr>
          <w:rFonts w:hint="eastAsia" w:ascii="仿宋_GB2312" w:hAnsi="仿宋_GB2312" w:eastAsia="仿宋_GB2312" w:cs="仿宋_GB2312"/>
          <w:sz w:val="32"/>
          <w:szCs w:val="32"/>
        </w:rPr>
        <w:t>.</w:t>
      </w:r>
      <w:r>
        <w:rPr>
          <w:rFonts w:hint="eastAsia" w:ascii="仿宋_GB2312" w:hAnsi="仿宋_GB2312" w:eastAsia="仿宋_GB2312" w:cs="仿宋_GB2312"/>
          <w:b/>
          <w:bCs/>
          <w:sz w:val="32"/>
          <w:szCs w:val="32"/>
        </w:rPr>
        <w:t>“三公”经费：</w:t>
      </w:r>
      <w:r>
        <w:rPr>
          <w:rFonts w:hint="eastAsia" w:ascii="仿宋_GB2312" w:hAnsi="仿宋_GB2312" w:eastAsia="仿宋_GB2312" w:cs="仿宋_GB2312"/>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3"/>
        <w:spacing w:line="58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14</w:t>
      </w:r>
      <w:r>
        <w:rPr>
          <w:rFonts w:hint="eastAsia" w:ascii="仿宋_GB2312" w:hAnsi="仿宋_GB2312" w:eastAsia="仿宋_GB2312" w:cs="仿宋_GB2312"/>
          <w:sz w:val="32"/>
          <w:szCs w:val="32"/>
        </w:rPr>
        <w:t>.</w:t>
      </w:r>
      <w:r>
        <w:rPr>
          <w:rFonts w:hint="eastAsia" w:ascii="仿宋_GB2312" w:hAnsi="仿宋_GB2312" w:eastAsia="仿宋_GB2312" w:cs="仿宋_GB2312"/>
          <w:b/>
          <w:bCs/>
          <w:sz w:val="32"/>
          <w:szCs w:val="32"/>
        </w:rPr>
        <w:t>机关运行经费：</w:t>
      </w:r>
      <w:r>
        <w:rPr>
          <w:rFonts w:hint="eastAsia" w:ascii="仿宋_GB2312" w:hAnsi="仿宋_GB2312" w:eastAsia="仿宋_GB2312" w:cs="仿宋_GB2312"/>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Style w:val="25"/>
          <w:rFonts w:ascii="黑体" w:hAnsi="黑体" w:eastAsia="黑体"/>
          <w:b w:val="0"/>
        </w:rPr>
      </w:pPr>
      <w:r>
        <w:rPr>
          <w:rFonts w:ascii="宋体"/>
          <w:b/>
          <w:sz w:val="44"/>
          <w:szCs w:val="44"/>
        </w:rPr>
        <w:br w:type="page"/>
      </w:r>
      <w:bookmarkStart w:id="54" w:name="_Toc15396614"/>
      <w:r>
        <w:rPr>
          <w:rFonts w:hint="eastAsia" w:ascii="黑体" w:hAnsi="黑体" w:eastAsia="黑体"/>
          <w:sz w:val="44"/>
          <w:szCs w:val="44"/>
        </w:rPr>
        <w:t>第</w:t>
      </w:r>
      <w:r>
        <w:rPr>
          <w:rStyle w:val="25"/>
          <w:rFonts w:hint="eastAsia" w:ascii="黑体" w:hAnsi="黑体" w:eastAsia="黑体"/>
          <w:b w:val="0"/>
        </w:rPr>
        <w:t>四部分 附件</w:t>
      </w:r>
      <w:bookmarkEnd w:id="54"/>
    </w:p>
    <w:p>
      <w:pPr>
        <w:pStyle w:val="5"/>
        <w:spacing w:before="93"/>
        <w:rPr>
          <w:rFonts w:ascii="方正小标宋简体" w:hAnsi="方正小标宋简体" w:eastAsia="方正小标宋简体" w:cs="方正小标宋简体"/>
          <w:sz w:val="32"/>
          <w:szCs w:val="32"/>
        </w:rPr>
      </w:pPr>
      <w:r>
        <w:rPr>
          <w:rFonts w:hint="eastAsia" w:hAnsi="宋体" w:cs="宋体"/>
          <w:sz w:val="32"/>
          <w:szCs w:val="32"/>
          <w:shd w:val="clear" w:color="auto" w:fill="FFFFFF"/>
          <w:lang w:val="zh-CN"/>
        </w:rPr>
        <w:t>附件</w:t>
      </w:r>
    </w:p>
    <w:p>
      <w:pPr>
        <w:spacing w:line="580" w:lineRule="exact"/>
        <w:jc w:val="center"/>
        <w:rPr>
          <w:rFonts w:ascii="方正小标宋简体" w:hAnsi="方正小标宋简体" w:eastAsia="方正小标宋简体" w:cs="方正小标宋简体"/>
          <w:sz w:val="44"/>
          <w:szCs w:val="44"/>
        </w:rPr>
      </w:pPr>
    </w:p>
    <w:p>
      <w:pPr>
        <w:spacing w:line="560" w:lineRule="exact"/>
        <w:jc w:val="center"/>
        <w:outlineLvl w:val="0"/>
        <w:rPr>
          <w:rFonts w:asciiTheme="majorEastAsia" w:hAnsiTheme="majorEastAsia" w:eastAsiaTheme="majorEastAsia" w:cstheme="majorEastAsia"/>
          <w:b/>
          <w:sz w:val="36"/>
          <w:szCs w:val="36"/>
        </w:rPr>
      </w:pPr>
      <w:r>
        <w:rPr>
          <w:rFonts w:hint="eastAsia" w:asciiTheme="majorEastAsia" w:hAnsiTheme="majorEastAsia" w:eastAsiaTheme="majorEastAsia" w:cstheme="majorEastAsia"/>
          <w:b/>
          <w:sz w:val="36"/>
          <w:szCs w:val="36"/>
        </w:rPr>
        <w:t>广元市自然资源储备交易中心</w:t>
      </w:r>
    </w:p>
    <w:p>
      <w:pPr>
        <w:spacing w:line="560" w:lineRule="exact"/>
        <w:jc w:val="center"/>
        <w:outlineLvl w:val="0"/>
        <w:rPr>
          <w:rFonts w:asciiTheme="majorEastAsia" w:hAnsiTheme="majorEastAsia" w:eastAsiaTheme="majorEastAsia" w:cstheme="majorEastAsia"/>
          <w:b/>
          <w:sz w:val="36"/>
          <w:szCs w:val="36"/>
        </w:rPr>
      </w:pPr>
      <w:r>
        <w:rPr>
          <w:rFonts w:hint="eastAsia" w:asciiTheme="majorEastAsia" w:hAnsiTheme="majorEastAsia" w:eastAsiaTheme="majorEastAsia" w:cstheme="majorEastAsia"/>
          <w:b/>
          <w:sz w:val="36"/>
          <w:szCs w:val="36"/>
        </w:rPr>
        <w:t>2021年部门整体支出绩效评价自评报告</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 xml:space="preserve"> </w:t>
      </w:r>
    </w:p>
    <w:p>
      <w:pPr>
        <w:spacing w:line="580" w:lineRule="exact"/>
        <w:ind w:firstLine="640" w:firstLineChars="200"/>
        <w:rPr>
          <w:rFonts w:ascii="黑体" w:hAnsi="黑体" w:eastAsia="黑体"/>
          <w:bCs/>
          <w:sz w:val="32"/>
          <w:szCs w:val="32"/>
        </w:rPr>
      </w:pPr>
      <w:r>
        <w:rPr>
          <w:rFonts w:hint="eastAsia" w:ascii="黑体" w:hAnsi="黑体" w:eastAsia="黑体"/>
          <w:bCs/>
          <w:sz w:val="32"/>
          <w:szCs w:val="32"/>
        </w:rPr>
        <w:t>一、部门概况</w:t>
      </w:r>
    </w:p>
    <w:p>
      <w:pPr>
        <w:pStyle w:val="5"/>
        <w:adjustRightInd w:val="0"/>
        <w:snapToGrid w:val="0"/>
        <w:spacing w:before="93" w:line="580" w:lineRule="exact"/>
        <w:ind w:firstLine="672" w:firstLineChars="210"/>
        <w:outlineLvl w:val="2"/>
        <w:rPr>
          <w:rFonts w:ascii="楷体_GB2312" w:eastAsia="楷体_GB2312"/>
          <w:bCs/>
          <w:sz w:val="32"/>
          <w:szCs w:val="32"/>
        </w:rPr>
      </w:pPr>
      <w:bookmarkStart w:id="55" w:name="_Toc15396618"/>
      <w:r>
        <w:rPr>
          <w:rFonts w:hint="eastAsia" w:ascii="楷体_GB2312" w:eastAsia="楷体_GB2312"/>
          <w:sz w:val="32"/>
          <w:szCs w:val="32"/>
        </w:rPr>
        <w:t>(</w:t>
      </w:r>
      <w:r>
        <w:rPr>
          <w:rFonts w:hint="eastAsia" w:ascii="楷体_GB2312" w:eastAsia="楷体_GB2312"/>
          <w:bCs/>
          <w:sz w:val="32"/>
          <w:szCs w:val="32"/>
        </w:rPr>
        <w:t>一）基本职能</w:t>
      </w:r>
    </w:p>
    <w:p>
      <w:pPr>
        <w:spacing w:line="576" w:lineRule="exact"/>
        <w:ind w:firstLine="600" w:firstLineChars="200"/>
        <w:rPr>
          <w:rFonts w:ascii="仿宋" w:hAnsi="仿宋" w:eastAsia="仿宋" w:cs="仿宋_GB2312"/>
          <w:kern w:val="0"/>
          <w:sz w:val="30"/>
          <w:szCs w:val="30"/>
        </w:rPr>
      </w:pPr>
      <w:r>
        <w:rPr>
          <w:rFonts w:hint="eastAsia" w:ascii="仿宋" w:hAnsi="仿宋" w:eastAsia="仿宋" w:cs="仿宋_GB2312"/>
          <w:kern w:val="0"/>
          <w:sz w:val="30"/>
          <w:szCs w:val="30"/>
        </w:rPr>
        <w:t>负责编制市本级土地储备计划并实施；负责储备土地实施前期开发和管护；配合土地储备专项债券发行工作；承担国有建设用地供应事务性工作；负责国有建设用地二级市场相关工作。</w:t>
      </w:r>
    </w:p>
    <w:p>
      <w:pPr>
        <w:numPr>
          <w:ilvl w:val="0"/>
          <w:numId w:val="5"/>
        </w:numPr>
        <w:spacing w:line="580" w:lineRule="exact"/>
        <w:ind w:firstLine="640" w:firstLineChars="200"/>
        <w:rPr>
          <w:rFonts w:ascii="楷体_GB2312" w:eastAsia="楷体_GB2312"/>
          <w:bCs/>
          <w:sz w:val="32"/>
          <w:szCs w:val="32"/>
        </w:rPr>
      </w:pPr>
      <w:r>
        <w:rPr>
          <w:rFonts w:hint="eastAsia" w:ascii="楷体_GB2312" w:eastAsia="楷体_GB2312"/>
          <w:bCs/>
          <w:sz w:val="32"/>
          <w:szCs w:val="32"/>
        </w:rPr>
        <w:t>基本情况</w:t>
      </w:r>
    </w:p>
    <w:p>
      <w:pPr>
        <w:widowControl/>
        <w:adjustRightInd w:val="0"/>
        <w:snapToGrid w:val="0"/>
        <w:spacing w:line="500" w:lineRule="exact"/>
        <w:ind w:firstLine="640" w:firstLineChars="200"/>
        <w:jc w:val="left"/>
        <w:rPr>
          <w:rFonts w:ascii="仿宋_GB2312" w:hAnsi="仿宋_GB2312" w:eastAsia="仿宋_GB2312" w:cs="仿宋_GB2312"/>
          <w:color w:val="000000"/>
          <w:kern w:val="0"/>
          <w:sz w:val="30"/>
          <w:szCs w:val="30"/>
          <w:shd w:val="clear" w:color="auto" w:fill="FFFFFF"/>
        </w:rPr>
      </w:pPr>
      <w:r>
        <w:rPr>
          <w:rFonts w:hint="eastAsia" w:ascii="楷体_GB2312" w:eastAsia="楷体_GB2312"/>
          <w:bCs/>
          <w:sz w:val="32"/>
          <w:szCs w:val="32"/>
        </w:rPr>
        <w:t xml:space="preserve">1.人员情况  </w:t>
      </w:r>
      <w:r>
        <w:rPr>
          <w:rFonts w:hint="eastAsia" w:ascii="仿宋_GB2312" w:hAnsi="仿宋_GB2312" w:eastAsia="仿宋_GB2312" w:cs="仿宋_GB2312"/>
          <w:color w:val="000000"/>
          <w:kern w:val="0"/>
          <w:sz w:val="30"/>
          <w:szCs w:val="30"/>
          <w:shd w:val="clear" w:color="auto" w:fill="FFFFFF"/>
          <w:lang w:val="zh-CN"/>
        </w:rPr>
        <w:t xml:space="preserve"> 广元市自然资源储备交易中心在职编制数</w:t>
      </w:r>
      <w:r>
        <w:rPr>
          <w:rFonts w:hint="eastAsia" w:ascii="仿宋_GB2312" w:hAnsi="仿宋_GB2312" w:eastAsia="仿宋_GB2312" w:cs="仿宋_GB2312"/>
          <w:color w:val="000000"/>
          <w:kern w:val="0"/>
          <w:sz w:val="30"/>
          <w:szCs w:val="30"/>
          <w:shd w:val="clear" w:color="auto" w:fill="FFFFFF"/>
        </w:rPr>
        <w:t>14名。年末在职人员14人。</w:t>
      </w:r>
    </w:p>
    <w:p>
      <w:pPr>
        <w:spacing w:line="576" w:lineRule="exact"/>
        <w:ind w:firstLine="600" w:firstLineChars="200"/>
        <w:rPr>
          <w:rFonts w:ascii="仿宋" w:hAnsi="仿宋" w:eastAsia="仿宋" w:cs="仿宋_GB2312"/>
          <w:b/>
          <w:bCs/>
          <w:kern w:val="0"/>
          <w:sz w:val="30"/>
          <w:szCs w:val="30"/>
        </w:rPr>
      </w:pPr>
      <w:r>
        <w:rPr>
          <w:rFonts w:hint="eastAsia" w:ascii="仿宋_GB2312" w:hAnsi="仿宋_GB2312" w:eastAsia="仿宋_GB2312" w:cs="仿宋_GB2312"/>
          <w:color w:val="000000"/>
          <w:kern w:val="0"/>
          <w:sz w:val="30"/>
          <w:szCs w:val="30"/>
          <w:shd w:val="clear" w:color="auto" w:fill="FFFFFF"/>
        </w:rPr>
        <w:t>2.</w:t>
      </w:r>
      <w:r>
        <w:rPr>
          <w:rFonts w:hint="eastAsia" w:ascii="楷体_GB2312" w:eastAsia="楷体_GB2312"/>
          <w:bCs/>
          <w:sz w:val="32"/>
          <w:szCs w:val="32"/>
        </w:rPr>
        <w:t>部门自评步骤及方法</w:t>
      </w:r>
    </w:p>
    <w:p>
      <w:pPr>
        <w:spacing w:line="576" w:lineRule="exact"/>
        <w:ind w:firstLine="600" w:firstLineChars="200"/>
        <w:rPr>
          <w:rFonts w:ascii="仿宋" w:hAnsi="仿宋" w:eastAsia="仿宋" w:cs="仿宋_GB2312"/>
          <w:kern w:val="0"/>
          <w:sz w:val="30"/>
          <w:szCs w:val="30"/>
        </w:rPr>
      </w:pPr>
      <w:r>
        <w:rPr>
          <w:rFonts w:hint="eastAsia" w:ascii="仿宋" w:hAnsi="仿宋" w:eastAsia="仿宋" w:cs="仿宋_GB2312"/>
          <w:kern w:val="0"/>
          <w:sz w:val="30"/>
          <w:szCs w:val="30"/>
        </w:rPr>
        <w:t>对照《广元市部门整体支出绩效评价指标体系》，对2021年预算编制和执行情况、财政资金收支管理情况以及项目资金管理情况逐一核实、打分。</w:t>
      </w:r>
    </w:p>
    <w:p>
      <w:pPr>
        <w:spacing w:line="576" w:lineRule="exact"/>
        <w:ind w:firstLine="600" w:firstLineChars="200"/>
        <w:rPr>
          <w:rFonts w:ascii="仿宋_GB2312" w:hAnsi="仿宋_GB2312" w:eastAsia="仿宋_GB2312" w:cs="仿宋_GB2312"/>
          <w:color w:val="000000"/>
          <w:kern w:val="0"/>
          <w:sz w:val="30"/>
          <w:szCs w:val="30"/>
          <w:shd w:val="clear" w:color="auto" w:fill="FFFFFF"/>
        </w:rPr>
      </w:pPr>
      <w:r>
        <w:rPr>
          <w:rFonts w:hint="eastAsia" w:ascii="仿宋_GB2312" w:hAnsi="仿宋_GB2312" w:eastAsia="仿宋_GB2312" w:cs="仿宋_GB2312"/>
          <w:color w:val="000000"/>
          <w:kern w:val="0"/>
          <w:sz w:val="30"/>
          <w:szCs w:val="30"/>
          <w:shd w:val="clear" w:color="auto" w:fill="FFFFFF"/>
        </w:rPr>
        <w:t>3.部分支出绩效评价得分情况</w:t>
      </w:r>
    </w:p>
    <w:tbl>
      <w:tblPr>
        <w:tblStyle w:val="13"/>
        <w:tblW w:w="8607" w:type="dxa"/>
        <w:tblInd w:w="93" w:type="dxa"/>
        <w:tblLayout w:type="fixed"/>
        <w:tblCellMar>
          <w:top w:w="0" w:type="dxa"/>
          <w:left w:w="108" w:type="dxa"/>
          <w:bottom w:w="0" w:type="dxa"/>
          <w:right w:w="108" w:type="dxa"/>
        </w:tblCellMar>
      </w:tblPr>
      <w:tblGrid>
        <w:gridCol w:w="1260"/>
        <w:gridCol w:w="1660"/>
        <w:gridCol w:w="3642"/>
        <w:gridCol w:w="1077"/>
        <w:gridCol w:w="968"/>
      </w:tblGrid>
      <w:tr>
        <w:tblPrEx>
          <w:tblCellMar>
            <w:top w:w="0" w:type="dxa"/>
            <w:left w:w="108" w:type="dxa"/>
            <w:bottom w:w="0" w:type="dxa"/>
            <w:right w:w="108" w:type="dxa"/>
          </w:tblCellMar>
        </w:tblPrEx>
        <w:trPr>
          <w:trHeight w:val="525" w:hRule="atLeast"/>
        </w:trPr>
        <w:tc>
          <w:tcPr>
            <w:tcW w:w="12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Cs/>
                <w:color w:val="000000"/>
                <w:kern w:val="0"/>
                <w:sz w:val="24"/>
              </w:rPr>
            </w:pPr>
            <w:r>
              <w:rPr>
                <w:rFonts w:hint="eastAsia" w:ascii="仿宋" w:hAnsi="仿宋" w:eastAsia="仿宋" w:cs="宋体"/>
                <w:bCs/>
                <w:color w:val="000000"/>
                <w:kern w:val="0"/>
                <w:sz w:val="24"/>
              </w:rPr>
              <w:t>一级指标</w:t>
            </w:r>
          </w:p>
        </w:tc>
        <w:tc>
          <w:tcPr>
            <w:tcW w:w="166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bCs/>
                <w:color w:val="000000"/>
                <w:kern w:val="0"/>
                <w:sz w:val="24"/>
              </w:rPr>
            </w:pPr>
            <w:r>
              <w:rPr>
                <w:rFonts w:hint="eastAsia" w:ascii="仿宋" w:hAnsi="仿宋" w:eastAsia="仿宋" w:cs="宋体"/>
                <w:bCs/>
                <w:color w:val="000000"/>
                <w:kern w:val="0"/>
                <w:sz w:val="24"/>
              </w:rPr>
              <w:t>二级指标</w:t>
            </w:r>
          </w:p>
        </w:tc>
        <w:tc>
          <w:tcPr>
            <w:tcW w:w="3642"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bCs/>
                <w:color w:val="000000"/>
                <w:kern w:val="0"/>
                <w:sz w:val="24"/>
              </w:rPr>
            </w:pPr>
            <w:r>
              <w:rPr>
                <w:rFonts w:hint="eastAsia" w:ascii="仿宋" w:hAnsi="仿宋" w:eastAsia="仿宋" w:cs="宋体"/>
                <w:bCs/>
                <w:color w:val="000000"/>
                <w:kern w:val="0"/>
                <w:sz w:val="24"/>
              </w:rPr>
              <w:t>三级指标</w:t>
            </w:r>
          </w:p>
        </w:tc>
        <w:tc>
          <w:tcPr>
            <w:tcW w:w="1077" w:type="dxa"/>
            <w:tcBorders>
              <w:top w:val="single" w:color="auto" w:sz="4" w:space="0"/>
              <w:left w:val="nil"/>
              <w:bottom w:val="single" w:color="auto" w:sz="4" w:space="0"/>
              <w:right w:val="single" w:color="auto" w:sz="4" w:space="0"/>
            </w:tcBorders>
            <w:vAlign w:val="center"/>
          </w:tcPr>
          <w:p>
            <w:pPr>
              <w:widowControl/>
              <w:jc w:val="center"/>
              <w:rPr>
                <w:rFonts w:ascii="Arial" w:hAnsi="Arial" w:cs="Arial"/>
                <w:bCs/>
                <w:color w:val="000000"/>
                <w:kern w:val="0"/>
                <w:sz w:val="24"/>
              </w:rPr>
            </w:pPr>
            <w:r>
              <w:rPr>
                <w:rFonts w:hint="eastAsia" w:ascii="仿宋" w:hAnsi="仿宋" w:eastAsia="仿宋" w:cs="Arial"/>
                <w:bCs/>
                <w:color w:val="000000"/>
                <w:kern w:val="0"/>
                <w:sz w:val="24"/>
              </w:rPr>
              <w:t>分值</w:t>
            </w:r>
          </w:p>
        </w:tc>
        <w:tc>
          <w:tcPr>
            <w:tcW w:w="968" w:type="dxa"/>
            <w:tcBorders>
              <w:top w:val="single" w:color="auto" w:sz="4" w:space="0"/>
              <w:left w:val="nil"/>
              <w:bottom w:val="single" w:color="auto" w:sz="4" w:space="0"/>
              <w:right w:val="single" w:color="auto" w:sz="4" w:space="0"/>
            </w:tcBorders>
            <w:vAlign w:val="center"/>
          </w:tcPr>
          <w:p>
            <w:pPr>
              <w:widowControl/>
              <w:jc w:val="center"/>
              <w:rPr>
                <w:rFonts w:ascii="Arial" w:hAnsi="Arial" w:cs="Arial"/>
                <w:bCs/>
                <w:color w:val="000000"/>
                <w:kern w:val="0"/>
                <w:sz w:val="24"/>
              </w:rPr>
            </w:pPr>
            <w:r>
              <w:rPr>
                <w:rFonts w:hint="eastAsia" w:ascii="仿宋" w:hAnsi="仿宋" w:eastAsia="仿宋" w:cs="Arial"/>
                <w:bCs/>
                <w:color w:val="000000"/>
                <w:kern w:val="0"/>
                <w:sz w:val="24"/>
              </w:rPr>
              <w:t>得分</w:t>
            </w:r>
          </w:p>
        </w:tc>
      </w:tr>
      <w:tr>
        <w:tblPrEx>
          <w:tblCellMar>
            <w:top w:w="0" w:type="dxa"/>
            <w:left w:w="108" w:type="dxa"/>
            <w:bottom w:w="0" w:type="dxa"/>
            <w:right w:w="108" w:type="dxa"/>
          </w:tblCellMar>
        </w:tblPrEx>
        <w:trPr>
          <w:trHeight w:val="465" w:hRule="atLeast"/>
        </w:trPr>
        <w:tc>
          <w:tcPr>
            <w:tcW w:w="1260" w:type="dxa"/>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bCs/>
                <w:color w:val="000000"/>
                <w:kern w:val="0"/>
                <w:sz w:val="24"/>
              </w:rPr>
            </w:pPr>
            <w:r>
              <w:rPr>
                <w:rFonts w:hint="eastAsia" w:ascii="仿宋" w:hAnsi="仿宋" w:eastAsia="仿宋" w:cs="宋体"/>
                <w:bCs/>
                <w:color w:val="000000"/>
                <w:kern w:val="0"/>
                <w:sz w:val="24"/>
              </w:rPr>
              <w:t>预算编制（6分）</w:t>
            </w:r>
          </w:p>
        </w:tc>
        <w:tc>
          <w:tcPr>
            <w:tcW w:w="1660" w:type="dxa"/>
            <w:tcBorders>
              <w:top w:val="nil"/>
              <w:left w:val="nil"/>
              <w:bottom w:val="single" w:color="auto" w:sz="4" w:space="0"/>
              <w:right w:val="single" w:color="auto" w:sz="4" w:space="0"/>
            </w:tcBorders>
            <w:vAlign w:val="center"/>
          </w:tcPr>
          <w:p>
            <w:pPr>
              <w:widowControl/>
              <w:jc w:val="center"/>
              <w:rPr>
                <w:rFonts w:ascii="仿宋" w:hAnsi="仿宋" w:eastAsia="仿宋" w:cs="宋体"/>
                <w:bCs/>
                <w:color w:val="000000"/>
                <w:kern w:val="0"/>
                <w:sz w:val="24"/>
              </w:rPr>
            </w:pPr>
            <w:r>
              <w:rPr>
                <w:rFonts w:hint="eastAsia" w:ascii="仿宋" w:hAnsi="仿宋" w:eastAsia="仿宋" w:cs="宋体"/>
                <w:bCs/>
                <w:color w:val="000000"/>
                <w:kern w:val="0"/>
                <w:sz w:val="24"/>
              </w:rPr>
              <w:t>报送时间</w:t>
            </w:r>
          </w:p>
        </w:tc>
        <w:tc>
          <w:tcPr>
            <w:tcW w:w="3642" w:type="dxa"/>
            <w:tcBorders>
              <w:top w:val="nil"/>
              <w:left w:val="nil"/>
              <w:bottom w:val="single" w:color="auto" w:sz="4" w:space="0"/>
              <w:right w:val="single" w:color="auto" w:sz="4" w:space="0"/>
            </w:tcBorders>
            <w:vAlign w:val="center"/>
          </w:tcPr>
          <w:p>
            <w:pPr>
              <w:widowControl/>
              <w:jc w:val="left"/>
              <w:rPr>
                <w:rFonts w:ascii="仿宋" w:hAnsi="仿宋" w:eastAsia="仿宋" w:cs="宋体"/>
                <w:bCs/>
                <w:color w:val="000000"/>
                <w:kern w:val="0"/>
                <w:sz w:val="24"/>
              </w:rPr>
            </w:pPr>
            <w:r>
              <w:rPr>
                <w:rFonts w:hint="eastAsia" w:ascii="仿宋" w:hAnsi="仿宋" w:eastAsia="仿宋" w:cs="宋体"/>
                <w:bCs/>
                <w:color w:val="000000"/>
                <w:kern w:val="0"/>
                <w:sz w:val="24"/>
              </w:rPr>
              <w:t>报送时效</w:t>
            </w:r>
          </w:p>
        </w:tc>
        <w:tc>
          <w:tcPr>
            <w:tcW w:w="1077" w:type="dxa"/>
            <w:tcBorders>
              <w:top w:val="nil"/>
              <w:left w:val="nil"/>
              <w:bottom w:val="single" w:color="auto" w:sz="4" w:space="0"/>
              <w:right w:val="single" w:color="auto" w:sz="4" w:space="0"/>
            </w:tcBorders>
            <w:vAlign w:val="center"/>
          </w:tcPr>
          <w:p>
            <w:pPr>
              <w:widowControl/>
              <w:jc w:val="center"/>
              <w:rPr>
                <w:rFonts w:ascii="Arial" w:hAnsi="Arial" w:cs="Arial"/>
                <w:bCs/>
                <w:color w:val="000000"/>
                <w:kern w:val="0"/>
                <w:sz w:val="24"/>
              </w:rPr>
            </w:pPr>
            <w:r>
              <w:rPr>
                <w:rFonts w:hint="eastAsia" w:ascii="Arial" w:hAnsi="Arial" w:cs="Arial"/>
                <w:bCs/>
                <w:color w:val="000000"/>
                <w:kern w:val="0"/>
                <w:sz w:val="24"/>
              </w:rPr>
              <w:t>3</w:t>
            </w:r>
          </w:p>
        </w:tc>
        <w:tc>
          <w:tcPr>
            <w:tcW w:w="968" w:type="dxa"/>
            <w:tcBorders>
              <w:top w:val="nil"/>
              <w:left w:val="nil"/>
              <w:bottom w:val="single" w:color="auto" w:sz="4" w:space="0"/>
              <w:right w:val="single" w:color="auto" w:sz="4" w:space="0"/>
            </w:tcBorders>
            <w:vAlign w:val="center"/>
          </w:tcPr>
          <w:p>
            <w:pPr>
              <w:widowControl/>
              <w:jc w:val="center"/>
              <w:rPr>
                <w:rFonts w:ascii="Arial" w:hAnsi="Arial" w:cs="Arial"/>
                <w:bCs/>
                <w:color w:val="000000"/>
                <w:kern w:val="0"/>
                <w:sz w:val="24"/>
              </w:rPr>
            </w:pPr>
            <w:r>
              <w:rPr>
                <w:rFonts w:hint="eastAsia" w:ascii="Arial" w:hAnsi="Arial" w:cs="Arial"/>
                <w:bCs/>
                <w:color w:val="000000"/>
                <w:kern w:val="0"/>
                <w:sz w:val="24"/>
              </w:rPr>
              <w:t>3</w:t>
            </w:r>
          </w:p>
        </w:tc>
      </w:tr>
      <w:tr>
        <w:tblPrEx>
          <w:tblCellMar>
            <w:top w:w="0" w:type="dxa"/>
            <w:left w:w="108" w:type="dxa"/>
            <w:bottom w:w="0" w:type="dxa"/>
            <w:right w:w="108" w:type="dxa"/>
          </w:tblCellMar>
        </w:tblPrEx>
        <w:trPr>
          <w:trHeight w:val="465" w:hRule="atLeast"/>
        </w:trPr>
        <w:tc>
          <w:tcPr>
            <w:tcW w:w="12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Cs/>
                <w:color w:val="000000"/>
                <w:kern w:val="0"/>
                <w:sz w:val="24"/>
              </w:rPr>
            </w:pPr>
          </w:p>
        </w:tc>
        <w:tc>
          <w:tcPr>
            <w:tcW w:w="1660" w:type="dxa"/>
            <w:tcBorders>
              <w:top w:val="nil"/>
              <w:left w:val="nil"/>
              <w:bottom w:val="single" w:color="auto" w:sz="4" w:space="0"/>
              <w:right w:val="single" w:color="auto" w:sz="4" w:space="0"/>
            </w:tcBorders>
            <w:vAlign w:val="center"/>
          </w:tcPr>
          <w:p>
            <w:pPr>
              <w:widowControl/>
              <w:jc w:val="center"/>
              <w:rPr>
                <w:rFonts w:ascii="仿宋" w:hAnsi="仿宋" w:eastAsia="仿宋" w:cs="宋体"/>
                <w:bCs/>
                <w:color w:val="000000"/>
                <w:kern w:val="0"/>
                <w:sz w:val="24"/>
              </w:rPr>
            </w:pPr>
            <w:r>
              <w:rPr>
                <w:rFonts w:hint="eastAsia" w:ascii="仿宋" w:hAnsi="仿宋" w:eastAsia="仿宋" w:cs="宋体"/>
                <w:bCs/>
                <w:color w:val="000000"/>
                <w:kern w:val="0"/>
                <w:sz w:val="24"/>
              </w:rPr>
              <w:t>编制质量</w:t>
            </w:r>
          </w:p>
        </w:tc>
        <w:tc>
          <w:tcPr>
            <w:tcW w:w="3642" w:type="dxa"/>
            <w:tcBorders>
              <w:top w:val="nil"/>
              <w:left w:val="nil"/>
              <w:bottom w:val="single" w:color="auto" w:sz="4" w:space="0"/>
              <w:right w:val="single" w:color="auto" w:sz="4" w:space="0"/>
            </w:tcBorders>
            <w:vAlign w:val="center"/>
          </w:tcPr>
          <w:p>
            <w:pPr>
              <w:widowControl/>
              <w:jc w:val="left"/>
              <w:rPr>
                <w:rFonts w:ascii="仿宋" w:hAnsi="仿宋" w:eastAsia="仿宋" w:cs="宋体"/>
                <w:bCs/>
                <w:color w:val="000000"/>
                <w:kern w:val="0"/>
                <w:sz w:val="24"/>
              </w:rPr>
            </w:pPr>
            <w:r>
              <w:rPr>
                <w:rFonts w:hint="eastAsia" w:ascii="仿宋" w:hAnsi="仿宋" w:eastAsia="仿宋" w:cs="宋体"/>
                <w:bCs/>
                <w:color w:val="000000"/>
                <w:kern w:val="0"/>
                <w:sz w:val="24"/>
              </w:rPr>
              <w:t>预算编制准确</w:t>
            </w:r>
          </w:p>
        </w:tc>
        <w:tc>
          <w:tcPr>
            <w:tcW w:w="1077" w:type="dxa"/>
            <w:tcBorders>
              <w:top w:val="nil"/>
              <w:left w:val="nil"/>
              <w:bottom w:val="single" w:color="auto" w:sz="4" w:space="0"/>
              <w:right w:val="single" w:color="auto" w:sz="4" w:space="0"/>
            </w:tcBorders>
            <w:vAlign w:val="center"/>
          </w:tcPr>
          <w:p>
            <w:pPr>
              <w:widowControl/>
              <w:jc w:val="center"/>
              <w:rPr>
                <w:rFonts w:ascii="Arial" w:hAnsi="Arial" w:cs="Arial"/>
                <w:bCs/>
                <w:color w:val="000000"/>
                <w:kern w:val="0"/>
                <w:sz w:val="24"/>
              </w:rPr>
            </w:pPr>
            <w:r>
              <w:rPr>
                <w:rFonts w:ascii="Arial" w:hAnsi="Arial" w:cs="Arial"/>
                <w:bCs/>
                <w:color w:val="000000"/>
                <w:kern w:val="0"/>
                <w:sz w:val="24"/>
              </w:rPr>
              <w:t>3</w:t>
            </w:r>
          </w:p>
        </w:tc>
        <w:tc>
          <w:tcPr>
            <w:tcW w:w="968" w:type="dxa"/>
            <w:tcBorders>
              <w:top w:val="nil"/>
              <w:left w:val="nil"/>
              <w:bottom w:val="single" w:color="auto" w:sz="4" w:space="0"/>
              <w:right w:val="single" w:color="auto" w:sz="4" w:space="0"/>
            </w:tcBorders>
            <w:vAlign w:val="center"/>
          </w:tcPr>
          <w:p>
            <w:pPr>
              <w:widowControl/>
              <w:jc w:val="center"/>
              <w:rPr>
                <w:rFonts w:ascii="Arial" w:hAnsi="Arial" w:cs="Arial"/>
                <w:bCs/>
                <w:color w:val="000000"/>
                <w:kern w:val="0"/>
                <w:sz w:val="24"/>
              </w:rPr>
            </w:pPr>
            <w:r>
              <w:rPr>
                <w:rFonts w:ascii="Arial" w:hAnsi="Arial" w:cs="Arial"/>
                <w:bCs/>
                <w:color w:val="000000"/>
                <w:kern w:val="0"/>
                <w:sz w:val="24"/>
              </w:rPr>
              <w:t>3</w:t>
            </w:r>
          </w:p>
        </w:tc>
      </w:tr>
      <w:tr>
        <w:tblPrEx>
          <w:tblCellMar>
            <w:top w:w="0" w:type="dxa"/>
            <w:left w:w="108" w:type="dxa"/>
            <w:bottom w:w="0" w:type="dxa"/>
            <w:right w:w="108" w:type="dxa"/>
          </w:tblCellMar>
        </w:tblPrEx>
        <w:trPr>
          <w:trHeight w:val="465" w:hRule="atLeast"/>
        </w:trPr>
        <w:tc>
          <w:tcPr>
            <w:tcW w:w="1260" w:type="dxa"/>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bCs/>
                <w:color w:val="000000"/>
                <w:kern w:val="0"/>
                <w:sz w:val="24"/>
              </w:rPr>
            </w:pPr>
            <w:r>
              <w:rPr>
                <w:rFonts w:hint="eastAsia" w:ascii="仿宋" w:hAnsi="仿宋" w:eastAsia="仿宋" w:cs="宋体"/>
                <w:bCs/>
                <w:color w:val="000000"/>
                <w:kern w:val="0"/>
                <w:sz w:val="24"/>
              </w:rPr>
              <w:t>预算执行（12分）</w:t>
            </w:r>
          </w:p>
        </w:tc>
        <w:tc>
          <w:tcPr>
            <w:tcW w:w="1660" w:type="dxa"/>
            <w:tcBorders>
              <w:top w:val="nil"/>
              <w:left w:val="nil"/>
              <w:bottom w:val="single" w:color="auto" w:sz="4" w:space="0"/>
              <w:right w:val="single" w:color="auto" w:sz="4" w:space="0"/>
            </w:tcBorders>
            <w:vAlign w:val="center"/>
          </w:tcPr>
          <w:p>
            <w:pPr>
              <w:widowControl/>
              <w:jc w:val="center"/>
              <w:rPr>
                <w:rFonts w:ascii="仿宋" w:hAnsi="仿宋" w:eastAsia="仿宋" w:cs="宋体"/>
                <w:bCs/>
                <w:color w:val="000000"/>
                <w:kern w:val="0"/>
                <w:sz w:val="24"/>
              </w:rPr>
            </w:pPr>
            <w:r>
              <w:rPr>
                <w:rFonts w:hint="eastAsia" w:ascii="仿宋" w:hAnsi="仿宋" w:eastAsia="仿宋" w:cs="宋体"/>
                <w:bCs/>
                <w:color w:val="000000"/>
                <w:kern w:val="0"/>
                <w:sz w:val="24"/>
              </w:rPr>
              <w:t>执行进度</w:t>
            </w:r>
          </w:p>
        </w:tc>
        <w:tc>
          <w:tcPr>
            <w:tcW w:w="3642" w:type="dxa"/>
            <w:tcBorders>
              <w:top w:val="nil"/>
              <w:left w:val="nil"/>
              <w:bottom w:val="single" w:color="auto" w:sz="4" w:space="0"/>
              <w:right w:val="single" w:color="auto" w:sz="4" w:space="0"/>
            </w:tcBorders>
            <w:vAlign w:val="center"/>
          </w:tcPr>
          <w:p>
            <w:pPr>
              <w:widowControl/>
              <w:jc w:val="left"/>
              <w:rPr>
                <w:rFonts w:ascii="仿宋" w:hAnsi="仿宋" w:eastAsia="仿宋" w:cs="宋体"/>
                <w:bCs/>
                <w:color w:val="000000"/>
                <w:kern w:val="0"/>
                <w:sz w:val="24"/>
              </w:rPr>
            </w:pPr>
            <w:r>
              <w:rPr>
                <w:rFonts w:hint="eastAsia" w:ascii="仿宋" w:hAnsi="仿宋" w:eastAsia="仿宋" w:cs="宋体"/>
                <w:bCs/>
                <w:color w:val="000000"/>
                <w:kern w:val="0"/>
                <w:sz w:val="24"/>
              </w:rPr>
              <w:t>部门预算执行进度</w:t>
            </w:r>
          </w:p>
        </w:tc>
        <w:tc>
          <w:tcPr>
            <w:tcW w:w="1077" w:type="dxa"/>
            <w:tcBorders>
              <w:top w:val="nil"/>
              <w:left w:val="nil"/>
              <w:bottom w:val="single" w:color="auto" w:sz="4" w:space="0"/>
              <w:right w:val="single" w:color="auto" w:sz="4" w:space="0"/>
            </w:tcBorders>
            <w:vAlign w:val="center"/>
          </w:tcPr>
          <w:p>
            <w:pPr>
              <w:widowControl/>
              <w:jc w:val="center"/>
              <w:rPr>
                <w:rFonts w:ascii="Arial" w:hAnsi="Arial" w:cs="Arial"/>
                <w:bCs/>
                <w:color w:val="000000"/>
                <w:kern w:val="0"/>
                <w:sz w:val="24"/>
              </w:rPr>
            </w:pPr>
            <w:r>
              <w:rPr>
                <w:rFonts w:hint="eastAsia" w:ascii="Arial" w:hAnsi="Arial" w:cs="Arial"/>
                <w:bCs/>
                <w:color w:val="000000"/>
                <w:kern w:val="0"/>
                <w:sz w:val="24"/>
              </w:rPr>
              <w:t>3</w:t>
            </w:r>
          </w:p>
        </w:tc>
        <w:tc>
          <w:tcPr>
            <w:tcW w:w="968" w:type="dxa"/>
            <w:tcBorders>
              <w:top w:val="nil"/>
              <w:left w:val="nil"/>
              <w:bottom w:val="single" w:color="auto" w:sz="4" w:space="0"/>
              <w:right w:val="single" w:color="auto" w:sz="4" w:space="0"/>
            </w:tcBorders>
            <w:vAlign w:val="center"/>
          </w:tcPr>
          <w:p>
            <w:pPr>
              <w:widowControl/>
              <w:jc w:val="center"/>
              <w:rPr>
                <w:rFonts w:ascii="Arial" w:hAnsi="Arial" w:cs="Arial"/>
                <w:bCs/>
                <w:color w:val="000000"/>
                <w:kern w:val="0"/>
                <w:sz w:val="24"/>
              </w:rPr>
            </w:pPr>
            <w:r>
              <w:rPr>
                <w:rFonts w:hint="eastAsia" w:ascii="Arial" w:hAnsi="Arial" w:cs="Arial"/>
                <w:bCs/>
                <w:color w:val="000000"/>
                <w:kern w:val="0"/>
                <w:sz w:val="24"/>
              </w:rPr>
              <w:t>3</w:t>
            </w:r>
          </w:p>
        </w:tc>
      </w:tr>
      <w:tr>
        <w:tblPrEx>
          <w:tblCellMar>
            <w:top w:w="0" w:type="dxa"/>
            <w:left w:w="108" w:type="dxa"/>
            <w:bottom w:w="0" w:type="dxa"/>
            <w:right w:w="108" w:type="dxa"/>
          </w:tblCellMar>
        </w:tblPrEx>
        <w:trPr>
          <w:trHeight w:val="465" w:hRule="atLeast"/>
        </w:trPr>
        <w:tc>
          <w:tcPr>
            <w:tcW w:w="12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Cs/>
                <w:color w:val="000000"/>
                <w:kern w:val="0"/>
                <w:sz w:val="24"/>
              </w:rPr>
            </w:pPr>
          </w:p>
        </w:tc>
        <w:tc>
          <w:tcPr>
            <w:tcW w:w="1660" w:type="dxa"/>
            <w:tcBorders>
              <w:top w:val="nil"/>
              <w:left w:val="nil"/>
              <w:bottom w:val="single" w:color="auto" w:sz="4" w:space="0"/>
              <w:right w:val="single" w:color="auto" w:sz="4" w:space="0"/>
            </w:tcBorders>
            <w:vAlign w:val="center"/>
          </w:tcPr>
          <w:p>
            <w:pPr>
              <w:widowControl/>
              <w:jc w:val="center"/>
              <w:rPr>
                <w:rFonts w:ascii="仿宋" w:hAnsi="仿宋" w:eastAsia="仿宋" w:cs="宋体"/>
                <w:bCs/>
                <w:color w:val="000000"/>
                <w:kern w:val="0"/>
                <w:sz w:val="24"/>
              </w:rPr>
            </w:pPr>
            <w:r>
              <w:rPr>
                <w:rFonts w:hint="eastAsia" w:ascii="仿宋" w:hAnsi="仿宋" w:eastAsia="仿宋" w:cs="宋体"/>
                <w:bCs/>
                <w:color w:val="000000"/>
                <w:kern w:val="0"/>
                <w:sz w:val="24"/>
              </w:rPr>
              <w:t>预算调整</w:t>
            </w:r>
          </w:p>
        </w:tc>
        <w:tc>
          <w:tcPr>
            <w:tcW w:w="3642" w:type="dxa"/>
            <w:tcBorders>
              <w:top w:val="nil"/>
              <w:left w:val="nil"/>
              <w:bottom w:val="single" w:color="auto" w:sz="4" w:space="0"/>
              <w:right w:val="single" w:color="auto" w:sz="4" w:space="0"/>
            </w:tcBorders>
            <w:vAlign w:val="center"/>
          </w:tcPr>
          <w:p>
            <w:pPr>
              <w:widowControl/>
              <w:jc w:val="left"/>
              <w:rPr>
                <w:rFonts w:ascii="仿宋" w:hAnsi="仿宋" w:eastAsia="仿宋" w:cs="宋体"/>
                <w:bCs/>
                <w:color w:val="000000"/>
                <w:kern w:val="0"/>
                <w:sz w:val="24"/>
              </w:rPr>
            </w:pPr>
            <w:r>
              <w:rPr>
                <w:rFonts w:hint="eastAsia" w:ascii="仿宋" w:hAnsi="仿宋" w:eastAsia="仿宋" w:cs="宋体"/>
                <w:bCs/>
                <w:color w:val="000000"/>
                <w:kern w:val="0"/>
                <w:sz w:val="24"/>
              </w:rPr>
              <w:t>预算执行可行性</w:t>
            </w:r>
          </w:p>
        </w:tc>
        <w:tc>
          <w:tcPr>
            <w:tcW w:w="1077" w:type="dxa"/>
            <w:tcBorders>
              <w:top w:val="nil"/>
              <w:left w:val="nil"/>
              <w:bottom w:val="single" w:color="auto" w:sz="4" w:space="0"/>
              <w:right w:val="single" w:color="auto" w:sz="4" w:space="0"/>
            </w:tcBorders>
            <w:vAlign w:val="center"/>
          </w:tcPr>
          <w:p>
            <w:pPr>
              <w:widowControl/>
              <w:jc w:val="center"/>
              <w:rPr>
                <w:rFonts w:ascii="Arial" w:hAnsi="Arial" w:cs="Arial"/>
                <w:bCs/>
                <w:color w:val="000000"/>
                <w:kern w:val="0"/>
                <w:sz w:val="24"/>
              </w:rPr>
            </w:pPr>
            <w:r>
              <w:rPr>
                <w:rFonts w:hint="eastAsia" w:ascii="Arial" w:hAnsi="Arial" w:cs="Arial"/>
                <w:bCs/>
                <w:color w:val="000000"/>
                <w:kern w:val="0"/>
                <w:sz w:val="24"/>
              </w:rPr>
              <w:t>3</w:t>
            </w:r>
          </w:p>
        </w:tc>
        <w:tc>
          <w:tcPr>
            <w:tcW w:w="968" w:type="dxa"/>
            <w:tcBorders>
              <w:top w:val="nil"/>
              <w:left w:val="nil"/>
              <w:bottom w:val="single" w:color="auto" w:sz="4" w:space="0"/>
              <w:right w:val="single" w:color="auto" w:sz="4" w:space="0"/>
            </w:tcBorders>
            <w:vAlign w:val="center"/>
          </w:tcPr>
          <w:p>
            <w:pPr>
              <w:widowControl/>
              <w:jc w:val="center"/>
              <w:rPr>
                <w:rFonts w:ascii="Arial" w:hAnsi="Arial" w:cs="Arial"/>
                <w:bCs/>
                <w:color w:val="000000"/>
                <w:kern w:val="0"/>
                <w:sz w:val="24"/>
              </w:rPr>
            </w:pPr>
            <w:r>
              <w:rPr>
                <w:rFonts w:hint="eastAsia" w:ascii="Arial" w:hAnsi="Arial" w:cs="Arial"/>
                <w:bCs/>
                <w:color w:val="000000"/>
                <w:kern w:val="0"/>
                <w:sz w:val="24"/>
              </w:rPr>
              <w:t>3</w:t>
            </w:r>
          </w:p>
        </w:tc>
      </w:tr>
      <w:tr>
        <w:tblPrEx>
          <w:tblCellMar>
            <w:top w:w="0" w:type="dxa"/>
            <w:left w:w="108" w:type="dxa"/>
            <w:bottom w:w="0" w:type="dxa"/>
            <w:right w:w="108" w:type="dxa"/>
          </w:tblCellMar>
        </w:tblPrEx>
        <w:trPr>
          <w:trHeight w:val="465" w:hRule="atLeast"/>
        </w:trPr>
        <w:tc>
          <w:tcPr>
            <w:tcW w:w="12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Cs/>
                <w:color w:val="000000"/>
                <w:kern w:val="0"/>
                <w:sz w:val="24"/>
              </w:rPr>
            </w:pPr>
          </w:p>
        </w:tc>
        <w:tc>
          <w:tcPr>
            <w:tcW w:w="1660" w:type="dxa"/>
            <w:tcBorders>
              <w:top w:val="nil"/>
              <w:left w:val="nil"/>
              <w:bottom w:val="single" w:color="auto" w:sz="4" w:space="0"/>
              <w:right w:val="single" w:color="auto" w:sz="4" w:space="0"/>
            </w:tcBorders>
            <w:vAlign w:val="center"/>
          </w:tcPr>
          <w:p>
            <w:pPr>
              <w:widowControl/>
              <w:jc w:val="center"/>
              <w:rPr>
                <w:rFonts w:ascii="仿宋" w:hAnsi="仿宋" w:eastAsia="仿宋" w:cs="宋体"/>
                <w:bCs/>
                <w:color w:val="000000"/>
                <w:kern w:val="0"/>
                <w:sz w:val="24"/>
              </w:rPr>
            </w:pPr>
            <w:r>
              <w:rPr>
                <w:rFonts w:hint="eastAsia" w:ascii="仿宋" w:hAnsi="仿宋" w:eastAsia="仿宋" w:cs="宋体"/>
                <w:bCs/>
                <w:color w:val="000000"/>
                <w:kern w:val="0"/>
                <w:sz w:val="24"/>
              </w:rPr>
              <w:t>行政成本</w:t>
            </w:r>
          </w:p>
        </w:tc>
        <w:tc>
          <w:tcPr>
            <w:tcW w:w="3642" w:type="dxa"/>
            <w:tcBorders>
              <w:top w:val="nil"/>
              <w:left w:val="nil"/>
              <w:bottom w:val="single" w:color="auto" w:sz="4" w:space="0"/>
              <w:right w:val="single" w:color="auto" w:sz="4" w:space="0"/>
            </w:tcBorders>
            <w:vAlign w:val="center"/>
          </w:tcPr>
          <w:p>
            <w:pPr>
              <w:widowControl/>
              <w:jc w:val="left"/>
              <w:rPr>
                <w:rFonts w:ascii="仿宋" w:hAnsi="仿宋" w:eastAsia="仿宋" w:cs="宋体"/>
                <w:bCs/>
                <w:color w:val="000000"/>
                <w:kern w:val="0"/>
                <w:sz w:val="24"/>
              </w:rPr>
            </w:pPr>
            <w:r>
              <w:rPr>
                <w:rFonts w:hint="eastAsia" w:ascii="仿宋" w:hAnsi="仿宋" w:eastAsia="仿宋" w:cs="宋体"/>
                <w:bCs/>
                <w:color w:val="000000"/>
                <w:kern w:val="0"/>
                <w:sz w:val="24"/>
              </w:rPr>
              <w:t>“三公”经费</w:t>
            </w:r>
          </w:p>
        </w:tc>
        <w:tc>
          <w:tcPr>
            <w:tcW w:w="1077" w:type="dxa"/>
            <w:tcBorders>
              <w:top w:val="nil"/>
              <w:left w:val="nil"/>
              <w:bottom w:val="single" w:color="auto" w:sz="4" w:space="0"/>
              <w:right w:val="single" w:color="auto" w:sz="4" w:space="0"/>
            </w:tcBorders>
            <w:vAlign w:val="center"/>
          </w:tcPr>
          <w:p>
            <w:pPr>
              <w:widowControl/>
              <w:jc w:val="center"/>
              <w:rPr>
                <w:rFonts w:ascii="Arial" w:hAnsi="Arial" w:cs="Arial"/>
                <w:bCs/>
                <w:color w:val="000000"/>
                <w:kern w:val="0"/>
                <w:sz w:val="24"/>
              </w:rPr>
            </w:pPr>
            <w:r>
              <w:rPr>
                <w:rFonts w:ascii="Arial" w:hAnsi="Arial" w:cs="Arial"/>
                <w:bCs/>
                <w:color w:val="000000"/>
                <w:kern w:val="0"/>
                <w:sz w:val="24"/>
              </w:rPr>
              <w:t>3</w:t>
            </w:r>
          </w:p>
        </w:tc>
        <w:tc>
          <w:tcPr>
            <w:tcW w:w="968" w:type="dxa"/>
            <w:tcBorders>
              <w:top w:val="nil"/>
              <w:left w:val="nil"/>
              <w:bottom w:val="single" w:color="auto" w:sz="4" w:space="0"/>
              <w:right w:val="single" w:color="auto" w:sz="4" w:space="0"/>
            </w:tcBorders>
            <w:vAlign w:val="center"/>
          </w:tcPr>
          <w:p>
            <w:pPr>
              <w:widowControl/>
              <w:jc w:val="center"/>
              <w:rPr>
                <w:rFonts w:ascii="Arial" w:hAnsi="Arial" w:cs="Arial"/>
                <w:bCs/>
                <w:color w:val="000000"/>
                <w:kern w:val="0"/>
                <w:sz w:val="24"/>
              </w:rPr>
            </w:pPr>
            <w:r>
              <w:rPr>
                <w:rFonts w:ascii="Arial" w:hAnsi="Arial" w:cs="Arial"/>
                <w:bCs/>
                <w:color w:val="000000"/>
                <w:kern w:val="0"/>
                <w:sz w:val="24"/>
              </w:rPr>
              <w:t>3</w:t>
            </w:r>
          </w:p>
        </w:tc>
      </w:tr>
      <w:tr>
        <w:tblPrEx>
          <w:tblCellMar>
            <w:top w:w="0" w:type="dxa"/>
            <w:left w:w="108" w:type="dxa"/>
            <w:bottom w:w="0" w:type="dxa"/>
            <w:right w:w="108" w:type="dxa"/>
          </w:tblCellMar>
        </w:tblPrEx>
        <w:trPr>
          <w:trHeight w:val="465" w:hRule="atLeast"/>
        </w:trPr>
        <w:tc>
          <w:tcPr>
            <w:tcW w:w="12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Cs/>
                <w:color w:val="000000"/>
                <w:kern w:val="0"/>
                <w:sz w:val="24"/>
              </w:rPr>
            </w:pPr>
          </w:p>
        </w:tc>
        <w:tc>
          <w:tcPr>
            <w:tcW w:w="1660" w:type="dxa"/>
            <w:tcBorders>
              <w:top w:val="nil"/>
              <w:left w:val="nil"/>
              <w:bottom w:val="single" w:color="auto" w:sz="4" w:space="0"/>
              <w:right w:val="single" w:color="auto" w:sz="4" w:space="0"/>
            </w:tcBorders>
            <w:vAlign w:val="center"/>
          </w:tcPr>
          <w:p>
            <w:pPr>
              <w:widowControl/>
              <w:jc w:val="center"/>
              <w:rPr>
                <w:rFonts w:ascii="仿宋" w:hAnsi="仿宋" w:eastAsia="仿宋" w:cs="宋体"/>
                <w:bCs/>
                <w:color w:val="000000"/>
                <w:kern w:val="0"/>
                <w:sz w:val="24"/>
              </w:rPr>
            </w:pPr>
            <w:r>
              <w:rPr>
                <w:rFonts w:hint="eastAsia" w:ascii="仿宋" w:hAnsi="仿宋" w:eastAsia="仿宋" w:cs="宋体"/>
                <w:bCs/>
                <w:color w:val="000000"/>
                <w:kern w:val="0"/>
                <w:sz w:val="24"/>
              </w:rPr>
              <w:t>决算</w:t>
            </w:r>
          </w:p>
        </w:tc>
        <w:tc>
          <w:tcPr>
            <w:tcW w:w="3642" w:type="dxa"/>
            <w:tcBorders>
              <w:top w:val="nil"/>
              <w:left w:val="nil"/>
              <w:bottom w:val="single" w:color="auto" w:sz="4" w:space="0"/>
              <w:right w:val="single" w:color="auto" w:sz="4" w:space="0"/>
            </w:tcBorders>
            <w:vAlign w:val="center"/>
          </w:tcPr>
          <w:p>
            <w:pPr>
              <w:widowControl/>
              <w:jc w:val="left"/>
              <w:rPr>
                <w:rFonts w:ascii="仿宋" w:hAnsi="仿宋" w:eastAsia="仿宋" w:cs="宋体"/>
                <w:bCs/>
                <w:color w:val="000000"/>
                <w:kern w:val="0"/>
                <w:sz w:val="24"/>
              </w:rPr>
            </w:pPr>
            <w:r>
              <w:rPr>
                <w:rFonts w:hint="eastAsia" w:ascii="仿宋" w:hAnsi="仿宋" w:eastAsia="仿宋" w:cs="宋体"/>
                <w:bCs/>
                <w:color w:val="000000"/>
                <w:kern w:val="0"/>
                <w:sz w:val="24"/>
              </w:rPr>
              <w:t>部门决算编制和审查</w:t>
            </w:r>
          </w:p>
        </w:tc>
        <w:tc>
          <w:tcPr>
            <w:tcW w:w="1077" w:type="dxa"/>
            <w:tcBorders>
              <w:top w:val="nil"/>
              <w:left w:val="nil"/>
              <w:bottom w:val="single" w:color="auto" w:sz="4" w:space="0"/>
              <w:right w:val="single" w:color="auto" w:sz="4" w:space="0"/>
            </w:tcBorders>
            <w:vAlign w:val="center"/>
          </w:tcPr>
          <w:p>
            <w:pPr>
              <w:widowControl/>
              <w:jc w:val="center"/>
              <w:rPr>
                <w:rFonts w:ascii="Arial" w:hAnsi="Arial" w:cs="Arial"/>
                <w:bCs/>
                <w:color w:val="000000"/>
                <w:kern w:val="0"/>
                <w:sz w:val="24"/>
              </w:rPr>
            </w:pPr>
            <w:r>
              <w:rPr>
                <w:rFonts w:ascii="Arial" w:hAnsi="Arial" w:cs="Arial"/>
                <w:bCs/>
                <w:color w:val="000000"/>
                <w:kern w:val="0"/>
                <w:sz w:val="24"/>
              </w:rPr>
              <w:t>3</w:t>
            </w:r>
          </w:p>
        </w:tc>
        <w:tc>
          <w:tcPr>
            <w:tcW w:w="968" w:type="dxa"/>
            <w:tcBorders>
              <w:top w:val="nil"/>
              <w:left w:val="nil"/>
              <w:bottom w:val="single" w:color="auto" w:sz="4" w:space="0"/>
              <w:right w:val="single" w:color="auto" w:sz="4" w:space="0"/>
            </w:tcBorders>
            <w:vAlign w:val="center"/>
          </w:tcPr>
          <w:p>
            <w:pPr>
              <w:widowControl/>
              <w:jc w:val="center"/>
              <w:rPr>
                <w:rFonts w:ascii="Arial" w:hAnsi="Arial" w:cs="Arial"/>
                <w:bCs/>
                <w:color w:val="000000"/>
                <w:kern w:val="0"/>
                <w:sz w:val="24"/>
              </w:rPr>
            </w:pPr>
            <w:r>
              <w:rPr>
                <w:rFonts w:ascii="Arial" w:hAnsi="Arial" w:cs="Arial"/>
                <w:bCs/>
                <w:color w:val="000000"/>
                <w:kern w:val="0"/>
                <w:sz w:val="24"/>
              </w:rPr>
              <w:t>3</w:t>
            </w:r>
          </w:p>
        </w:tc>
      </w:tr>
      <w:tr>
        <w:tblPrEx>
          <w:tblCellMar>
            <w:top w:w="0" w:type="dxa"/>
            <w:left w:w="108" w:type="dxa"/>
            <w:bottom w:w="0" w:type="dxa"/>
            <w:right w:w="108" w:type="dxa"/>
          </w:tblCellMar>
        </w:tblPrEx>
        <w:trPr>
          <w:trHeight w:val="465" w:hRule="atLeast"/>
        </w:trPr>
        <w:tc>
          <w:tcPr>
            <w:tcW w:w="1260" w:type="dxa"/>
            <w:vMerge w:val="restart"/>
            <w:tcBorders>
              <w:top w:val="nil"/>
              <w:left w:val="single" w:color="auto" w:sz="4" w:space="0"/>
              <w:right w:val="single" w:color="auto" w:sz="4" w:space="0"/>
            </w:tcBorders>
            <w:vAlign w:val="center"/>
          </w:tcPr>
          <w:p>
            <w:pPr>
              <w:widowControl/>
              <w:jc w:val="center"/>
              <w:rPr>
                <w:rFonts w:ascii="仿宋" w:hAnsi="仿宋" w:eastAsia="仿宋" w:cs="宋体"/>
                <w:bCs/>
                <w:color w:val="000000"/>
                <w:kern w:val="0"/>
                <w:sz w:val="24"/>
              </w:rPr>
            </w:pPr>
            <w:r>
              <w:rPr>
                <w:rFonts w:hint="eastAsia" w:ascii="仿宋" w:hAnsi="仿宋" w:eastAsia="仿宋" w:cs="宋体"/>
                <w:bCs/>
                <w:color w:val="000000"/>
                <w:kern w:val="0"/>
                <w:sz w:val="24"/>
              </w:rPr>
              <w:t>绩效管理（19份）</w:t>
            </w:r>
          </w:p>
        </w:tc>
        <w:tc>
          <w:tcPr>
            <w:tcW w:w="1660" w:type="dxa"/>
            <w:vMerge w:val="restart"/>
            <w:tcBorders>
              <w:top w:val="nil"/>
              <w:left w:val="single" w:color="auto" w:sz="4" w:space="0"/>
              <w:right w:val="single" w:color="auto" w:sz="4" w:space="0"/>
            </w:tcBorders>
            <w:vAlign w:val="center"/>
          </w:tcPr>
          <w:p>
            <w:pPr>
              <w:widowControl/>
              <w:jc w:val="center"/>
              <w:rPr>
                <w:rFonts w:ascii="仿宋" w:hAnsi="仿宋" w:eastAsia="仿宋" w:cs="宋体"/>
                <w:bCs/>
                <w:color w:val="000000"/>
                <w:kern w:val="0"/>
                <w:sz w:val="24"/>
              </w:rPr>
            </w:pPr>
            <w:r>
              <w:rPr>
                <w:rFonts w:hint="eastAsia" w:ascii="仿宋" w:hAnsi="仿宋" w:eastAsia="仿宋" w:cs="宋体"/>
                <w:bCs/>
                <w:color w:val="000000"/>
                <w:kern w:val="0"/>
                <w:sz w:val="24"/>
              </w:rPr>
              <w:t>绩效目标</w:t>
            </w:r>
          </w:p>
        </w:tc>
        <w:tc>
          <w:tcPr>
            <w:tcW w:w="3642" w:type="dxa"/>
            <w:tcBorders>
              <w:top w:val="nil"/>
              <w:left w:val="nil"/>
              <w:bottom w:val="single" w:color="auto" w:sz="4" w:space="0"/>
              <w:right w:val="single" w:color="auto" w:sz="4" w:space="0"/>
            </w:tcBorders>
            <w:vAlign w:val="center"/>
          </w:tcPr>
          <w:p>
            <w:pPr>
              <w:widowControl/>
              <w:rPr>
                <w:rFonts w:ascii="仿宋" w:hAnsi="仿宋" w:eastAsia="仿宋" w:cs="宋体"/>
                <w:bCs/>
                <w:color w:val="000000"/>
                <w:kern w:val="0"/>
                <w:sz w:val="24"/>
              </w:rPr>
            </w:pPr>
            <w:r>
              <w:rPr>
                <w:rFonts w:hint="eastAsia" w:ascii="仿宋" w:hAnsi="仿宋" w:eastAsia="仿宋" w:cs="宋体"/>
                <w:bCs/>
                <w:color w:val="000000"/>
                <w:kern w:val="0"/>
                <w:sz w:val="24"/>
              </w:rPr>
              <w:t>部门整体绩效目标</w:t>
            </w:r>
          </w:p>
        </w:tc>
        <w:tc>
          <w:tcPr>
            <w:tcW w:w="1077" w:type="dxa"/>
            <w:tcBorders>
              <w:top w:val="nil"/>
              <w:left w:val="nil"/>
              <w:bottom w:val="single" w:color="auto" w:sz="4" w:space="0"/>
              <w:right w:val="single" w:color="auto" w:sz="4" w:space="0"/>
            </w:tcBorders>
            <w:vAlign w:val="center"/>
          </w:tcPr>
          <w:p>
            <w:pPr>
              <w:widowControl/>
              <w:jc w:val="center"/>
              <w:rPr>
                <w:rFonts w:ascii="Arial" w:hAnsi="Arial" w:cs="Arial"/>
                <w:bCs/>
                <w:color w:val="000000"/>
                <w:kern w:val="0"/>
                <w:sz w:val="24"/>
              </w:rPr>
            </w:pPr>
            <w:r>
              <w:rPr>
                <w:rFonts w:hint="eastAsia" w:ascii="Arial" w:hAnsi="Arial" w:cs="Arial"/>
                <w:bCs/>
                <w:color w:val="000000"/>
                <w:kern w:val="0"/>
                <w:sz w:val="24"/>
              </w:rPr>
              <w:t>2</w:t>
            </w:r>
          </w:p>
        </w:tc>
        <w:tc>
          <w:tcPr>
            <w:tcW w:w="968" w:type="dxa"/>
            <w:tcBorders>
              <w:top w:val="nil"/>
              <w:left w:val="nil"/>
              <w:bottom w:val="single" w:color="auto" w:sz="4" w:space="0"/>
              <w:right w:val="single" w:color="auto" w:sz="4" w:space="0"/>
            </w:tcBorders>
            <w:vAlign w:val="center"/>
          </w:tcPr>
          <w:p>
            <w:pPr>
              <w:widowControl/>
              <w:jc w:val="center"/>
              <w:rPr>
                <w:rFonts w:ascii="Arial" w:hAnsi="Arial" w:cs="Arial"/>
                <w:bCs/>
                <w:color w:val="000000"/>
                <w:kern w:val="0"/>
                <w:sz w:val="24"/>
              </w:rPr>
            </w:pPr>
            <w:r>
              <w:rPr>
                <w:rFonts w:hint="eastAsia" w:ascii="Arial" w:hAnsi="Arial" w:cs="Arial"/>
                <w:bCs/>
                <w:color w:val="000000"/>
                <w:kern w:val="0"/>
                <w:sz w:val="24"/>
              </w:rPr>
              <w:t>2</w:t>
            </w:r>
          </w:p>
        </w:tc>
      </w:tr>
      <w:tr>
        <w:tblPrEx>
          <w:tblCellMar>
            <w:top w:w="0" w:type="dxa"/>
            <w:left w:w="108" w:type="dxa"/>
            <w:bottom w:w="0" w:type="dxa"/>
            <w:right w:w="108" w:type="dxa"/>
          </w:tblCellMar>
        </w:tblPrEx>
        <w:trPr>
          <w:trHeight w:val="465" w:hRule="atLeast"/>
        </w:trPr>
        <w:tc>
          <w:tcPr>
            <w:tcW w:w="1260" w:type="dxa"/>
            <w:vMerge w:val="continue"/>
            <w:tcBorders>
              <w:left w:val="single" w:color="auto" w:sz="4" w:space="0"/>
              <w:right w:val="single" w:color="auto" w:sz="4" w:space="0"/>
            </w:tcBorders>
            <w:vAlign w:val="center"/>
          </w:tcPr>
          <w:p>
            <w:pPr>
              <w:widowControl/>
              <w:jc w:val="center"/>
              <w:rPr>
                <w:rFonts w:ascii="仿宋" w:hAnsi="仿宋" w:eastAsia="仿宋" w:cs="宋体"/>
                <w:bCs/>
                <w:color w:val="000000"/>
                <w:kern w:val="0"/>
                <w:sz w:val="24"/>
              </w:rPr>
            </w:pPr>
          </w:p>
        </w:tc>
        <w:tc>
          <w:tcPr>
            <w:tcW w:w="1660" w:type="dxa"/>
            <w:vMerge w:val="continue"/>
            <w:tcBorders>
              <w:left w:val="single" w:color="auto" w:sz="4" w:space="0"/>
              <w:bottom w:val="single" w:color="000000" w:sz="4" w:space="0"/>
              <w:right w:val="single" w:color="auto" w:sz="4" w:space="0"/>
            </w:tcBorders>
            <w:vAlign w:val="center"/>
          </w:tcPr>
          <w:p>
            <w:pPr>
              <w:widowControl/>
              <w:jc w:val="center"/>
              <w:rPr>
                <w:rFonts w:ascii="仿宋" w:hAnsi="仿宋" w:eastAsia="仿宋" w:cs="宋体"/>
                <w:bCs/>
                <w:color w:val="000000"/>
                <w:kern w:val="0"/>
                <w:sz w:val="24"/>
              </w:rPr>
            </w:pPr>
          </w:p>
        </w:tc>
        <w:tc>
          <w:tcPr>
            <w:tcW w:w="3642" w:type="dxa"/>
            <w:tcBorders>
              <w:top w:val="nil"/>
              <w:left w:val="nil"/>
              <w:bottom w:val="single" w:color="auto" w:sz="4" w:space="0"/>
              <w:right w:val="single" w:color="auto" w:sz="4" w:space="0"/>
            </w:tcBorders>
            <w:vAlign w:val="center"/>
          </w:tcPr>
          <w:p>
            <w:pPr>
              <w:widowControl/>
              <w:rPr>
                <w:rFonts w:ascii="仿宋" w:hAnsi="仿宋" w:eastAsia="仿宋" w:cs="宋体"/>
                <w:bCs/>
                <w:color w:val="000000"/>
                <w:kern w:val="0"/>
                <w:sz w:val="24"/>
              </w:rPr>
            </w:pPr>
            <w:r>
              <w:rPr>
                <w:rFonts w:hint="eastAsia" w:ascii="仿宋" w:hAnsi="仿宋" w:eastAsia="仿宋" w:cs="宋体"/>
                <w:bCs/>
                <w:color w:val="000000"/>
                <w:kern w:val="0"/>
                <w:sz w:val="24"/>
              </w:rPr>
              <w:t>项目绩效评价</w:t>
            </w:r>
          </w:p>
        </w:tc>
        <w:tc>
          <w:tcPr>
            <w:tcW w:w="1077" w:type="dxa"/>
            <w:tcBorders>
              <w:top w:val="nil"/>
              <w:left w:val="nil"/>
              <w:bottom w:val="single" w:color="auto" w:sz="4" w:space="0"/>
              <w:right w:val="single" w:color="auto" w:sz="4" w:space="0"/>
            </w:tcBorders>
            <w:vAlign w:val="center"/>
          </w:tcPr>
          <w:p>
            <w:pPr>
              <w:widowControl/>
              <w:jc w:val="center"/>
              <w:rPr>
                <w:rFonts w:ascii="Arial" w:hAnsi="Arial" w:cs="Arial"/>
                <w:bCs/>
                <w:color w:val="000000"/>
                <w:kern w:val="0"/>
                <w:sz w:val="24"/>
              </w:rPr>
            </w:pPr>
            <w:r>
              <w:rPr>
                <w:rFonts w:hint="eastAsia" w:ascii="Arial" w:hAnsi="Arial" w:cs="Arial"/>
                <w:bCs/>
                <w:color w:val="000000"/>
                <w:kern w:val="0"/>
                <w:sz w:val="24"/>
              </w:rPr>
              <w:t>4</w:t>
            </w:r>
          </w:p>
        </w:tc>
        <w:tc>
          <w:tcPr>
            <w:tcW w:w="968" w:type="dxa"/>
            <w:tcBorders>
              <w:top w:val="nil"/>
              <w:left w:val="nil"/>
              <w:bottom w:val="single" w:color="auto" w:sz="4" w:space="0"/>
              <w:right w:val="single" w:color="auto" w:sz="4" w:space="0"/>
            </w:tcBorders>
            <w:vAlign w:val="center"/>
          </w:tcPr>
          <w:p>
            <w:pPr>
              <w:widowControl/>
              <w:jc w:val="center"/>
              <w:rPr>
                <w:rFonts w:ascii="Arial" w:hAnsi="Arial" w:cs="Arial"/>
                <w:bCs/>
                <w:color w:val="000000"/>
                <w:kern w:val="0"/>
                <w:sz w:val="24"/>
              </w:rPr>
            </w:pPr>
            <w:r>
              <w:rPr>
                <w:rFonts w:hint="eastAsia" w:ascii="Arial" w:hAnsi="Arial" w:cs="Arial"/>
                <w:bCs/>
                <w:color w:val="000000"/>
                <w:kern w:val="0"/>
                <w:sz w:val="24"/>
              </w:rPr>
              <w:t>4</w:t>
            </w:r>
          </w:p>
        </w:tc>
      </w:tr>
      <w:tr>
        <w:tblPrEx>
          <w:tblCellMar>
            <w:top w:w="0" w:type="dxa"/>
            <w:left w:w="108" w:type="dxa"/>
            <w:bottom w:w="0" w:type="dxa"/>
            <w:right w:w="108" w:type="dxa"/>
          </w:tblCellMar>
        </w:tblPrEx>
        <w:trPr>
          <w:trHeight w:val="465" w:hRule="atLeast"/>
        </w:trPr>
        <w:tc>
          <w:tcPr>
            <w:tcW w:w="1260" w:type="dxa"/>
            <w:vMerge w:val="continue"/>
            <w:tcBorders>
              <w:left w:val="single" w:color="auto" w:sz="4" w:space="0"/>
              <w:right w:val="single" w:color="auto" w:sz="4" w:space="0"/>
            </w:tcBorders>
            <w:vAlign w:val="center"/>
          </w:tcPr>
          <w:p>
            <w:pPr>
              <w:widowControl/>
              <w:jc w:val="center"/>
              <w:rPr>
                <w:rFonts w:ascii="仿宋" w:hAnsi="仿宋" w:eastAsia="仿宋" w:cs="宋体"/>
                <w:bCs/>
                <w:color w:val="000000"/>
                <w:kern w:val="0"/>
                <w:sz w:val="24"/>
              </w:rPr>
            </w:pPr>
          </w:p>
        </w:tc>
        <w:tc>
          <w:tcPr>
            <w:tcW w:w="1660" w:type="dxa"/>
            <w:vMerge w:val="restart"/>
            <w:tcBorders>
              <w:top w:val="nil"/>
              <w:left w:val="single" w:color="auto" w:sz="4" w:space="0"/>
              <w:right w:val="single" w:color="auto" w:sz="4" w:space="0"/>
            </w:tcBorders>
            <w:vAlign w:val="center"/>
          </w:tcPr>
          <w:p>
            <w:pPr>
              <w:widowControl/>
              <w:jc w:val="center"/>
              <w:rPr>
                <w:rFonts w:ascii="仿宋" w:hAnsi="仿宋" w:eastAsia="仿宋" w:cs="宋体"/>
                <w:bCs/>
                <w:color w:val="000000"/>
                <w:kern w:val="0"/>
                <w:sz w:val="24"/>
              </w:rPr>
            </w:pPr>
            <w:r>
              <w:rPr>
                <w:rFonts w:hint="eastAsia" w:ascii="仿宋" w:hAnsi="仿宋" w:eastAsia="仿宋" w:cs="宋体"/>
                <w:bCs/>
                <w:color w:val="000000"/>
                <w:kern w:val="0"/>
                <w:sz w:val="24"/>
              </w:rPr>
              <w:t>绩效监控</w:t>
            </w:r>
          </w:p>
        </w:tc>
        <w:tc>
          <w:tcPr>
            <w:tcW w:w="3642" w:type="dxa"/>
            <w:tcBorders>
              <w:top w:val="nil"/>
              <w:left w:val="nil"/>
              <w:bottom w:val="single" w:color="auto" w:sz="4" w:space="0"/>
              <w:right w:val="single" w:color="auto" w:sz="4" w:space="0"/>
            </w:tcBorders>
            <w:vAlign w:val="center"/>
          </w:tcPr>
          <w:p>
            <w:pPr>
              <w:widowControl/>
              <w:jc w:val="left"/>
              <w:rPr>
                <w:rFonts w:ascii="仿宋" w:hAnsi="仿宋" w:eastAsia="仿宋" w:cs="宋体"/>
                <w:bCs/>
                <w:color w:val="000000"/>
                <w:kern w:val="0"/>
                <w:sz w:val="24"/>
              </w:rPr>
            </w:pPr>
            <w:r>
              <w:rPr>
                <w:rFonts w:hint="eastAsia" w:ascii="仿宋" w:hAnsi="仿宋" w:eastAsia="仿宋" w:cs="宋体"/>
                <w:bCs/>
                <w:color w:val="000000"/>
                <w:kern w:val="0"/>
                <w:sz w:val="24"/>
              </w:rPr>
              <w:t>跟踪监控开展情况</w:t>
            </w:r>
          </w:p>
        </w:tc>
        <w:tc>
          <w:tcPr>
            <w:tcW w:w="1077" w:type="dxa"/>
            <w:tcBorders>
              <w:top w:val="nil"/>
              <w:left w:val="nil"/>
              <w:bottom w:val="single" w:color="auto" w:sz="4" w:space="0"/>
              <w:right w:val="single" w:color="auto" w:sz="4" w:space="0"/>
            </w:tcBorders>
            <w:vAlign w:val="center"/>
          </w:tcPr>
          <w:p>
            <w:pPr>
              <w:widowControl/>
              <w:jc w:val="center"/>
              <w:rPr>
                <w:rFonts w:ascii="Arial" w:hAnsi="Arial" w:cs="Arial"/>
                <w:bCs/>
                <w:color w:val="000000"/>
                <w:kern w:val="0"/>
                <w:sz w:val="24"/>
              </w:rPr>
            </w:pPr>
            <w:r>
              <w:rPr>
                <w:rFonts w:hint="eastAsia" w:ascii="Arial" w:hAnsi="Arial" w:cs="Arial"/>
                <w:bCs/>
                <w:color w:val="000000"/>
                <w:kern w:val="0"/>
                <w:sz w:val="24"/>
              </w:rPr>
              <w:t>4</w:t>
            </w:r>
          </w:p>
        </w:tc>
        <w:tc>
          <w:tcPr>
            <w:tcW w:w="968" w:type="dxa"/>
            <w:tcBorders>
              <w:top w:val="nil"/>
              <w:left w:val="nil"/>
              <w:bottom w:val="single" w:color="auto" w:sz="4" w:space="0"/>
              <w:right w:val="single" w:color="auto" w:sz="4" w:space="0"/>
            </w:tcBorders>
            <w:vAlign w:val="center"/>
          </w:tcPr>
          <w:p>
            <w:pPr>
              <w:widowControl/>
              <w:jc w:val="center"/>
              <w:rPr>
                <w:rFonts w:ascii="Arial" w:hAnsi="Arial" w:cs="Arial"/>
                <w:bCs/>
                <w:color w:val="000000"/>
                <w:kern w:val="0"/>
                <w:sz w:val="24"/>
              </w:rPr>
            </w:pPr>
            <w:r>
              <w:rPr>
                <w:rFonts w:hint="eastAsia" w:ascii="Arial" w:hAnsi="Arial" w:cs="Arial"/>
                <w:bCs/>
                <w:color w:val="000000"/>
                <w:kern w:val="0"/>
                <w:sz w:val="24"/>
              </w:rPr>
              <w:t>4</w:t>
            </w:r>
          </w:p>
        </w:tc>
      </w:tr>
      <w:tr>
        <w:tblPrEx>
          <w:tblCellMar>
            <w:top w:w="0" w:type="dxa"/>
            <w:left w:w="108" w:type="dxa"/>
            <w:bottom w:w="0" w:type="dxa"/>
            <w:right w:w="108" w:type="dxa"/>
          </w:tblCellMar>
        </w:tblPrEx>
        <w:trPr>
          <w:trHeight w:val="465" w:hRule="atLeast"/>
        </w:trPr>
        <w:tc>
          <w:tcPr>
            <w:tcW w:w="1260" w:type="dxa"/>
            <w:vMerge w:val="continue"/>
            <w:tcBorders>
              <w:left w:val="single" w:color="auto" w:sz="4" w:space="0"/>
              <w:right w:val="single" w:color="auto" w:sz="4" w:space="0"/>
            </w:tcBorders>
            <w:vAlign w:val="center"/>
          </w:tcPr>
          <w:p>
            <w:pPr>
              <w:widowControl/>
              <w:jc w:val="center"/>
              <w:rPr>
                <w:rFonts w:ascii="仿宋" w:hAnsi="仿宋" w:eastAsia="仿宋" w:cs="宋体"/>
                <w:bCs/>
                <w:color w:val="000000"/>
                <w:kern w:val="0"/>
                <w:sz w:val="24"/>
              </w:rPr>
            </w:pPr>
          </w:p>
        </w:tc>
        <w:tc>
          <w:tcPr>
            <w:tcW w:w="1660" w:type="dxa"/>
            <w:vMerge w:val="continue"/>
            <w:tcBorders>
              <w:left w:val="single" w:color="auto" w:sz="4" w:space="0"/>
              <w:bottom w:val="single" w:color="000000" w:sz="4" w:space="0"/>
              <w:right w:val="single" w:color="auto" w:sz="4" w:space="0"/>
            </w:tcBorders>
            <w:vAlign w:val="center"/>
          </w:tcPr>
          <w:p>
            <w:pPr>
              <w:widowControl/>
              <w:jc w:val="center"/>
              <w:rPr>
                <w:rFonts w:ascii="仿宋" w:hAnsi="仿宋" w:eastAsia="仿宋" w:cs="宋体"/>
                <w:bCs/>
                <w:color w:val="000000"/>
                <w:kern w:val="0"/>
                <w:sz w:val="24"/>
              </w:rPr>
            </w:pPr>
          </w:p>
        </w:tc>
        <w:tc>
          <w:tcPr>
            <w:tcW w:w="3642" w:type="dxa"/>
            <w:tcBorders>
              <w:top w:val="nil"/>
              <w:left w:val="nil"/>
              <w:bottom w:val="single" w:color="auto" w:sz="4" w:space="0"/>
              <w:right w:val="single" w:color="auto" w:sz="4" w:space="0"/>
            </w:tcBorders>
            <w:vAlign w:val="center"/>
          </w:tcPr>
          <w:p>
            <w:pPr>
              <w:widowControl/>
              <w:jc w:val="left"/>
              <w:rPr>
                <w:rFonts w:ascii="仿宋" w:hAnsi="仿宋" w:eastAsia="仿宋" w:cs="宋体"/>
                <w:bCs/>
                <w:color w:val="000000"/>
                <w:kern w:val="0"/>
                <w:sz w:val="24"/>
              </w:rPr>
            </w:pPr>
            <w:r>
              <w:rPr>
                <w:rFonts w:hint="eastAsia" w:ascii="仿宋" w:hAnsi="仿宋" w:eastAsia="仿宋" w:cs="宋体"/>
                <w:bCs/>
                <w:color w:val="000000"/>
                <w:kern w:val="0"/>
                <w:sz w:val="24"/>
              </w:rPr>
              <w:t>监控结果运用情况</w:t>
            </w:r>
          </w:p>
        </w:tc>
        <w:tc>
          <w:tcPr>
            <w:tcW w:w="1077" w:type="dxa"/>
            <w:tcBorders>
              <w:top w:val="nil"/>
              <w:left w:val="nil"/>
              <w:bottom w:val="single" w:color="auto" w:sz="4" w:space="0"/>
              <w:right w:val="single" w:color="auto" w:sz="4" w:space="0"/>
            </w:tcBorders>
            <w:vAlign w:val="center"/>
          </w:tcPr>
          <w:p>
            <w:pPr>
              <w:widowControl/>
              <w:jc w:val="center"/>
              <w:rPr>
                <w:rFonts w:ascii="Arial" w:hAnsi="Arial" w:cs="Arial"/>
                <w:bCs/>
                <w:color w:val="000000"/>
                <w:kern w:val="0"/>
                <w:sz w:val="24"/>
              </w:rPr>
            </w:pPr>
            <w:r>
              <w:rPr>
                <w:rFonts w:hint="eastAsia" w:ascii="Arial" w:hAnsi="Arial" w:cs="Arial"/>
                <w:bCs/>
                <w:color w:val="000000"/>
                <w:kern w:val="0"/>
                <w:sz w:val="24"/>
              </w:rPr>
              <w:t>2</w:t>
            </w:r>
          </w:p>
        </w:tc>
        <w:tc>
          <w:tcPr>
            <w:tcW w:w="968" w:type="dxa"/>
            <w:tcBorders>
              <w:top w:val="nil"/>
              <w:left w:val="nil"/>
              <w:bottom w:val="single" w:color="auto" w:sz="4" w:space="0"/>
              <w:right w:val="single" w:color="auto" w:sz="4" w:space="0"/>
            </w:tcBorders>
            <w:vAlign w:val="center"/>
          </w:tcPr>
          <w:p>
            <w:pPr>
              <w:widowControl/>
              <w:jc w:val="center"/>
              <w:rPr>
                <w:rFonts w:ascii="Arial" w:hAnsi="Arial" w:cs="Arial"/>
                <w:bCs/>
                <w:color w:val="000000"/>
                <w:kern w:val="0"/>
                <w:sz w:val="24"/>
              </w:rPr>
            </w:pPr>
            <w:r>
              <w:rPr>
                <w:rFonts w:hint="eastAsia" w:ascii="Arial" w:hAnsi="Arial" w:cs="Arial"/>
                <w:bCs/>
                <w:color w:val="000000"/>
                <w:kern w:val="0"/>
                <w:sz w:val="24"/>
              </w:rPr>
              <w:t>2</w:t>
            </w:r>
          </w:p>
        </w:tc>
      </w:tr>
      <w:tr>
        <w:tblPrEx>
          <w:tblCellMar>
            <w:top w:w="0" w:type="dxa"/>
            <w:left w:w="108" w:type="dxa"/>
            <w:bottom w:w="0" w:type="dxa"/>
            <w:right w:w="108" w:type="dxa"/>
          </w:tblCellMar>
        </w:tblPrEx>
        <w:trPr>
          <w:trHeight w:val="465" w:hRule="atLeast"/>
        </w:trPr>
        <w:tc>
          <w:tcPr>
            <w:tcW w:w="1260" w:type="dxa"/>
            <w:vMerge w:val="continue"/>
            <w:tcBorders>
              <w:left w:val="single" w:color="auto" w:sz="4" w:space="0"/>
              <w:right w:val="single" w:color="auto" w:sz="4" w:space="0"/>
            </w:tcBorders>
            <w:vAlign w:val="center"/>
          </w:tcPr>
          <w:p>
            <w:pPr>
              <w:widowControl/>
              <w:jc w:val="center"/>
              <w:rPr>
                <w:rFonts w:ascii="仿宋" w:hAnsi="仿宋" w:eastAsia="仿宋" w:cs="宋体"/>
                <w:bCs/>
                <w:color w:val="000000"/>
                <w:kern w:val="0"/>
                <w:sz w:val="24"/>
              </w:rPr>
            </w:pPr>
          </w:p>
        </w:tc>
        <w:tc>
          <w:tcPr>
            <w:tcW w:w="1660" w:type="dxa"/>
            <w:vMerge w:val="restart"/>
            <w:tcBorders>
              <w:top w:val="nil"/>
              <w:left w:val="single" w:color="auto" w:sz="4" w:space="0"/>
              <w:right w:val="single" w:color="auto" w:sz="4" w:space="0"/>
            </w:tcBorders>
            <w:vAlign w:val="center"/>
          </w:tcPr>
          <w:p>
            <w:pPr>
              <w:widowControl/>
              <w:jc w:val="center"/>
              <w:rPr>
                <w:rFonts w:ascii="仿宋" w:hAnsi="仿宋" w:eastAsia="仿宋" w:cs="宋体"/>
                <w:bCs/>
                <w:color w:val="000000"/>
                <w:kern w:val="0"/>
                <w:sz w:val="24"/>
              </w:rPr>
            </w:pPr>
            <w:r>
              <w:rPr>
                <w:rFonts w:hint="eastAsia" w:ascii="仿宋" w:hAnsi="仿宋" w:eastAsia="仿宋" w:cs="宋体"/>
                <w:bCs/>
                <w:color w:val="000000"/>
                <w:kern w:val="0"/>
                <w:sz w:val="24"/>
              </w:rPr>
              <w:t>绩效评价</w:t>
            </w:r>
          </w:p>
        </w:tc>
        <w:tc>
          <w:tcPr>
            <w:tcW w:w="3642" w:type="dxa"/>
            <w:tcBorders>
              <w:top w:val="nil"/>
              <w:left w:val="nil"/>
              <w:bottom w:val="single" w:color="auto" w:sz="4" w:space="0"/>
              <w:right w:val="single" w:color="auto" w:sz="4" w:space="0"/>
            </w:tcBorders>
            <w:vAlign w:val="center"/>
          </w:tcPr>
          <w:p>
            <w:pPr>
              <w:widowControl/>
              <w:jc w:val="left"/>
              <w:rPr>
                <w:rFonts w:ascii="仿宋" w:hAnsi="仿宋" w:eastAsia="仿宋" w:cs="宋体"/>
                <w:bCs/>
                <w:color w:val="000000"/>
                <w:kern w:val="0"/>
                <w:sz w:val="24"/>
              </w:rPr>
            </w:pPr>
            <w:r>
              <w:rPr>
                <w:rFonts w:hint="eastAsia" w:ascii="仿宋" w:hAnsi="仿宋" w:eastAsia="仿宋" w:cs="宋体"/>
                <w:bCs/>
                <w:color w:val="000000"/>
                <w:kern w:val="0"/>
                <w:sz w:val="24"/>
              </w:rPr>
              <w:t>评价开展情况</w:t>
            </w:r>
          </w:p>
        </w:tc>
        <w:tc>
          <w:tcPr>
            <w:tcW w:w="1077" w:type="dxa"/>
            <w:tcBorders>
              <w:top w:val="nil"/>
              <w:left w:val="nil"/>
              <w:bottom w:val="single" w:color="auto" w:sz="4" w:space="0"/>
              <w:right w:val="single" w:color="auto" w:sz="4" w:space="0"/>
            </w:tcBorders>
            <w:vAlign w:val="center"/>
          </w:tcPr>
          <w:p>
            <w:pPr>
              <w:widowControl/>
              <w:jc w:val="center"/>
              <w:rPr>
                <w:rFonts w:ascii="Arial" w:hAnsi="Arial" w:cs="Arial"/>
                <w:bCs/>
                <w:color w:val="000000"/>
                <w:kern w:val="0"/>
                <w:sz w:val="24"/>
              </w:rPr>
            </w:pPr>
            <w:r>
              <w:rPr>
                <w:rFonts w:hint="eastAsia" w:ascii="Arial" w:hAnsi="Arial" w:cs="Arial"/>
                <w:bCs/>
                <w:color w:val="000000"/>
                <w:kern w:val="0"/>
                <w:sz w:val="24"/>
              </w:rPr>
              <w:t>4</w:t>
            </w:r>
          </w:p>
        </w:tc>
        <w:tc>
          <w:tcPr>
            <w:tcW w:w="968" w:type="dxa"/>
            <w:tcBorders>
              <w:top w:val="nil"/>
              <w:left w:val="nil"/>
              <w:bottom w:val="single" w:color="auto" w:sz="4" w:space="0"/>
              <w:right w:val="single" w:color="auto" w:sz="4" w:space="0"/>
            </w:tcBorders>
            <w:vAlign w:val="center"/>
          </w:tcPr>
          <w:p>
            <w:pPr>
              <w:widowControl/>
              <w:jc w:val="center"/>
              <w:rPr>
                <w:rFonts w:ascii="Arial" w:hAnsi="Arial" w:cs="Arial"/>
                <w:bCs/>
                <w:color w:val="000000"/>
                <w:kern w:val="0"/>
                <w:sz w:val="24"/>
              </w:rPr>
            </w:pPr>
            <w:r>
              <w:rPr>
                <w:rFonts w:hint="eastAsia" w:ascii="Arial" w:hAnsi="Arial" w:cs="Arial"/>
                <w:bCs/>
                <w:color w:val="000000"/>
                <w:kern w:val="0"/>
                <w:sz w:val="24"/>
              </w:rPr>
              <w:t>4</w:t>
            </w:r>
          </w:p>
        </w:tc>
      </w:tr>
      <w:tr>
        <w:tblPrEx>
          <w:tblCellMar>
            <w:top w:w="0" w:type="dxa"/>
            <w:left w:w="108" w:type="dxa"/>
            <w:bottom w:w="0" w:type="dxa"/>
            <w:right w:w="108" w:type="dxa"/>
          </w:tblCellMar>
        </w:tblPrEx>
        <w:trPr>
          <w:trHeight w:val="465" w:hRule="atLeast"/>
        </w:trPr>
        <w:tc>
          <w:tcPr>
            <w:tcW w:w="1260" w:type="dxa"/>
            <w:vMerge w:val="continue"/>
            <w:tcBorders>
              <w:left w:val="single" w:color="auto" w:sz="4" w:space="0"/>
              <w:bottom w:val="single" w:color="auto" w:sz="4" w:space="0"/>
              <w:right w:val="single" w:color="auto" w:sz="4" w:space="0"/>
            </w:tcBorders>
            <w:vAlign w:val="center"/>
          </w:tcPr>
          <w:p>
            <w:pPr>
              <w:widowControl/>
              <w:jc w:val="center"/>
              <w:rPr>
                <w:rFonts w:ascii="仿宋" w:hAnsi="仿宋" w:eastAsia="仿宋" w:cs="宋体"/>
                <w:bCs/>
                <w:color w:val="000000"/>
                <w:kern w:val="0"/>
                <w:sz w:val="24"/>
              </w:rPr>
            </w:pPr>
          </w:p>
        </w:tc>
        <w:tc>
          <w:tcPr>
            <w:tcW w:w="1660" w:type="dxa"/>
            <w:vMerge w:val="continue"/>
            <w:tcBorders>
              <w:left w:val="single" w:color="auto" w:sz="4" w:space="0"/>
              <w:bottom w:val="single" w:color="auto" w:sz="4" w:space="0"/>
              <w:right w:val="single" w:color="auto" w:sz="4" w:space="0"/>
            </w:tcBorders>
            <w:vAlign w:val="center"/>
          </w:tcPr>
          <w:p>
            <w:pPr>
              <w:widowControl/>
              <w:jc w:val="center"/>
              <w:rPr>
                <w:rFonts w:ascii="仿宋" w:hAnsi="仿宋" w:eastAsia="仿宋" w:cs="宋体"/>
                <w:bCs/>
                <w:color w:val="000000"/>
                <w:kern w:val="0"/>
                <w:sz w:val="24"/>
              </w:rPr>
            </w:pPr>
          </w:p>
        </w:tc>
        <w:tc>
          <w:tcPr>
            <w:tcW w:w="3642" w:type="dxa"/>
            <w:tcBorders>
              <w:top w:val="nil"/>
              <w:left w:val="nil"/>
              <w:bottom w:val="single" w:color="auto" w:sz="4" w:space="0"/>
              <w:right w:val="single" w:color="auto" w:sz="4" w:space="0"/>
            </w:tcBorders>
            <w:vAlign w:val="center"/>
          </w:tcPr>
          <w:p>
            <w:pPr>
              <w:widowControl/>
              <w:jc w:val="left"/>
              <w:rPr>
                <w:rFonts w:ascii="仿宋" w:hAnsi="仿宋" w:eastAsia="仿宋" w:cs="宋体"/>
                <w:bCs/>
                <w:color w:val="000000"/>
                <w:kern w:val="0"/>
                <w:sz w:val="24"/>
              </w:rPr>
            </w:pPr>
            <w:r>
              <w:rPr>
                <w:rFonts w:hint="eastAsia" w:ascii="仿宋" w:hAnsi="仿宋" w:eastAsia="仿宋" w:cs="宋体"/>
                <w:bCs/>
                <w:color w:val="000000"/>
                <w:kern w:val="0"/>
                <w:sz w:val="24"/>
              </w:rPr>
              <w:t>评价结果报告</w:t>
            </w:r>
          </w:p>
        </w:tc>
        <w:tc>
          <w:tcPr>
            <w:tcW w:w="1077" w:type="dxa"/>
            <w:tcBorders>
              <w:top w:val="nil"/>
              <w:left w:val="nil"/>
              <w:bottom w:val="single" w:color="auto" w:sz="4" w:space="0"/>
              <w:right w:val="single" w:color="auto" w:sz="4" w:space="0"/>
            </w:tcBorders>
            <w:vAlign w:val="center"/>
          </w:tcPr>
          <w:p>
            <w:pPr>
              <w:widowControl/>
              <w:jc w:val="center"/>
              <w:rPr>
                <w:rFonts w:ascii="Arial" w:hAnsi="Arial" w:cs="Arial"/>
                <w:bCs/>
                <w:color w:val="000000"/>
                <w:kern w:val="0"/>
                <w:sz w:val="24"/>
              </w:rPr>
            </w:pPr>
            <w:r>
              <w:rPr>
                <w:rFonts w:hint="eastAsia" w:ascii="Arial" w:hAnsi="Arial" w:cs="Arial"/>
                <w:bCs/>
                <w:color w:val="000000"/>
                <w:kern w:val="0"/>
                <w:sz w:val="24"/>
              </w:rPr>
              <w:t>3</w:t>
            </w:r>
          </w:p>
        </w:tc>
        <w:tc>
          <w:tcPr>
            <w:tcW w:w="968" w:type="dxa"/>
            <w:tcBorders>
              <w:top w:val="nil"/>
              <w:left w:val="nil"/>
              <w:bottom w:val="single" w:color="auto" w:sz="4" w:space="0"/>
              <w:right w:val="single" w:color="auto" w:sz="4" w:space="0"/>
            </w:tcBorders>
            <w:vAlign w:val="center"/>
          </w:tcPr>
          <w:p>
            <w:pPr>
              <w:widowControl/>
              <w:jc w:val="center"/>
              <w:rPr>
                <w:rFonts w:ascii="Arial" w:hAnsi="Arial" w:cs="Arial"/>
                <w:bCs/>
                <w:color w:val="000000"/>
                <w:kern w:val="0"/>
                <w:sz w:val="24"/>
              </w:rPr>
            </w:pPr>
            <w:r>
              <w:rPr>
                <w:rFonts w:hint="eastAsia" w:ascii="Arial" w:hAnsi="Arial" w:cs="Arial"/>
                <w:bCs/>
                <w:color w:val="000000"/>
                <w:kern w:val="0"/>
                <w:sz w:val="24"/>
              </w:rPr>
              <w:t>3</w:t>
            </w:r>
          </w:p>
        </w:tc>
      </w:tr>
      <w:tr>
        <w:tblPrEx>
          <w:tblCellMar>
            <w:top w:w="0" w:type="dxa"/>
            <w:left w:w="108" w:type="dxa"/>
            <w:bottom w:w="0" w:type="dxa"/>
            <w:right w:w="108" w:type="dxa"/>
          </w:tblCellMar>
        </w:tblPrEx>
        <w:trPr>
          <w:trHeight w:val="465" w:hRule="atLeast"/>
        </w:trPr>
        <w:tc>
          <w:tcPr>
            <w:tcW w:w="126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Cs/>
                <w:color w:val="000000"/>
                <w:kern w:val="0"/>
                <w:sz w:val="24"/>
              </w:rPr>
            </w:pPr>
            <w:r>
              <w:rPr>
                <w:rFonts w:hint="eastAsia" w:ascii="仿宋" w:hAnsi="仿宋" w:eastAsia="仿宋" w:cs="宋体"/>
                <w:bCs/>
                <w:color w:val="000000"/>
                <w:kern w:val="0"/>
                <w:sz w:val="24"/>
              </w:rPr>
              <w:t>综合管理（33分）</w:t>
            </w:r>
          </w:p>
        </w:tc>
        <w:tc>
          <w:tcPr>
            <w:tcW w:w="166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Cs/>
                <w:color w:val="000000"/>
                <w:kern w:val="0"/>
                <w:sz w:val="24"/>
              </w:rPr>
            </w:pPr>
            <w:r>
              <w:rPr>
                <w:rFonts w:hint="eastAsia" w:ascii="仿宋" w:hAnsi="仿宋" w:eastAsia="仿宋" w:cs="宋体"/>
                <w:bCs/>
                <w:color w:val="000000"/>
                <w:kern w:val="0"/>
                <w:sz w:val="24"/>
              </w:rPr>
              <w:t>非税收入   执收情况</w:t>
            </w:r>
          </w:p>
        </w:tc>
        <w:tc>
          <w:tcPr>
            <w:tcW w:w="364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bCs/>
                <w:color w:val="000000"/>
                <w:kern w:val="0"/>
                <w:sz w:val="24"/>
              </w:rPr>
            </w:pPr>
            <w:r>
              <w:rPr>
                <w:rFonts w:hint="eastAsia" w:ascii="仿宋" w:hAnsi="仿宋" w:eastAsia="仿宋" w:cs="宋体"/>
                <w:bCs/>
                <w:color w:val="000000"/>
                <w:kern w:val="0"/>
                <w:sz w:val="24"/>
              </w:rPr>
              <w:t>非税收入征收情况</w:t>
            </w:r>
          </w:p>
        </w:tc>
        <w:tc>
          <w:tcPr>
            <w:tcW w:w="107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bCs/>
                <w:color w:val="000000"/>
                <w:kern w:val="0"/>
                <w:sz w:val="24"/>
              </w:rPr>
            </w:pPr>
            <w:r>
              <w:rPr>
                <w:rFonts w:hint="eastAsia" w:ascii="Arial" w:hAnsi="Arial" w:cs="Arial"/>
                <w:bCs/>
                <w:color w:val="000000"/>
                <w:kern w:val="0"/>
                <w:sz w:val="24"/>
              </w:rPr>
              <w:t>2</w:t>
            </w:r>
          </w:p>
        </w:tc>
        <w:tc>
          <w:tcPr>
            <w:tcW w:w="96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bCs/>
                <w:color w:val="000000"/>
                <w:kern w:val="0"/>
                <w:sz w:val="24"/>
              </w:rPr>
            </w:pPr>
            <w:r>
              <w:rPr>
                <w:rFonts w:hint="eastAsia" w:ascii="Arial" w:hAnsi="Arial" w:cs="Arial"/>
                <w:bCs/>
                <w:color w:val="000000"/>
                <w:kern w:val="0"/>
                <w:sz w:val="24"/>
              </w:rPr>
              <w:t>2</w:t>
            </w:r>
          </w:p>
        </w:tc>
      </w:tr>
      <w:tr>
        <w:tblPrEx>
          <w:tblCellMar>
            <w:top w:w="0" w:type="dxa"/>
            <w:left w:w="108" w:type="dxa"/>
            <w:bottom w:w="0" w:type="dxa"/>
            <w:right w:w="108" w:type="dxa"/>
          </w:tblCellMar>
        </w:tblPrEx>
        <w:trPr>
          <w:trHeight w:val="465" w:hRule="atLeast"/>
        </w:trPr>
        <w:tc>
          <w:tcPr>
            <w:tcW w:w="12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bCs/>
                <w:color w:val="000000"/>
                <w:kern w:val="0"/>
                <w:sz w:val="24"/>
              </w:rPr>
            </w:pPr>
          </w:p>
        </w:tc>
        <w:tc>
          <w:tcPr>
            <w:tcW w:w="16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bCs/>
                <w:color w:val="000000"/>
                <w:kern w:val="0"/>
                <w:sz w:val="24"/>
              </w:rPr>
            </w:pPr>
          </w:p>
        </w:tc>
        <w:tc>
          <w:tcPr>
            <w:tcW w:w="364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bCs/>
                <w:color w:val="000000"/>
                <w:kern w:val="0"/>
                <w:sz w:val="24"/>
              </w:rPr>
            </w:pPr>
            <w:r>
              <w:rPr>
                <w:rFonts w:hint="eastAsia" w:ascii="仿宋" w:hAnsi="仿宋" w:eastAsia="仿宋" w:cs="宋体"/>
                <w:bCs/>
                <w:color w:val="000000"/>
                <w:kern w:val="0"/>
                <w:sz w:val="24"/>
              </w:rPr>
              <w:t>非税收入上缴情况</w:t>
            </w:r>
          </w:p>
        </w:tc>
        <w:tc>
          <w:tcPr>
            <w:tcW w:w="107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bCs/>
                <w:color w:val="000000"/>
                <w:kern w:val="0"/>
                <w:sz w:val="24"/>
              </w:rPr>
            </w:pPr>
            <w:r>
              <w:rPr>
                <w:rFonts w:ascii="Arial" w:hAnsi="Arial" w:cs="Arial"/>
                <w:bCs/>
                <w:color w:val="000000"/>
                <w:kern w:val="0"/>
                <w:sz w:val="24"/>
              </w:rPr>
              <w:t>2</w:t>
            </w:r>
          </w:p>
        </w:tc>
        <w:tc>
          <w:tcPr>
            <w:tcW w:w="96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bCs/>
                <w:color w:val="000000"/>
                <w:kern w:val="0"/>
                <w:sz w:val="24"/>
              </w:rPr>
            </w:pPr>
            <w:r>
              <w:rPr>
                <w:rFonts w:ascii="Arial" w:hAnsi="Arial" w:cs="Arial"/>
                <w:bCs/>
                <w:color w:val="000000"/>
                <w:kern w:val="0"/>
                <w:sz w:val="24"/>
              </w:rPr>
              <w:t>2</w:t>
            </w:r>
          </w:p>
        </w:tc>
      </w:tr>
      <w:tr>
        <w:tblPrEx>
          <w:tblCellMar>
            <w:top w:w="0" w:type="dxa"/>
            <w:left w:w="108" w:type="dxa"/>
            <w:bottom w:w="0" w:type="dxa"/>
            <w:right w:w="108" w:type="dxa"/>
          </w:tblCellMar>
        </w:tblPrEx>
        <w:trPr>
          <w:trHeight w:val="465" w:hRule="atLeast"/>
        </w:trPr>
        <w:tc>
          <w:tcPr>
            <w:tcW w:w="126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 w:hAnsi="仿宋" w:eastAsia="仿宋" w:cs="宋体"/>
                <w:bCs/>
                <w:color w:val="000000"/>
                <w:kern w:val="0"/>
                <w:sz w:val="24"/>
              </w:rPr>
            </w:pPr>
          </w:p>
        </w:tc>
        <w:tc>
          <w:tcPr>
            <w:tcW w:w="1660"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仿宋" w:hAnsi="仿宋" w:eastAsia="仿宋" w:cs="宋体"/>
                <w:bCs/>
                <w:color w:val="000000"/>
                <w:kern w:val="0"/>
                <w:sz w:val="24"/>
              </w:rPr>
            </w:pPr>
            <w:r>
              <w:rPr>
                <w:rFonts w:hint="eastAsia" w:ascii="仿宋" w:hAnsi="仿宋" w:eastAsia="仿宋" w:cs="宋体"/>
                <w:bCs/>
                <w:color w:val="000000"/>
                <w:kern w:val="0"/>
                <w:sz w:val="24"/>
              </w:rPr>
              <w:t>政府采购</w:t>
            </w:r>
          </w:p>
        </w:tc>
        <w:tc>
          <w:tcPr>
            <w:tcW w:w="3642"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cs="宋体"/>
                <w:bCs/>
                <w:color w:val="000000"/>
                <w:kern w:val="0"/>
                <w:sz w:val="24"/>
              </w:rPr>
            </w:pPr>
            <w:r>
              <w:rPr>
                <w:rFonts w:hint="eastAsia" w:ascii="仿宋" w:hAnsi="仿宋" w:eastAsia="仿宋" w:cs="宋体"/>
                <w:bCs/>
                <w:color w:val="000000"/>
                <w:kern w:val="0"/>
                <w:sz w:val="24"/>
              </w:rPr>
              <w:t>政府采购实施计划编制</w:t>
            </w:r>
          </w:p>
        </w:tc>
        <w:tc>
          <w:tcPr>
            <w:tcW w:w="1077" w:type="dxa"/>
            <w:tcBorders>
              <w:top w:val="single" w:color="auto" w:sz="4" w:space="0"/>
              <w:left w:val="nil"/>
              <w:bottom w:val="single" w:color="auto" w:sz="4" w:space="0"/>
              <w:right w:val="single" w:color="auto" w:sz="4" w:space="0"/>
            </w:tcBorders>
            <w:vAlign w:val="center"/>
          </w:tcPr>
          <w:p>
            <w:pPr>
              <w:widowControl/>
              <w:jc w:val="center"/>
              <w:rPr>
                <w:rFonts w:ascii="Arial" w:hAnsi="Arial" w:cs="Arial"/>
                <w:bCs/>
                <w:color w:val="000000"/>
                <w:kern w:val="0"/>
                <w:sz w:val="24"/>
              </w:rPr>
            </w:pPr>
            <w:r>
              <w:rPr>
                <w:rFonts w:ascii="Arial" w:hAnsi="Arial" w:cs="Arial"/>
                <w:bCs/>
                <w:color w:val="000000"/>
                <w:kern w:val="0"/>
                <w:sz w:val="24"/>
              </w:rPr>
              <w:t>2</w:t>
            </w:r>
          </w:p>
        </w:tc>
        <w:tc>
          <w:tcPr>
            <w:tcW w:w="968" w:type="dxa"/>
            <w:tcBorders>
              <w:top w:val="single" w:color="auto" w:sz="4" w:space="0"/>
              <w:left w:val="nil"/>
              <w:bottom w:val="single" w:color="auto" w:sz="4" w:space="0"/>
              <w:right w:val="single" w:color="auto" w:sz="4" w:space="0"/>
            </w:tcBorders>
            <w:vAlign w:val="center"/>
          </w:tcPr>
          <w:p>
            <w:pPr>
              <w:widowControl/>
              <w:jc w:val="center"/>
              <w:rPr>
                <w:rFonts w:ascii="Arial" w:hAnsi="Arial" w:cs="Arial"/>
                <w:bCs/>
                <w:color w:val="000000"/>
                <w:kern w:val="0"/>
                <w:sz w:val="24"/>
              </w:rPr>
            </w:pPr>
            <w:r>
              <w:rPr>
                <w:rFonts w:ascii="Arial" w:hAnsi="Arial" w:cs="Arial"/>
                <w:bCs/>
                <w:color w:val="000000"/>
                <w:kern w:val="0"/>
                <w:sz w:val="24"/>
              </w:rPr>
              <w:t>2</w:t>
            </w:r>
          </w:p>
        </w:tc>
      </w:tr>
      <w:tr>
        <w:tblPrEx>
          <w:tblCellMar>
            <w:top w:w="0" w:type="dxa"/>
            <w:left w:w="108" w:type="dxa"/>
            <w:bottom w:w="0" w:type="dxa"/>
            <w:right w:w="108" w:type="dxa"/>
          </w:tblCellMar>
        </w:tblPrEx>
        <w:trPr>
          <w:trHeight w:val="465" w:hRule="atLeast"/>
        </w:trPr>
        <w:tc>
          <w:tcPr>
            <w:tcW w:w="126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bCs/>
                <w:color w:val="000000"/>
                <w:kern w:val="0"/>
                <w:sz w:val="24"/>
              </w:rPr>
            </w:pPr>
          </w:p>
        </w:tc>
        <w:tc>
          <w:tcPr>
            <w:tcW w:w="166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bCs/>
                <w:color w:val="000000"/>
                <w:kern w:val="0"/>
                <w:sz w:val="24"/>
              </w:rPr>
            </w:pPr>
          </w:p>
        </w:tc>
        <w:tc>
          <w:tcPr>
            <w:tcW w:w="3642" w:type="dxa"/>
            <w:tcBorders>
              <w:top w:val="nil"/>
              <w:left w:val="nil"/>
              <w:bottom w:val="single" w:color="auto" w:sz="4" w:space="0"/>
              <w:right w:val="single" w:color="auto" w:sz="4" w:space="0"/>
            </w:tcBorders>
            <w:vAlign w:val="center"/>
          </w:tcPr>
          <w:p>
            <w:pPr>
              <w:widowControl/>
              <w:jc w:val="left"/>
              <w:rPr>
                <w:rFonts w:ascii="仿宋" w:hAnsi="仿宋" w:eastAsia="仿宋" w:cs="宋体"/>
                <w:bCs/>
                <w:color w:val="000000"/>
                <w:kern w:val="0"/>
                <w:sz w:val="24"/>
              </w:rPr>
            </w:pPr>
            <w:r>
              <w:rPr>
                <w:rFonts w:hint="eastAsia" w:ascii="仿宋" w:hAnsi="仿宋" w:eastAsia="仿宋" w:cs="宋体"/>
                <w:bCs/>
                <w:color w:val="000000"/>
                <w:kern w:val="0"/>
                <w:sz w:val="24"/>
              </w:rPr>
              <w:t>政府采购实施计划执行</w:t>
            </w:r>
          </w:p>
        </w:tc>
        <w:tc>
          <w:tcPr>
            <w:tcW w:w="1077" w:type="dxa"/>
            <w:tcBorders>
              <w:top w:val="nil"/>
              <w:left w:val="nil"/>
              <w:bottom w:val="single" w:color="auto" w:sz="4" w:space="0"/>
              <w:right w:val="single" w:color="auto" w:sz="4" w:space="0"/>
            </w:tcBorders>
            <w:vAlign w:val="center"/>
          </w:tcPr>
          <w:p>
            <w:pPr>
              <w:widowControl/>
              <w:jc w:val="center"/>
              <w:rPr>
                <w:rFonts w:ascii="Arial" w:hAnsi="Arial" w:cs="Arial"/>
                <w:bCs/>
                <w:color w:val="000000"/>
                <w:kern w:val="0"/>
                <w:sz w:val="24"/>
              </w:rPr>
            </w:pPr>
            <w:r>
              <w:rPr>
                <w:rFonts w:ascii="Arial" w:hAnsi="Arial" w:cs="Arial"/>
                <w:bCs/>
                <w:color w:val="000000"/>
                <w:kern w:val="0"/>
                <w:sz w:val="24"/>
              </w:rPr>
              <w:t>2</w:t>
            </w:r>
          </w:p>
        </w:tc>
        <w:tc>
          <w:tcPr>
            <w:tcW w:w="968" w:type="dxa"/>
            <w:tcBorders>
              <w:top w:val="nil"/>
              <w:left w:val="nil"/>
              <w:bottom w:val="single" w:color="auto" w:sz="4" w:space="0"/>
              <w:right w:val="single" w:color="auto" w:sz="4" w:space="0"/>
            </w:tcBorders>
            <w:vAlign w:val="center"/>
          </w:tcPr>
          <w:p>
            <w:pPr>
              <w:widowControl/>
              <w:jc w:val="center"/>
              <w:rPr>
                <w:rFonts w:ascii="Arial" w:hAnsi="Arial" w:cs="Arial"/>
                <w:bCs/>
                <w:color w:val="000000"/>
                <w:kern w:val="0"/>
                <w:sz w:val="24"/>
              </w:rPr>
            </w:pPr>
            <w:r>
              <w:rPr>
                <w:rFonts w:ascii="Arial" w:hAnsi="Arial" w:cs="Arial"/>
                <w:bCs/>
                <w:color w:val="000000"/>
                <w:kern w:val="0"/>
                <w:sz w:val="24"/>
              </w:rPr>
              <w:t>2</w:t>
            </w:r>
          </w:p>
        </w:tc>
      </w:tr>
      <w:tr>
        <w:tblPrEx>
          <w:tblCellMar>
            <w:top w:w="0" w:type="dxa"/>
            <w:left w:w="108" w:type="dxa"/>
            <w:bottom w:w="0" w:type="dxa"/>
            <w:right w:w="108" w:type="dxa"/>
          </w:tblCellMar>
        </w:tblPrEx>
        <w:trPr>
          <w:trHeight w:val="465" w:hRule="atLeast"/>
        </w:trPr>
        <w:tc>
          <w:tcPr>
            <w:tcW w:w="126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bCs/>
                <w:color w:val="000000"/>
                <w:kern w:val="0"/>
                <w:sz w:val="24"/>
              </w:rPr>
            </w:pPr>
          </w:p>
        </w:tc>
        <w:tc>
          <w:tcPr>
            <w:tcW w:w="1660"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 w:hAnsi="仿宋" w:eastAsia="仿宋" w:cs="宋体"/>
                <w:bCs/>
                <w:color w:val="000000"/>
                <w:kern w:val="0"/>
                <w:sz w:val="24"/>
              </w:rPr>
            </w:pPr>
            <w:r>
              <w:rPr>
                <w:rFonts w:hint="eastAsia" w:ascii="仿宋" w:hAnsi="仿宋" w:eastAsia="仿宋" w:cs="宋体"/>
                <w:bCs/>
                <w:color w:val="000000"/>
                <w:kern w:val="0"/>
                <w:sz w:val="24"/>
              </w:rPr>
              <w:t>资产管理</w:t>
            </w:r>
          </w:p>
        </w:tc>
        <w:tc>
          <w:tcPr>
            <w:tcW w:w="3642" w:type="dxa"/>
            <w:tcBorders>
              <w:top w:val="nil"/>
              <w:left w:val="nil"/>
              <w:bottom w:val="single" w:color="auto" w:sz="4" w:space="0"/>
              <w:right w:val="single" w:color="auto" w:sz="4" w:space="0"/>
            </w:tcBorders>
            <w:vAlign w:val="center"/>
          </w:tcPr>
          <w:p>
            <w:pPr>
              <w:widowControl/>
              <w:jc w:val="left"/>
              <w:rPr>
                <w:rFonts w:ascii="仿宋" w:hAnsi="仿宋" w:eastAsia="仿宋" w:cs="宋体"/>
                <w:bCs/>
                <w:color w:val="000000"/>
                <w:kern w:val="0"/>
                <w:sz w:val="24"/>
              </w:rPr>
            </w:pPr>
            <w:r>
              <w:rPr>
                <w:rFonts w:hint="eastAsia" w:ascii="仿宋" w:hAnsi="仿宋" w:eastAsia="仿宋" w:cs="宋体"/>
                <w:bCs/>
                <w:color w:val="000000"/>
                <w:kern w:val="0"/>
                <w:sz w:val="24"/>
              </w:rPr>
              <w:t>资产管理信息系统建设情况</w:t>
            </w:r>
          </w:p>
        </w:tc>
        <w:tc>
          <w:tcPr>
            <w:tcW w:w="1077" w:type="dxa"/>
            <w:tcBorders>
              <w:top w:val="nil"/>
              <w:left w:val="nil"/>
              <w:bottom w:val="single" w:color="auto" w:sz="4" w:space="0"/>
              <w:right w:val="single" w:color="auto" w:sz="4" w:space="0"/>
            </w:tcBorders>
            <w:vAlign w:val="center"/>
          </w:tcPr>
          <w:p>
            <w:pPr>
              <w:widowControl/>
              <w:jc w:val="center"/>
              <w:rPr>
                <w:rFonts w:ascii="Arial" w:hAnsi="Arial" w:cs="Arial"/>
                <w:bCs/>
                <w:color w:val="000000"/>
                <w:kern w:val="0"/>
                <w:sz w:val="24"/>
              </w:rPr>
            </w:pPr>
            <w:r>
              <w:rPr>
                <w:rFonts w:hint="eastAsia" w:ascii="Arial" w:hAnsi="Arial" w:cs="Arial"/>
                <w:bCs/>
                <w:color w:val="000000"/>
                <w:kern w:val="0"/>
                <w:sz w:val="24"/>
              </w:rPr>
              <w:t>2</w:t>
            </w:r>
          </w:p>
        </w:tc>
        <w:tc>
          <w:tcPr>
            <w:tcW w:w="968" w:type="dxa"/>
            <w:tcBorders>
              <w:top w:val="nil"/>
              <w:left w:val="nil"/>
              <w:bottom w:val="single" w:color="auto" w:sz="4" w:space="0"/>
              <w:right w:val="single" w:color="auto" w:sz="4" w:space="0"/>
            </w:tcBorders>
            <w:vAlign w:val="center"/>
          </w:tcPr>
          <w:p>
            <w:pPr>
              <w:widowControl/>
              <w:jc w:val="center"/>
              <w:rPr>
                <w:rFonts w:ascii="Arial" w:hAnsi="Arial" w:cs="Arial"/>
                <w:bCs/>
                <w:color w:val="000000"/>
                <w:kern w:val="0"/>
                <w:sz w:val="24"/>
              </w:rPr>
            </w:pPr>
            <w:r>
              <w:rPr>
                <w:rFonts w:hint="eastAsia" w:ascii="Arial" w:hAnsi="Arial" w:cs="Arial"/>
                <w:bCs/>
                <w:color w:val="000000"/>
                <w:kern w:val="0"/>
                <w:sz w:val="24"/>
              </w:rPr>
              <w:t>2</w:t>
            </w:r>
          </w:p>
        </w:tc>
      </w:tr>
      <w:tr>
        <w:tblPrEx>
          <w:tblCellMar>
            <w:top w:w="0" w:type="dxa"/>
            <w:left w:w="108" w:type="dxa"/>
            <w:bottom w:w="0" w:type="dxa"/>
            <w:right w:w="108" w:type="dxa"/>
          </w:tblCellMar>
        </w:tblPrEx>
        <w:trPr>
          <w:trHeight w:val="465" w:hRule="atLeast"/>
        </w:trPr>
        <w:tc>
          <w:tcPr>
            <w:tcW w:w="126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bCs/>
                <w:color w:val="000000"/>
                <w:kern w:val="0"/>
                <w:sz w:val="24"/>
              </w:rPr>
            </w:pPr>
          </w:p>
        </w:tc>
        <w:tc>
          <w:tcPr>
            <w:tcW w:w="166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bCs/>
                <w:color w:val="000000"/>
                <w:kern w:val="0"/>
                <w:sz w:val="24"/>
              </w:rPr>
            </w:pPr>
          </w:p>
        </w:tc>
        <w:tc>
          <w:tcPr>
            <w:tcW w:w="3642" w:type="dxa"/>
            <w:tcBorders>
              <w:top w:val="nil"/>
              <w:left w:val="nil"/>
              <w:bottom w:val="single" w:color="auto" w:sz="4" w:space="0"/>
              <w:right w:val="single" w:color="auto" w:sz="4" w:space="0"/>
            </w:tcBorders>
            <w:vAlign w:val="center"/>
          </w:tcPr>
          <w:p>
            <w:pPr>
              <w:widowControl/>
              <w:jc w:val="left"/>
              <w:rPr>
                <w:rFonts w:ascii="仿宋" w:hAnsi="仿宋" w:eastAsia="仿宋" w:cs="宋体"/>
                <w:bCs/>
                <w:color w:val="000000"/>
                <w:kern w:val="0"/>
                <w:sz w:val="24"/>
              </w:rPr>
            </w:pPr>
            <w:r>
              <w:rPr>
                <w:rFonts w:hint="eastAsia" w:ascii="仿宋" w:hAnsi="仿宋" w:eastAsia="仿宋" w:cs="宋体"/>
                <w:bCs/>
                <w:color w:val="000000"/>
                <w:kern w:val="0"/>
                <w:sz w:val="24"/>
              </w:rPr>
              <w:t>行政事业单位资产清查开展情况</w:t>
            </w:r>
          </w:p>
        </w:tc>
        <w:tc>
          <w:tcPr>
            <w:tcW w:w="1077" w:type="dxa"/>
            <w:tcBorders>
              <w:top w:val="nil"/>
              <w:left w:val="nil"/>
              <w:bottom w:val="single" w:color="auto" w:sz="4" w:space="0"/>
              <w:right w:val="single" w:color="auto" w:sz="4" w:space="0"/>
            </w:tcBorders>
            <w:vAlign w:val="center"/>
          </w:tcPr>
          <w:p>
            <w:pPr>
              <w:widowControl/>
              <w:jc w:val="center"/>
              <w:rPr>
                <w:rFonts w:ascii="Arial" w:hAnsi="Arial" w:cs="Arial"/>
                <w:bCs/>
                <w:color w:val="000000"/>
                <w:kern w:val="0"/>
                <w:sz w:val="24"/>
              </w:rPr>
            </w:pPr>
            <w:r>
              <w:rPr>
                <w:rFonts w:hint="eastAsia" w:ascii="Arial" w:hAnsi="Arial" w:cs="Arial"/>
                <w:bCs/>
                <w:color w:val="000000"/>
                <w:kern w:val="0"/>
                <w:sz w:val="24"/>
              </w:rPr>
              <w:t>2</w:t>
            </w:r>
          </w:p>
        </w:tc>
        <w:tc>
          <w:tcPr>
            <w:tcW w:w="968" w:type="dxa"/>
            <w:tcBorders>
              <w:top w:val="nil"/>
              <w:left w:val="nil"/>
              <w:bottom w:val="single" w:color="auto" w:sz="4" w:space="0"/>
              <w:right w:val="single" w:color="auto" w:sz="4" w:space="0"/>
            </w:tcBorders>
            <w:vAlign w:val="center"/>
          </w:tcPr>
          <w:p>
            <w:pPr>
              <w:widowControl/>
              <w:jc w:val="center"/>
              <w:rPr>
                <w:rFonts w:ascii="Arial" w:hAnsi="Arial" w:cs="Arial"/>
                <w:bCs/>
                <w:color w:val="000000"/>
                <w:kern w:val="0"/>
                <w:sz w:val="24"/>
              </w:rPr>
            </w:pPr>
            <w:r>
              <w:rPr>
                <w:rFonts w:hint="eastAsia" w:ascii="Arial" w:hAnsi="Arial" w:cs="Arial"/>
                <w:bCs/>
                <w:color w:val="000000"/>
                <w:kern w:val="0"/>
                <w:sz w:val="24"/>
              </w:rPr>
              <w:t>2</w:t>
            </w:r>
          </w:p>
        </w:tc>
      </w:tr>
      <w:tr>
        <w:tblPrEx>
          <w:tblCellMar>
            <w:top w:w="0" w:type="dxa"/>
            <w:left w:w="108" w:type="dxa"/>
            <w:bottom w:w="0" w:type="dxa"/>
            <w:right w:w="108" w:type="dxa"/>
          </w:tblCellMar>
        </w:tblPrEx>
        <w:trPr>
          <w:trHeight w:val="465" w:hRule="atLeast"/>
        </w:trPr>
        <w:tc>
          <w:tcPr>
            <w:tcW w:w="126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bCs/>
                <w:color w:val="000000"/>
                <w:kern w:val="0"/>
                <w:sz w:val="24"/>
              </w:rPr>
            </w:pPr>
          </w:p>
        </w:tc>
        <w:tc>
          <w:tcPr>
            <w:tcW w:w="166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bCs/>
                <w:color w:val="000000"/>
                <w:kern w:val="0"/>
                <w:sz w:val="24"/>
              </w:rPr>
            </w:pPr>
          </w:p>
        </w:tc>
        <w:tc>
          <w:tcPr>
            <w:tcW w:w="3642" w:type="dxa"/>
            <w:tcBorders>
              <w:top w:val="nil"/>
              <w:left w:val="nil"/>
              <w:bottom w:val="single" w:color="auto" w:sz="4" w:space="0"/>
              <w:right w:val="single" w:color="auto" w:sz="4" w:space="0"/>
            </w:tcBorders>
            <w:vAlign w:val="center"/>
          </w:tcPr>
          <w:p>
            <w:pPr>
              <w:widowControl/>
              <w:jc w:val="left"/>
              <w:rPr>
                <w:rFonts w:ascii="仿宋" w:hAnsi="仿宋" w:eastAsia="仿宋" w:cs="宋体"/>
                <w:bCs/>
                <w:color w:val="000000"/>
                <w:kern w:val="0"/>
                <w:sz w:val="24"/>
              </w:rPr>
            </w:pPr>
            <w:r>
              <w:rPr>
                <w:rFonts w:hint="eastAsia" w:ascii="仿宋" w:hAnsi="仿宋" w:eastAsia="仿宋" w:cs="宋体"/>
                <w:bCs/>
                <w:color w:val="000000"/>
                <w:kern w:val="0"/>
                <w:sz w:val="24"/>
              </w:rPr>
              <w:t>行政事业单位资产报表上报情况</w:t>
            </w:r>
          </w:p>
        </w:tc>
        <w:tc>
          <w:tcPr>
            <w:tcW w:w="1077" w:type="dxa"/>
            <w:tcBorders>
              <w:top w:val="nil"/>
              <w:left w:val="nil"/>
              <w:bottom w:val="single" w:color="auto" w:sz="4" w:space="0"/>
              <w:right w:val="single" w:color="auto" w:sz="4" w:space="0"/>
            </w:tcBorders>
            <w:vAlign w:val="center"/>
          </w:tcPr>
          <w:p>
            <w:pPr>
              <w:widowControl/>
              <w:jc w:val="center"/>
              <w:rPr>
                <w:rFonts w:ascii="Arial" w:hAnsi="Arial" w:cs="Arial"/>
                <w:bCs/>
                <w:color w:val="000000"/>
                <w:kern w:val="0"/>
                <w:sz w:val="24"/>
              </w:rPr>
            </w:pPr>
            <w:r>
              <w:rPr>
                <w:rFonts w:ascii="Arial" w:hAnsi="Arial" w:cs="Arial"/>
                <w:bCs/>
                <w:color w:val="000000"/>
                <w:kern w:val="0"/>
                <w:sz w:val="24"/>
              </w:rPr>
              <w:t>1</w:t>
            </w:r>
          </w:p>
        </w:tc>
        <w:tc>
          <w:tcPr>
            <w:tcW w:w="968" w:type="dxa"/>
            <w:tcBorders>
              <w:top w:val="nil"/>
              <w:left w:val="nil"/>
              <w:bottom w:val="single" w:color="auto" w:sz="4" w:space="0"/>
              <w:right w:val="single" w:color="auto" w:sz="4" w:space="0"/>
            </w:tcBorders>
            <w:vAlign w:val="center"/>
          </w:tcPr>
          <w:p>
            <w:pPr>
              <w:widowControl/>
              <w:jc w:val="center"/>
              <w:rPr>
                <w:rFonts w:ascii="Arial" w:hAnsi="Arial" w:cs="Arial"/>
                <w:bCs/>
                <w:color w:val="000000"/>
                <w:kern w:val="0"/>
                <w:sz w:val="24"/>
              </w:rPr>
            </w:pPr>
            <w:r>
              <w:rPr>
                <w:rFonts w:ascii="Arial" w:hAnsi="Arial" w:cs="Arial"/>
                <w:bCs/>
                <w:color w:val="000000"/>
                <w:kern w:val="0"/>
                <w:sz w:val="24"/>
              </w:rPr>
              <w:t>1</w:t>
            </w:r>
          </w:p>
        </w:tc>
      </w:tr>
      <w:tr>
        <w:tblPrEx>
          <w:tblCellMar>
            <w:top w:w="0" w:type="dxa"/>
            <w:left w:w="108" w:type="dxa"/>
            <w:bottom w:w="0" w:type="dxa"/>
            <w:right w:w="108" w:type="dxa"/>
          </w:tblCellMar>
        </w:tblPrEx>
        <w:trPr>
          <w:trHeight w:val="465" w:hRule="atLeast"/>
        </w:trPr>
        <w:tc>
          <w:tcPr>
            <w:tcW w:w="126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bCs/>
                <w:color w:val="000000"/>
                <w:kern w:val="0"/>
                <w:sz w:val="24"/>
              </w:rPr>
            </w:pPr>
          </w:p>
        </w:tc>
        <w:tc>
          <w:tcPr>
            <w:tcW w:w="1660" w:type="dxa"/>
            <w:tcBorders>
              <w:top w:val="nil"/>
              <w:left w:val="nil"/>
              <w:bottom w:val="single" w:color="auto" w:sz="4" w:space="0"/>
              <w:right w:val="single" w:color="auto" w:sz="4" w:space="0"/>
            </w:tcBorders>
            <w:vAlign w:val="center"/>
          </w:tcPr>
          <w:p>
            <w:pPr>
              <w:widowControl/>
              <w:jc w:val="center"/>
              <w:rPr>
                <w:rFonts w:ascii="仿宋" w:hAnsi="仿宋" w:eastAsia="仿宋" w:cs="宋体"/>
                <w:bCs/>
                <w:color w:val="000000"/>
                <w:kern w:val="0"/>
                <w:sz w:val="24"/>
              </w:rPr>
            </w:pPr>
            <w:r>
              <w:rPr>
                <w:rFonts w:hint="eastAsia" w:ascii="仿宋" w:hAnsi="仿宋" w:eastAsia="仿宋" w:cs="宋体"/>
                <w:bCs/>
                <w:color w:val="000000"/>
                <w:kern w:val="0"/>
                <w:sz w:val="24"/>
              </w:rPr>
              <w:t>内部控制管理</w:t>
            </w:r>
          </w:p>
        </w:tc>
        <w:tc>
          <w:tcPr>
            <w:tcW w:w="3642" w:type="dxa"/>
            <w:tcBorders>
              <w:top w:val="nil"/>
              <w:left w:val="nil"/>
              <w:bottom w:val="single" w:color="auto" w:sz="4" w:space="0"/>
              <w:right w:val="single" w:color="auto" w:sz="4" w:space="0"/>
            </w:tcBorders>
            <w:vAlign w:val="center"/>
          </w:tcPr>
          <w:p>
            <w:pPr>
              <w:widowControl/>
              <w:jc w:val="left"/>
              <w:rPr>
                <w:rFonts w:ascii="仿宋" w:hAnsi="仿宋" w:eastAsia="仿宋" w:cs="宋体"/>
                <w:bCs/>
                <w:color w:val="000000"/>
                <w:kern w:val="0"/>
                <w:sz w:val="24"/>
              </w:rPr>
            </w:pPr>
            <w:r>
              <w:rPr>
                <w:rFonts w:hint="eastAsia" w:ascii="仿宋" w:hAnsi="仿宋" w:eastAsia="仿宋" w:cs="宋体"/>
                <w:bCs/>
                <w:color w:val="000000"/>
                <w:kern w:val="0"/>
                <w:sz w:val="24"/>
              </w:rPr>
              <w:t>内部控制制度健全完整</w:t>
            </w:r>
          </w:p>
        </w:tc>
        <w:tc>
          <w:tcPr>
            <w:tcW w:w="1077" w:type="dxa"/>
            <w:tcBorders>
              <w:top w:val="nil"/>
              <w:left w:val="nil"/>
              <w:bottom w:val="single" w:color="auto" w:sz="4" w:space="0"/>
              <w:right w:val="single" w:color="auto" w:sz="4" w:space="0"/>
            </w:tcBorders>
            <w:vAlign w:val="center"/>
          </w:tcPr>
          <w:p>
            <w:pPr>
              <w:widowControl/>
              <w:jc w:val="center"/>
              <w:rPr>
                <w:rFonts w:ascii="Arial" w:hAnsi="Arial" w:cs="Arial"/>
                <w:bCs/>
                <w:color w:val="000000"/>
                <w:kern w:val="0"/>
                <w:sz w:val="24"/>
              </w:rPr>
            </w:pPr>
            <w:r>
              <w:rPr>
                <w:rFonts w:ascii="Arial" w:hAnsi="Arial" w:cs="Arial"/>
                <w:bCs/>
                <w:color w:val="000000"/>
                <w:kern w:val="0"/>
                <w:sz w:val="24"/>
              </w:rPr>
              <w:t>3</w:t>
            </w:r>
          </w:p>
        </w:tc>
        <w:tc>
          <w:tcPr>
            <w:tcW w:w="968" w:type="dxa"/>
            <w:tcBorders>
              <w:top w:val="nil"/>
              <w:left w:val="nil"/>
              <w:bottom w:val="single" w:color="auto" w:sz="4" w:space="0"/>
              <w:right w:val="single" w:color="auto" w:sz="4" w:space="0"/>
            </w:tcBorders>
            <w:vAlign w:val="center"/>
          </w:tcPr>
          <w:p>
            <w:pPr>
              <w:widowControl/>
              <w:jc w:val="center"/>
              <w:rPr>
                <w:rFonts w:ascii="Arial" w:hAnsi="Arial" w:cs="Arial"/>
                <w:bCs/>
                <w:color w:val="000000"/>
                <w:kern w:val="0"/>
                <w:sz w:val="24"/>
              </w:rPr>
            </w:pPr>
            <w:r>
              <w:rPr>
                <w:rFonts w:hint="eastAsia" w:ascii="Arial" w:hAnsi="Arial" w:cs="Arial"/>
                <w:bCs/>
                <w:color w:val="000000"/>
                <w:kern w:val="0"/>
                <w:sz w:val="24"/>
              </w:rPr>
              <w:t>2</w:t>
            </w:r>
          </w:p>
        </w:tc>
      </w:tr>
      <w:tr>
        <w:tblPrEx>
          <w:tblCellMar>
            <w:top w:w="0" w:type="dxa"/>
            <w:left w:w="108" w:type="dxa"/>
            <w:bottom w:w="0" w:type="dxa"/>
            <w:right w:w="108" w:type="dxa"/>
          </w:tblCellMar>
        </w:tblPrEx>
        <w:trPr>
          <w:trHeight w:val="465" w:hRule="atLeast"/>
        </w:trPr>
        <w:tc>
          <w:tcPr>
            <w:tcW w:w="126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bCs/>
                <w:color w:val="000000"/>
                <w:kern w:val="0"/>
                <w:sz w:val="24"/>
              </w:rPr>
            </w:pPr>
          </w:p>
        </w:tc>
        <w:tc>
          <w:tcPr>
            <w:tcW w:w="1660"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 w:hAnsi="仿宋" w:eastAsia="仿宋" w:cs="宋体"/>
                <w:bCs/>
                <w:color w:val="000000"/>
                <w:kern w:val="0"/>
                <w:sz w:val="24"/>
              </w:rPr>
            </w:pPr>
            <w:r>
              <w:rPr>
                <w:rFonts w:hint="eastAsia" w:ascii="仿宋" w:hAnsi="仿宋" w:eastAsia="仿宋" w:cs="宋体"/>
                <w:bCs/>
                <w:color w:val="000000"/>
                <w:kern w:val="0"/>
                <w:sz w:val="24"/>
              </w:rPr>
              <w:t>信息公开</w:t>
            </w:r>
          </w:p>
        </w:tc>
        <w:tc>
          <w:tcPr>
            <w:tcW w:w="3642" w:type="dxa"/>
            <w:tcBorders>
              <w:top w:val="nil"/>
              <w:left w:val="nil"/>
              <w:bottom w:val="single" w:color="auto" w:sz="4" w:space="0"/>
              <w:right w:val="single" w:color="auto" w:sz="4" w:space="0"/>
            </w:tcBorders>
            <w:vAlign w:val="center"/>
          </w:tcPr>
          <w:p>
            <w:pPr>
              <w:widowControl/>
              <w:jc w:val="left"/>
              <w:rPr>
                <w:rFonts w:ascii="仿宋" w:hAnsi="仿宋" w:eastAsia="仿宋" w:cs="宋体"/>
                <w:bCs/>
                <w:color w:val="000000"/>
                <w:kern w:val="0"/>
                <w:sz w:val="24"/>
              </w:rPr>
            </w:pPr>
            <w:r>
              <w:rPr>
                <w:rFonts w:hint="eastAsia" w:ascii="仿宋" w:hAnsi="仿宋" w:eastAsia="仿宋" w:cs="宋体"/>
                <w:bCs/>
                <w:color w:val="000000"/>
                <w:kern w:val="0"/>
                <w:sz w:val="24"/>
              </w:rPr>
              <w:t>预算公开</w:t>
            </w:r>
          </w:p>
        </w:tc>
        <w:tc>
          <w:tcPr>
            <w:tcW w:w="1077" w:type="dxa"/>
            <w:tcBorders>
              <w:top w:val="nil"/>
              <w:left w:val="nil"/>
              <w:bottom w:val="single" w:color="auto" w:sz="4" w:space="0"/>
              <w:right w:val="single" w:color="auto" w:sz="4" w:space="0"/>
            </w:tcBorders>
            <w:vAlign w:val="center"/>
          </w:tcPr>
          <w:p>
            <w:pPr>
              <w:widowControl/>
              <w:jc w:val="center"/>
              <w:rPr>
                <w:rFonts w:ascii="Arial" w:hAnsi="Arial" w:cs="Arial"/>
                <w:bCs/>
                <w:color w:val="000000"/>
                <w:kern w:val="0"/>
                <w:sz w:val="24"/>
              </w:rPr>
            </w:pPr>
            <w:r>
              <w:rPr>
                <w:rFonts w:hint="eastAsia" w:ascii="Arial" w:hAnsi="Arial" w:cs="Arial"/>
                <w:bCs/>
                <w:color w:val="000000"/>
                <w:kern w:val="0"/>
                <w:sz w:val="24"/>
              </w:rPr>
              <w:t>2</w:t>
            </w:r>
          </w:p>
        </w:tc>
        <w:tc>
          <w:tcPr>
            <w:tcW w:w="968" w:type="dxa"/>
            <w:tcBorders>
              <w:top w:val="nil"/>
              <w:left w:val="nil"/>
              <w:bottom w:val="single" w:color="auto" w:sz="4" w:space="0"/>
              <w:right w:val="single" w:color="auto" w:sz="4" w:space="0"/>
            </w:tcBorders>
            <w:vAlign w:val="center"/>
          </w:tcPr>
          <w:p>
            <w:pPr>
              <w:widowControl/>
              <w:jc w:val="center"/>
              <w:rPr>
                <w:rFonts w:ascii="Arial" w:hAnsi="Arial" w:cs="Arial"/>
                <w:bCs/>
                <w:color w:val="000000"/>
                <w:kern w:val="0"/>
                <w:sz w:val="24"/>
              </w:rPr>
            </w:pPr>
            <w:r>
              <w:rPr>
                <w:rFonts w:hint="eastAsia" w:ascii="Arial" w:hAnsi="Arial" w:cs="Arial"/>
                <w:bCs/>
                <w:color w:val="000000"/>
                <w:kern w:val="0"/>
                <w:sz w:val="24"/>
              </w:rPr>
              <w:t>2</w:t>
            </w:r>
          </w:p>
        </w:tc>
      </w:tr>
      <w:tr>
        <w:tblPrEx>
          <w:tblCellMar>
            <w:top w:w="0" w:type="dxa"/>
            <w:left w:w="108" w:type="dxa"/>
            <w:bottom w:w="0" w:type="dxa"/>
            <w:right w:w="108" w:type="dxa"/>
          </w:tblCellMar>
        </w:tblPrEx>
        <w:trPr>
          <w:trHeight w:val="465" w:hRule="atLeast"/>
        </w:trPr>
        <w:tc>
          <w:tcPr>
            <w:tcW w:w="126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bCs/>
                <w:color w:val="000000"/>
                <w:kern w:val="0"/>
                <w:sz w:val="24"/>
              </w:rPr>
            </w:pPr>
          </w:p>
        </w:tc>
        <w:tc>
          <w:tcPr>
            <w:tcW w:w="166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bCs/>
                <w:color w:val="000000"/>
                <w:kern w:val="0"/>
                <w:sz w:val="24"/>
              </w:rPr>
            </w:pPr>
          </w:p>
        </w:tc>
        <w:tc>
          <w:tcPr>
            <w:tcW w:w="3642" w:type="dxa"/>
            <w:tcBorders>
              <w:top w:val="nil"/>
              <w:left w:val="nil"/>
              <w:bottom w:val="single" w:color="auto" w:sz="4" w:space="0"/>
              <w:right w:val="single" w:color="auto" w:sz="4" w:space="0"/>
            </w:tcBorders>
            <w:vAlign w:val="center"/>
          </w:tcPr>
          <w:p>
            <w:pPr>
              <w:widowControl/>
              <w:jc w:val="left"/>
              <w:rPr>
                <w:rFonts w:ascii="仿宋" w:hAnsi="仿宋" w:eastAsia="仿宋" w:cs="宋体"/>
                <w:bCs/>
                <w:color w:val="000000"/>
                <w:kern w:val="0"/>
                <w:sz w:val="24"/>
              </w:rPr>
            </w:pPr>
            <w:r>
              <w:rPr>
                <w:rFonts w:hint="eastAsia" w:ascii="仿宋" w:hAnsi="仿宋" w:eastAsia="仿宋" w:cs="宋体"/>
                <w:bCs/>
                <w:color w:val="000000"/>
                <w:kern w:val="0"/>
                <w:sz w:val="24"/>
              </w:rPr>
              <w:t>决算公开</w:t>
            </w:r>
          </w:p>
        </w:tc>
        <w:tc>
          <w:tcPr>
            <w:tcW w:w="1077" w:type="dxa"/>
            <w:tcBorders>
              <w:top w:val="nil"/>
              <w:left w:val="nil"/>
              <w:bottom w:val="single" w:color="auto" w:sz="4" w:space="0"/>
              <w:right w:val="single" w:color="auto" w:sz="4" w:space="0"/>
            </w:tcBorders>
            <w:vAlign w:val="center"/>
          </w:tcPr>
          <w:p>
            <w:pPr>
              <w:widowControl/>
              <w:jc w:val="center"/>
              <w:rPr>
                <w:rFonts w:ascii="Arial" w:hAnsi="Arial" w:cs="Arial"/>
                <w:bCs/>
                <w:color w:val="000000"/>
                <w:kern w:val="0"/>
                <w:sz w:val="24"/>
              </w:rPr>
            </w:pPr>
            <w:r>
              <w:rPr>
                <w:rFonts w:hint="eastAsia" w:ascii="Arial" w:hAnsi="Arial" w:cs="Arial"/>
                <w:bCs/>
                <w:color w:val="000000"/>
                <w:kern w:val="0"/>
                <w:sz w:val="24"/>
              </w:rPr>
              <w:t>2</w:t>
            </w:r>
          </w:p>
        </w:tc>
        <w:tc>
          <w:tcPr>
            <w:tcW w:w="968" w:type="dxa"/>
            <w:tcBorders>
              <w:top w:val="nil"/>
              <w:left w:val="nil"/>
              <w:bottom w:val="single" w:color="auto" w:sz="4" w:space="0"/>
              <w:right w:val="single" w:color="auto" w:sz="4" w:space="0"/>
            </w:tcBorders>
            <w:vAlign w:val="center"/>
          </w:tcPr>
          <w:p>
            <w:pPr>
              <w:widowControl/>
              <w:jc w:val="center"/>
              <w:rPr>
                <w:rFonts w:ascii="Arial" w:hAnsi="Arial" w:cs="Arial"/>
                <w:bCs/>
                <w:color w:val="000000"/>
                <w:kern w:val="0"/>
                <w:sz w:val="24"/>
              </w:rPr>
            </w:pPr>
            <w:r>
              <w:rPr>
                <w:rFonts w:hint="eastAsia" w:ascii="Arial" w:hAnsi="Arial" w:cs="Arial"/>
                <w:bCs/>
                <w:color w:val="000000"/>
                <w:kern w:val="0"/>
                <w:sz w:val="24"/>
              </w:rPr>
              <w:t>2</w:t>
            </w:r>
          </w:p>
        </w:tc>
      </w:tr>
      <w:tr>
        <w:tblPrEx>
          <w:tblCellMar>
            <w:top w:w="0" w:type="dxa"/>
            <w:left w:w="108" w:type="dxa"/>
            <w:bottom w:w="0" w:type="dxa"/>
            <w:right w:w="108" w:type="dxa"/>
          </w:tblCellMar>
        </w:tblPrEx>
        <w:trPr>
          <w:trHeight w:val="465" w:hRule="atLeast"/>
        </w:trPr>
        <w:tc>
          <w:tcPr>
            <w:tcW w:w="126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bCs/>
                <w:color w:val="000000"/>
                <w:kern w:val="0"/>
                <w:sz w:val="24"/>
              </w:rPr>
            </w:pPr>
          </w:p>
        </w:tc>
        <w:tc>
          <w:tcPr>
            <w:tcW w:w="166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bCs/>
                <w:color w:val="000000"/>
                <w:kern w:val="0"/>
                <w:sz w:val="24"/>
              </w:rPr>
            </w:pPr>
          </w:p>
        </w:tc>
        <w:tc>
          <w:tcPr>
            <w:tcW w:w="3642" w:type="dxa"/>
            <w:tcBorders>
              <w:top w:val="nil"/>
              <w:left w:val="nil"/>
              <w:bottom w:val="single" w:color="auto" w:sz="4" w:space="0"/>
              <w:right w:val="single" w:color="auto" w:sz="4" w:space="0"/>
            </w:tcBorders>
            <w:vAlign w:val="center"/>
          </w:tcPr>
          <w:p>
            <w:pPr>
              <w:widowControl/>
              <w:jc w:val="left"/>
              <w:rPr>
                <w:rFonts w:ascii="仿宋" w:hAnsi="仿宋" w:eastAsia="仿宋" w:cs="宋体"/>
                <w:bCs/>
                <w:color w:val="000000"/>
                <w:kern w:val="0"/>
                <w:sz w:val="24"/>
              </w:rPr>
            </w:pPr>
            <w:r>
              <w:rPr>
                <w:rFonts w:hint="eastAsia" w:ascii="仿宋" w:hAnsi="仿宋" w:eastAsia="仿宋" w:cs="宋体"/>
                <w:bCs/>
                <w:color w:val="000000"/>
                <w:kern w:val="0"/>
                <w:sz w:val="24"/>
              </w:rPr>
              <w:t>绩效信息公开</w:t>
            </w:r>
          </w:p>
        </w:tc>
        <w:tc>
          <w:tcPr>
            <w:tcW w:w="1077" w:type="dxa"/>
            <w:tcBorders>
              <w:top w:val="nil"/>
              <w:left w:val="nil"/>
              <w:bottom w:val="single" w:color="auto" w:sz="4" w:space="0"/>
              <w:right w:val="single" w:color="auto" w:sz="4" w:space="0"/>
            </w:tcBorders>
            <w:vAlign w:val="center"/>
          </w:tcPr>
          <w:p>
            <w:pPr>
              <w:widowControl/>
              <w:jc w:val="center"/>
              <w:rPr>
                <w:rFonts w:ascii="Arial" w:hAnsi="Arial" w:cs="Arial"/>
                <w:bCs/>
                <w:color w:val="000000"/>
                <w:kern w:val="0"/>
                <w:sz w:val="24"/>
              </w:rPr>
            </w:pPr>
            <w:r>
              <w:rPr>
                <w:rFonts w:hint="eastAsia" w:ascii="Arial" w:hAnsi="Arial" w:cs="Arial"/>
                <w:bCs/>
                <w:color w:val="000000"/>
                <w:kern w:val="0"/>
                <w:sz w:val="24"/>
              </w:rPr>
              <w:t>3</w:t>
            </w:r>
          </w:p>
        </w:tc>
        <w:tc>
          <w:tcPr>
            <w:tcW w:w="968" w:type="dxa"/>
            <w:tcBorders>
              <w:top w:val="nil"/>
              <w:left w:val="nil"/>
              <w:bottom w:val="single" w:color="auto" w:sz="4" w:space="0"/>
              <w:right w:val="single" w:color="auto" w:sz="4" w:space="0"/>
            </w:tcBorders>
            <w:vAlign w:val="center"/>
          </w:tcPr>
          <w:p>
            <w:pPr>
              <w:widowControl/>
              <w:jc w:val="center"/>
              <w:rPr>
                <w:rFonts w:ascii="Arial" w:hAnsi="Arial" w:cs="Arial"/>
                <w:bCs/>
                <w:color w:val="000000"/>
                <w:kern w:val="0"/>
                <w:sz w:val="24"/>
              </w:rPr>
            </w:pPr>
            <w:r>
              <w:rPr>
                <w:rFonts w:hint="eastAsia" w:ascii="Arial" w:hAnsi="Arial" w:cs="Arial"/>
                <w:bCs/>
                <w:color w:val="000000"/>
                <w:kern w:val="0"/>
                <w:sz w:val="24"/>
              </w:rPr>
              <w:t>3</w:t>
            </w:r>
          </w:p>
        </w:tc>
      </w:tr>
      <w:tr>
        <w:tblPrEx>
          <w:tblCellMar>
            <w:top w:w="0" w:type="dxa"/>
            <w:left w:w="108" w:type="dxa"/>
            <w:bottom w:w="0" w:type="dxa"/>
            <w:right w:w="108" w:type="dxa"/>
          </w:tblCellMar>
        </w:tblPrEx>
        <w:trPr>
          <w:trHeight w:val="375" w:hRule="atLeast"/>
        </w:trPr>
        <w:tc>
          <w:tcPr>
            <w:tcW w:w="126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bCs/>
                <w:color w:val="000000"/>
                <w:kern w:val="0"/>
                <w:sz w:val="24"/>
              </w:rPr>
            </w:pPr>
          </w:p>
        </w:tc>
        <w:tc>
          <w:tcPr>
            <w:tcW w:w="1660"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 w:hAnsi="仿宋" w:eastAsia="仿宋" w:cs="宋体"/>
                <w:bCs/>
                <w:color w:val="000000"/>
                <w:kern w:val="0"/>
                <w:sz w:val="24"/>
              </w:rPr>
            </w:pPr>
            <w:r>
              <w:rPr>
                <w:rFonts w:hint="eastAsia" w:ascii="仿宋" w:hAnsi="仿宋" w:eastAsia="仿宋" w:cs="宋体"/>
                <w:bCs/>
                <w:color w:val="000000"/>
                <w:kern w:val="0"/>
                <w:sz w:val="24"/>
              </w:rPr>
              <w:t>财政政策执行</w:t>
            </w:r>
          </w:p>
        </w:tc>
        <w:tc>
          <w:tcPr>
            <w:tcW w:w="3642" w:type="dxa"/>
            <w:tcBorders>
              <w:top w:val="nil"/>
              <w:left w:val="nil"/>
              <w:bottom w:val="single" w:color="auto" w:sz="4" w:space="0"/>
              <w:right w:val="single" w:color="auto" w:sz="4" w:space="0"/>
            </w:tcBorders>
            <w:vAlign w:val="center"/>
          </w:tcPr>
          <w:p>
            <w:pPr>
              <w:widowControl/>
              <w:jc w:val="left"/>
              <w:rPr>
                <w:rFonts w:ascii="仿宋" w:hAnsi="仿宋" w:eastAsia="仿宋" w:cs="宋体"/>
                <w:bCs/>
                <w:color w:val="000000"/>
                <w:kern w:val="0"/>
                <w:sz w:val="24"/>
              </w:rPr>
            </w:pPr>
            <w:r>
              <w:rPr>
                <w:rFonts w:hint="eastAsia" w:ascii="仿宋" w:hAnsi="仿宋" w:eastAsia="仿宋" w:cs="宋体"/>
                <w:bCs/>
                <w:color w:val="000000"/>
                <w:kern w:val="0"/>
                <w:sz w:val="24"/>
              </w:rPr>
              <w:t>公务卡改革</w:t>
            </w:r>
          </w:p>
        </w:tc>
        <w:tc>
          <w:tcPr>
            <w:tcW w:w="1077" w:type="dxa"/>
            <w:tcBorders>
              <w:top w:val="nil"/>
              <w:left w:val="nil"/>
              <w:bottom w:val="single" w:color="auto" w:sz="4" w:space="0"/>
              <w:right w:val="single" w:color="auto" w:sz="4" w:space="0"/>
            </w:tcBorders>
            <w:noWrap/>
            <w:vAlign w:val="center"/>
          </w:tcPr>
          <w:p>
            <w:pPr>
              <w:widowControl/>
              <w:jc w:val="center"/>
              <w:rPr>
                <w:rFonts w:ascii="Arial" w:hAnsi="Arial" w:cs="Arial"/>
                <w:bCs/>
                <w:color w:val="000000"/>
                <w:kern w:val="0"/>
                <w:sz w:val="24"/>
              </w:rPr>
            </w:pPr>
            <w:r>
              <w:rPr>
                <w:rFonts w:hint="eastAsia" w:ascii="Arial" w:hAnsi="Arial" w:cs="Arial"/>
                <w:bCs/>
                <w:color w:val="000000"/>
                <w:kern w:val="0"/>
                <w:sz w:val="24"/>
              </w:rPr>
              <w:t>2</w:t>
            </w:r>
          </w:p>
        </w:tc>
        <w:tc>
          <w:tcPr>
            <w:tcW w:w="968" w:type="dxa"/>
            <w:tcBorders>
              <w:top w:val="nil"/>
              <w:left w:val="nil"/>
              <w:bottom w:val="single" w:color="auto" w:sz="4" w:space="0"/>
              <w:right w:val="single" w:color="auto" w:sz="4" w:space="0"/>
            </w:tcBorders>
            <w:noWrap/>
            <w:vAlign w:val="center"/>
          </w:tcPr>
          <w:p>
            <w:pPr>
              <w:widowControl/>
              <w:jc w:val="center"/>
              <w:rPr>
                <w:rFonts w:ascii="Arial" w:hAnsi="Arial" w:cs="Arial"/>
                <w:bCs/>
                <w:color w:val="000000"/>
                <w:kern w:val="0"/>
                <w:sz w:val="24"/>
              </w:rPr>
            </w:pPr>
            <w:r>
              <w:rPr>
                <w:rFonts w:hint="eastAsia" w:ascii="Arial" w:hAnsi="Arial" w:cs="Arial"/>
                <w:bCs/>
                <w:color w:val="000000"/>
                <w:kern w:val="0"/>
                <w:sz w:val="24"/>
              </w:rPr>
              <w:t>2</w:t>
            </w:r>
          </w:p>
        </w:tc>
      </w:tr>
      <w:tr>
        <w:tblPrEx>
          <w:tblCellMar>
            <w:top w:w="0" w:type="dxa"/>
            <w:left w:w="108" w:type="dxa"/>
            <w:bottom w:w="0" w:type="dxa"/>
            <w:right w:w="108" w:type="dxa"/>
          </w:tblCellMar>
        </w:tblPrEx>
        <w:trPr>
          <w:trHeight w:val="375" w:hRule="atLeast"/>
        </w:trPr>
        <w:tc>
          <w:tcPr>
            <w:tcW w:w="126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bCs/>
                <w:color w:val="000000"/>
                <w:kern w:val="0"/>
                <w:sz w:val="24"/>
              </w:rPr>
            </w:pPr>
          </w:p>
        </w:tc>
        <w:tc>
          <w:tcPr>
            <w:tcW w:w="166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bCs/>
                <w:color w:val="000000"/>
                <w:kern w:val="0"/>
                <w:sz w:val="24"/>
              </w:rPr>
            </w:pPr>
          </w:p>
        </w:tc>
        <w:tc>
          <w:tcPr>
            <w:tcW w:w="3642" w:type="dxa"/>
            <w:tcBorders>
              <w:top w:val="nil"/>
              <w:left w:val="nil"/>
              <w:bottom w:val="single" w:color="auto" w:sz="4" w:space="0"/>
              <w:right w:val="single" w:color="auto" w:sz="4" w:space="0"/>
            </w:tcBorders>
            <w:vAlign w:val="center"/>
          </w:tcPr>
          <w:p>
            <w:pPr>
              <w:widowControl/>
              <w:jc w:val="left"/>
              <w:rPr>
                <w:rFonts w:ascii="仿宋" w:hAnsi="仿宋" w:eastAsia="仿宋" w:cs="宋体"/>
                <w:bCs/>
                <w:color w:val="000000"/>
                <w:kern w:val="0"/>
                <w:sz w:val="24"/>
              </w:rPr>
            </w:pPr>
            <w:r>
              <w:rPr>
                <w:rFonts w:hint="eastAsia" w:ascii="仿宋" w:hAnsi="仿宋" w:eastAsia="仿宋" w:cs="宋体"/>
                <w:bCs/>
                <w:color w:val="000000"/>
                <w:kern w:val="0"/>
                <w:sz w:val="24"/>
              </w:rPr>
              <w:t>预算执行动态监控</w:t>
            </w:r>
          </w:p>
        </w:tc>
        <w:tc>
          <w:tcPr>
            <w:tcW w:w="1077" w:type="dxa"/>
            <w:tcBorders>
              <w:top w:val="nil"/>
              <w:left w:val="nil"/>
              <w:bottom w:val="single" w:color="auto" w:sz="4" w:space="0"/>
              <w:right w:val="single" w:color="auto" w:sz="4" w:space="0"/>
            </w:tcBorders>
            <w:noWrap/>
            <w:vAlign w:val="center"/>
          </w:tcPr>
          <w:p>
            <w:pPr>
              <w:widowControl/>
              <w:jc w:val="center"/>
              <w:rPr>
                <w:rFonts w:ascii="Arial" w:hAnsi="Arial" w:cs="Arial"/>
                <w:bCs/>
                <w:color w:val="000000"/>
                <w:kern w:val="0"/>
                <w:sz w:val="24"/>
              </w:rPr>
            </w:pPr>
            <w:r>
              <w:rPr>
                <w:rFonts w:ascii="Arial" w:hAnsi="Arial" w:cs="Arial"/>
                <w:bCs/>
                <w:color w:val="000000"/>
                <w:kern w:val="0"/>
                <w:sz w:val="24"/>
              </w:rPr>
              <w:t>2</w:t>
            </w:r>
          </w:p>
        </w:tc>
        <w:tc>
          <w:tcPr>
            <w:tcW w:w="968" w:type="dxa"/>
            <w:tcBorders>
              <w:top w:val="nil"/>
              <w:left w:val="nil"/>
              <w:bottom w:val="single" w:color="auto" w:sz="4" w:space="0"/>
              <w:right w:val="single" w:color="auto" w:sz="4" w:space="0"/>
            </w:tcBorders>
            <w:noWrap/>
            <w:vAlign w:val="center"/>
          </w:tcPr>
          <w:p>
            <w:pPr>
              <w:widowControl/>
              <w:jc w:val="center"/>
              <w:rPr>
                <w:rFonts w:ascii="Arial" w:hAnsi="Arial" w:cs="Arial"/>
                <w:bCs/>
                <w:color w:val="000000"/>
                <w:kern w:val="0"/>
                <w:sz w:val="24"/>
              </w:rPr>
            </w:pPr>
            <w:r>
              <w:rPr>
                <w:rFonts w:hint="eastAsia" w:ascii="Arial" w:hAnsi="Arial" w:cs="Arial"/>
                <w:bCs/>
                <w:color w:val="000000"/>
                <w:kern w:val="0"/>
                <w:sz w:val="24"/>
              </w:rPr>
              <w:t>2</w:t>
            </w:r>
          </w:p>
        </w:tc>
      </w:tr>
      <w:tr>
        <w:tblPrEx>
          <w:tblCellMar>
            <w:top w:w="0" w:type="dxa"/>
            <w:left w:w="108" w:type="dxa"/>
            <w:bottom w:w="0" w:type="dxa"/>
            <w:right w:w="108" w:type="dxa"/>
          </w:tblCellMar>
        </w:tblPrEx>
        <w:trPr>
          <w:trHeight w:val="375" w:hRule="atLeast"/>
        </w:trPr>
        <w:tc>
          <w:tcPr>
            <w:tcW w:w="126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bCs/>
                <w:color w:val="000000"/>
                <w:kern w:val="0"/>
                <w:sz w:val="24"/>
              </w:rPr>
            </w:pPr>
          </w:p>
        </w:tc>
        <w:tc>
          <w:tcPr>
            <w:tcW w:w="166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bCs/>
                <w:color w:val="000000"/>
                <w:kern w:val="0"/>
                <w:sz w:val="24"/>
              </w:rPr>
            </w:pPr>
          </w:p>
        </w:tc>
        <w:tc>
          <w:tcPr>
            <w:tcW w:w="3642" w:type="dxa"/>
            <w:tcBorders>
              <w:top w:val="nil"/>
              <w:left w:val="nil"/>
              <w:bottom w:val="single" w:color="auto" w:sz="4" w:space="0"/>
              <w:right w:val="single" w:color="auto" w:sz="4" w:space="0"/>
            </w:tcBorders>
            <w:vAlign w:val="center"/>
          </w:tcPr>
          <w:p>
            <w:pPr>
              <w:widowControl/>
              <w:jc w:val="left"/>
              <w:rPr>
                <w:rFonts w:ascii="仿宋" w:hAnsi="仿宋" w:eastAsia="仿宋" w:cs="宋体"/>
                <w:bCs/>
                <w:color w:val="000000"/>
                <w:kern w:val="0"/>
                <w:sz w:val="24"/>
              </w:rPr>
            </w:pPr>
            <w:r>
              <w:rPr>
                <w:rFonts w:hint="eastAsia" w:ascii="仿宋" w:hAnsi="仿宋" w:eastAsia="仿宋" w:cs="宋体"/>
                <w:bCs/>
                <w:color w:val="000000"/>
                <w:kern w:val="0"/>
                <w:sz w:val="24"/>
              </w:rPr>
              <w:t>授权支付退票</w:t>
            </w:r>
          </w:p>
        </w:tc>
        <w:tc>
          <w:tcPr>
            <w:tcW w:w="1077" w:type="dxa"/>
            <w:tcBorders>
              <w:top w:val="nil"/>
              <w:left w:val="nil"/>
              <w:bottom w:val="single" w:color="auto" w:sz="4" w:space="0"/>
              <w:right w:val="single" w:color="auto" w:sz="4" w:space="0"/>
            </w:tcBorders>
            <w:noWrap/>
            <w:vAlign w:val="center"/>
          </w:tcPr>
          <w:p>
            <w:pPr>
              <w:widowControl/>
              <w:jc w:val="center"/>
              <w:rPr>
                <w:rFonts w:ascii="Arial" w:hAnsi="Arial" w:cs="Arial"/>
                <w:bCs/>
                <w:color w:val="000000"/>
                <w:kern w:val="0"/>
                <w:sz w:val="24"/>
              </w:rPr>
            </w:pPr>
            <w:r>
              <w:rPr>
                <w:rFonts w:ascii="Arial" w:hAnsi="Arial" w:cs="Arial"/>
                <w:bCs/>
                <w:color w:val="000000"/>
                <w:kern w:val="0"/>
                <w:sz w:val="24"/>
              </w:rPr>
              <w:t>2</w:t>
            </w:r>
          </w:p>
        </w:tc>
        <w:tc>
          <w:tcPr>
            <w:tcW w:w="968" w:type="dxa"/>
            <w:tcBorders>
              <w:top w:val="nil"/>
              <w:left w:val="nil"/>
              <w:bottom w:val="single" w:color="auto" w:sz="4" w:space="0"/>
              <w:right w:val="single" w:color="auto" w:sz="4" w:space="0"/>
            </w:tcBorders>
            <w:noWrap/>
            <w:vAlign w:val="center"/>
          </w:tcPr>
          <w:p>
            <w:pPr>
              <w:widowControl/>
              <w:jc w:val="center"/>
              <w:rPr>
                <w:rFonts w:ascii="Arial" w:hAnsi="Arial" w:cs="Arial"/>
                <w:bCs/>
                <w:color w:val="000000"/>
                <w:kern w:val="0"/>
                <w:sz w:val="24"/>
              </w:rPr>
            </w:pPr>
            <w:r>
              <w:rPr>
                <w:rFonts w:ascii="Arial" w:hAnsi="Arial" w:cs="Arial"/>
                <w:bCs/>
                <w:color w:val="000000"/>
                <w:kern w:val="0"/>
                <w:sz w:val="24"/>
              </w:rPr>
              <w:t>2</w:t>
            </w:r>
          </w:p>
        </w:tc>
      </w:tr>
      <w:tr>
        <w:tblPrEx>
          <w:tblCellMar>
            <w:top w:w="0" w:type="dxa"/>
            <w:left w:w="108" w:type="dxa"/>
            <w:bottom w:w="0" w:type="dxa"/>
            <w:right w:w="108" w:type="dxa"/>
          </w:tblCellMar>
        </w:tblPrEx>
        <w:trPr>
          <w:trHeight w:val="375" w:hRule="atLeast"/>
        </w:trPr>
        <w:tc>
          <w:tcPr>
            <w:tcW w:w="126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bCs/>
                <w:color w:val="000000"/>
                <w:kern w:val="0"/>
                <w:sz w:val="24"/>
              </w:rPr>
            </w:pPr>
          </w:p>
        </w:tc>
        <w:tc>
          <w:tcPr>
            <w:tcW w:w="1660"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 w:hAnsi="仿宋" w:eastAsia="仿宋" w:cs="宋体"/>
                <w:bCs/>
                <w:color w:val="000000"/>
                <w:kern w:val="0"/>
                <w:sz w:val="24"/>
              </w:rPr>
            </w:pPr>
            <w:r>
              <w:rPr>
                <w:rFonts w:hint="eastAsia" w:ascii="仿宋" w:hAnsi="仿宋" w:eastAsia="仿宋" w:cs="宋体"/>
                <w:bCs/>
                <w:color w:val="000000"/>
                <w:kern w:val="0"/>
                <w:sz w:val="24"/>
              </w:rPr>
              <w:t>财经纪律执行</w:t>
            </w:r>
          </w:p>
        </w:tc>
        <w:tc>
          <w:tcPr>
            <w:tcW w:w="3642" w:type="dxa"/>
            <w:tcBorders>
              <w:top w:val="nil"/>
              <w:left w:val="nil"/>
              <w:bottom w:val="single" w:color="auto" w:sz="4" w:space="0"/>
              <w:right w:val="single" w:color="auto" w:sz="4" w:space="0"/>
            </w:tcBorders>
            <w:vAlign w:val="center"/>
          </w:tcPr>
          <w:p>
            <w:pPr>
              <w:widowControl/>
              <w:jc w:val="left"/>
              <w:rPr>
                <w:rFonts w:ascii="仿宋" w:hAnsi="仿宋" w:eastAsia="仿宋" w:cs="宋体"/>
                <w:bCs/>
                <w:color w:val="000000"/>
                <w:kern w:val="0"/>
                <w:sz w:val="24"/>
              </w:rPr>
            </w:pPr>
            <w:r>
              <w:rPr>
                <w:rFonts w:hint="eastAsia" w:ascii="仿宋" w:hAnsi="仿宋" w:eastAsia="仿宋" w:cs="宋体"/>
                <w:bCs/>
                <w:color w:val="000000"/>
                <w:kern w:val="0"/>
                <w:sz w:val="24"/>
              </w:rPr>
              <w:t>违规记录</w:t>
            </w:r>
          </w:p>
        </w:tc>
        <w:tc>
          <w:tcPr>
            <w:tcW w:w="1077" w:type="dxa"/>
            <w:tcBorders>
              <w:top w:val="nil"/>
              <w:left w:val="nil"/>
              <w:bottom w:val="single" w:color="auto" w:sz="4" w:space="0"/>
              <w:right w:val="single" w:color="auto" w:sz="4" w:space="0"/>
            </w:tcBorders>
            <w:noWrap/>
            <w:vAlign w:val="center"/>
          </w:tcPr>
          <w:p>
            <w:pPr>
              <w:widowControl/>
              <w:jc w:val="center"/>
              <w:rPr>
                <w:rFonts w:ascii="Arial" w:hAnsi="Arial" w:cs="Arial"/>
                <w:bCs/>
                <w:color w:val="000000"/>
                <w:kern w:val="0"/>
                <w:sz w:val="24"/>
              </w:rPr>
            </w:pPr>
            <w:r>
              <w:rPr>
                <w:rFonts w:ascii="Arial" w:hAnsi="Arial" w:cs="Arial"/>
                <w:bCs/>
                <w:color w:val="000000"/>
                <w:kern w:val="0"/>
                <w:sz w:val="24"/>
              </w:rPr>
              <w:t>2</w:t>
            </w:r>
          </w:p>
        </w:tc>
        <w:tc>
          <w:tcPr>
            <w:tcW w:w="968" w:type="dxa"/>
            <w:tcBorders>
              <w:top w:val="nil"/>
              <w:left w:val="nil"/>
              <w:bottom w:val="single" w:color="auto" w:sz="4" w:space="0"/>
              <w:right w:val="single" w:color="auto" w:sz="4" w:space="0"/>
            </w:tcBorders>
            <w:noWrap/>
            <w:vAlign w:val="center"/>
          </w:tcPr>
          <w:p>
            <w:pPr>
              <w:widowControl/>
              <w:jc w:val="center"/>
              <w:rPr>
                <w:rFonts w:ascii="Arial" w:hAnsi="Arial" w:cs="Arial"/>
                <w:bCs/>
                <w:color w:val="000000"/>
                <w:kern w:val="0"/>
                <w:sz w:val="24"/>
              </w:rPr>
            </w:pPr>
            <w:r>
              <w:rPr>
                <w:rFonts w:ascii="Arial" w:hAnsi="Arial" w:cs="Arial"/>
                <w:bCs/>
                <w:color w:val="000000"/>
                <w:kern w:val="0"/>
                <w:sz w:val="24"/>
              </w:rPr>
              <w:t>2</w:t>
            </w:r>
          </w:p>
        </w:tc>
      </w:tr>
      <w:tr>
        <w:tblPrEx>
          <w:tblCellMar>
            <w:top w:w="0" w:type="dxa"/>
            <w:left w:w="108" w:type="dxa"/>
            <w:bottom w:w="0" w:type="dxa"/>
            <w:right w:w="108" w:type="dxa"/>
          </w:tblCellMar>
        </w:tblPrEx>
        <w:trPr>
          <w:trHeight w:val="375" w:hRule="atLeast"/>
        </w:trPr>
        <w:tc>
          <w:tcPr>
            <w:tcW w:w="126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bCs/>
                <w:color w:val="000000"/>
                <w:kern w:val="0"/>
                <w:sz w:val="24"/>
              </w:rPr>
            </w:pPr>
          </w:p>
        </w:tc>
        <w:tc>
          <w:tcPr>
            <w:tcW w:w="166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bCs/>
                <w:color w:val="000000"/>
                <w:kern w:val="0"/>
                <w:sz w:val="24"/>
              </w:rPr>
            </w:pPr>
          </w:p>
        </w:tc>
        <w:tc>
          <w:tcPr>
            <w:tcW w:w="3642" w:type="dxa"/>
            <w:tcBorders>
              <w:top w:val="nil"/>
              <w:left w:val="nil"/>
              <w:bottom w:val="single" w:color="auto" w:sz="4" w:space="0"/>
              <w:right w:val="single" w:color="auto" w:sz="4" w:space="0"/>
            </w:tcBorders>
            <w:vAlign w:val="center"/>
          </w:tcPr>
          <w:p>
            <w:pPr>
              <w:widowControl/>
              <w:jc w:val="left"/>
              <w:rPr>
                <w:rFonts w:ascii="仿宋" w:hAnsi="仿宋" w:eastAsia="仿宋" w:cs="宋体"/>
                <w:bCs/>
                <w:color w:val="000000"/>
                <w:kern w:val="0"/>
                <w:sz w:val="24"/>
              </w:rPr>
            </w:pPr>
            <w:r>
              <w:rPr>
                <w:rFonts w:hint="eastAsia" w:ascii="仿宋" w:hAnsi="仿宋" w:eastAsia="仿宋" w:cs="宋体"/>
                <w:bCs/>
                <w:color w:val="000000"/>
                <w:kern w:val="0"/>
                <w:sz w:val="24"/>
              </w:rPr>
              <w:t>存在问题整改是否到位</w:t>
            </w:r>
          </w:p>
        </w:tc>
        <w:tc>
          <w:tcPr>
            <w:tcW w:w="1077" w:type="dxa"/>
            <w:tcBorders>
              <w:top w:val="nil"/>
              <w:left w:val="nil"/>
              <w:bottom w:val="single" w:color="auto" w:sz="4" w:space="0"/>
              <w:right w:val="single" w:color="auto" w:sz="4" w:space="0"/>
            </w:tcBorders>
            <w:noWrap/>
            <w:vAlign w:val="center"/>
          </w:tcPr>
          <w:p>
            <w:pPr>
              <w:widowControl/>
              <w:jc w:val="center"/>
              <w:rPr>
                <w:rFonts w:ascii="Arial" w:hAnsi="Arial" w:cs="Arial"/>
                <w:bCs/>
                <w:color w:val="000000"/>
                <w:kern w:val="0"/>
                <w:sz w:val="24"/>
              </w:rPr>
            </w:pPr>
            <w:r>
              <w:rPr>
                <w:rFonts w:ascii="Arial" w:hAnsi="Arial" w:cs="Arial"/>
                <w:bCs/>
                <w:color w:val="000000"/>
                <w:kern w:val="0"/>
                <w:sz w:val="24"/>
              </w:rPr>
              <w:t>2</w:t>
            </w:r>
          </w:p>
        </w:tc>
        <w:tc>
          <w:tcPr>
            <w:tcW w:w="968" w:type="dxa"/>
            <w:tcBorders>
              <w:top w:val="nil"/>
              <w:left w:val="nil"/>
              <w:bottom w:val="single" w:color="auto" w:sz="4" w:space="0"/>
              <w:right w:val="single" w:color="auto" w:sz="4" w:space="0"/>
            </w:tcBorders>
            <w:noWrap/>
            <w:vAlign w:val="center"/>
          </w:tcPr>
          <w:p>
            <w:pPr>
              <w:widowControl/>
              <w:jc w:val="center"/>
              <w:rPr>
                <w:rFonts w:ascii="Arial" w:hAnsi="Arial" w:cs="Arial"/>
                <w:bCs/>
                <w:color w:val="000000"/>
                <w:kern w:val="0"/>
                <w:sz w:val="24"/>
              </w:rPr>
            </w:pPr>
            <w:r>
              <w:rPr>
                <w:rFonts w:ascii="Arial" w:hAnsi="Arial" w:cs="Arial"/>
                <w:bCs/>
                <w:color w:val="000000"/>
                <w:kern w:val="0"/>
                <w:sz w:val="24"/>
              </w:rPr>
              <w:t>2</w:t>
            </w:r>
          </w:p>
        </w:tc>
      </w:tr>
      <w:tr>
        <w:tblPrEx>
          <w:tblCellMar>
            <w:top w:w="0" w:type="dxa"/>
            <w:left w:w="108" w:type="dxa"/>
            <w:bottom w:w="0" w:type="dxa"/>
            <w:right w:w="108" w:type="dxa"/>
          </w:tblCellMar>
        </w:tblPrEx>
        <w:trPr>
          <w:trHeight w:val="375" w:hRule="atLeast"/>
        </w:trPr>
        <w:tc>
          <w:tcPr>
            <w:tcW w:w="1260" w:type="dxa"/>
            <w:tcBorders>
              <w:top w:val="nil"/>
              <w:left w:val="single" w:color="auto" w:sz="4" w:space="0"/>
              <w:bottom w:val="single" w:color="000000" w:sz="4" w:space="0"/>
              <w:right w:val="single" w:color="auto" w:sz="4" w:space="0"/>
            </w:tcBorders>
            <w:vAlign w:val="center"/>
          </w:tcPr>
          <w:p>
            <w:pPr>
              <w:widowControl/>
              <w:jc w:val="center"/>
              <w:rPr>
                <w:rFonts w:ascii="仿宋" w:hAnsi="仿宋" w:eastAsia="仿宋" w:cs="宋体"/>
                <w:bCs/>
                <w:color w:val="000000"/>
                <w:kern w:val="0"/>
                <w:sz w:val="24"/>
              </w:rPr>
            </w:pPr>
            <w:r>
              <w:rPr>
                <w:rFonts w:hint="eastAsia" w:ascii="仿宋" w:hAnsi="仿宋" w:eastAsia="仿宋" w:cs="宋体"/>
                <w:bCs/>
                <w:color w:val="000000"/>
                <w:kern w:val="0"/>
                <w:sz w:val="24"/>
              </w:rPr>
              <w:t>评价结果应用  （30分）</w:t>
            </w:r>
          </w:p>
        </w:tc>
        <w:tc>
          <w:tcPr>
            <w:tcW w:w="1660" w:type="dxa"/>
            <w:tcBorders>
              <w:top w:val="nil"/>
              <w:left w:val="single" w:color="auto" w:sz="4" w:space="0"/>
              <w:bottom w:val="single" w:color="000000" w:sz="4" w:space="0"/>
              <w:right w:val="single" w:color="auto" w:sz="4" w:space="0"/>
            </w:tcBorders>
            <w:vAlign w:val="center"/>
          </w:tcPr>
          <w:p>
            <w:pPr>
              <w:widowControl/>
              <w:jc w:val="center"/>
              <w:rPr>
                <w:rFonts w:ascii="仿宋" w:hAnsi="仿宋" w:eastAsia="仿宋" w:cs="宋体"/>
                <w:bCs/>
                <w:color w:val="000000"/>
                <w:kern w:val="0"/>
                <w:sz w:val="24"/>
              </w:rPr>
            </w:pPr>
            <w:r>
              <w:rPr>
                <w:rFonts w:hint="eastAsia" w:ascii="仿宋" w:hAnsi="仿宋" w:eastAsia="仿宋" w:cs="宋体"/>
                <w:bCs/>
                <w:color w:val="000000"/>
                <w:kern w:val="0"/>
                <w:sz w:val="24"/>
              </w:rPr>
              <w:t>项目绩效评价结果</w:t>
            </w:r>
          </w:p>
        </w:tc>
        <w:tc>
          <w:tcPr>
            <w:tcW w:w="3642" w:type="dxa"/>
            <w:tcBorders>
              <w:top w:val="nil"/>
              <w:left w:val="nil"/>
              <w:bottom w:val="single" w:color="auto" w:sz="4" w:space="0"/>
              <w:right w:val="single" w:color="auto" w:sz="4" w:space="0"/>
            </w:tcBorders>
            <w:vAlign w:val="center"/>
          </w:tcPr>
          <w:p>
            <w:pPr>
              <w:widowControl/>
              <w:jc w:val="left"/>
              <w:rPr>
                <w:rFonts w:ascii="仿宋" w:hAnsi="仿宋" w:eastAsia="仿宋" w:cs="宋体"/>
                <w:bCs/>
                <w:color w:val="000000"/>
                <w:kern w:val="0"/>
                <w:sz w:val="24"/>
              </w:rPr>
            </w:pPr>
            <w:r>
              <w:rPr>
                <w:rFonts w:hint="eastAsia" w:ascii="仿宋" w:hAnsi="仿宋" w:eastAsia="仿宋" w:cs="宋体"/>
                <w:bCs/>
                <w:color w:val="000000"/>
                <w:kern w:val="0"/>
                <w:sz w:val="24"/>
              </w:rPr>
              <w:t>项目绩效评价结果</w:t>
            </w:r>
          </w:p>
        </w:tc>
        <w:tc>
          <w:tcPr>
            <w:tcW w:w="1077" w:type="dxa"/>
            <w:tcBorders>
              <w:top w:val="nil"/>
              <w:left w:val="nil"/>
              <w:bottom w:val="single" w:color="auto" w:sz="4" w:space="0"/>
              <w:right w:val="single" w:color="auto" w:sz="4" w:space="0"/>
            </w:tcBorders>
            <w:vAlign w:val="center"/>
          </w:tcPr>
          <w:p>
            <w:pPr>
              <w:widowControl/>
              <w:jc w:val="center"/>
              <w:rPr>
                <w:rFonts w:ascii="Arial" w:hAnsi="Arial" w:cs="Arial"/>
                <w:bCs/>
                <w:color w:val="000000"/>
                <w:kern w:val="0"/>
                <w:sz w:val="24"/>
              </w:rPr>
            </w:pPr>
            <w:r>
              <w:rPr>
                <w:rFonts w:hint="eastAsia" w:ascii="Arial" w:hAnsi="Arial" w:cs="Arial"/>
                <w:bCs/>
                <w:color w:val="000000"/>
                <w:kern w:val="0"/>
                <w:sz w:val="24"/>
              </w:rPr>
              <w:t>30</w:t>
            </w:r>
          </w:p>
        </w:tc>
        <w:tc>
          <w:tcPr>
            <w:tcW w:w="968" w:type="dxa"/>
            <w:tcBorders>
              <w:top w:val="nil"/>
              <w:left w:val="nil"/>
              <w:bottom w:val="single" w:color="auto" w:sz="4" w:space="0"/>
              <w:right w:val="single" w:color="auto" w:sz="4" w:space="0"/>
            </w:tcBorders>
            <w:vAlign w:val="center"/>
          </w:tcPr>
          <w:p>
            <w:pPr>
              <w:widowControl/>
              <w:jc w:val="center"/>
              <w:rPr>
                <w:rFonts w:ascii="Arial" w:hAnsi="Arial" w:cs="Arial"/>
                <w:bCs/>
                <w:color w:val="000000"/>
                <w:kern w:val="0"/>
                <w:sz w:val="24"/>
              </w:rPr>
            </w:pPr>
            <w:r>
              <w:rPr>
                <w:rFonts w:hint="eastAsia" w:ascii="Arial" w:hAnsi="Arial" w:cs="Arial"/>
                <w:bCs/>
                <w:color w:val="000000"/>
                <w:kern w:val="0"/>
                <w:sz w:val="24"/>
              </w:rPr>
              <w:t>30</w:t>
            </w:r>
          </w:p>
        </w:tc>
      </w:tr>
      <w:tr>
        <w:tblPrEx>
          <w:tblCellMar>
            <w:top w:w="0" w:type="dxa"/>
            <w:left w:w="108" w:type="dxa"/>
            <w:bottom w:w="0" w:type="dxa"/>
            <w:right w:w="108" w:type="dxa"/>
          </w:tblCellMar>
        </w:tblPrEx>
        <w:trPr>
          <w:trHeight w:val="540" w:hRule="atLeast"/>
        </w:trPr>
        <w:tc>
          <w:tcPr>
            <w:tcW w:w="6562"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cs="宋体"/>
                <w:bCs/>
                <w:color w:val="000000"/>
                <w:kern w:val="0"/>
                <w:sz w:val="24"/>
              </w:rPr>
            </w:pPr>
            <w:r>
              <w:rPr>
                <w:rFonts w:hint="eastAsia" w:ascii="仿宋" w:hAnsi="仿宋" w:eastAsia="仿宋" w:cs="宋体"/>
                <w:bCs/>
                <w:color w:val="000000"/>
                <w:kern w:val="0"/>
                <w:sz w:val="24"/>
              </w:rPr>
              <w:t>合  计</w:t>
            </w:r>
          </w:p>
        </w:tc>
        <w:tc>
          <w:tcPr>
            <w:tcW w:w="1077" w:type="dxa"/>
            <w:tcBorders>
              <w:top w:val="nil"/>
              <w:left w:val="nil"/>
              <w:bottom w:val="single" w:color="auto" w:sz="4" w:space="0"/>
              <w:right w:val="single" w:color="auto" w:sz="4" w:space="0"/>
            </w:tcBorders>
            <w:noWrap/>
            <w:vAlign w:val="center"/>
          </w:tcPr>
          <w:p>
            <w:pPr>
              <w:widowControl/>
              <w:jc w:val="center"/>
              <w:rPr>
                <w:rFonts w:ascii="Arial" w:hAnsi="Arial" w:cs="Arial"/>
                <w:b/>
                <w:bCs/>
                <w:color w:val="000000"/>
                <w:kern w:val="0"/>
                <w:sz w:val="24"/>
              </w:rPr>
            </w:pPr>
            <w:r>
              <w:rPr>
                <w:rFonts w:ascii="Arial" w:hAnsi="Arial" w:cs="Arial"/>
                <w:b/>
                <w:bCs/>
                <w:color w:val="000000"/>
                <w:kern w:val="0"/>
                <w:sz w:val="24"/>
              </w:rPr>
              <w:t>100</w:t>
            </w:r>
          </w:p>
        </w:tc>
        <w:tc>
          <w:tcPr>
            <w:tcW w:w="968" w:type="dxa"/>
            <w:tcBorders>
              <w:top w:val="nil"/>
              <w:left w:val="nil"/>
              <w:bottom w:val="single" w:color="auto" w:sz="4" w:space="0"/>
              <w:right w:val="single" w:color="auto" w:sz="4" w:space="0"/>
            </w:tcBorders>
            <w:noWrap/>
            <w:vAlign w:val="center"/>
          </w:tcPr>
          <w:p>
            <w:pPr>
              <w:widowControl/>
              <w:jc w:val="center"/>
              <w:rPr>
                <w:rFonts w:ascii="Arial" w:hAnsi="Arial" w:cs="Arial"/>
                <w:b/>
                <w:bCs/>
                <w:color w:val="000000"/>
                <w:kern w:val="0"/>
                <w:sz w:val="24"/>
              </w:rPr>
            </w:pPr>
            <w:r>
              <w:rPr>
                <w:rFonts w:hint="eastAsia" w:ascii="Arial" w:hAnsi="Arial" w:cs="Arial"/>
                <w:b/>
                <w:bCs/>
                <w:color w:val="000000"/>
                <w:kern w:val="0"/>
                <w:sz w:val="24"/>
              </w:rPr>
              <w:t>99</w:t>
            </w:r>
          </w:p>
        </w:tc>
      </w:tr>
    </w:tbl>
    <w:p>
      <w:pPr>
        <w:widowControl/>
        <w:adjustRightInd w:val="0"/>
        <w:snapToGrid w:val="0"/>
        <w:spacing w:line="500" w:lineRule="exact"/>
        <w:jc w:val="left"/>
        <w:rPr>
          <w:rFonts w:hAnsi="仿宋_GB2312" w:cs="仿宋_GB2312"/>
          <w:color w:val="000000"/>
          <w:sz w:val="30"/>
          <w:szCs w:val="30"/>
        </w:rPr>
      </w:pPr>
    </w:p>
    <w:p>
      <w:pPr>
        <w:spacing w:line="500" w:lineRule="exact"/>
        <w:ind w:firstLine="720"/>
        <w:rPr>
          <w:rFonts w:ascii="仿宋_GB2312" w:hAnsi="仿宋_GB2312" w:eastAsia="仿宋_GB2312" w:cs="仿宋_GB2312"/>
          <w:sz w:val="30"/>
          <w:szCs w:val="30"/>
        </w:rPr>
      </w:pPr>
      <w:r>
        <w:rPr>
          <w:rFonts w:hint="eastAsia" w:ascii="仿宋_GB2312" w:hAnsi="仿宋_GB2312" w:eastAsia="仿宋_GB2312" w:cs="仿宋_GB2312"/>
          <w:sz w:val="30"/>
          <w:szCs w:val="30"/>
        </w:rPr>
        <w:t>二.部门总体评价</w:t>
      </w:r>
    </w:p>
    <w:p>
      <w:pPr>
        <w:spacing w:line="576"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color w:val="000000"/>
          <w:kern w:val="0"/>
          <w:sz w:val="30"/>
          <w:szCs w:val="30"/>
          <w:shd w:val="clear" w:color="auto" w:fill="FFFFFF"/>
          <w:lang w:val="zh-CN"/>
        </w:rPr>
        <w:t>广元市自然资源储备交易中心</w:t>
      </w:r>
      <w:r>
        <w:rPr>
          <w:rFonts w:hint="eastAsia" w:ascii="仿宋_GB2312" w:hAnsi="仿宋_GB2312" w:eastAsia="仿宋_GB2312" w:cs="仿宋_GB2312"/>
          <w:sz w:val="30"/>
          <w:szCs w:val="30"/>
        </w:rPr>
        <w:t>总体支出绩效评价得分99分。</w:t>
      </w:r>
      <w:r>
        <w:rPr>
          <w:rFonts w:hint="eastAsia" w:ascii="仿宋" w:hAnsi="仿宋" w:eastAsia="仿宋" w:cs="仿宋_GB2312"/>
          <w:kern w:val="0"/>
          <w:sz w:val="30"/>
          <w:szCs w:val="30"/>
        </w:rPr>
        <w:t>对照《部门支出绩效评价指标体系》，我单位2021年部门支出绩效评价自评得分99分。</w:t>
      </w:r>
    </w:p>
    <w:p>
      <w:pPr>
        <w:spacing w:line="580" w:lineRule="exact"/>
        <w:ind w:left="627"/>
        <w:rPr>
          <w:rFonts w:ascii="黑体" w:hAnsi="黑体" w:eastAsia="黑体"/>
          <w:sz w:val="32"/>
          <w:szCs w:val="32"/>
        </w:rPr>
      </w:pPr>
      <w:r>
        <w:rPr>
          <w:rFonts w:hint="eastAsia" w:ascii="黑体" w:hAnsi="黑体" w:eastAsia="黑体"/>
          <w:sz w:val="32"/>
          <w:szCs w:val="32"/>
        </w:rPr>
        <w:t>三.部门财政支出管理情况</w:t>
      </w:r>
    </w:p>
    <w:p>
      <w:pPr>
        <w:spacing w:line="580" w:lineRule="exact"/>
        <w:rPr>
          <w:rFonts w:ascii="楷体_GB2312" w:hAnsi="黑体" w:eastAsia="楷体_GB2312"/>
          <w:sz w:val="32"/>
          <w:szCs w:val="32"/>
        </w:rPr>
      </w:pPr>
      <w:r>
        <w:rPr>
          <w:rFonts w:hint="eastAsia" w:ascii="楷体_GB2312" w:hAnsi="黑体" w:eastAsia="楷体_GB2312"/>
          <w:sz w:val="32"/>
          <w:szCs w:val="32"/>
        </w:rPr>
        <w:t xml:space="preserve">    （一）预算编制</w:t>
      </w:r>
    </w:p>
    <w:p>
      <w:pPr>
        <w:spacing w:line="580" w:lineRule="exact"/>
        <w:rPr>
          <w:rFonts w:ascii="仿宋_GB2312" w:eastAsia="仿宋_GB2312"/>
          <w:sz w:val="32"/>
          <w:szCs w:val="32"/>
        </w:rPr>
      </w:pPr>
      <w:r>
        <w:rPr>
          <w:rFonts w:hint="eastAsia" w:ascii="仿宋_GB2312" w:eastAsia="仿宋_GB2312"/>
          <w:sz w:val="32"/>
          <w:szCs w:val="32"/>
        </w:rPr>
        <w:t xml:space="preserve">    1.报送时效。我单位严格按财政部门预算编制要求的时间及时报送了部门预算和项目绩效目标,并规范准确完整地填制和报送预算报表，合理反映了本部门年度职责履行情况。</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2.编制质量。我单位严格按照财政要求编制部门预算，达到了财政预算编制质量要求。做到编制完整无漏项，预算编制准确，基础信息和科目使用准确，单位编制、人员情况与供养人员横向联网系统数据相符。预算编制规范，项目名称、绩效指标、项目内容说明等合符规范。总之，基本支出按人员编制和定额标准，项目支出按照本单位职能职责根据上级和市委市政府下达的工作目标任务进行编制，做到了资料完整、依据充分。</w:t>
      </w:r>
    </w:p>
    <w:p>
      <w:pPr>
        <w:spacing w:line="580" w:lineRule="exact"/>
        <w:ind w:firstLine="640" w:firstLineChars="200"/>
        <w:rPr>
          <w:rFonts w:ascii="楷体_GB2312" w:eastAsia="楷体_GB2312"/>
          <w:sz w:val="32"/>
          <w:szCs w:val="32"/>
        </w:rPr>
      </w:pPr>
      <w:r>
        <w:rPr>
          <w:rFonts w:hint="eastAsia" w:ascii="楷体_GB2312" w:eastAsia="楷体_GB2312"/>
          <w:sz w:val="32"/>
          <w:szCs w:val="32"/>
        </w:rPr>
        <w:t>（二）预算执行</w:t>
      </w:r>
    </w:p>
    <w:p>
      <w:pPr>
        <w:spacing w:line="580" w:lineRule="exact"/>
        <w:ind w:firstLine="640" w:firstLineChars="200"/>
        <w:rPr>
          <w:rFonts w:ascii="仿宋_GB2312" w:hAnsi="宋体" w:eastAsia="仿宋_GB2312" w:cs="宋体"/>
          <w:kern w:val="0"/>
          <w:sz w:val="32"/>
          <w:szCs w:val="32"/>
        </w:rPr>
      </w:pPr>
      <w:r>
        <w:rPr>
          <w:rFonts w:hint="eastAsia" w:ascii="仿宋_GB2312" w:eastAsia="仿宋_GB2312"/>
          <w:bCs/>
          <w:sz w:val="32"/>
          <w:szCs w:val="32"/>
        </w:rPr>
        <w:t>1.预算执行进度</w:t>
      </w:r>
      <w:r>
        <w:rPr>
          <w:rFonts w:hint="eastAsia" w:ascii="仿宋_GB2312" w:eastAsia="仿宋_GB2312"/>
          <w:b/>
          <w:sz w:val="32"/>
          <w:szCs w:val="32"/>
        </w:rPr>
        <w:t>。</w:t>
      </w:r>
      <w:r>
        <w:rPr>
          <w:rFonts w:hint="eastAsia" w:ascii="仿宋_GB2312" w:hAnsi="宋体" w:eastAsia="仿宋_GB2312" w:cs="宋体"/>
          <w:kern w:val="0"/>
          <w:sz w:val="32"/>
          <w:szCs w:val="32"/>
        </w:rPr>
        <w:t>本年度预算执行收支平衡，完成本部门经济和社会事业发展职能职责，人员支出部分按时间进度执行。</w:t>
      </w:r>
    </w:p>
    <w:p>
      <w:pPr>
        <w:spacing w:line="58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2.预算平衡调整。</w:t>
      </w:r>
      <w:r>
        <w:rPr>
          <w:rFonts w:hint="eastAsia" w:ascii="仿宋_GB2312" w:eastAsia="仿宋_GB2312"/>
          <w:sz w:val="32"/>
          <w:szCs w:val="32"/>
        </w:rPr>
        <w:t>我单位严格执行预算，执行中不调整项目。</w:t>
      </w:r>
    </w:p>
    <w:p>
      <w:pPr>
        <w:spacing w:line="580" w:lineRule="exact"/>
        <w:ind w:firstLine="640"/>
        <w:rPr>
          <w:rFonts w:ascii="仿宋_GB2312" w:hAnsi="仿宋_GB2312" w:eastAsia="仿宋_GB2312" w:cs="仿宋_GB2312"/>
          <w:color w:val="000000"/>
          <w:sz w:val="32"/>
          <w:szCs w:val="32"/>
        </w:rPr>
      </w:pPr>
      <w:r>
        <w:rPr>
          <w:rFonts w:hint="eastAsia" w:ascii="仿宋_GB2312" w:hAnsi="宋体" w:eastAsia="仿宋_GB2312" w:cs="宋体"/>
          <w:kern w:val="0"/>
          <w:sz w:val="32"/>
          <w:szCs w:val="32"/>
        </w:rPr>
        <w:t>3.三公经费执行情况</w:t>
      </w:r>
      <w:r>
        <w:rPr>
          <w:rFonts w:hint="eastAsia" w:ascii="仿宋_GB2312" w:hAnsi="宋体" w:eastAsia="仿宋_GB2312" w:cs="宋体"/>
          <w:b/>
          <w:bCs/>
          <w:kern w:val="0"/>
          <w:sz w:val="32"/>
          <w:szCs w:val="32"/>
        </w:rPr>
        <w:t>。</w:t>
      </w:r>
      <w:r>
        <w:rPr>
          <w:rFonts w:ascii="仿宋_GB2312" w:hAnsi="仿宋_GB2312" w:eastAsia="仿宋_GB2312" w:cs="仿宋_GB2312"/>
          <w:color w:val="000000"/>
          <w:sz w:val="32"/>
          <w:szCs w:val="32"/>
        </w:rPr>
        <w:t>20</w:t>
      </w:r>
      <w:r>
        <w:rPr>
          <w:rFonts w:hint="eastAsia" w:ascii="仿宋_GB2312" w:hAnsi="仿宋_GB2312" w:eastAsia="仿宋_GB2312" w:cs="仿宋_GB2312"/>
          <w:color w:val="000000"/>
          <w:sz w:val="32"/>
          <w:szCs w:val="32"/>
        </w:rPr>
        <w:t>21年“三公”经费预算1万元，其中:公务接待1万元，车辆运行维护费0万元。全年支出 0万元。其中：公务接待费0万元，车辆运行维护费0万元，具体情况如下：</w:t>
      </w:r>
    </w:p>
    <w:p>
      <w:pPr>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（1）公务用车运行维护费支出0万元。我单位现公务用车在编数量为0。</w:t>
      </w:r>
    </w:p>
    <w:p>
      <w:pPr>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（2）公务接待费支出0万元，决算数小于预算数是因为贯彻执行厉行节约政策、努力压缩开支。</w:t>
      </w:r>
    </w:p>
    <w:p>
      <w:pPr>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4.部门决算编制和审查。</w:t>
      </w:r>
      <w:r>
        <w:rPr>
          <w:rFonts w:hint="eastAsia" w:ascii="仿宋_GB2312" w:hAnsi="宋体" w:eastAsia="仿宋_GB2312" w:cs="宋体"/>
          <w:kern w:val="0"/>
          <w:sz w:val="32"/>
          <w:szCs w:val="32"/>
        </w:rPr>
        <w:t>及时进行年终账务清算，核实各项预算收支，按规定时间报送决算报表，做到了帐表一致，决算数据真实准确，部门决算编制人员与供养人员系统数据相符。</w:t>
      </w:r>
    </w:p>
    <w:p>
      <w:pPr>
        <w:spacing w:line="580" w:lineRule="exact"/>
        <w:rPr>
          <w:rFonts w:ascii="楷体_GB2312" w:eastAsia="楷体_GB2312"/>
          <w:sz w:val="32"/>
          <w:szCs w:val="32"/>
        </w:rPr>
      </w:pPr>
      <w:r>
        <w:rPr>
          <w:rFonts w:hint="eastAsia" w:ascii="楷体_GB2312" w:eastAsia="楷体_GB2312"/>
          <w:bCs/>
          <w:sz w:val="32"/>
          <w:szCs w:val="32"/>
        </w:rPr>
        <w:t xml:space="preserve">    （三）财政资金综合管理情况</w:t>
      </w:r>
    </w:p>
    <w:p>
      <w:pPr>
        <w:spacing w:line="580" w:lineRule="exact"/>
        <w:rPr>
          <w:rFonts w:ascii="仿宋_GB2312" w:eastAsia="仿宋_GB2312"/>
          <w:sz w:val="32"/>
          <w:szCs w:val="32"/>
        </w:rPr>
      </w:pPr>
      <w:r>
        <w:rPr>
          <w:rFonts w:hint="eastAsia" w:ascii="仿宋_GB2312" w:eastAsia="仿宋_GB2312"/>
          <w:b/>
          <w:bCs/>
          <w:sz w:val="32"/>
          <w:szCs w:val="32"/>
        </w:rPr>
        <w:t xml:space="preserve">    </w:t>
      </w:r>
      <w:r>
        <w:rPr>
          <w:rFonts w:hint="eastAsia" w:ascii="仿宋_GB2312" w:eastAsia="仿宋_GB2312"/>
          <w:sz w:val="32"/>
          <w:szCs w:val="32"/>
        </w:rPr>
        <w:t>1.非税收入征收、上缴情况。</w:t>
      </w:r>
      <w:r>
        <w:rPr>
          <w:rFonts w:hint="eastAsia" w:ascii="仿宋_GB2312" w:hAnsi="宋体" w:eastAsia="仿宋_GB2312" w:cs="宋体"/>
          <w:kern w:val="0"/>
          <w:sz w:val="32"/>
          <w:szCs w:val="32"/>
        </w:rPr>
        <w:t>我单位无非税收入征收、上缴工作。</w:t>
      </w:r>
    </w:p>
    <w:p>
      <w:pPr>
        <w:spacing w:line="580" w:lineRule="exact"/>
        <w:rPr>
          <w:rFonts w:ascii="仿宋_GB2312" w:hAnsi="宋体" w:eastAsia="仿宋_GB2312" w:cs="宋体"/>
          <w:kern w:val="0"/>
          <w:sz w:val="32"/>
          <w:szCs w:val="32"/>
        </w:rPr>
      </w:pPr>
      <w:r>
        <w:rPr>
          <w:rFonts w:hint="eastAsia" w:ascii="仿宋_GB2312" w:eastAsia="仿宋_GB2312"/>
          <w:b/>
          <w:bCs/>
          <w:sz w:val="32"/>
          <w:szCs w:val="32"/>
        </w:rPr>
        <w:t xml:space="preserve">   </w:t>
      </w:r>
      <w:r>
        <w:rPr>
          <w:rFonts w:hint="eastAsia" w:ascii="仿宋_GB2312" w:eastAsia="仿宋_GB2312"/>
          <w:sz w:val="32"/>
          <w:szCs w:val="32"/>
        </w:rPr>
        <w:t xml:space="preserve"> 2.政府采购实施计划编制执行情况。</w:t>
      </w:r>
      <w:r>
        <w:rPr>
          <w:rFonts w:hint="eastAsia" w:ascii="仿宋_GB2312" w:hAnsi="宋体" w:eastAsia="仿宋_GB2312" w:cs="宋体"/>
          <w:kern w:val="0"/>
          <w:sz w:val="32"/>
          <w:szCs w:val="32"/>
        </w:rPr>
        <w:t>认真编制政府采购预算，做到应编尽编，不遗漏；规范采购行为，执行政府采购政策，做到应采尽采。全年一般公共预算采购预算为0万元，实际采购金额0万元。</w:t>
      </w:r>
    </w:p>
    <w:p>
      <w:pPr>
        <w:spacing w:line="580" w:lineRule="exact"/>
        <w:rPr>
          <w:rFonts w:ascii="仿宋_GB2312" w:hAnsi="宋体" w:eastAsia="仿宋_GB2312" w:cs="宋体"/>
          <w:kern w:val="0"/>
          <w:sz w:val="32"/>
          <w:szCs w:val="32"/>
        </w:rPr>
      </w:pPr>
      <w:r>
        <w:rPr>
          <w:rFonts w:hint="eastAsia" w:ascii="仿宋_GB2312" w:hAnsi="宋体" w:eastAsia="仿宋_GB2312" w:cs="宋体"/>
          <w:b/>
          <w:bCs/>
          <w:kern w:val="0"/>
          <w:sz w:val="32"/>
          <w:szCs w:val="32"/>
        </w:rPr>
        <w:t xml:space="preserve">   </w:t>
      </w:r>
      <w:r>
        <w:rPr>
          <w:rFonts w:hint="eastAsia" w:ascii="仿宋_GB2312" w:hAnsi="宋体" w:eastAsia="仿宋_GB2312" w:cs="宋体"/>
          <w:kern w:val="0"/>
          <w:sz w:val="32"/>
          <w:szCs w:val="32"/>
        </w:rPr>
        <w:t xml:space="preserve"> 3.资产管理信息系统建设、资产清查上报情况。本部门的新增和减少资产已严格按照要求录入资产管理系统，并按照上级要求及时、准确、全面上报资产报表，严格按照财政资产管理科和市机关事务管理局的相关政策进行资产清理和上报，使资产管理系统和财务会计资产系统账账相符。</w:t>
      </w:r>
    </w:p>
    <w:p>
      <w:pPr>
        <w:spacing w:line="58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4.部门内部控制制度健全情况。我单位内部管理制度比较健全，设置有《岗位责任制》，《廉政风险三同防控图》，依据了《广元市自然资源系统内部审计管理办法》、《广元市自然资源局财务管理制度》，具体内容包括经费审批制度、现金管理、票据管理、会计档案管理、资产管理等。</w:t>
      </w:r>
    </w:p>
    <w:p>
      <w:pPr>
        <w:spacing w:line="58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5.预决算及绩效信息公开情况。我单位严格按照财政要求，及时、准确、全面的在政府网站和局域内门户网站公开预决算和绩效信息。</w:t>
      </w:r>
    </w:p>
    <w:p>
      <w:pPr>
        <w:spacing w:line="580" w:lineRule="exact"/>
        <w:ind w:firstLine="640" w:firstLineChars="200"/>
        <w:rPr>
          <w:rFonts w:ascii="仿宋_GB2312" w:eastAsia="仿宋_GB2312"/>
          <w:color w:val="000000"/>
          <w:sz w:val="32"/>
          <w:szCs w:val="32"/>
        </w:rPr>
      </w:pPr>
      <w:r>
        <w:rPr>
          <w:rFonts w:hint="eastAsia" w:ascii="仿宋_GB2312" w:hAnsi="宋体" w:eastAsia="仿宋_GB2312" w:cs="宋体"/>
          <w:kern w:val="0"/>
          <w:sz w:val="32"/>
          <w:szCs w:val="32"/>
        </w:rPr>
        <w:t>6.绩效评价开展、评价结果报告情况。积极对我单位</w:t>
      </w:r>
      <w:r>
        <w:rPr>
          <w:rFonts w:hint="eastAsia" w:ascii="仿宋_GB2312" w:eastAsia="仿宋_GB2312"/>
          <w:color w:val="000000"/>
          <w:sz w:val="32"/>
          <w:szCs w:val="32"/>
        </w:rPr>
        <w:t>开展了绩效自评，通过对支出总体评价，自评得分99分。</w:t>
      </w:r>
    </w:p>
    <w:p>
      <w:pPr>
        <w:spacing w:line="580" w:lineRule="exact"/>
        <w:ind w:firstLine="640" w:firstLineChars="200"/>
        <w:rPr>
          <w:rFonts w:ascii="仿宋_GB2312" w:eastAsia="仿宋_GB2312"/>
          <w:sz w:val="32"/>
          <w:szCs w:val="32"/>
        </w:rPr>
      </w:pPr>
      <w:r>
        <w:rPr>
          <w:rFonts w:hint="eastAsia" w:ascii="仿宋_GB2312" w:eastAsia="仿宋_GB2312"/>
          <w:color w:val="000000"/>
          <w:sz w:val="32"/>
          <w:szCs w:val="32"/>
        </w:rPr>
        <w:t>7.绩效管理工作开展情况。我单位严格按照绩效管理评价工作的要求，积极落实，</w:t>
      </w:r>
      <w:r>
        <w:rPr>
          <w:rFonts w:hint="eastAsia" w:ascii="仿宋_GB2312" w:hAnsi="仿宋_GB2312" w:eastAsia="仿宋_GB2312" w:cs="仿宋_GB2312"/>
          <w:bCs/>
          <w:kern w:val="0"/>
          <w:sz w:val="32"/>
          <w:szCs w:val="32"/>
        </w:rPr>
        <w:t>认真组织本部门相关人员开展绩效评价工作。</w:t>
      </w:r>
    </w:p>
    <w:p>
      <w:pPr>
        <w:spacing w:line="580" w:lineRule="exact"/>
        <w:rPr>
          <w:rFonts w:ascii="仿宋_GB2312" w:hAnsi="宋体" w:eastAsia="仿宋_GB2312" w:cs="宋体"/>
          <w:kern w:val="0"/>
          <w:sz w:val="32"/>
          <w:szCs w:val="32"/>
        </w:rPr>
      </w:pPr>
      <w:r>
        <w:rPr>
          <w:rFonts w:hint="eastAsia" w:ascii="仿宋_GB2312" w:hAnsi="宋体" w:eastAsia="仿宋_GB2312" w:cs="宋体"/>
          <w:b/>
          <w:bCs/>
          <w:kern w:val="0"/>
          <w:sz w:val="32"/>
          <w:szCs w:val="32"/>
        </w:rPr>
        <w:t xml:space="preserve">   </w:t>
      </w:r>
      <w:r>
        <w:rPr>
          <w:rFonts w:hint="eastAsia" w:ascii="仿宋_GB2312" w:hAnsi="宋体" w:eastAsia="仿宋_GB2312" w:cs="宋体"/>
          <w:kern w:val="0"/>
          <w:sz w:val="32"/>
          <w:szCs w:val="32"/>
        </w:rPr>
        <w:t xml:space="preserve"> 8.财政政策执行情况</w:t>
      </w:r>
    </w:p>
    <w:p>
      <w:pPr>
        <w:spacing w:line="580" w:lineRule="exact"/>
        <w:rPr>
          <w:rFonts w:ascii="仿宋_GB2312" w:hAnsi="宋体" w:eastAsia="仿宋_GB2312" w:cs="宋体"/>
          <w:kern w:val="0"/>
          <w:sz w:val="32"/>
          <w:szCs w:val="32"/>
        </w:rPr>
      </w:pPr>
      <w:r>
        <w:rPr>
          <w:rFonts w:hint="eastAsia" w:ascii="仿宋_GB2312" w:hAnsi="宋体" w:eastAsia="仿宋_GB2312" w:cs="宋体"/>
          <w:b/>
          <w:bCs/>
          <w:kern w:val="0"/>
          <w:sz w:val="32"/>
          <w:szCs w:val="32"/>
        </w:rPr>
        <w:t xml:space="preserve">    （</w:t>
      </w:r>
      <w:r>
        <w:rPr>
          <w:rFonts w:hint="eastAsia" w:ascii="仿宋_GB2312" w:hAnsi="宋体" w:eastAsia="仿宋_GB2312" w:cs="宋体"/>
          <w:kern w:val="0"/>
          <w:sz w:val="32"/>
          <w:szCs w:val="32"/>
        </w:rPr>
        <w:t>1）国库集中支付。我单位严格执行国库集中支付规定，当年部门预算支出中直接支付比例超过市本级当期平均水平。</w:t>
      </w:r>
    </w:p>
    <w:p>
      <w:pPr>
        <w:spacing w:line="58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（2）公务卡改革。严格按公务卡强制结算目录，公务用车燃油费、职工出差培训费、住宿费、公务机票等都使用公务卡进行结算。</w:t>
      </w:r>
    </w:p>
    <w:p>
      <w:pPr>
        <w:spacing w:line="580" w:lineRule="exact"/>
        <w:ind w:firstLine="640" w:firstLineChars="200"/>
        <w:rPr>
          <w:rFonts w:ascii="仿宋_GB2312" w:eastAsia="仿宋_GB2312"/>
          <w:sz w:val="32"/>
          <w:szCs w:val="32"/>
        </w:rPr>
      </w:pPr>
      <w:r>
        <w:rPr>
          <w:rFonts w:hint="eastAsia" w:ascii="仿宋_GB2312" w:hAnsi="宋体" w:eastAsia="仿宋_GB2312" w:cs="宋体"/>
          <w:kern w:val="0"/>
          <w:sz w:val="32"/>
          <w:szCs w:val="32"/>
        </w:rPr>
        <w:t>（3）政府采购政策执行。认真编制政府采购预算，做到应编尽编，不遗漏；规范采购行为，执行政府采购政策，做到应采尽采。</w:t>
      </w:r>
    </w:p>
    <w:p>
      <w:pPr>
        <w:spacing w:line="58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（4）非税收入征收管理。我单位无非税收入征收业务。</w:t>
      </w:r>
    </w:p>
    <w:p>
      <w:pPr>
        <w:spacing w:line="58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（5）厉行节约。按照相关规定进行经费开支，无违反规定支出行为，无超标准开支行为；“三公”经费严格按财政规定限额标准进行限制和压缩。</w:t>
      </w:r>
    </w:p>
    <w:p>
      <w:pPr>
        <w:spacing w:line="58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9.财经纪律执行情况</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（1）审计监察。接受了审计局及相关部门检查组对我单位2020年度财政预算收支情况的检查，以及财政等部门的其他相关检查。</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（2）预算执行动态监控。所有收支均通过财政大平台实行动态监控，资金管理较规范，按市财政国库动态监控预警无违规支付行为。</w:t>
      </w:r>
    </w:p>
    <w:p>
      <w:pPr>
        <w:spacing w:line="580" w:lineRule="exact"/>
        <w:ind w:firstLine="640" w:firstLineChars="200"/>
        <w:rPr>
          <w:rFonts w:ascii="黑体" w:hAnsi="黑体" w:eastAsia="黑体"/>
          <w:bCs/>
          <w:sz w:val="32"/>
          <w:szCs w:val="32"/>
        </w:rPr>
      </w:pPr>
      <w:r>
        <w:rPr>
          <w:rFonts w:hint="eastAsia" w:ascii="黑体" w:hAnsi="黑体" w:eastAsia="黑体"/>
          <w:bCs/>
          <w:sz w:val="32"/>
          <w:szCs w:val="32"/>
        </w:rPr>
        <w:t>三、存在问题</w:t>
      </w:r>
    </w:p>
    <w:p>
      <w:pPr>
        <w:autoSpaceDE w:val="0"/>
        <w:autoSpaceDN w:val="0"/>
        <w:adjustRightInd w:val="0"/>
        <w:spacing w:line="576" w:lineRule="atLeast"/>
        <w:ind w:firstLine="640" w:firstLineChars="200"/>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加强内控制度的衔接与建立，确保内控制度全覆盖。我们也会今后在工作中不断改进和加强各项支出管理，确保整体支出绩效达到最佳水平。</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四、整改建议和意见</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下一步改进措施：一是建议财政加强对单位及其财务人员项目绩效评价和内控制度建设等方面的培训力度，为适应新形势新要求，让每一个财务人员及时正确掌握政策，把握好财经纪律。建议将财务人员定期培训工作纳入目标任务。二是建议通过财政支出和项目绩效评价结果，财政根据各单位的项目工作任务及政府目标考核内容纳入项目工作经费，确保各单位履行行政职能职责有保障。</w:t>
      </w:r>
    </w:p>
    <w:p>
      <w:pPr>
        <w:pStyle w:val="2"/>
      </w:pPr>
    </w:p>
    <w:p>
      <w:pPr>
        <w:pStyle w:val="8"/>
        <w:rPr>
          <w:rFonts w:ascii="黑体" w:hAnsi="黑体" w:eastAsia="黑体"/>
          <w:sz w:val="44"/>
          <w:szCs w:val="44"/>
        </w:rPr>
      </w:pPr>
    </w:p>
    <w:p>
      <w:pPr>
        <w:spacing w:line="600" w:lineRule="exact"/>
        <w:jc w:val="center"/>
        <w:outlineLvl w:val="0"/>
        <w:rPr>
          <w:rFonts w:ascii="仿宋" w:hAnsi="仿宋" w:eastAsia="仿宋"/>
        </w:rPr>
      </w:pPr>
      <w:r>
        <w:rPr>
          <w:rFonts w:hint="eastAsia" w:ascii="黑体" w:hAnsi="黑体" w:eastAsia="黑体"/>
          <w:sz w:val="44"/>
          <w:szCs w:val="44"/>
        </w:rPr>
        <w:t>第</w:t>
      </w:r>
      <w:r>
        <w:rPr>
          <w:rStyle w:val="25"/>
          <w:rFonts w:hint="eastAsia" w:ascii="黑体" w:hAnsi="黑体" w:eastAsia="黑体"/>
          <w:b w:val="0"/>
        </w:rPr>
        <w:t>五部分 附表</w:t>
      </w:r>
      <w:bookmarkEnd w:id="53"/>
      <w:bookmarkEnd w:id="55"/>
      <w:bookmarkStart w:id="56" w:name="_Toc15396619"/>
    </w:p>
    <w:p>
      <w:pPr>
        <w:pStyle w:val="2"/>
        <w:rPr>
          <w:rFonts w:ascii="仿宋" w:hAnsi="仿宋" w:eastAsia="仿宋"/>
        </w:rPr>
      </w:pPr>
      <w:r>
        <w:rPr>
          <w:rFonts w:hint="eastAsia" w:ascii="仿宋" w:hAnsi="仿宋" w:eastAsia="仿宋"/>
          <w:b w:val="0"/>
        </w:rPr>
        <w:t>一、收</w:t>
      </w:r>
      <w:r>
        <w:rPr>
          <w:rStyle w:val="26"/>
          <w:rFonts w:hint="eastAsia" w:ascii="仿宋" w:hAnsi="仿宋" w:eastAsia="仿宋"/>
          <w:b w:val="0"/>
          <w:bCs w:val="0"/>
        </w:rPr>
        <w:t>入支出决算总表</w:t>
      </w:r>
      <w:bookmarkEnd w:id="56"/>
    </w:p>
    <w:p>
      <w:pPr>
        <w:pStyle w:val="2"/>
        <w:rPr>
          <w:rFonts w:ascii="仿宋" w:hAnsi="仿宋" w:eastAsia="仿宋"/>
        </w:rPr>
      </w:pPr>
      <w:bookmarkStart w:id="57" w:name="_Toc15396620"/>
      <w:r>
        <w:rPr>
          <w:rFonts w:hint="eastAsia" w:ascii="仿宋" w:hAnsi="仿宋" w:eastAsia="仿宋"/>
          <w:b w:val="0"/>
        </w:rPr>
        <w:t>二、收</w:t>
      </w:r>
      <w:r>
        <w:rPr>
          <w:rStyle w:val="26"/>
          <w:rFonts w:hint="eastAsia" w:ascii="仿宋" w:hAnsi="仿宋" w:eastAsia="仿宋"/>
          <w:b w:val="0"/>
          <w:bCs w:val="0"/>
        </w:rPr>
        <w:t>入决算表</w:t>
      </w:r>
      <w:bookmarkEnd w:id="57"/>
    </w:p>
    <w:p>
      <w:pPr>
        <w:pStyle w:val="2"/>
        <w:rPr>
          <w:rFonts w:ascii="仿宋" w:hAnsi="仿宋" w:eastAsia="仿宋"/>
        </w:rPr>
      </w:pPr>
      <w:bookmarkStart w:id="58" w:name="_Toc15396621"/>
      <w:r>
        <w:rPr>
          <w:rStyle w:val="26"/>
          <w:rFonts w:hint="eastAsia" w:ascii="仿宋" w:hAnsi="仿宋" w:eastAsia="仿宋"/>
          <w:b w:val="0"/>
          <w:bCs w:val="0"/>
        </w:rPr>
        <w:t>三、</w:t>
      </w:r>
      <w:r>
        <w:rPr>
          <w:rFonts w:hint="eastAsia" w:ascii="仿宋" w:hAnsi="仿宋" w:eastAsia="仿宋"/>
          <w:b w:val="0"/>
        </w:rPr>
        <w:t>支</w:t>
      </w:r>
      <w:r>
        <w:rPr>
          <w:rStyle w:val="26"/>
          <w:rFonts w:hint="eastAsia" w:ascii="仿宋" w:hAnsi="仿宋" w:eastAsia="仿宋"/>
          <w:b w:val="0"/>
          <w:bCs w:val="0"/>
        </w:rPr>
        <w:t>出决算表</w:t>
      </w:r>
      <w:bookmarkEnd w:id="58"/>
    </w:p>
    <w:p>
      <w:pPr>
        <w:pStyle w:val="2"/>
        <w:rPr>
          <w:rFonts w:ascii="仿宋" w:hAnsi="仿宋" w:eastAsia="仿宋"/>
          <w:b w:val="0"/>
        </w:rPr>
      </w:pPr>
      <w:bookmarkStart w:id="59" w:name="_Toc15396622"/>
      <w:r>
        <w:rPr>
          <w:rStyle w:val="26"/>
          <w:rFonts w:hint="eastAsia" w:ascii="仿宋" w:hAnsi="仿宋" w:eastAsia="仿宋"/>
          <w:b w:val="0"/>
          <w:bCs w:val="0"/>
        </w:rPr>
        <w:t>四、</w:t>
      </w:r>
      <w:r>
        <w:rPr>
          <w:rFonts w:hint="eastAsia" w:ascii="仿宋" w:hAnsi="仿宋" w:eastAsia="仿宋"/>
          <w:b w:val="0"/>
        </w:rPr>
        <w:t>财</w:t>
      </w:r>
      <w:r>
        <w:rPr>
          <w:rStyle w:val="26"/>
          <w:rFonts w:hint="eastAsia" w:ascii="仿宋" w:hAnsi="仿宋" w:eastAsia="仿宋"/>
          <w:b w:val="0"/>
          <w:bCs w:val="0"/>
        </w:rPr>
        <w:t>政拨款收入支出决算总表</w:t>
      </w:r>
      <w:bookmarkEnd w:id="59"/>
    </w:p>
    <w:p>
      <w:pPr>
        <w:pStyle w:val="2"/>
        <w:rPr>
          <w:rStyle w:val="26"/>
          <w:rFonts w:ascii="仿宋" w:hAnsi="仿宋" w:eastAsia="仿宋"/>
          <w:b w:val="0"/>
          <w:bCs w:val="0"/>
        </w:rPr>
      </w:pPr>
      <w:bookmarkStart w:id="60" w:name="_Toc15396623"/>
      <w:r>
        <w:rPr>
          <w:rStyle w:val="26"/>
          <w:rFonts w:hint="eastAsia" w:ascii="仿宋" w:hAnsi="仿宋" w:eastAsia="仿宋"/>
          <w:b w:val="0"/>
          <w:bCs w:val="0"/>
        </w:rPr>
        <w:t>五、</w:t>
      </w:r>
      <w:r>
        <w:rPr>
          <w:rFonts w:hint="eastAsia" w:ascii="仿宋" w:hAnsi="仿宋" w:eastAsia="仿宋"/>
          <w:b w:val="0"/>
        </w:rPr>
        <w:t>财</w:t>
      </w:r>
      <w:r>
        <w:rPr>
          <w:rStyle w:val="26"/>
          <w:rFonts w:hint="eastAsia" w:ascii="仿宋" w:hAnsi="仿宋" w:eastAsia="仿宋"/>
          <w:b w:val="0"/>
          <w:bCs w:val="0"/>
        </w:rPr>
        <w:t>政拨款支出决算明细表</w:t>
      </w:r>
      <w:bookmarkEnd w:id="60"/>
      <w:bookmarkStart w:id="61" w:name="_Toc15396624"/>
    </w:p>
    <w:p>
      <w:pPr>
        <w:pStyle w:val="2"/>
        <w:rPr>
          <w:rFonts w:ascii="仿宋" w:hAnsi="仿宋" w:eastAsia="仿宋"/>
        </w:rPr>
      </w:pPr>
      <w:r>
        <w:rPr>
          <w:rStyle w:val="26"/>
          <w:rFonts w:hint="eastAsia" w:ascii="仿宋" w:hAnsi="仿宋" w:eastAsia="仿宋"/>
          <w:b w:val="0"/>
          <w:bCs w:val="0"/>
        </w:rPr>
        <w:t>六、</w:t>
      </w:r>
      <w:r>
        <w:rPr>
          <w:rFonts w:hint="eastAsia" w:ascii="仿宋" w:hAnsi="仿宋" w:eastAsia="仿宋"/>
          <w:b w:val="0"/>
        </w:rPr>
        <w:t>一</w:t>
      </w:r>
      <w:r>
        <w:rPr>
          <w:rStyle w:val="26"/>
          <w:rFonts w:hint="eastAsia" w:ascii="仿宋" w:hAnsi="仿宋" w:eastAsia="仿宋"/>
          <w:b w:val="0"/>
          <w:bCs w:val="0"/>
        </w:rPr>
        <w:t>般公共预算财政拨款支出决算表</w:t>
      </w:r>
      <w:bookmarkEnd w:id="61"/>
    </w:p>
    <w:p>
      <w:pPr>
        <w:pStyle w:val="2"/>
        <w:rPr>
          <w:rFonts w:ascii="仿宋" w:hAnsi="仿宋" w:eastAsia="仿宋"/>
        </w:rPr>
      </w:pPr>
      <w:bookmarkStart w:id="62" w:name="_Toc15396625"/>
      <w:r>
        <w:rPr>
          <w:rStyle w:val="26"/>
          <w:rFonts w:hint="eastAsia" w:ascii="仿宋" w:hAnsi="仿宋" w:eastAsia="仿宋"/>
          <w:b w:val="0"/>
          <w:bCs w:val="0"/>
        </w:rPr>
        <w:t>七、</w:t>
      </w:r>
      <w:r>
        <w:rPr>
          <w:rFonts w:hint="eastAsia" w:ascii="仿宋" w:hAnsi="仿宋" w:eastAsia="仿宋"/>
          <w:b w:val="0"/>
        </w:rPr>
        <w:t>一</w:t>
      </w:r>
      <w:r>
        <w:rPr>
          <w:rStyle w:val="26"/>
          <w:rFonts w:hint="eastAsia" w:ascii="仿宋" w:hAnsi="仿宋" w:eastAsia="仿宋"/>
          <w:b w:val="0"/>
          <w:bCs w:val="0"/>
        </w:rPr>
        <w:t>般公共预算财政拨款支出决算明细表</w:t>
      </w:r>
      <w:bookmarkEnd w:id="62"/>
    </w:p>
    <w:p>
      <w:pPr>
        <w:pStyle w:val="2"/>
        <w:rPr>
          <w:rFonts w:ascii="仿宋" w:hAnsi="仿宋" w:eastAsia="仿宋"/>
        </w:rPr>
      </w:pPr>
      <w:bookmarkStart w:id="63" w:name="_Toc15396626"/>
      <w:r>
        <w:rPr>
          <w:rStyle w:val="26"/>
          <w:rFonts w:hint="eastAsia" w:ascii="仿宋" w:hAnsi="仿宋" w:eastAsia="仿宋"/>
          <w:b w:val="0"/>
          <w:bCs w:val="0"/>
        </w:rPr>
        <w:t>八、</w:t>
      </w:r>
      <w:r>
        <w:rPr>
          <w:rFonts w:hint="eastAsia" w:ascii="仿宋" w:hAnsi="仿宋" w:eastAsia="仿宋"/>
          <w:b w:val="0"/>
        </w:rPr>
        <w:t>一</w:t>
      </w:r>
      <w:r>
        <w:rPr>
          <w:rStyle w:val="26"/>
          <w:rFonts w:hint="eastAsia" w:ascii="仿宋" w:hAnsi="仿宋" w:eastAsia="仿宋"/>
          <w:b w:val="0"/>
          <w:bCs w:val="0"/>
        </w:rPr>
        <w:t>般公共预算财政拨款基本支出决算表</w:t>
      </w:r>
      <w:bookmarkEnd w:id="63"/>
    </w:p>
    <w:p>
      <w:pPr>
        <w:pStyle w:val="2"/>
        <w:rPr>
          <w:rFonts w:ascii="仿宋" w:hAnsi="仿宋" w:eastAsia="仿宋"/>
        </w:rPr>
      </w:pPr>
      <w:bookmarkStart w:id="64" w:name="_Toc15396627"/>
      <w:r>
        <w:rPr>
          <w:rStyle w:val="26"/>
          <w:rFonts w:hint="eastAsia" w:ascii="仿宋" w:hAnsi="仿宋" w:eastAsia="仿宋"/>
          <w:b w:val="0"/>
          <w:bCs w:val="0"/>
        </w:rPr>
        <w:t>九、</w:t>
      </w:r>
      <w:r>
        <w:rPr>
          <w:rFonts w:hint="eastAsia" w:ascii="仿宋" w:hAnsi="仿宋" w:eastAsia="仿宋"/>
          <w:b w:val="0"/>
        </w:rPr>
        <w:t>一</w:t>
      </w:r>
      <w:r>
        <w:rPr>
          <w:rStyle w:val="26"/>
          <w:rFonts w:hint="eastAsia" w:ascii="仿宋" w:hAnsi="仿宋" w:eastAsia="仿宋"/>
          <w:b w:val="0"/>
          <w:bCs w:val="0"/>
        </w:rPr>
        <w:t>般公共预算财政拨款项目支出决算表</w:t>
      </w:r>
      <w:bookmarkEnd w:id="64"/>
    </w:p>
    <w:p>
      <w:pPr>
        <w:pStyle w:val="2"/>
        <w:rPr>
          <w:rFonts w:ascii="仿宋" w:hAnsi="仿宋" w:eastAsia="仿宋"/>
        </w:rPr>
      </w:pPr>
      <w:bookmarkStart w:id="65" w:name="_Toc15396628"/>
      <w:r>
        <w:rPr>
          <w:rStyle w:val="26"/>
          <w:rFonts w:hint="eastAsia" w:ascii="仿宋" w:hAnsi="仿宋" w:eastAsia="仿宋"/>
          <w:b w:val="0"/>
          <w:bCs w:val="0"/>
        </w:rPr>
        <w:t>十、</w:t>
      </w:r>
      <w:r>
        <w:rPr>
          <w:rFonts w:hint="eastAsia" w:ascii="仿宋" w:hAnsi="仿宋" w:eastAsia="仿宋"/>
          <w:b w:val="0"/>
        </w:rPr>
        <w:t>一</w:t>
      </w:r>
      <w:r>
        <w:rPr>
          <w:rStyle w:val="26"/>
          <w:rFonts w:hint="eastAsia" w:ascii="仿宋" w:hAnsi="仿宋" w:eastAsia="仿宋"/>
          <w:b w:val="0"/>
          <w:bCs w:val="0"/>
        </w:rPr>
        <w:t>般公共预算财政拨款“三公”经费支出决算表</w:t>
      </w:r>
      <w:bookmarkEnd w:id="65"/>
    </w:p>
    <w:p>
      <w:pPr>
        <w:pStyle w:val="2"/>
        <w:rPr>
          <w:rFonts w:ascii="仿宋" w:hAnsi="仿宋" w:eastAsia="仿宋"/>
        </w:rPr>
      </w:pPr>
      <w:bookmarkStart w:id="66" w:name="_Toc15396629"/>
      <w:r>
        <w:rPr>
          <w:rStyle w:val="26"/>
          <w:rFonts w:hint="eastAsia" w:ascii="仿宋" w:hAnsi="仿宋" w:eastAsia="仿宋"/>
          <w:b w:val="0"/>
          <w:bCs w:val="0"/>
        </w:rPr>
        <w:t>十一、</w:t>
      </w:r>
      <w:r>
        <w:rPr>
          <w:rFonts w:hint="eastAsia" w:ascii="仿宋" w:hAnsi="仿宋" w:eastAsia="仿宋"/>
          <w:b w:val="0"/>
        </w:rPr>
        <w:t>政</w:t>
      </w:r>
      <w:r>
        <w:rPr>
          <w:rStyle w:val="26"/>
          <w:rFonts w:hint="eastAsia" w:ascii="仿宋" w:hAnsi="仿宋" w:eastAsia="仿宋"/>
          <w:b w:val="0"/>
          <w:bCs w:val="0"/>
        </w:rPr>
        <w:t>府性基金预算财政拨款收入支出决算表</w:t>
      </w:r>
      <w:bookmarkEnd w:id="66"/>
    </w:p>
    <w:p>
      <w:pPr>
        <w:pStyle w:val="2"/>
        <w:rPr>
          <w:rFonts w:ascii="仿宋" w:hAnsi="仿宋" w:eastAsia="仿宋"/>
        </w:rPr>
      </w:pPr>
      <w:bookmarkStart w:id="67" w:name="_Toc15396630"/>
      <w:r>
        <w:rPr>
          <w:rStyle w:val="26"/>
          <w:rFonts w:hint="eastAsia" w:ascii="仿宋" w:hAnsi="仿宋" w:eastAsia="仿宋"/>
          <w:b w:val="0"/>
          <w:bCs w:val="0"/>
        </w:rPr>
        <w:t>十二、</w:t>
      </w:r>
      <w:r>
        <w:rPr>
          <w:rFonts w:hint="eastAsia" w:ascii="仿宋" w:hAnsi="仿宋" w:eastAsia="仿宋"/>
          <w:b w:val="0"/>
        </w:rPr>
        <w:t>政</w:t>
      </w:r>
      <w:r>
        <w:rPr>
          <w:rStyle w:val="26"/>
          <w:rFonts w:hint="eastAsia" w:ascii="仿宋" w:hAnsi="仿宋" w:eastAsia="仿宋"/>
          <w:b w:val="0"/>
          <w:bCs w:val="0"/>
        </w:rPr>
        <w:t>府性基金预算财政拨款“三公”经费支出决算表</w:t>
      </w:r>
      <w:bookmarkEnd w:id="67"/>
    </w:p>
    <w:p>
      <w:pPr>
        <w:pStyle w:val="2"/>
        <w:rPr>
          <w:rStyle w:val="26"/>
          <w:rFonts w:ascii="仿宋" w:hAnsi="仿宋" w:eastAsia="仿宋"/>
          <w:b w:val="0"/>
          <w:bCs w:val="0"/>
        </w:rPr>
      </w:pPr>
      <w:bookmarkStart w:id="68" w:name="_Toc15396631"/>
      <w:r>
        <w:rPr>
          <w:rStyle w:val="26"/>
          <w:rFonts w:hint="eastAsia" w:ascii="仿宋" w:hAnsi="仿宋" w:eastAsia="仿宋"/>
          <w:b w:val="0"/>
          <w:bCs w:val="0"/>
        </w:rPr>
        <w:t>十三、</w:t>
      </w:r>
      <w:r>
        <w:rPr>
          <w:rFonts w:hint="eastAsia" w:ascii="仿宋" w:hAnsi="仿宋" w:eastAsia="仿宋"/>
          <w:b w:val="0"/>
        </w:rPr>
        <w:t>国</w:t>
      </w:r>
      <w:r>
        <w:rPr>
          <w:rStyle w:val="26"/>
          <w:rFonts w:hint="eastAsia" w:ascii="仿宋" w:hAnsi="仿宋" w:eastAsia="仿宋"/>
          <w:b w:val="0"/>
          <w:bCs w:val="0"/>
        </w:rPr>
        <w:t>有资本经营预算财政拨款收入支出决算表</w:t>
      </w:r>
      <w:bookmarkEnd w:id="68"/>
    </w:p>
    <w:p>
      <w:pPr>
        <w:rPr>
          <w:rFonts w:eastAsia="仿宋"/>
        </w:rPr>
      </w:pPr>
      <w:r>
        <w:rPr>
          <w:rStyle w:val="26"/>
          <w:rFonts w:hint="eastAsia" w:ascii="仿宋" w:hAnsi="仿宋" w:eastAsia="仿宋"/>
          <w:b w:val="0"/>
          <w:bCs w:val="0"/>
        </w:rPr>
        <w:t>十四、国有资本经营预算财政拨款支出决算表</w:t>
      </w:r>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0000000000000000000"/>
    <w:charset w:val="86"/>
    <w:family w:val="script"/>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auto"/>
    <w:pitch w:val="default"/>
    <w:sig w:usb0="00000000" w:usb1="00000000" w:usb2="00000000" w:usb3="00000000" w:csb0="00040000"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21</w:t>
        </w:r>
        <w: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28C7ED72"/>
    <w:multiLevelType w:val="singleLevel"/>
    <w:tmpl w:val="28C7ED72"/>
    <w:lvl w:ilvl="0" w:tentative="0">
      <w:start w:val="2"/>
      <w:numFmt w:val="chineseCounting"/>
      <w:suff w:val="nothing"/>
      <w:lvlText w:val="（%1）"/>
      <w:lvlJc w:val="left"/>
      <w:rPr>
        <w:rFonts w:hint="eastAsia"/>
      </w:rPr>
    </w:lvl>
  </w:abstractNum>
  <w:abstractNum w:abstractNumId="4">
    <w:nsid w:val="2FDE545C"/>
    <w:multiLevelType w:val="singleLevel"/>
    <w:tmpl w:val="2FDE545C"/>
    <w:lvl w:ilvl="0" w:tentative="0">
      <w:start w:val="3"/>
      <w:numFmt w:val="decimal"/>
      <w:lvlText w:val="%1."/>
      <w:lvlJc w:val="left"/>
      <w:pPr>
        <w:tabs>
          <w:tab w:val="left" w:pos="312"/>
        </w:tabs>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Q4NDBmYmQ1NzZkZmQ3ZTc5NjI2NjJhYTZmMGE1ZjIifQ=="/>
  </w:docVars>
  <w:rsids>
    <w:rsidRoot w:val="00F1361C"/>
    <w:rsid w:val="000222C6"/>
    <w:rsid w:val="0002549F"/>
    <w:rsid w:val="000468DB"/>
    <w:rsid w:val="0006487A"/>
    <w:rsid w:val="00065F8F"/>
    <w:rsid w:val="00070A43"/>
    <w:rsid w:val="000768F2"/>
    <w:rsid w:val="0008172A"/>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13A4D"/>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4A09"/>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84DA1"/>
    <w:rsid w:val="006A3141"/>
    <w:rsid w:val="006A5E34"/>
    <w:rsid w:val="006B2422"/>
    <w:rsid w:val="006B2B9A"/>
    <w:rsid w:val="006B4202"/>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1B1F"/>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50CDF"/>
    <w:rsid w:val="00F602DF"/>
    <w:rsid w:val="00F754A1"/>
    <w:rsid w:val="00F81FD9"/>
    <w:rsid w:val="00F83F44"/>
    <w:rsid w:val="00F841AA"/>
    <w:rsid w:val="00F84A94"/>
    <w:rsid w:val="00F87E96"/>
    <w:rsid w:val="00FA23E8"/>
    <w:rsid w:val="00FD3CC1"/>
    <w:rsid w:val="00FF1E02"/>
    <w:rsid w:val="00FF30B4"/>
    <w:rsid w:val="013E50E2"/>
    <w:rsid w:val="0A2032A3"/>
    <w:rsid w:val="0B8A37D8"/>
    <w:rsid w:val="0BDF3BB6"/>
    <w:rsid w:val="10154878"/>
    <w:rsid w:val="10C055FF"/>
    <w:rsid w:val="118107EC"/>
    <w:rsid w:val="11DD6519"/>
    <w:rsid w:val="16321CA0"/>
    <w:rsid w:val="16480C1F"/>
    <w:rsid w:val="16BB723D"/>
    <w:rsid w:val="17297CE3"/>
    <w:rsid w:val="18015F3F"/>
    <w:rsid w:val="188F365D"/>
    <w:rsid w:val="197A7DA1"/>
    <w:rsid w:val="1BA97497"/>
    <w:rsid w:val="1BE8440E"/>
    <w:rsid w:val="1CCE660E"/>
    <w:rsid w:val="1D155CEE"/>
    <w:rsid w:val="1E881EC3"/>
    <w:rsid w:val="20F57F95"/>
    <w:rsid w:val="240371BF"/>
    <w:rsid w:val="243279D1"/>
    <w:rsid w:val="244F2815"/>
    <w:rsid w:val="250002FB"/>
    <w:rsid w:val="25770175"/>
    <w:rsid w:val="25C741E6"/>
    <w:rsid w:val="270A37D0"/>
    <w:rsid w:val="27842671"/>
    <w:rsid w:val="27C22E19"/>
    <w:rsid w:val="297468DC"/>
    <w:rsid w:val="29FD04D3"/>
    <w:rsid w:val="29FD282F"/>
    <w:rsid w:val="2ABE7A3E"/>
    <w:rsid w:val="2D6009A2"/>
    <w:rsid w:val="2EFA178C"/>
    <w:rsid w:val="30B46D73"/>
    <w:rsid w:val="31322DBE"/>
    <w:rsid w:val="319F7F4E"/>
    <w:rsid w:val="3434719C"/>
    <w:rsid w:val="386A72E1"/>
    <w:rsid w:val="388D158C"/>
    <w:rsid w:val="39AE70AB"/>
    <w:rsid w:val="3A246869"/>
    <w:rsid w:val="3B0F2544"/>
    <w:rsid w:val="3B586984"/>
    <w:rsid w:val="3C0C0783"/>
    <w:rsid w:val="3EB72C41"/>
    <w:rsid w:val="3F795B0E"/>
    <w:rsid w:val="3F9F3A96"/>
    <w:rsid w:val="401F7E48"/>
    <w:rsid w:val="40350D30"/>
    <w:rsid w:val="40385F17"/>
    <w:rsid w:val="407927B7"/>
    <w:rsid w:val="41215ADF"/>
    <w:rsid w:val="41876D06"/>
    <w:rsid w:val="44A23E00"/>
    <w:rsid w:val="451C5060"/>
    <w:rsid w:val="491C608F"/>
    <w:rsid w:val="493C27E9"/>
    <w:rsid w:val="496F39ED"/>
    <w:rsid w:val="49FF41D3"/>
    <w:rsid w:val="4A185DC8"/>
    <w:rsid w:val="4BE068DB"/>
    <w:rsid w:val="4BF6002B"/>
    <w:rsid w:val="4C7D77B7"/>
    <w:rsid w:val="4D3E751D"/>
    <w:rsid w:val="4D8A3B03"/>
    <w:rsid w:val="4ECE2238"/>
    <w:rsid w:val="4F0B3776"/>
    <w:rsid w:val="508A1E77"/>
    <w:rsid w:val="50903205"/>
    <w:rsid w:val="5196408D"/>
    <w:rsid w:val="51DB4B86"/>
    <w:rsid w:val="51F55903"/>
    <w:rsid w:val="54365C20"/>
    <w:rsid w:val="54406A2F"/>
    <w:rsid w:val="55333C3E"/>
    <w:rsid w:val="581D67E1"/>
    <w:rsid w:val="591B75C2"/>
    <w:rsid w:val="5A3F1711"/>
    <w:rsid w:val="5BE41A30"/>
    <w:rsid w:val="64CA39A1"/>
    <w:rsid w:val="66A440C2"/>
    <w:rsid w:val="68A6351C"/>
    <w:rsid w:val="6C4A05C8"/>
    <w:rsid w:val="6D195FA7"/>
    <w:rsid w:val="72734D90"/>
    <w:rsid w:val="72B1775D"/>
    <w:rsid w:val="756F5626"/>
    <w:rsid w:val="77771C03"/>
    <w:rsid w:val="78FB5F09"/>
    <w:rsid w:val="79E7B28D"/>
    <w:rsid w:val="7C603B17"/>
    <w:rsid w:val="7C775BAB"/>
    <w:rsid w:val="7F9F20EE"/>
    <w:rsid w:val="7FE231CE"/>
    <w:rsid w:val="9E3A10E2"/>
    <w:rsid w:val="F2E1F9D4"/>
    <w:rsid w:val="F788081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5"/>
    <w:qFormat/>
    <w:uiPriority w:val="9"/>
    <w:pPr>
      <w:keepNext/>
      <w:keepLines/>
      <w:spacing w:before="340" w:after="330" w:line="578" w:lineRule="auto"/>
      <w:outlineLvl w:val="0"/>
    </w:pPr>
    <w:rPr>
      <w:b/>
      <w:bCs/>
      <w:kern w:val="44"/>
      <w:sz w:val="44"/>
      <w:szCs w:val="44"/>
    </w:rPr>
  </w:style>
  <w:style w:type="paragraph" w:styleId="2">
    <w:name w:val="heading 2"/>
    <w:basedOn w:val="3"/>
    <w:next w:val="1"/>
    <w:link w:val="26"/>
    <w:unhideWhenUsed/>
    <w:qFormat/>
    <w:uiPriority w:val="9"/>
    <w:pPr>
      <w:spacing w:before="260" w:after="260" w:line="416" w:lineRule="auto"/>
      <w:outlineLvl w:val="1"/>
    </w:pPr>
    <w:rPr>
      <w:rFonts w:asciiTheme="majorHAnsi" w:hAnsiTheme="majorHAnsi" w:eastAsiaTheme="majorEastAsia" w:cstheme="majorBidi"/>
      <w:sz w:val="32"/>
      <w:szCs w:val="32"/>
    </w:rPr>
  </w:style>
  <w:style w:type="paragraph" w:styleId="4">
    <w:name w:val="heading 3"/>
    <w:basedOn w:val="1"/>
    <w:next w:val="1"/>
    <w:link w:val="29"/>
    <w:unhideWhenUsed/>
    <w:qFormat/>
    <w:uiPriority w:val="9"/>
    <w:pPr>
      <w:keepNext/>
      <w:keepLines/>
      <w:spacing w:before="260" w:after="260" w:line="416" w:lineRule="auto"/>
      <w:outlineLvl w:val="2"/>
    </w:pPr>
    <w:rPr>
      <w:b/>
      <w:bCs/>
      <w:sz w:val="32"/>
      <w:szCs w:val="32"/>
    </w:rPr>
  </w:style>
  <w:style w:type="character" w:default="1" w:styleId="14">
    <w:name w:val="Default Paragraph Font"/>
    <w:semiHidden/>
    <w:unhideWhenUsed/>
    <w:uiPriority w:val="1"/>
  </w:style>
  <w:style w:type="table" w:default="1" w:styleId="13">
    <w:name w:val="Normal Table"/>
    <w:semiHidden/>
    <w:unhideWhenUsed/>
    <w:uiPriority w:val="99"/>
    <w:tblPr>
      <w:tblCellMar>
        <w:top w:w="0" w:type="dxa"/>
        <w:left w:w="108" w:type="dxa"/>
        <w:bottom w:w="0" w:type="dxa"/>
        <w:right w:w="108" w:type="dxa"/>
      </w:tblCellMar>
    </w:tblPr>
  </w:style>
  <w:style w:type="paragraph" w:styleId="5">
    <w:name w:val="Body Text"/>
    <w:basedOn w:val="1"/>
    <w:link w:val="22"/>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8"/>
    <w:semiHidden/>
    <w:unhideWhenUsed/>
    <w:qFormat/>
    <w:uiPriority w:val="99"/>
    <w:rPr>
      <w:sz w:val="18"/>
      <w:szCs w:val="18"/>
    </w:rPr>
  </w:style>
  <w:style w:type="paragraph" w:styleId="8">
    <w:name w:val="footer"/>
    <w:basedOn w:val="1"/>
    <w:link w:val="20"/>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8"/>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paragraph" w:styleId="12">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5">
    <w:name w:val="Strong"/>
    <w:basedOn w:val="14"/>
    <w:qFormat/>
    <w:uiPriority w:val="99"/>
    <w:rPr>
      <w:b/>
    </w:rPr>
  </w:style>
  <w:style w:type="character" w:styleId="16">
    <w:name w:val="Hyperlink"/>
    <w:basedOn w:val="14"/>
    <w:unhideWhenUsed/>
    <w:qFormat/>
    <w:uiPriority w:val="99"/>
    <w:rPr>
      <w:color w:val="0000FF" w:themeColor="hyperlink"/>
      <w:u w:val="single"/>
      <w14:textFill>
        <w14:solidFill>
          <w14:schemeClr w14:val="hlink"/>
        </w14:solidFill>
      </w14:textFill>
    </w:rPr>
  </w:style>
  <w:style w:type="character" w:customStyle="1" w:styleId="17">
    <w:name w:val="Header Char"/>
    <w:basedOn w:val="14"/>
    <w:semiHidden/>
    <w:qFormat/>
    <w:uiPriority w:val="99"/>
    <w:rPr>
      <w:rFonts w:ascii="Times New Roman" w:hAnsi="Times New Roman"/>
      <w:sz w:val="18"/>
      <w:szCs w:val="18"/>
    </w:rPr>
  </w:style>
  <w:style w:type="character" w:customStyle="1" w:styleId="18">
    <w:name w:val="页眉 Char"/>
    <w:link w:val="9"/>
    <w:semiHidden/>
    <w:qFormat/>
    <w:locked/>
    <w:uiPriority w:val="99"/>
    <w:rPr>
      <w:sz w:val="18"/>
    </w:rPr>
  </w:style>
  <w:style w:type="character" w:customStyle="1" w:styleId="19">
    <w:name w:val="Footer Char"/>
    <w:basedOn w:val="14"/>
    <w:semiHidden/>
    <w:qFormat/>
    <w:uiPriority w:val="99"/>
    <w:rPr>
      <w:rFonts w:ascii="Times New Roman" w:hAnsi="Times New Roman"/>
      <w:sz w:val="18"/>
      <w:szCs w:val="18"/>
    </w:rPr>
  </w:style>
  <w:style w:type="character" w:customStyle="1" w:styleId="20">
    <w:name w:val="页脚 Char"/>
    <w:link w:val="8"/>
    <w:qFormat/>
    <w:locked/>
    <w:uiPriority w:val="99"/>
    <w:rPr>
      <w:sz w:val="18"/>
    </w:rPr>
  </w:style>
  <w:style w:type="character" w:customStyle="1" w:styleId="21">
    <w:name w:val="Body Text Char"/>
    <w:basedOn w:val="14"/>
    <w:semiHidden/>
    <w:qFormat/>
    <w:uiPriority w:val="99"/>
    <w:rPr>
      <w:rFonts w:ascii="Times New Roman" w:hAnsi="Times New Roman"/>
      <w:szCs w:val="24"/>
    </w:rPr>
  </w:style>
  <w:style w:type="character" w:customStyle="1" w:styleId="22">
    <w:name w:val="正文文本 Char"/>
    <w:link w:val="5"/>
    <w:qFormat/>
    <w:locked/>
    <w:uiPriority w:val="99"/>
    <w:rPr>
      <w:rFonts w:ascii="仿宋_GB2312" w:hAnsi="Times New Roman" w:eastAsia="仿宋_GB2312"/>
      <w:sz w:val="24"/>
    </w:rPr>
  </w:style>
  <w:style w:type="paragraph" w:customStyle="1" w:styleId="23">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4">
    <w:name w:val="List Paragraph"/>
    <w:basedOn w:val="1"/>
    <w:qFormat/>
    <w:uiPriority w:val="34"/>
    <w:pPr>
      <w:ind w:firstLine="420" w:firstLineChars="200"/>
    </w:pPr>
  </w:style>
  <w:style w:type="character" w:customStyle="1" w:styleId="25">
    <w:name w:val="标题 1 Char"/>
    <w:basedOn w:val="14"/>
    <w:link w:val="3"/>
    <w:qFormat/>
    <w:uiPriority w:val="9"/>
    <w:rPr>
      <w:rFonts w:ascii="Times New Roman" w:hAnsi="Times New Roman"/>
      <w:b/>
      <w:bCs/>
      <w:kern w:val="44"/>
      <w:sz w:val="44"/>
      <w:szCs w:val="44"/>
    </w:rPr>
  </w:style>
  <w:style w:type="character" w:customStyle="1" w:styleId="26">
    <w:name w:val="标题 2 Char"/>
    <w:basedOn w:val="14"/>
    <w:link w:val="2"/>
    <w:qFormat/>
    <w:uiPriority w:val="9"/>
    <w:rPr>
      <w:rFonts w:asciiTheme="majorHAnsi" w:hAnsiTheme="majorHAnsi" w:eastAsiaTheme="majorEastAsia" w:cstheme="majorBidi"/>
      <w:b/>
      <w:bCs/>
      <w:kern w:val="2"/>
      <w:sz w:val="32"/>
      <w:szCs w:val="32"/>
    </w:rPr>
  </w:style>
  <w:style w:type="paragraph" w:customStyle="1" w:styleId="27">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8">
    <w:name w:val="批注框文本 Char"/>
    <w:basedOn w:val="14"/>
    <w:link w:val="7"/>
    <w:semiHidden/>
    <w:qFormat/>
    <w:uiPriority w:val="99"/>
    <w:rPr>
      <w:rFonts w:ascii="Times New Roman" w:hAnsi="Times New Roman"/>
      <w:kern w:val="2"/>
      <w:sz w:val="18"/>
      <w:szCs w:val="18"/>
    </w:rPr>
  </w:style>
  <w:style w:type="character" w:customStyle="1" w:styleId="29">
    <w:name w:val="标题 3 Char"/>
    <w:basedOn w:val="14"/>
    <w:link w:val="4"/>
    <w:qFormat/>
    <w:uiPriority w:val="9"/>
    <w:rPr>
      <w:rFonts w:ascii="Times New Roman" w:hAnsi="Times New Roman"/>
      <w:b/>
      <w:bCs/>
      <w:kern w:val="2"/>
      <w:sz w:val="32"/>
      <w:szCs w:val="32"/>
    </w:rPr>
  </w:style>
  <w:style w:type="paragraph" w:customStyle="1" w:styleId="30">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1">
    <w:name w:val="NormalCharacter"/>
    <w:semiHidden/>
    <w:qFormat/>
    <w:uiPriority w:val="0"/>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2.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5.xlsx"/></Relationships>
</file>

<file path=word/charts/_rels/chart3.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4.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package" Target="../embeddings/Workbook7.xlsx"/></Relationships>
</file>

<file path=word/charts/_rels/chart5.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6.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_rels/chart7.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package" Target="../embeddings/Workbook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manualLayout>
          <c:layoutTarget val="inner"/>
          <c:xMode val="edge"/>
          <c:yMode val="edge"/>
          <c:x val="0.0632218024824609"/>
          <c:y val="0.1232779587405"/>
          <c:w val="0.85355"/>
          <c:h val="0.709566666666667"/>
        </c:manualLayout>
      </c:layout>
      <c:barChart>
        <c:barDir val="col"/>
        <c:grouping val="clustered"/>
        <c:varyColors val="0"/>
        <c:ser>
          <c:idx val="0"/>
          <c:order val="0"/>
          <c:tx>
            <c:strRef>
              <c:f>Sheet1!$B$1</c:f>
              <c:strCache>
                <c:ptCount val="1"/>
                <c:pt idx="0">
                  <c:v>收、支决算总计变动情况图（单位：万元）</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2020年度支总计</c:v>
                </c:pt>
                <c:pt idx="1">
                  <c:v>2021年度收、支总计</c:v>
                </c:pt>
              </c:strCache>
            </c:strRef>
          </c:cat>
          <c:val>
            <c:numRef>
              <c:f>Sheet1!$B$2:$B$3</c:f>
              <c:numCache>
                <c:formatCode>General</c:formatCode>
                <c:ptCount val="2"/>
                <c:pt idx="0">
                  <c:v>1159.81</c:v>
                </c:pt>
                <c:pt idx="1">
                  <c:v>3054.07</c:v>
                </c:pt>
              </c:numCache>
            </c:numRef>
          </c:val>
        </c:ser>
        <c:dLbls>
          <c:showLegendKey val="0"/>
          <c:showVal val="0"/>
          <c:showCatName val="0"/>
          <c:showSerName val="0"/>
          <c:showPercent val="0"/>
          <c:showBubbleSize val="0"/>
        </c:dLbls>
        <c:gapWidth val="219"/>
        <c:overlap val="-27"/>
        <c:axId val="286498848"/>
        <c:axId val="286499240"/>
      </c:barChart>
      <c:catAx>
        <c:axId val="28649884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86499240"/>
        <c:crosses val="autoZero"/>
        <c:auto val="1"/>
        <c:lblAlgn val="ctr"/>
        <c:lblOffset val="100"/>
        <c:noMultiLvlLbl val="0"/>
      </c:catAx>
      <c:valAx>
        <c:axId val="2864992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8649884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收入决算结构图</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一般公共预算财政拨款收入</c:v>
                </c:pt>
                <c:pt idx="1">
                  <c:v>其他收入</c:v>
                </c:pt>
              </c:strCache>
            </c:strRef>
          </c:cat>
          <c:val>
            <c:numRef>
              <c:f>Sheet1!$B$2:$B$3</c:f>
              <c:numCache>
                <c:formatCode>General</c:formatCode>
                <c:ptCount val="2"/>
                <c:pt idx="0">
                  <c:v>2915.69</c:v>
                </c:pt>
                <c:pt idx="1">
                  <c:v>0.03</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0.2869375"/>
          <c:y val="0.922666666666667"/>
        </c:manualLayout>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支出决算结构图</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基本支出</c:v>
                </c:pt>
                <c:pt idx="1">
                  <c:v>项目支出</c:v>
                </c:pt>
              </c:strCache>
            </c:strRef>
          </c:cat>
          <c:val>
            <c:numRef>
              <c:f>Sheet1!$B$2:$B$3</c:f>
              <c:numCache>
                <c:formatCode>General</c:formatCode>
                <c:ptCount val="2"/>
                <c:pt idx="0">
                  <c:v>203.27</c:v>
                </c:pt>
                <c:pt idx="1">
                  <c:v>2712.23</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114106201864613"/>
          <c:y val="0.023231031543052"/>
        </c:manualLayout>
      </c:layout>
      <c:overlay val="0"/>
      <c:spPr>
        <a:noFill/>
        <a:ln>
          <a:noFill/>
        </a:ln>
        <a:effectLst/>
      </c:spPr>
      <c:txPr>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barChart>
        <c:barDir val="col"/>
        <c:grouping val="clustered"/>
        <c:varyColors val="0"/>
        <c:ser>
          <c:idx val="0"/>
          <c:order val="0"/>
          <c:tx>
            <c:strRef>
              <c:f>Sheet1!$B$1</c:f>
              <c:strCache>
                <c:ptCount val="1"/>
                <c:pt idx="0">
                  <c:v>财政拨款收、支决算总计变动情况（单位：万元）</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2020年财政拨款收、支总计</c:v>
                </c:pt>
                <c:pt idx="1">
                  <c:v>2021年财政拨款收、支总计</c:v>
                </c:pt>
              </c:strCache>
            </c:strRef>
          </c:cat>
          <c:val>
            <c:numRef>
              <c:f>Sheet1!$B$2:$B$3</c:f>
              <c:numCache>
                <c:formatCode>General</c:formatCode>
                <c:ptCount val="2"/>
                <c:pt idx="0">
                  <c:v>1051.94</c:v>
                </c:pt>
                <c:pt idx="1">
                  <c:v>2956.4</c:v>
                </c:pt>
              </c:numCache>
            </c:numRef>
          </c:val>
        </c:ser>
        <c:dLbls>
          <c:showLegendKey val="0"/>
          <c:showVal val="0"/>
          <c:showCatName val="0"/>
          <c:showSerName val="0"/>
          <c:showPercent val="0"/>
          <c:showBubbleSize val="0"/>
        </c:dLbls>
        <c:gapWidth val="219"/>
        <c:overlap val="-27"/>
        <c:axId val="361007424"/>
        <c:axId val="361007816"/>
      </c:barChart>
      <c:catAx>
        <c:axId val="36100742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61007816"/>
        <c:crosses val="autoZero"/>
        <c:auto val="1"/>
        <c:lblAlgn val="ctr"/>
        <c:lblOffset val="100"/>
        <c:noMultiLvlLbl val="0"/>
      </c:catAx>
      <c:valAx>
        <c:axId val="3610078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6100742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barChart>
        <c:barDir val="col"/>
        <c:grouping val="clustered"/>
        <c:varyColors val="0"/>
        <c:ser>
          <c:idx val="0"/>
          <c:order val="0"/>
          <c:tx>
            <c:strRef>
              <c:f>Sheet1!$B$1</c:f>
              <c:strCache>
                <c:ptCount val="1"/>
                <c:pt idx="0">
                  <c:v>一般公共预算财政拨款支出决算变动情况（单位：万元）</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2020年一般公共预算财政拨款支出</c:v>
                </c:pt>
                <c:pt idx="1">
                  <c:v>2021年一般公共预算财政拨款支出</c:v>
                </c:pt>
              </c:strCache>
            </c:strRef>
          </c:cat>
          <c:val>
            <c:numRef>
              <c:f>Sheet1!$B$2:$B$3</c:f>
              <c:numCache>
                <c:formatCode>General</c:formatCode>
                <c:ptCount val="2"/>
                <c:pt idx="0">
                  <c:v>208.97</c:v>
                </c:pt>
                <c:pt idx="1">
                  <c:v>203.27</c:v>
                </c:pt>
              </c:numCache>
            </c:numRef>
          </c:val>
        </c:ser>
        <c:dLbls>
          <c:showLegendKey val="0"/>
          <c:showVal val="0"/>
          <c:showCatName val="0"/>
          <c:showSerName val="0"/>
          <c:showPercent val="0"/>
          <c:showBubbleSize val="0"/>
        </c:dLbls>
        <c:gapWidth val="219"/>
        <c:overlap val="-27"/>
        <c:axId val="361008600"/>
        <c:axId val="278919384"/>
      </c:barChart>
      <c:catAx>
        <c:axId val="36100860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78919384"/>
        <c:crosses val="autoZero"/>
        <c:auto val="1"/>
        <c:lblAlgn val="ctr"/>
        <c:lblOffset val="100"/>
        <c:noMultiLvlLbl val="0"/>
      </c:catAx>
      <c:valAx>
        <c:axId val="2789193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6100860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一般公共预算财政拨款支出决算结构</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社会保障和就业（类）支出</c:v>
                </c:pt>
                <c:pt idx="1">
                  <c:v>卫生健康支出</c:v>
                </c:pt>
                <c:pt idx="2">
                  <c:v>自然资源海洋气象等支出</c:v>
                </c:pt>
                <c:pt idx="3">
                  <c:v>住房保障支出</c:v>
                </c:pt>
              </c:strCache>
            </c:strRef>
          </c:cat>
          <c:val>
            <c:numRef>
              <c:f>Sheet1!$B$2:$B$5</c:f>
              <c:numCache>
                <c:formatCode>General</c:formatCode>
                <c:ptCount val="4"/>
                <c:pt idx="0">
                  <c:v>15.74</c:v>
                </c:pt>
                <c:pt idx="1">
                  <c:v>7.87</c:v>
                </c:pt>
                <c:pt idx="2">
                  <c:v>158.63</c:v>
                </c:pt>
                <c:pt idx="3">
                  <c:v>16.8</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manualLayout>
          <c:layoutTarget val="inner"/>
          <c:xMode val="edge"/>
          <c:yMode val="edge"/>
          <c:x val="0.323445631333881"/>
          <c:y val="0.217365406643757"/>
          <c:w val="0.353108737332238"/>
          <c:h val="0.590698739977091"/>
        </c:manualLayout>
      </c:layout>
      <c:pieChart>
        <c:varyColors val="1"/>
        <c:ser>
          <c:idx val="0"/>
          <c:order val="0"/>
          <c:tx>
            <c:strRef>
              <c:f>Sheet1!$B$1</c:f>
              <c:strCache>
                <c:ptCount val="1"/>
                <c:pt idx="0">
                  <c:v>“三公”经费财政拨款支出结构</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dLbl>
              <c:idx val="2"/>
              <c:layout>
                <c:manualLayout>
                  <c:x val="-0.0198217020798606"/>
                  <c:y val="0.00236173686758923"/>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因公出国（境）费支出</c:v>
                </c:pt>
                <c:pt idx="1">
                  <c:v>公务用车购置及运行维护费支出</c:v>
                </c:pt>
                <c:pt idx="2">
                  <c:v>公务接待费支出决算</c:v>
                </c:pt>
              </c:strCache>
            </c:strRef>
          </c:cat>
          <c:val>
            <c:numRef>
              <c:f>Sheet1!$B$2:$B$4</c:f>
              <c:numCache>
                <c:formatCode>General</c:formatCode>
                <c:ptCount val="3"/>
                <c:pt idx="0">
                  <c:v>0</c:v>
                </c:pt>
                <c:pt idx="1">
                  <c:v>0</c:v>
                </c:pt>
                <c:pt idx="2">
                  <c:v>0</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四川省财政厅</Company>
  <Pages>23</Pages>
  <Words>7867</Words>
  <Characters>8298</Characters>
  <Lines>62</Lines>
  <Paragraphs>17</Paragraphs>
  <TotalTime>28</TotalTime>
  <ScaleCrop>false</ScaleCrop>
  <LinksUpToDate>false</LinksUpToDate>
  <CharactersWithSpaces>8394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WPS_1466565073</cp:lastModifiedBy>
  <cp:lastPrinted>2022-08-06T02:23:00Z</cp:lastPrinted>
  <dcterms:modified xsi:type="dcterms:W3CDTF">2023-06-27T00:51:45Z</dcterms:modified>
  <dc:title>四川省***</dc:title>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18C4299B72334D3095585539B3212D20</vt:lpwstr>
  </property>
</Properties>
</file>