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32"/>
          <w:szCs w:val="32"/>
        </w:rPr>
      </w:pPr>
    </w:p>
    <w:p>
      <w:pPr>
        <w:adjustRightInd w:val="0"/>
        <w:snapToGrid w:val="0"/>
        <w:spacing w:line="700" w:lineRule="exact"/>
        <w:jc w:val="center"/>
        <w:outlineLvl w:val="0"/>
        <w:rPr>
          <w:rFonts w:ascii="方正小标宋_GBK" w:hAnsi="宋体" w:eastAsia="方正小标宋_GBK"/>
          <w:color w:val="000000"/>
          <w:sz w:val="48"/>
          <w:szCs w:val="48"/>
        </w:rPr>
      </w:pPr>
      <w:bookmarkStart w:id="1" w:name="_Toc15377193"/>
      <w:bookmarkStart w:id="2" w:name="_Toc15378441"/>
      <w:bookmarkStart w:id="3" w:name="_Toc15377425"/>
      <w:bookmarkStart w:id="4" w:name="_Toc15396475"/>
      <w:bookmarkStart w:id="5" w:name="_Toc15396597"/>
      <w:r>
        <w:rPr>
          <w:rFonts w:ascii="方正小标宋_GBK" w:hAnsi="黑体" w:eastAsia="方正小标宋_GBK" w:cs="方正小标宋_GBK"/>
          <w:color w:val="000000"/>
          <w:sz w:val="48"/>
          <w:szCs w:val="48"/>
        </w:rPr>
        <w:t>20</w:t>
      </w:r>
      <w:r>
        <w:rPr>
          <w:rFonts w:hint="eastAsia" w:ascii="方正小标宋_GBK" w:hAnsi="黑体" w:eastAsia="方正小标宋_GBK" w:cs="方正小标宋_GBK"/>
          <w:color w:val="000000"/>
          <w:sz w:val="48"/>
          <w:szCs w:val="48"/>
          <w:lang w:val="en-US" w:eastAsia="zh-CN"/>
        </w:rPr>
        <w:t>20</w:t>
      </w:r>
      <w:r>
        <w:rPr>
          <w:rFonts w:hint="eastAsia" w:ascii="方正小标宋_GBK" w:hAnsi="宋体" w:eastAsia="方正小标宋_GBK" w:cs="方正小标宋_GBK"/>
          <w:color w:val="000000"/>
          <w:sz w:val="48"/>
          <w:szCs w:val="48"/>
        </w:rPr>
        <w:t>年度</w:t>
      </w:r>
      <w:bookmarkEnd w:id="1"/>
      <w:bookmarkEnd w:id="2"/>
      <w:bookmarkEnd w:id="3"/>
      <w:bookmarkEnd w:id="4"/>
      <w:bookmarkEnd w:id="5"/>
    </w:p>
    <w:p>
      <w:pPr>
        <w:adjustRightInd w:val="0"/>
        <w:snapToGrid w:val="0"/>
        <w:spacing w:line="700" w:lineRule="exact"/>
        <w:jc w:val="center"/>
        <w:outlineLvl w:val="0"/>
        <w:rPr>
          <w:rFonts w:hint="eastAsia" w:ascii="方正小标宋_GBK" w:hAnsi="宋体" w:eastAsia="方正小标宋_GBK" w:cs="方正小标宋_GBK"/>
          <w:color w:val="000000"/>
          <w:sz w:val="48"/>
          <w:szCs w:val="48"/>
        </w:rPr>
      </w:pPr>
      <w:bookmarkStart w:id="6" w:name="_Toc15396476"/>
      <w:bookmarkStart w:id="7" w:name="_Toc15378442"/>
      <w:bookmarkStart w:id="8" w:name="_Toc15377426"/>
      <w:bookmarkStart w:id="9" w:name="_Toc15396598"/>
      <w:bookmarkStart w:id="10" w:name="_Toc15377194"/>
      <w:r>
        <w:rPr>
          <w:rFonts w:hint="eastAsia" w:ascii="方正小标宋_GBK" w:hAnsi="宋体" w:eastAsia="方正小标宋_GBK" w:cs="方正小标宋_GBK"/>
          <w:color w:val="000000"/>
          <w:sz w:val="48"/>
          <w:szCs w:val="48"/>
        </w:rPr>
        <w:t>广元市</w:t>
      </w:r>
      <w:bookmarkEnd w:id="0"/>
      <w:bookmarkStart w:id="11" w:name="_Toc15306268"/>
      <w:r>
        <w:rPr>
          <w:rFonts w:hint="eastAsia" w:ascii="方正小标宋_GBK" w:hAnsi="宋体" w:eastAsia="方正小标宋_GBK" w:cs="方正小标宋_GBK"/>
          <w:color w:val="000000"/>
          <w:sz w:val="48"/>
          <w:szCs w:val="48"/>
          <w:lang w:eastAsia="zh-CN"/>
        </w:rPr>
        <w:t>自然资源储备交易中心</w:t>
      </w:r>
      <w:r>
        <w:rPr>
          <w:rFonts w:hint="eastAsia" w:ascii="方正小标宋_GBK" w:hAnsi="宋体" w:eastAsia="方正小标宋_GBK" w:cs="方正小标宋_GBK"/>
          <w:color w:val="000000"/>
          <w:sz w:val="48"/>
          <w:szCs w:val="48"/>
        </w:rPr>
        <w:t>部门决算</w:t>
      </w:r>
      <w:bookmarkEnd w:id="6"/>
      <w:bookmarkEnd w:id="7"/>
      <w:bookmarkEnd w:id="8"/>
      <w:bookmarkEnd w:id="9"/>
      <w:bookmarkEnd w:id="10"/>
      <w:bookmarkEnd w:id="11"/>
    </w:p>
    <w:p>
      <w:pPr>
        <w:adjustRightInd w:val="0"/>
        <w:snapToGrid w:val="0"/>
        <w:spacing w:line="700" w:lineRule="exact"/>
        <w:jc w:val="center"/>
        <w:outlineLvl w:val="0"/>
        <w:rPr>
          <w:rFonts w:hint="eastAsia" w:ascii="方正小标宋_GBK" w:hAnsi="宋体" w:eastAsia="方正小标宋_GBK"/>
          <w:color w:val="000000"/>
          <w:sz w:val="48"/>
          <w:szCs w:val="48"/>
          <w:lang w:eastAsia="zh-CN"/>
        </w:rPr>
      </w:pPr>
      <w:r>
        <w:rPr>
          <w:rFonts w:hint="eastAsia" w:ascii="方正小标宋_GBK" w:hAnsi="宋体" w:eastAsia="方正小标宋_GBK" w:cs="方正小标宋_GBK"/>
          <w:color w:val="000000"/>
          <w:sz w:val="48"/>
          <w:szCs w:val="48"/>
          <w:lang w:eastAsia="zh-CN"/>
        </w:rPr>
        <w:t>编制说明</w:t>
      </w:r>
    </w:p>
    <w:p>
      <w:pPr>
        <w:adjustRightInd w:val="0"/>
        <w:snapToGrid w:val="0"/>
        <w:spacing w:line="360" w:lineRule="auto"/>
        <w:jc w:val="center"/>
        <w:outlineLvl w:val="0"/>
        <w:rPr>
          <w:rFonts w:ascii="方正小标宋简体" w:hAnsi="宋体" w:eastAsia="方正小标宋简体"/>
          <w:b/>
          <w:bCs/>
          <w:color w:val="000000"/>
          <w:sz w:val="48"/>
          <w:szCs w:val="48"/>
        </w:rPr>
      </w:pPr>
    </w:p>
    <w:p>
      <w:pPr>
        <w:adjustRightInd w:val="0"/>
        <w:snapToGrid w:val="0"/>
        <w:spacing w:line="360" w:lineRule="auto"/>
        <w:jc w:val="center"/>
        <w:outlineLvl w:val="0"/>
        <w:rPr>
          <w:rFonts w:ascii="方正小标宋简体" w:hAnsi="宋体" w:eastAsia="方正小标宋简体"/>
          <w:b/>
          <w:bCs/>
          <w:color w:val="000000"/>
          <w:sz w:val="48"/>
          <w:szCs w:val="48"/>
        </w:rPr>
      </w:pPr>
    </w:p>
    <w:p>
      <w:pPr>
        <w:adjustRightInd w:val="0"/>
        <w:snapToGrid w:val="0"/>
        <w:spacing w:line="360" w:lineRule="auto"/>
        <w:jc w:val="center"/>
        <w:outlineLvl w:val="0"/>
        <w:rPr>
          <w:rFonts w:ascii="方正小标宋简体" w:hAnsi="宋体" w:eastAsia="方正小标宋简体"/>
          <w:b/>
          <w:bCs/>
          <w:color w:val="000000"/>
          <w:sz w:val="52"/>
          <w:szCs w:val="52"/>
        </w:rPr>
      </w:pPr>
    </w:p>
    <w:p>
      <w:pPr>
        <w:widowControl/>
        <w:jc w:val="center"/>
        <w:rPr>
          <w:rFonts w:hint="eastAsia" w:ascii="黑体" w:hAnsi="黑体" w:eastAsia="黑体" w:cs="黑体"/>
          <w:color w:val="000000"/>
          <w:sz w:val="36"/>
          <w:szCs w:val="36"/>
        </w:rPr>
      </w:pPr>
      <w:r>
        <w:rPr>
          <w:rFonts w:ascii="方正小标宋简体" w:hAnsi="宋体" w:eastAsia="方正小标宋简体"/>
          <w:color w:val="000000"/>
          <w:sz w:val="36"/>
          <w:szCs w:val="36"/>
        </w:rPr>
        <w:br w:type="page"/>
      </w:r>
      <w:r>
        <w:rPr>
          <w:rFonts w:hint="eastAsia" w:asciiTheme="majorEastAsia" w:hAnsiTheme="majorEastAsia" w:eastAsiaTheme="majorEastAsia" w:cstheme="majorEastAsia"/>
          <w:b/>
          <w:bCs/>
          <w:color w:val="000000"/>
          <w:sz w:val="36"/>
          <w:szCs w:val="36"/>
        </w:rPr>
        <w:t>目    录</w:t>
      </w:r>
    </w:p>
    <w:p>
      <w:pPr>
        <w:widowControl/>
        <w:jc w:val="center"/>
        <w:rPr>
          <w:rFonts w:hint="eastAsia" w:asciiTheme="minorEastAsia" w:hAnsiTheme="minorEastAsia" w:eastAsiaTheme="minorEastAsia" w:cstheme="minorEastAsia"/>
          <w:b w:val="0"/>
          <w:bCs w:val="0"/>
          <w:color w:val="000000"/>
          <w:sz w:val="30"/>
          <w:szCs w:val="30"/>
          <w:lang w:eastAsia="zh-CN"/>
        </w:rPr>
      </w:pPr>
      <w:r>
        <w:rPr>
          <w:rFonts w:hint="eastAsia" w:asciiTheme="minorEastAsia" w:hAnsiTheme="minorEastAsia" w:eastAsiaTheme="minorEastAsia" w:cstheme="minorEastAsia"/>
          <w:b w:val="0"/>
          <w:bCs w:val="0"/>
          <w:color w:val="000000"/>
          <w:sz w:val="30"/>
          <w:szCs w:val="30"/>
          <w:lang w:eastAsia="zh-CN"/>
        </w:rPr>
        <w:t>（公开时间：</w:t>
      </w:r>
      <w:r>
        <w:rPr>
          <w:rFonts w:hint="eastAsia" w:asciiTheme="minorEastAsia" w:hAnsiTheme="minorEastAsia" w:eastAsiaTheme="minorEastAsia" w:cstheme="minorEastAsia"/>
          <w:b w:val="0"/>
          <w:bCs w:val="0"/>
          <w:color w:val="000000"/>
          <w:sz w:val="30"/>
          <w:szCs w:val="30"/>
          <w:lang w:val="en-US" w:eastAsia="zh-CN"/>
        </w:rPr>
        <w:t>2021年9月29日</w:t>
      </w:r>
      <w:r>
        <w:rPr>
          <w:rFonts w:hint="eastAsia" w:asciiTheme="minorEastAsia" w:hAnsiTheme="minorEastAsia" w:eastAsiaTheme="minorEastAsia" w:cstheme="minorEastAsia"/>
          <w:b w:val="0"/>
          <w:bCs w:val="0"/>
          <w:color w:val="000000"/>
          <w:sz w:val="30"/>
          <w:szCs w:val="30"/>
          <w:lang w:eastAsia="zh-CN"/>
        </w:rPr>
        <w:t>）</w:t>
      </w:r>
    </w:p>
    <w:p/>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第一部分 部门概况</w:t>
      </w:r>
    </w:p>
    <w:p>
      <w:pPr>
        <w:pStyle w:val="11"/>
        <w:adjustRightInd w:val="0"/>
        <w:snapToGrid w:val="0"/>
        <w:spacing w:line="380" w:lineRule="exact"/>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一、基本职能及主要</w:t>
      </w:r>
      <w:r>
        <w:rPr>
          <w:rFonts w:hint="eastAsia" w:asciiTheme="minorEastAsia" w:hAnsiTheme="minorEastAsia" w:eastAsiaTheme="minorEastAsia" w:cstheme="minorEastAsia"/>
          <w:sz w:val="28"/>
          <w:szCs w:val="28"/>
          <w:lang w:eastAsia="zh-CN"/>
        </w:rPr>
        <w:t>工</w:t>
      </w:r>
      <w:r>
        <w:rPr>
          <w:rFonts w:hint="eastAsia" w:asciiTheme="minorEastAsia" w:hAnsiTheme="minorEastAsia" w:eastAsiaTheme="minorEastAsia" w:cstheme="minorEastAsia"/>
          <w:sz w:val="28"/>
          <w:szCs w:val="28"/>
        </w:rPr>
        <w:t>作…………………………………………………</w:t>
      </w:r>
      <w:r>
        <w:rPr>
          <w:rFonts w:hint="eastAsia" w:asciiTheme="minorEastAsia" w:hAnsiTheme="minorEastAsia" w:eastAsiaTheme="minorEastAsia" w:cstheme="minorEastAsia"/>
          <w:sz w:val="28"/>
          <w:szCs w:val="28"/>
          <w:lang w:val="en-US" w:eastAsia="zh-CN"/>
        </w:rPr>
        <w:t>4</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二、机构设置………………………………………………………………</w:t>
      </w:r>
      <w:r>
        <w:rPr>
          <w:rFonts w:hint="eastAsia" w:asciiTheme="minorEastAsia" w:hAnsiTheme="minorEastAsia" w:eastAsiaTheme="minorEastAsia" w:cstheme="minorEastAsia"/>
          <w:sz w:val="28"/>
          <w:szCs w:val="28"/>
          <w:lang w:val="en-US" w:eastAsia="zh-CN"/>
        </w:rPr>
        <w:t>7</w:t>
      </w:r>
    </w:p>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第二部分 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年度部门决算情况说明</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一、收入支出决算总体情况说明…………………………………………</w:t>
      </w:r>
      <w:r>
        <w:rPr>
          <w:rFonts w:hint="eastAsia" w:asciiTheme="minorEastAsia" w:hAnsiTheme="minorEastAsia" w:eastAsiaTheme="minorEastAsia" w:cstheme="minorEastAsia"/>
          <w:sz w:val="28"/>
          <w:szCs w:val="28"/>
          <w:lang w:val="en-US" w:eastAsia="zh-CN"/>
        </w:rPr>
        <w:t>8</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二、收入决算情况说明……………………………………………………</w:t>
      </w:r>
      <w:r>
        <w:rPr>
          <w:rFonts w:hint="eastAsia" w:asciiTheme="minorEastAsia" w:hAnsiTheme="minorEastAsia" w:eastAsiaTheme="minorEastAsia" w:cstheme="minorEastAsia"/>
          <w:sz w:val="28"/>
          <w:szCs w:val="28"/>
          <w:lang w:val="en-US" w:eastAsia="zh-CN"/>
        </w:rPr>
        <w:t>8</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三、支出决算情况说明……………………………………………………</w:t>
      </w:r>
      <w:r>
        <w:rPr>
          <w:rFonts w:hint="eastAsia" w:asciiTheme="minorEastAsia" w:hAnsiTheme="minorEastAsia" w:eastAsiaTheme="minorEastAsia" w:cstheme="minorEastAsia"/>
          <w:sz w:val="28"/>
          <w:szCs w:val="28"/>
          <w:lang w:val="en-US" w:eastAsia="zh-CN"/>
        </w:rPr>
        <w:t>8</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四、财政拨款收入支出决算总体情况说明………………………………</w:t>
      </w:r>
      <w:r>
        <w:rPr>
          <w:rFonts w:hint="eastAsia" w:asciiTheme="minorEastAsia" w:hAnsiTheme="minorEastAsia" w:eastAsiaTheme="minorEastAsia" w:cstheme="minorEastAsia"/>
          <w:sz w:val="28"/>
          <w:szCs w:val="28"/>
          <w:lang w:val="en-US" w:eastAsia="zh-CN"/>
        </w:rPr>
        <w:t>8</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五、一般公共预算财政拨款支出决算情况说明…………………………</w:t>
      </w:r>
      <w:r>
        <w:rPr>
          <w:rFonts w:hint="eastAsia" w:asciiTheme="minorEastAsia" w:hAnsiTheme="minorEastAsia" w:eastAsiaTheme="minorEastAsia" w:cstheme="minorEastAsia"/>
          <w:sz w:val="28"/>
          <w:szCs w:val="28"/>
          <w:lang w:val="en-US" w:eastAsia="zh-CN"/>
        </w:rPr>
        <w:t>8</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六、一般公共预算财政拨款基本支出决算情况说明……………………</w:t>
      </w:r>
      <w:r>
        <w:rPr>
          <w:rFonts w:hint="eastAsia" w:asciiTheme="minorEastAsia" w:hAnsiTheme="minorEastAsia" w:eastAsiaTheme="minorEastAsia" w:cstheme="minorEastAsia"/>
          <w:sz w:val="28"/>
          <w:szCs w:val="28"/>
          <w:lang w:val="en-US" w:eastAsia="zh-CN"/>
        </w:rPr>
        <w:t>9</w:t>
      </w:r>
    </w:p>
    <w:p>
      <w:pPr>
        <w:pStyle w:val="11"/>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七、“三公”经费财政拨款支出决算情况说明……………………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10</w:t>
      </w:r>
    </w:p>
    <w:p>
      <w:pPr>
        <w:pStyle w:val="11"/>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八、政府性基金预算支出决算情况说明…………………………………</w:t>
      </w:r>
      <w:r>
        <w:rPr>
          <w:rFonts w:hint="eastAsia" w:asciiTheme="minorEastAsia" w:hAnsiTheme="minorEastAsia" w:eastAsiaTheme="minorEastAsia" w:cstheme="minorEastAsia"/>
          <w:sz w:val="28"/>
          <w:szCs w:val="28"/>
          <w:lang w:val="en-US" w:eastAsia="zh-CN"/>
        </w:rPr>
        <w:t>11</w:t>
      </w:r>
    </w:p>
    <w:p>
      <w:pPr>
        <w:pStyle w:val="11"/>
        <w:adjustRightInd w:val="0"/>
        <w:snapToGrid w:val="0"/>
        <w:spacing w:line="380" w:lineRule="exact"/>
        <w:ind w:leftChars="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九、 国有资本经营预算支出决算情况说明……………………………</w:t>
      </w:r>
      <w:r>
        <w:rPr>
          <w:rFonts w:hint="eastAsia" w:asciiTheme="minorEastAsia" w:hAnsiTheme="minorEastAsia" w:eastAsiaTheme="minorEastAsia" w:cstheme="minorEastAsia"/>
          <w:sz w:val="28"/>
          <w:szCs w:val="28"/>
          <w:lang w:val="en-US" w:eastAsia="zh-CN"/>
        </w:rPr>
        <w:t>11</w:t>
      </w:r>
    </w:p>
    <w:p>
      <w:pPr>
        <w:adjustRightInd w:val="0"/>
        <w:snapToGrid w:val="0"/>
        <w:spacing w:line="380" w:lineRule="exact"/>
        <w:ind w:firstLine="560" w:firstLineChars="200"/>
        <w:jc w:val="left"/>
        <w:rPr>
          <w:rFonts w:hint="default" w:asciiTheme="minorEastAsia" w:hAnsiTheme="minorEastAsia" w:eastAsiaTheme="minorEastAsia" w:cstheme="minorEastAsia"/>
          <w:sz w:val="28"/>
          <w:szCs w:val="28"/>
          <w:lang w:val="en-US" w:eastAsia="zh-CN"/>
        </w:rPr>
      </w:pPr>
      <w:r>
        <w:rPr>
          <w:rStyle w:val="16"/>
          <w:rFonts w:hint="eastAsia" w:asciiTheme="minorEastAsia" w:hAnsiTheme="minorEastAsia" w:eastAsiaTheme="minorEastAsia" w:cstheme="minorEastAsia"/>
          <w:color w:val="000000"/>
          <w:sz w:val="28"/>
          <w:szCs w:val="28"/>
          <w:u w:val="none"/>
        </w:rPr>
        <w:t>十、</w:t>
      </w:r>
      <w:r>
        <w:rPr>
          <w:rFonts w:hint="eastAsia" w:asciiTheme="minorEastAsia" w:hAnsiTheme="minorEastAsia" w:eastAsiaTheme="minorEastAsia" w:cstheme="minorEastAsia"/>
          <w:sz w:val="28"/>
          <w:szCs w:val="28"/>
        </w:rPr>
        <w:t>其他重要事项的情况说明…………………………………………</w:t>
      </w:r>
      <w:r>
        <w:rPr>
          <w:rFonts w:hint="eastAsia" w:asciiTheme="minorEastAsia" w:hAnsiTheme="minorEastAsia" w:eastAsiaTheme="minorEastAsia" w:cstheme="minorEastAsia"/>
          <w:sz w:val="28"/>
          <w:szCs w:val="28"/>
          <w:lang w:val="en-US" w:eastAsia="zh-CN"/>
        </w:rPr>
        <w:t>11</w:t>
      </w:r>
    </w:p>
    <w:p>
      <w:pPr>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2"/>
          <w:sz w:val="28"/>
          <w:szCs w:val="28"/>
          <w:lang w:val="en-US" w:eastAsia="zh-CN" w:bidi="ar-SA"/>
        </w:rPr>
        <w:t>第三部分 名词解释…</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13</w:t>
      </w:r>
    </w:p>
    <w:p>
      <w:pPr>
        <w:pStyle w:val="10"/>
        <w:rPr>
          <w:rFonts w:hint="eastAsia" w:asciiTheme="minorEastAsia" w:hAnsiTheme="minorEastAsia" w:eastAsiaTheme="minorEastAsia" w:cstheme="minorEastAsia"/>
          <w:sz w:val="28"/>
          <w:szCs w:val="28"/>
        </w:rPr>
      </w:pPr>
    </w:p>
    <w:p>
      <w:pPr>
        <w:adjustRightInd w:val="0"/>
        <w:snapToGrid w:val="0"/>
        <w:spacing w:line="380" w:lineRule="exact"/>
        <w:jc w:val="left"/>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kern w:val="2"/>
          <w:sz w:val="28"/>
          <w:szCs w:val="28"/>
          <w:lang w:val="en-US" w:eastAsia="zh-CN" w:bidi="ar-SA"/>
        </w:rPr>
        <w:t>第四部分 附件…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16</w:t>
      </w:r>
    </w:p>
    <w:p>
      <w:pPr>
        <w:pStyle w:val="11"/>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16</w:t>
      </w:r>
    </w:p>
    <w:p>
      <w:pPr>
        <w:pStyle w:val="1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第五部分 附表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一、收入支出决算总表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二、收入决算表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四、财政拨款收入支出决算总表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五、财政拨款支出决算明细表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六、一般公共预算财政拨款支出决算表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七、一般公共预算财政拨款支出决算明细表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八、一般公共预算财政拨款基本支出决算表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九、一般公共预算财政拨款项目支出决算表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十、一般公共预算财政拨款“三公”经费支出决算表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十一、政府性基金预算财政拨款收入支出决算表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十二、政府性基金预算财政拨款“三公”经费支出决算表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十三、国有资本经营预算财政拨款收入支出决算表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十四、国有资本经营预算财政拨款支出决算表</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widowControl/>
        <w:spacing w:line="440" w:lineRule="exact"/>
        <w:jc w:val="left"/>
        <w:rPr>
          <w:rFonts w:ascii="仿宋" w:hAnsi="仿宋" w:eastAsia="仿宋"/>
          <w:kern w:val="44"/>
          <w:sz w:val="24"/>
          <w:szCs w:val="24"/>
        </w:rPr>
      </w:pPr>
      <w:bookmarkStart w:id="12" w:name="_Toc15377196"/>
      <w:bookmarkStart w:id="13" w:name="_Toc15396599"/>
    </w:p>
    <w:p>
      <w:pPr>
        <w:widowControl/>
        <w:spacing w:line="440" w:lineRule="exact"/>
        <w:jc w:val="left"/>
        <w:rPr>
          <w:rFonts w:ascii="仿宋" w:hAnsi="仿宋" w:eastAsia="仿宋"/>
          <w:kern w:val="44"/>
          <w:sz w:val="24"/>
          <w:szCs w:val="24"/>
        </w:rPr>
      </w:pPr>
    </w:p>
    <w:p>
      <w:pPr>
        <w:widowControl/>
        <w:spacing w:line="440" w:lineRule="exact"/>
        <w:jc w:val="left"/>
        <w:rPr>
          <w:rFonts w:ascii="仿宋" w:hAnsi="仿宋" w:eastAsia="仿宋"/>
          <w:kern w:val="44"/>
          <w:sz w:val="24"/>
          <w:szCs w:val="24"/>
        </w:rPr>
      </w:pPr>
    </w:p>
    <w:p>
      <w:pPr>
        <w:pStyle w:val="2"/>
        <w:jc w:val="center"/>
        <w:rPr>
          <w:rStyle w:val="17"/>
          <w:rFonts w:ascii="方正小标宋_GBK" w:hAnsi="黑体" w:eastAsia="方正小标宋_GBK"/>
          <w:b/>
          <w:bCs/>
          <w:sz w:val="40"/>
          <w:szCs w:val="40"/>
        </w:rPr>
      </w:pPr>
      <w:r>
        <w:rPr>
          <w:rFonts w:hint="eastAsia" w:ascii="方正小标宋_GBK" w:hAnsi="黑体" w:eastAsia="方正小标宋_GBK" w:cs="方正小标宋_GBK"/>
          <w:b w:val="0"/>
          <w:bCs w:val="0"/>
          <w:sz w:val="40"/>
          <w:szCs w:val="40"/>
        </w:rPr>
        <w:t>第一部分</w:t>
      </w:r>
      <w:r>
        <w:rPr>
          <w:rFonts w:ascii="方正小标宋_GBK" w:hAnsi="黑体" w:eastAsia="方正小标宋_GBK" w:cs="方正小标宋_GBK"/>
          <w:b w:val="0"/>
          <w:bCs w:val="0"/>
          <w:sz w:val="40"/>
          <w:szCs w:val="40"/>
        </w:rPr>
        <w:t xml:space="preserve"> </w:t>
      </w:r>
      <w:r>
        <w:rPr>
          <w:rStyle w:val="17"/>
          <w:rFonts w:hint="eastAsia" w:ascii="方正小标宋_GBK" w:hAnsi="黑体" w:eastAsia="方正小标宋_GBK" w:cs="方正小标宋_GBK"/>
          <w:b w:val="0"/>
          <w:bCs w:val="0"/>
          <w:sz w:val="40"/>
          <w:szCs w:val="40"/>
        </w:rPr>
        <w:t>部门概况</w:t>
      </w:r>
      <w:bookmarkEnd w:id="12"/>
      <w:bookmarkEnd w:id="13"/>
    </w:p>
    <w:p>
      <w:pPr>
        <w:pStyle w:val="3"/>
        <w:spacing w:before="0" w:after="0" w:line="500" w:lineRule="exact"/>
        <w:rPr>
          <w:rStyle w:val="18"/>
          <w:rFonts w:hint="eastAsia" w:ascii="黑体" w:hAnsi="黑体" w:eastAsia="黑体" w:cs="黑体"/>
          <w:b w:val="0"/>
          <w:bCs w:val="0"/>
          <w:sz w:val="30"/>
          <w:szCs w:val="30"/>
        </w:rPr>
      </w:pPr>
      <w:bookmarkStart w:id="14" w:name="_Toc15396600"/>
      <w:bookmarkStart w:id="15" w:name="_Toc15377197"/>
      <w:r>
        <w:rPr>
          <w:rFonts w:ascii="黑体" w:hAnsi="黑体" w:eastAsia="黑体" w:cs="黑体"/>
          <w:b w:val="0"/>
          <w:bCs w:val="0"/>
          <w:color w:val="000000"/>
        </w:rPr>
        <w:t xml:space="preserve"> </w:t>
      </w:r>
      <w:r>
        <w:rPr>
          <w:rFonts w:hint="eastAsia" w:ascii="黑体" w:hAnsi="黑体" w:eastAsia="黑体" w:cs="黑体"/>
          <w:b w:val="0"/>
          <w:bCs w:val="0"/>
          <w:color w:val="000000"/>
          <w:sz w:val="30"/>
          <w:szCs w:val="30"/>
        </w:rPr>
        <w:t>一、基</w:t>
      </w:r>
      <w:r>
        <w:rPr>
          <w:rStyle w:val="18"/>
          <w:rFonts w:hint="eastAsia" w:ascii="黑体" w:hAnsi="黑体" w:eastAsia="黑体" w:cs="黑体"/>
          <w:b w:val="0"/>
          <w:bCs w:val="0"/>
          <w:sz w:val="30"/>
          <w:szCs w:val="30"/>
        </w:rPr>
        <w:t>本职能及主要工作</w:t>
      </w:r>
      <w:bookmarkEnd w:id="14"/>
      <w:bookmarkEnd w:id="15"/>
    </w:p>
    <w:p>
      <w:pPr>
        <w:spacing w:line="560" w:lineRule="exact"/>
        <w:rPr>
          <w:rFonts w:hint="eastAsia" w:ascii="黑体" w:hAnsi="黑体" w:eastAsia="黑体" w:cs="黑体"/>
          <w:b w:val="0"/>
          <w:bCs w:val="0"/>
          <w:color w:val="000000"/>
          <w:kern w:val="2"/>
          <w:sz w:val="30"/>
          <w:szCs w:val="30"/>
          <w:lang w:val="en-US" w:eastAsia="zh-CN" w:bidi="ar-SA"/>
        </w:rPr>
      </w:pPr>
      <w:bookmarkStart w:id="16" w:name="_Toc15378445"/>
      <w:bookmarkStart w:id="17" w:name="_Toc15377198"/>
      <w:r>
        <w:rPr>
          <w:rFonts w:hint="eastAsia" w:ascii="黑体" w:hAnsi="黑体" w:eastAsia="黑体" w:cs="黑体"/>
          <w:b w:val="0"/>
          <w:bCs w:val="0"/>
          <w:color w:val="000000"/>
          <w:kern w:val="2"/>
          <w:sz w:val="30"/>
          <w:szCs w:val="30"/>
          <w:lang w:val="en-US" w:eastAsia="zh-CN" w:bidi="ar-SA"/>
        </w:rPr>
        <w:t>（一）基本职能</w:t>
      </w:r>
      <w:bookmarkEnd w:id="16"/>
      <w:bookmarkEnd w:id="17"/>
    </w:p>
    <w:p>
      <w:pPr>
        <w:spacing w:line="540" w:lineRule="exact"/>
        <w:ind w:firstLine="640" w:firstLineChars="200"/>
        <w:rPr>
          <w:rFonts w:hint="default" w:ascii="仿宋_GB2312" w:eastAsia="仿宋_GB2312"/>
          <w:sz w:val="32"/>
          <w:szCs w:val="32"/>
          <w:lang w:val="en-US" w:eastAsia="zh-CN"/>
        </w:rPr>
      </w:pPr>
      <w:bookmarkStart w:id="18" w:name="_Toc15378446"/>
      <w:bookmarkStart w:id="19" w:name="_Toc15377199"/>
      <w:r>
        <w:rPr>
          <w:rFonts w:hint="eastAsia" w:ascii="仿宋_GB2312" w:eastAsia="仿宋_GB2312"/>
          <w:sz w:val="32"/>
          <w:szCs w:val="32"/>
          <w:lang w:val="en-US" w:eastAsia="zh-CN"/>
        </w:rPr>
        <w:t>负责编制市本级土地储备计划并实施；负责储备土地实施前期开发和管护；配合土地储备专项债券发行工作；承担国有建设用地供应事务性工作；负责国有建设用地二级市场相关工作。</w:t>
      </w:r>
    </w:p>
    <w:p>
      <w:pPr>
        <w:spacing w:line="560" w:lineRule="exact"/>
        <w:rPr>
          <w:rFonts w:hint="eastAsia" w:ascii="黑体" w:hAnsi="黑体" w:eastAsia="黑体" w:cs="黑体"/>
          <w:b w:val="0"/>
          <w:bCs w:val="0"/>
          <w:color w:val="000000"/>
          <w:kern w:val="2"/>
          <w:sz w:val="30"/>
          <w:szCs w:val="30"/>
          <w:lang w:val="en-US" w:eastAsia="zh-CN" w:bidi="ar-SA"/>
        </w:rPr>
      </w:pPr>
      <w:r>
        <w:rPr>
          <w:rFonts w:hint="eastAsia" w:ascii="黑体" w:hAnsi="黑体" w:eastAsia="黑体" w:cs="黑体"/>
          <w:b w:val="0"/>
          <w:bCs w:val="0"/>
          <w:color w:val="000000"/>
          <w:kern w:val="2"/>
          <w:sz w:val="30"/>
          <w:szCs w:val="30"/>
          <w:lang w:val="en-US" w:eastAsia="zh-CN" w:bidi="ar-SA"/>
        </w:rPr>
        <w:t>（二）2020年重点工作完成情况</w:t>
      </w:r>
    </w:p>
    <w:bookmarkEnd w:id="18"/>
    <w:bookmarkEnd w:id="19"/>
    <w:p>
      <w:pPr>
        <w:ind w:firstLine="640" w:firstLineChars="200"/>
        <w:rPr>
          <w:rFonts w:ascii="楷体" w:hAnsi="楷体" w:eastAsia="楷体" w:cs="楷体"/>
          <w:sz w:val="32"/>
          <w:szCs w:val="32"/>
        </w:rPr>
      </w:pPr>
      <w:bookmarkStart w:id="20" w:name="_Toc15377200"/>
      <w:bookmarkStart w:id="21" w:name="_Toc15396601"/>
      <w:r>
        <w:rPr>
          <w:rFonts w:hint="eastAsia" w:ascii="楷体" w:hAnsi="楷体" w:eastAsia="楷体" w:cs="楷体"/>
          <w:sz w:val="32"/>
          <w:szCs w:val="32"/>
        </w:rPr>
        <w:t>(一)</w:t>
      </w:r>
      <w:r>
        <w:rPr>
          <w:rFonts w:hint="eastAsia" w:ascii="楷体" w:hAnsi="楷体" w:eastAsia="楷体" w:cs="楷体"/>
          <w:sz w:val="32"/>
          <w:szCs w:val="32"/>
          <w:lang w:val="en-US" w:eastAsia="zh-CN"/>
        </w:rPr>
        <w:t>土地交易、收回</w:t>
      </w:r>
      <w:r>
        <w:rPr>
          <w:rFonts w:hint="eastAsia" w:ascii="楷体" w:hAnsi="楷体" w:eastAsia="楷体" w:cs="楷体"/>
          <w:sz w:val="32"/>
          <w:szCs w:val="32"/>
        </w:rPr>
        <w:t>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2020年以来，我中心在新冠肺炎疫情大环境下，主动担当，</w:t>
      </w:r>
      <w:r>
        <w:rPr>
          <w:rFonts w:hint="eastAsia" w:ascii="仿宋" w:hAnsi="仿宋" w:eastAsia="仿宋" w:cs="仿宋"/>
          <w:sz w:val="32"/>
          <w:szCs w:val="32"/>
          <w:lang w:val="en-US" w:eastAsia="zh-CN"/>
        </w:rPr>
        <w:t>在</w:t>
      </w:r>
      <w:r>
        <w:rPr>
          <w:rFonts w:hint="eastAsia" w:ascii="仿宋" w:hAnsi="仿宋" w:eastAsia="仿宋" w:cs="仿宋"/>
          <w:sz w:val="32"/>
          <w:szCs w:val="32"/>
        </w:rPr>
        <w:t>做好土地规划指标核实、权属来源及勘测定界调查、地质灾害危险性评估委托、地价评估委托、征拆完成情况核实等供地前期准备工作</w:t>
      </w:r>
      <w:r>
        <w:rPr>
          <w:rFonts w:hint="eastAsia" w:ascii="仿宋" w:hAnsi="仿宋" w:eastAsia="仿宋" w:cs="仿宋"/>
          <w:sz w:val="32"/>
          <w:szCs w:val="32"/>
          <w:lang w:val="en-US" w:eastAsia="zh-CN"/>
        </w:rPr>
        <w:t>的基础上</w:t>
      </w:r>
      <w:r>
        <w:rPr>
          <w:rFonts w:hint="eastAsia" w:ascii="仿宋" w:hAnsi="仿宋" w:eastAsia="仿宋" w:cs="仿宋"/>
          <w:sz w:val="32"/>
          <w:szCs w:val="32"/>
        </w:rPr>
        <w:t>，报请市政府邹自景市长主持召开</w:t>
      </w:r>
      <w:r>
        <w:rPr>
          <w:rFonts w:hint="eastAsia" w:ascii="仿宋" w:hAnsi="仿宋" w:eastAsia="仿宋" w:cs="仿宋"/>
          <w:sz w:val="32"/>
          <w:szCs w:val="32"/>
          <w:lang w:val="en-US" w:eastAsia="zh-CN"/>
        </w:rPr>
        <w:t>12</w:t>
      </w:r>
      <w:r>
        <w:rPr>
          <w:rFonts w:hint="eastAsia" w:ascii="仿宋" w:hAnsi="仿宋" w:eastAsia="仿宋" w:cs="仿宋"/>
          <w:sz w:val="32"/>
          <w:szCs w:val="32"/>
        </w:rPr>
        <w:t>次市土管会，审议我中心编制和报批的供地方案或审批表</w:t>
      </w:r>
      <w:r>
        <w:rPr>
          <w:rFonts w:hint="eastAsia" w:ascii="仿宋" w:hAnsi="仿宋" w:eastAsia="仿宋" w:cs="仿宋"/>
          <w:sz w:val="32"/>
          <w:szCs w:val="32"/>
          <w:lang w:val="en-US" w:eastAsia="zh-CN"/>
        </w:rPr>
        <w:t>110</w:t>
      </w:r>
      <w:r>
        <w:rPr>
          <w:rFonts w:hint="eastAsia" w:ascii="仿宋" w:hAnsi="仿宋" w:eastAsia="仿宋" w:cs="仿宋"/>
          <w:sz w:val="32"/>
          <w:szCs w:val="32"/>
        </w:rPr>
        <w:t>份，审议通过</w:t>
      </w:r>
      <w:r>
        <w:rPr>
          <w:rFonts w:hint="eastAsia" w:ascii="仿宋" w:hAnsi="仿宋" w:eastAsia="仿宋" w:cs="仿宋"/>
          <w:sz w:val="32"/>
          <w:szCs w:val="32"/>
          <w:lang w:val="en-US" w:eastAsia="zh-CN"/>
        </w:rPr>
        <w:t>94份</w:t>
      </w:r>
      <w:r>
        <w:rPr>
          <w:rFonts w:hint="eastAsia" w:ascii="仿宋" w:hAnsi="仿宋" w:eastAsia="仿宋" w:cs="仿宋"/>
          <w:sz w:val="32"/>
          <w:szCs w:val="32"/>
        </w:rPr>
        <w:t>，涉及价款</w:t>
      </w:r>
      <w:r>
        <w:rPr>
          <w:rFonts w:hint="eastAsia" w:ascii="仿宋" w:hAnsi="仿宋" w:eastAsia="仿宋" w:cs="仿宋"/>
          <w:sz w:val="32"/>
          <w:szCs w:val="32"/>
          <w:lang w:val="en-US" w:eastAsia="zh-CN"/>
        </w:rPr>
        <w:t>30.77亿</w:t>
      </w:r>
      <w:r>
        <w:rPr>
          <w:rFonts w:hint="eastAsia" w:ascii="仿宋" w:hAnsi="仿宋" w:eastAsia="仿宋" w:cs="仿宋"/>
          <w:sz w:val="32"/>
          <w:szCs w:val="32"/>
        </w:rPr>
        <w:t>元</w:t>
      </w:r>
      <w:r>
        <w:rPr>
          <w:rFonts w:hint="eastAsia" w:ascii="仿宋" w:hAnsi="仿宋" w:eastAsia="仿宋" w:cs="仿宋"/>
          <w:sz w:val="32"/>
          <w:szCs w:val="32"/>
          <w:lang w:eastAsia="zh-CN"/>
        </w:rPr>
        <w:t>；按程序录入、下载、报批国有建设用地使用权出让合同35份，划拨决定书24份，国有建设用地使用权出让合同变更协议32份，收回协议等10份；</w:t>
      </w:r>
      <w:r>
        <w:rPr>
          <w:rFonts w:hint="eastAsia" w:ascii="仿宋" w:hAnsi="仿宋" w:eastAsia="仿宋" w:cs="仿宋"/>
          <w:sz w:val="32"/>
          <w:szCs w:val="32"/>
        </w:rPr>
        <w:t>截止</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30日</w:t>
      </w:r>
      <w:r>
        <w:rPr>
          <w:rFonts w:hint="eastAsia" w:ascii="仿宋" w:hAnsi="仿宋" w:eastAsia="仿宋" w:cs="仿宋"/>
          <w:sz w:val="32"/>
          <w:szCs w:val="32"/>
        </w:rPr>
        <w:t>，</w:t>
      </w:r>
      <w:r>
        <w:rPr>
          <w:rFonts w:hint="eastAsia" w:ascii="仿宋" w:hAnsi="仿宋" w:eastAsia="仿宋" w:cs="仿宋"/>
          <w:sz w:val="32"/>
          <w:szCs w:val="32"/>
          <w:lang w:val="en-US" w:eastAsia="zh-CN"/>
        </w:rPr>
        <w:t>我中心登记造册的出让成交56宗，涉及土地出让价款40.23亿元（含产业项目用地），其中拍卖、挂牌土地10宗、面积761.894亩（不含棚改、旧城等产业项目用地以及已供土地改变利用条件），成交9宗、面积644.034亩，形成土地出让合同价款22.7917亿元。</w:t>
      </w:r>
      <w:r>
        <w:rPr>
          <w:rFonts w:hint="eastAsia" w:ascii="仿宋" w:hAnsi="仿宋" w:eastAsia="仿宋" w:cs="仿宋"/>
          <w:sz w:val="32"/>
          <w:szCs w:val="32"/>
        </w:rPr>
        <w:t>截止</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25日</w:t>
      </w:r>
      <w:r>
        <w:rPr>
          <w:rFonts w:hint="eastAsia" w:ascii="仿宋" w:hAnsi="仿宋" w:eastAsia="仿宋" w:cs="仿宋"/>
          <w:sz w:val="32"/>
          <w:szCs w:val="32"/>
        </w:rPr>
        <w:t>，我中心实现上缴财政土地价款</w:t>
      </w:r>
      <w:r>
        <w:rPr>
          <w:rFonts w:hint="eastAsia" w:ascii="仿宋" w:hAnsi="仿宋" w:eastAsia="仿宋" w:cs="仿宋"/>
          <w:sz w:val="32"/>
          <w:szCs w:val="32"/>
          <w:lang w:val="en-US" w:eastAsia="zh-CN"/>
        </w:rPr>
        <w:t>21.13亿</w:t>
      </w:r>
      <w:r>
        <w:rPr>
          <w:rFonts w:hint="eastAsia" w:ascii="仿宋" w:hAnsi="仿宋" w:eastAsia="仿宋" w:cs="仿宋"/>
          <w:sz w:val="32"/>
          <w:szCs w:val="32"/>
        </w:rPr>
        <w:t>元，其中，土地出让价款收入</w:t>
      </w:r>
      <w:r>
        <w:rPr>
          <w:rFonts w:hint="eastAsia" w:ascii="仿宋" w:hAnsi="仿宋" w:eastAsia="仿宋" w:cs="仿宋"/>
          <w:sz w:val="32"/>
          <w:szCs w:val="32"/>
          <w:lang w:val="en-US" w:eastAsia="zh-CN"/>
        </w:rPr>
        <w:t>17.66亿</w:t>
      </w:r>
      <w:r>
        <w:rPr>
          <w:rFonts w:hint="eastAsia" w:ascii="仿宋" w:hAnsi="仿宋" w:eastAsia="仿宋" w:cs="仿宋"/>
          <w:sz w:val="32"/>
          <w:szCs w:val="32"/>
        </w:rPr>
        <w:t>元、划拨价款</w:t>
      </w:r>
      <w:r>
        <w:rPr>
          <w:rFonts w:hint="eastAsia" w:ascii="仿宋" w:hAnsi="仿宋" w:eastAsia="仿宋" w:cs="仿宋"/>
          <w:sz w:val="32"/>
          <w:szCs w:val="32"/>
          <w:lang w:val="en-US" w:eastAsia="zh-CN"/>
        </w:rPr>
        <w:t>1亿</w:t>
      </w:r>
      <w:r>
        <w:rPr>
          <w:rFonts w:hint="eastAsia" w:ascii="仿宋" w:hAnsi="仿宋" w:eastAsia="仿宋" w:cs="仿宋"/>
          <w:sz w:val="32"/>
          <w:szCs w:val="32"/>
        </w:rPr>
        <w:t>元、补缴土地出让价款（超容积率、续期、改变用途等）</w:t>
      </w:r>
      <w:r>
        <w:rPr>
          <w:rFonts w:hint="eastAsia" w:ascii="仿宋" w:hAnsi="仿宋" w:eastAsia="仿宋" w:cs="仿宋"/>
          <w:sz w:val="32"/>
          <w:szCs w:val="32"/>
          <w:lang w:val="en-US" w:eastAsia="zh-CN"/>
        </w:rPr>
        <w:t>2.33亿</w:t>
      </w:r>
      <w:r>
        <w:rPr>
          <w:rFonts w:hint="eastAsia" w:ascii="仿宋" w:hAnsi="仿宋" w:eastAsia="仿宋" w:cs="仿宋"/>
          <w:sz w:val="32"/>
          <w:szCs w:val="32"/>
        </w:rPr>
        <w:t>元、其他土地收入</w:t>
      </w:r>
      <w:r>
        <w:rPr>
          <w:rFonts w:hint="eastAsia" w:ascii="仿宋" w:hAnsi="仿宋" w:eastAsia="仿宋" w:cs="仿宋"/>
          <w:sz w:val="32"/>
          <w:szCs w:val="32"/>
          <w:lang w:val="en-US" w:eastAsia="zh-CN"/>
        </w:rPr>
        <w:t>0.14亿</w:t>
      </w:r>
      <w:r>
        <w:rPr>
          <w:rFonts w:hint="eastAsia" w:ascii="仿宋" w:hAnsi="仿宋" w:eastAsia="仿宋" w:cs="仿宋"/>
          <w:sz w:val="32"/>
          <w:szCs w:val="32"/>
        </w:rPr>
        <w:t>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以来，我中心在面对人员严重老化的背景下（女性员工50岁以上、男性员工55岁以上的占中心总人数的50%以上，40岁以下的仅1人），中心班子提高政治站位和主动担当的思想认识，全面完成了上级下达的批而未供处置任务和界址坐标点补录工作，已处置的2009年—2017年批而未供土地面积215.959765公顷，已处置的2018年—2020年批而未供土地面积52.15926公顷，已处置的闲置任务42.787726公顷；2016年以前的界址坐标点录入率由13.4%补录至99.8%。</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以来，我中心认真贯彻落实上级对产业项目用地保障工作的安排和要求，委托拍卖或挂牌了康养产业园医院项目（KY02）用地、黑石坡森林院子翠鸣谷项目1—6#地块用地、新民棚户区改造范围内（一号地块内的农贸市场）新民农贸市场用地、凤凰山棚户区改造项目1号地块内A地块，完善了解家岩棚户区范围内的和信凤凰世纪城·锦都项目、和信世纪城·玫瑰华庭项目、人才市场棚户区改造范围内天润·新天地（人才市场棚改项目三期）项目用地手续。</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以来，我中心在面对人员严重老化的背景下，不仅圆满的完成了产业项目用地保障工作，还集中力量落实了城北片区88亩、147亩和雪峰片区黑石坡395亩经营性土地营销、委托拍卖成交，城北片区西湾水厂公服用地挂牌出让成交工作，以及“能交水”等项目未供先用、未批先用地块完善用地手续的工作；另外，我中心以最大能力做到了117亩经营性土地营销、委托拍卖、协调调整建筑限高、报请调整交款时间等工作，以及万缘新区171亩经营性土地及碧桂园·现代筑美现代家居产业城项目招商谈判、协议草拟、修改、报批、签订事宜，南河原农产品批发市场用地测算，康养产业园医养结合项目和市中医医院万缘新院项目协议执行、用地后期手续完善等事宜，并报请落实各项征拆费用。</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(二)土地储备</w:t>
      </w:r>
      <w:r>
        <w:rPr>
          <w:rFonts w:hint="eastAsia" w:ascii="楷体" w:hAnsi="楷体" w:eastAsia="楷体" w:cs="楷体"/>
          <w:sz w:val="32"/>
          <w:szCs w:val="32"/>
          <w:lang w:val="en-US" w:eastAsia="zh-CN"/>
        </w:rPr>
        <w:t>、档案管理</w:t>
      </w:r>
      <w:r>
        <w:rPr>
          <w:rFonts w:hint="eastAsia" w:ascii="楷体" w:hAnsi="楷体" w:eastAsia="楷体" w:cs="楷体"/>
          <w:sz w:val="32"/>
          <w:szCs w:val="32"/>
        </w:rPr>
        <w:t>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以来，我中心支持大唐集团和国家电网存放风力发电和电力设备，签订土地租赁协议，提供储备地块用于临时堆放；采取聘请看护值班人员、安排专职工作人员等方式巡查管护储备土地10宗、面积660亩，保障储备土地场内秩序和规范，未发生乱弃、乱倒、乱占储备土地的行为。</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2020年以来，我中心会同市发改委会、消防支队、经开区管委会、经开区建环局、市住建局、作业单位等全面完成树人幼儿园项目的报送审计工作。</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2020年以来，我中心在做好储备交易、土地收回、遗留问题处理等工作的同时，高度重视档案管理工作，落实专人管理档案，全年共计梳理、移交档案馆资产档案118宗，其他转办件、征求意见稿、函等归档57份。</w:t>
      </w:r>
    </w:p>
    <w:p>
      <w:pPr>
        <w:ind w:firstLine="640" w:firstLineChars="200"/>
        <w:rPr>
          <w:rFonts w:ascii="楷体" w:hAnsi="楷体" w:eastAsia="楷体" w:cs="楷体"/>
          <w:sz w:val="32"/>
          <w:szCs w:val="32"/>
        </w:rPr>
      </w:pPr>
      <w:r>
        <w:rPr>
          <w:rFonts w:hint="eastAsia" w:ascii="楷体" w:hAnsi="楷体" w:eastAsia="楷体" w:cs="楷体"/>
          <w:sz w:val="32"/>
          <w:szCs w:val="32"/>
        </w:rPr>
        <w:t>(三)积极抓好三个弃土场管护工作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1.顺利完成雪峰和瓷莲路弃土场填充完毕后的沉降监测工作，目前监测工作已进入收尾的资料准备阶段。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2.完成雪峰弃土场整理项目中土地整理、回填场平、抽水看护项目竣工结算的审计工作，督促审计公司加快截水沟和盲沟工程的竣工结算的审计。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（3）加强对已建成的3个弃土场安全管理工作。安排专人值班并定期对弃土场施工安全监督检查和督导，继续执行《雪峰、瓷莲路弃土场汛期应急预案》，做好隐患排查和预防工作。</w:t>
      </w:r>
    </w:p>
    <w:p>
      <w:pPr>
        <w:pStyle w:val="3"/>
        <w:spacing w:before="0" w:after="0" w:line="500" w:lineRule="exact"/>
        <w:rPr>
          <w:rStyle w:val="18"/>
          <w:rFonts w:cs="Times New Roman"/>
          <w:b w:val="0"/>
          <w:bCs w:val="0"/>
          <w:sz w:val="30"/>
          <w:szCs w:val="30"/>
        </w:rPr>
      </w:pPr>
      <w:r>
        <w:rPr>
          <w:rFonts w:ascii="黑体" w:eastAsia="黑体" w:cs="黑体"/>
          <w:b w:val="0"/>
          <w:bCs w:val="0"/>
          <w:color w:val="000000"/>
          <w:sz w:val="30"/>
          <w:szCs w:val="30"/>
        </w:rPr>
        <w:t xml:space="preserve">    </w:t>
      </w:r>
      <w:r>
        <w:rPr>
          <w:rFonts w:hint="eastAsia" w:ascii="黑体" w:eastAsia="黑体" w:cs="黑体"/>
          <w:b w:val="0"/>
          <w:bCs w:val="0"/>
          <w:color w:val="000000"/>
          <w:sz w:val="30"/>
          <w:szCs w:val="30"/>
        </w:rPr>
        <w:t>二、</w:t>
      </w:r>
      <w:r>
        <w:rPr>
          <w:rFonts w:hint="eastAsia" w:ascii="黑体" w:hAnsi="黑体" w:eastAsia="黑体" w:cs="黑体"/>
          <w:b w:val="0"/>
          <w:bCs w:val="0"/>
          <w:color w:val="000000"/>
          <w:sz w:val="30"/>
          <w:szCs w:val="30"/>
        </w:rPr>
        <w:t>机</w:t>
      </w:r>
      <w:r>
        <w:rPr>
          <w:rStyle w:val="18"/>
          <w:rFonts w:hint="eastAsia" w:ascii="黑体" w:hAnsi="黑体" w:eastAsia="黑体" w:cs="黑体"/>
          <w:b w:val="0"/>
          <w:bCs w:val="0"/>
          <w:sz w:val="30"/>
          <w:szCs w:val="30"/>
        </w:rPr>
        <w:t>构设置</w:t>
      </w:r>
      <w:bookmarkEnd w:id="20"/>
      <w:bookmarkEnd w:id="21"/>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广元市自然资源储备交易中心属于广元市自然资源局下属独立核算二级预算单位。</w:t>
      </w:r>
    </w:p>
    <w:p>
      <w:pPr>
        <w:widowControl/>
        <w:spacing w:line="500" w:lineRule="exact"/>
        <w:jc w:val="center"/>
        <w:rPr>
          <w:rStyle w:val="17"/>
          <w:rFonts w:ascii="黑体" w:hAnsi="黑体" w:eastAsia="黑体"/>
          <w:b w:val="0"/>
          <w:bCs w:val="0"/>
          <w:sz w:val="30"/>
          <w:szCs w:val="30"/>
        </w:rPr>
      </w:pPr>
      <w:r>
        <w:rPr>
          <w:rFonts w:ascii="仿宋" w:hAnsi="仿宋" w:eastAsia="仿宋"/>
          <w:color w:val="000000"/>
          <w:sz w:val="30"/>
          <w:szCs w:val="30"/>
        </w:rPr>
        <w:br w:type="page"/>
      </w:r>
      <w:bookmarkStart w:id="22" w:name="_Toc15377204"/>
      <w:bookmarkStart w:id="23" w:name="_Toc15396602"/>
      <w:r>
        <w:rPr>
          <w:rFonts w:hint="eastAsia" w:ascii="方正小标宋_GBK" w:hAnsi="黑体" w:eastAsia="方正小标宋_GBK" w:cs="方正小标宋_GBK"/>
          <w:b w:val="0"/>
          <w:bCs w:val="0"/>
          <w:kern w:val="44"/>
          <w:sz w:val="40"/>
          <w:szCs w:val="40"/>
          <w:lang w:val="en-US" w:eastAsia="zh-CN" w:bidi="ar-SA"/>
        </w:rPr>
        <w:t>第二部分 2020年度部门决算情况说明</w:t>
      </w:r>
      <w:bookmarkEnd w:id="22"/>
      <w:bookmarkEnd w:id="23"/>
    </w:p>
    <w:p>
      <w:pPr>
        <w:spacing w:line="500" w:lineRule="exact"/>
        <w:rPr>
          <w:sz w:val="30"/>
          <w:szCs w:val="30"/>
        </w:rPr>
      </w:pPr>
    </w:p>
    <w:p>
      <w:pPr>
        <w:pStyle w:val="28"/>
        <w:numPr>
          <w:ilvl w:val="0"/>
          <w:numId w:val="1"/>
        </w:numPr>
        <w:spacing w:line="500" w:lineRule="exact"/>
        <w:ind w:firstLineChars="0"/>
        <w:outlineLvl w:val="1"/>
        <w:rPr>
          <w:rStyle w:val="18"/>
          <w:rFonts w:ascii="黑体" w:hAnsi="黑体" w:eastAsia="黑体" w:cs="Times New Roman"/>
          <w:b w:val="0"/>
          <w:bCs w:val="0"/>
          <w:sz w:val="30"/>
          <w:szCs w:val="30"/>
        </w:rPr>
      </w:pPr>
      <w:bookmarkStart w:id="24" w:name="_Toc15377205"/>
      <w:bookmarkStart w:id="25" w:name="_Toc15396603"/>
      <w:r>
        <w:rPr>
          <w:rFonts w:hint="eastAsia" w:ascii="黑体" w:hAnsi="黑体" w:eastAsia="黑体" w:cs="黑体"/>
          <w:color w:val="000000"/>
          <w:sz w:val="30"/>
          <w:szCs w:val="30"/>
        </w:rPr>
        <w:t>收</w:t>
      </w:r>
      <w:r>
        <w:rPr>
          <w:rStyle w:val="18"/>
          <w:rFonts w:hint="eastAsia" w:ascii="黑体" w:hAnsi="黑体" w:eastAsia="黑体" w:cs="黑体"/>
          <w:b w:val="0"/>
          <w:bCs w:val="0"/>
          <w:sz w:val="30"/>
          <w:szCs w:val="30"/>
        </w:rPr>
        <w:t>入支出决算总体情况说明</w:t>
      </w:r>
      <w:bookmarkEnd w:id="24"/>
      <w:bookmarkEnd w:id="25"/>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2020年度收、支总计1159.81万元。与2019年相比，收、支总计各减少2231.15万元，减少65.8%。主要变动原因耕占税支出减少。</w:t>
      </w:r>
    </w:p>
    <w:p>
      <w:pPr>
        <w:pStyle w:val="28"/>
        <w:numPr>
          <w:ilvl w:val="0"/>
          <w:numId w:val="1"/>
        </w:numPr>
        <w:spacing w:line="500" w:lineRule="exact"/>
        <w:ind w:firstLineChars="0"/>
        <w:outlineLvl w:val="1"/>
        <w:rPr>
          <w:rStyle w:val="18"/>
          <w:rFonts w:ascii="黑体" w:hAnsi="黑体" w:eastAsia="黑体" w:cs="Times New Roman"/>
          <w:b w:val="0"/>
          <w:bCs w:val="0"/>
          <w:sz w:val="30"/>
          <w:szCs w:val="30"/>
        </w:rPr>
      </w:pPr>
      <w:bookmarkStart w:id="26" w:name="_Toc15396604"/>
      <w:bookmarkStart w:id="27" w:name="_Toc15377206"/>
      <w:r>
        <w:rPr>
          <w:rFonts w:hint="eastAsia" w:ascii="黑体" w:hAnsi="黑体" w:eastAsia="黑体" w:cs="黑体"/>
          <w:color w:val="000000"/>
          <w:sz w:val="30"/>
          <w:szCs w:val="30"/>
        </w:rPr>
        <w:t>收</w:t>
      </w:r>
      <w:r>
        <w:rPr>
          <w:rStyle w:val="18"/>
          <w:rFonts w:hint="eastAsia" w:ascii="黑体" w:hAnsi="黑体" w:eastAsia="黑体" w:cs="黑体"/>
          <w:b w:val="0"/>
          <w:bCs w:val="0"/>
          <w:sz w:val="30"/>
          <w:szCs w:val="30"/>
        </w:rPr>
        <w:t>入决算情况说明</w:t>
      </w:r>
      <w:bookmarkEnd w:id="26"/>
      <w:bookmarkEnd w:id="27"/>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2020年本年收入合计1013.39万元，其中：一般公共预算财政拨款收入194.02万元，占19.15%；政府性基金预算财政拨款收入809.24万元，占79.85%；其他收入10.13万元，占0.1%。</w:t>
      </w:r>
    </w:p>
    <w:p>
      <w:pPr>
        <w:pStyle w:val="28"/>
        <w:numPr>
          <w:ilvl w:val="0"/>
          <w:numId w:val="1"/>
        </w:numPr>
        <w:spacing w:line="500" w:lineRule="exact"/>
        <w:ind w:firstLineChars="0"/>
        <w:outlineLvl w:val="1"/>
        <w:rPr>
          <w:rStyle w:val="18"/>
          <w:rFonts w:ascii="黑体" w:hAnsi="黑体" w:eastAsia="黑体" w:cs="Times New Roman"/>
          <w:b w:val="0"/>
          <w:bCs w:val="0"/>
          <w:sz w:val="30"/>
          <w:szCs w:val="30"/>
        </w:rPr>
      </w:pPr>
      <w:bookmarkStart w:id="28" w:name="_Toc15377207"/>
      <w:bookmarkStart w:id="29" w:name="_Toc15396605"/>
      <w:r>
        <w:rPr>
          <w:rFonts w:hint="eastAsia" w:ascii="黑体" w:hAnsi="黑体" w:eastAsia="黑体" w:cs="黑体"/>
          <w:color w:val="000000"/>
          <w:sz w:val="30"/>
          <w:szCs w:val="30"/>
        </w:rPr>
        <w:t>支</w:t>
      </w:r>
      <w:r>
        <w:rPr>
          <w:rStyle w:val="18"/>
          <w:rFonts w:hint="eastAsia" w:ascii="黑体" w:hAnsi="黑体" w:eastAsia="黑体" w:cs="黑体"/>
          <w:b w:val="0"/>
          <w:bCs w:val="0"/>
          <w:sz w:val="30"/>
          <w:szCs w:val="30"/>
        </w:rPr>
        <w:t>出决算情况说明</w:t>
      </w:r>
      <w:bookmarkEnd w:id="28"/>
      <w:bookmarkEnd w:id="29"/>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2020年本年支出合计1031.88万元，其中：基本支出194.37万元，占18.84%；项目支出837.51万元，占81.16%。</w:t>
      </w:r>
    </w:p>
    <w:p>
      <w:pPr>
        <w:spacing w:line="500" w:lineRule="exact"/>
        <w:ind w:firstLine="600" w:firstLineChars="200"/>
        <w:outlineLvl w:val="1"/>
        <w:rPr>
          <w:rStyle w:val="18"/>
          <w:rFonts w:ascii="黑体" w:hAnsi="黑体" w:eastAsia="黑体" w:cs="Times New Roman"/>
          <w:b w:val="0"/>
          <w:bCs w:val="0"/>
          <w:sz w:val="30"/>
          <w:szCs w:val="30"/>
        </w:rPr>
      </w:pPr>
      <w:bookmarkStart w:id="30" w:name="_Toc15396606"/>
      <w:bookmarkStart w:id="31" w:name="_Toc15377208"/>
      <w:r>
        <w:rPr>
          <w:rFonts w:hint="eastAsia" w:ascii="黑体" w:hAnsi="黑体" w:eastAsia="黑体" w:cs="黑体"/>
          <w:color w:val="000000"/>
          <w:sz w:val="30"/>
          <w:szCs w:val="30"/>
        </w:rPr>
        <w:t>四、财</w:t>
      </w:r>
      <w:r>
        <w:rPr>
          <w:rStyle w:val="18"/>
          <w:rFonts w:hint="eastAsia" w:ascii="黑体" w:hAnsi="黑体" w:eastAsia="黑体" w:cs="黑体"/>
          <w:b w:val="0"/>
          <w:bCs w:val="0"/>
          <w:sz w:val="30"/>
          <w:szCs w:val="30"/>
        </w:rPr>
        <w:t>政拨款收入支出决算总体情况说明</w:t>
      </w:r>
      <w:bookmarkEnd w:id="30"/>
      <w:bookmarkEnd w:id="31"/>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2020年财政拨款收、支总计1051.94万元。与2019年相比，财政拨款收、支总计各减少240.69万元，减少18.62%。主要变动原因一是人员变动；二是耕占税支出减少。</w:t>
      </w:r>
    </w:p>
    <w:p>
      <w:pPr>
        <w:spacing w:line="500" w:lineRule="exact"/>
        <w:ind w:firstLine="600" w:firstLineChars="200"/>
        <w:outlineLvl w:val="1"/>
        <w:rPr>
          <w:rStyle w:val="18"/>
          <w:rFonts w:ascii="黑体" w:hAnsi="黑体" w:eastAsia="黑体" w:cs="Times New Roman"/>
          <w:b w:val="0"/>
          <w:bCs w:val="0"/>
          <w:sz w:val="30"/>
          <w:szCs w:val="30"/>
        </w:rPr>
      </w:pPr>
      <w:bookmarkStart w:id="32" w:name="_Toc15396607"/>
      <w:bookmarkStart w:id="33" w:name="_Toc15377209"/>
      <w:r>
        <w:rPr>
          <w:rFonts w:hint="eastAsia" w:ascii="黑体" w:hAnsi="黑体" w:eastAsia="黑体" w:cs="黑体"/>
          <w:color w:val="000000"/>
          <w:sz w:val="30"/>
          <w:szCs w:val="30"/>
        </w:rPr>
        <w:t>五、</w:t>
      </w:r>
      <w:r>
        <w:rPr>
          <w:rFonts w:hint="eastAsia" w:ascii="黑体" w:hAnsi="黑体" w:eastAsia="黑体" w:cs="黑体"/>
          <w:b/>
          <w:bCs/>
          <w:color w:val="000000"/>
          <w:sz w:val="30"/>
          <w:szCs w:val="30"/>
        </w:rPr>
        <w:t>一</w:t>
      </w:r>
      <w:r>
        <w:rPr>
          <w:rStyle w:val="18"/>
          <w:rFonts w:hint="eastAsia" w:ascii="黑体" w:hAnsi="黑体" w:eastAsia="黑体" w:cs="黑体"/>
          <w:b w:val="0"/>
          <w:bCs w:val="0"/>
          <w:sz w:val="30"/>
          <w:szCs w:val="30"/>
        </w:rPr>
        <w:t>般公共预算财政拨款支出决算情况说明</w:t>
      </w:r>
      <w:bookmarkEnd w:id="32"/>
      <w:bookmarkEnd w:id="33"/>
    </w:p>
    <w:p>
      <w:pPr>
        <w:spacing w:line="500" w:lineRule="exact"/>
        <w:ind w:firstLine="602" w:firstLineChars="200"/>
        <w:outlineLvl w:val="2"/>
        <w:rPr>
          <w:rFonts w:ascii="仿宋" w:hAnsi="仿宋" w:eastAsia="仿宋"/>
          <w:b/>
          <w:bCs/>
          <w:color w:val="000000"/>
          <w:sz w:val="30"/>
          <w:szCs w:val="30"/>
        </w:rPr>
      </w:pPr>
      <w:bookmarkStart w:id="34" w:name="_Toc15377210"/>
      <w:r>
        <w:rPr>
          <w:rFonts w:hint="eastAsia" w:ascii="仿宋" w:hAnsi="仿宋" w:eastAsia="仿宋" w:cs="仿宋"/>
          <w:b/>
          <w:bCs/>
          <w:color w:val="000000"/>
          <w:sz w:val="30"/>
          <w:szCs w:val="30"/>
        </w:rPr>
        <w:t>（一）一般公共预算财政拨款支出决算总体情况</w:t>
      </w:r>
      <w:bookmarkEnd w:id="34"/>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2020年一般公共预算财政拨款支出208.97万元，占本年支出合计的20.25%。与2019年相比，一般公共预算财政拨款减少29.18万元，减少13.96%。主要变动原因人员减少，压减支出。</w:t>
      </w:r>
    </w:p>
    <w:p>
      <w:pPr>
        <w:spacing w:line="500" w:lineRule="exact"/>
        <w:ind w:firstLine="602" w:firstLineChars="200"/>
        <w:outlineLvl w:val="2"/>
        <w:rPr>
          <w:rFonts w:ascii="仿宋" w:hAnsi="仿宋" w:eastAsia="仿宋"/>
          <w:b/>
          <w:bCs/>
          <w:color w:val="000000"/>
          <w:sz w:val="30"/>
          <w:szCs w:val="30"/>
        </w:rPr>
      </w:pPr>
      <w:bookmarkStart w:id="35" w:name="_Toc15377211"/>
      <w:r>
        <w:rPr>
          <w:rFonts w:hint="eastAsia" w:ascii="仿宋" w:hAnsi="仿宋" w:eastAsia="仿宋" w:cs="仿宋"/>
          <w:b/>
          <w:bCs/>
          <w:color w:val="000000"/>
          <w:sz w:val="30"/>
          <w:szCs w:val="30"/>
        </w:rPr>
        <w:t>（二）一般公共预算财政拨款支出决算结构情况</w:t>
      </w:r>
      <w:bookmarkEnd w:id="35"/>
    </w:p>
    <w:p>
      <w:pPr>
        <w:ind w:firstLine="640" w:firstLineChars="200"/>
        <w:rPr>
          <w:rFonts w:hint="default" w:ascii="仿宋" w:hAnsi="仿宋" w:eastAsia="仿宋" w:cs="仿宋"/>
          <w:sz w:val="32"/>
          <w:szCs w:val="32"/>
          <w:lang w:val="en-US" w:eastAsia="zh-CN"/>
        </w:rPr>
      </w:pPr>
      <w:bookmarkStart w:id="36" w:name="_Toc15377212"/>
      <w:r>
        <w:rPr>
          <w:rFonts w:hint="eastAsia" w:ascii="仿宋" w:hAnsi="仿宋" w:eastAsia="仿宋" w:cs="仿宋"/>
          <w:sz w:val="32"/>
          <w:szCs w:val="32"/>
          <w:lang w:val="en-US" w:eastAsia="zh-CN"/>
        </w:rPr>
        <w:t>2020年一般公共预算财政拨款支出208.97万元，主要用于以下方面:社会保障和就业（类）支出15.58万元，占7.46%；卫生健康支出7.31万元，占3.5%；自然资源海洋气象等支出170.32万元，占81.5%，住房保障支出15.76万元，占7.54%。</w:t>
      </w:r>
    </w:p>
    <w:bookmarkEnd w:id="36"/>
    <w:p>
      <w:pPr>
        <w:spacing w:line="546" w:lineRule="exact"/>
        <w:ind w:firstLine="640" w:firstLineChars="200"/>
        <w:rPr>
          <w:rFonts w:hint="eastAsia" w:ascii="楷体_GB2312" w:hAnsi="楷体_GB2312" w:eastAsia="楷体_GB2312" w:cs="楷体_GB2312"/>
          <w:sz w:val="32"/>
          <w:szCs w:val="32"/>
        </w:rPr>
      </w:pPr>
      <w:bookmarkStart w:id="37" w:name="_Toc15396631"/>
      <w:r>
        <w:rPr>
          <w:rFonts w:hint="eastAsia" w:ascii="楷体_GB2312" w:hAnsi="楷体_GB2312" w:eastAsia="楷体_GB2312" w:cs="楷体_GB2312"/>
          <w:sz w:val="32"/>
          <w:szCs w:val="32"/>
        </w:rPr>
        <w:t>（三）一般公共预算财政拨款支出决算具体情况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2020年一般公共预算支出决算数为208.97万元，完成预算99.66%。其中：</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1.社会保障和就业（类）行政事业单位离退休（款）机关事业单位基本养老保险缴费支出（项）:支出决算为15.58万元，完成预算100%，决算数与预算数基本持平。</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2.卫生健康（类）行政事业单位医疗（款）事业单位医疗（项）:支出决算为7.31万元，完成预算100%，决算数与预算数基本持平。</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3.自然资源海洋气象等支出（类）自然资源事务（款）事业运行(项）：支出决算为155.72万元，完成预算99.58%，决算数与预算数基本持平。</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4.自然资源海洋气象等支出（类）自然资源事务（款）其他自然资源事务（项）：支出决算数14.6万元，完成预算100%，决算数与预算数基本持平。</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5.住房保障（类）住房改革（款）住房公积金（项）:支出决算为15.76万元，完成预算100%，决算数与预算数基本持平。</w:t>
      </w:r>
    </w:p>
    <w:p>
      <w:pPr>
        <w:widowControl/>
        <w:spacing w:line="546" w:lineRule="exact"/>
        <w:ind w:firstLine="643" w:firstLineChars="200"/>
        <w:jc w:val="left"/>
        <w:rPr>
          <w:rFonts w:hint="eastAsia" w:ascii="黑体" w:hAnsi="黑体" w:eastAsia="黑体" w:cs="黑体"/>
          <w:color w:val="000000"/>
          <w:sz w:val="32"/>
          <w:szCs w:val="32"/>
        </w:rPr>
      </w:pPr>
      <w:r>
        <w:rPr>
          <w:rFonts w:hint="eastAsia" w:ascii="黑体" w:hAnsi="黑体" w:eastAsia="黑体" w:cs="黑体"/>
          <w:b/>
          <w:bCs/>
          <w:color w:val="000000"/>
          <w:sz w:val="32"/>
          <w:szCs w:val="32"/>
        </w:rPr>
        <w:t>六、一般公共预算财政拨款基本支出决算情况说明</w:t>
      </w:r>
      <w:r>
        <w:rPr>
          <w:rFonts w:hint="eastAsia" w:ascii="黑体" w:hAnsi="黑体" w:eastAsia="黑体" w:cs="黑体"/>
          <w:color w:val="000000"/>
          <w:sz w:val="32"/>
          <w:szCs w:val="32"/>
        </w:rPr>
        <w:tab/>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2020年一般公共预算财政拨款基本支出194.37万</w:t>
      </w:r>
      <w:r>
        <w:rPr>
          <w:rFonts w:hint="eastAsia" w:ascii="仿宋" w:hAnsi="仿宋" w:eastAsia="仿宋" w:cs="仿宋"/>
          <w:sz w:val="32"/>
          <w:szCs w:val="32"/>
          <w:lang w:val="en-US" w:eastAsia="zh-CN"/>
        </w:rPr>
        <w:t>元，其中：</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员经费174.05万元，主要包括：基本工资、津贴补贴、奖金、绩效工资、机关事业单位基本养老保险缴费、职业年金缴费、其他社会保障缴费、其他工资福利支出、生活补助、奖励金、住房公积金、其他对个人和家庭的补助支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常公用经费20.32万元，主要包括：办公费、印刷费、手续费、水费、电费、邮电费、物业管理费、差旅费、维修（护）费、会议费、公务接待费、劳务费、工会经费、公务用车运行维护费、税金及附加费用、其他商品和服务支出。</w:t>
      </w:r>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七、“三公”经费财政拨款支出决算情况说明</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2020年“三公”经费财政拨款支出决算为0.13万元，完成预算26%，决算数小于预算数的主要原因是2020年严格控制经费，压缩各项支出。</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2020年“三公”经费财政拨款支出决算中，因公出国（境）费支出决算0万元，年初未安排预算；公务用车购置及运行维护费支出决算0万元，年初未安排预算；公务接待费支出决算0.13万元，占26%。具体情况如下：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1.因公出国（境）经费支出0万元，年初未安排预算，较2019年度无变化。主要原因是我单位无因公出国（境）事宜。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2.公务用车购置及运行维护费支出0万元,年初未安排预算。公务用车购置及运行维护费支出决算与2019年无变化。</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其中：公务用车购置支出0万元，年初未安排预算。截至2020年12月底，单位共有公务用车0辆，其中：特种专业用车0辆、其他用车0辆。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公务用车运行维护费支出0万元，年初未安排预算。</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公务接待费支出0.13万元，完成预算26%。公务接待费支出决算比2019年增加0.13万元，增加13%。其中：国内公务接待支出0.13万元，主要用于执行公务、开展业务活动开支的用餐费等。国内公务接待2批次，20人次（不包括陪同人员），共计支出0.13万元，具体内容包括：省自然资源厅、上级部门及县区自然资源局来我单位交流汇报等公务工作用餐。</w:t>
      </w:r>
    </w:p>
    <w:p>
      <w:pPr>
        <w:widowControl/>
        <w:spacing w:line="546"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外事接待支出0万元，</w:t>
      </w:r>
      <w:r>
        <w:rPr>
          <w:rFonts w:hint="eastAsia" w:ascii="仿宋_GB2312" w:hAnsi="仿宋_GB2312" w:eastAsia="仿宋_GB2312" w:cs="仿宋_GB2312"/>
          <w:color w:val="000000"/>
          <w:sz w:val="32"/>
          <w:szCs w:val="32"/>
          <w:lang w:val="en-US" w:eastAsia="zh-CN"/>
        </w:rPr>
        <w:t>本单位无外事接待。</w:t>
      </w:r>
      <w:bookmarkStart w:id="43" w:name="_GoBack"/>
      <w:bookmarkEnd w:id="43"/>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八、政府性基金预算支出决算情况说明</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2020年政府性基金预算拨款支出812.68万元。其中土地开发支出812.68万元，占100%。2020年本单位未在政府性基金预算拨款安排“三公经费”支出。</w:t>
      </w:r>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九、国有资本经营预算支出决算情况说明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2020年国有资本经营预算拨款支出0万元。</w:t>
      </w:r>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十、其他重要事项的情况说明</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（一）机关运行经费支出情况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2020年，广元市自然资源储备交易中心机关运行经费支出0万元，与2019年无变化，年初未安排预算。</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（二）政府采购支出情况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广元市自然资源储备交易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2020年12月31日，广元市自然资源储备交易中心共有车辆0辆，其中：主要领导干部用车0辆、机要通信用车0辆、应急保障用车0辆、特种专用车0辆，其他用车0辆。其他用车主要是用于一般公务、业务用车。单价50万元以上通用设备0台（套），单价100万元以上专用设备0台（套）。</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（四）预算绩效管理情况。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预算绩效管理要求，本部门在年初预算编制阶段，组织对0个项目（项目名称）开展了预算事前绩效评估，对0个项目编制了绩效目标，预算执行过程中，选取0个项目开展绩效监控，年终执行完毕后，对0个项目开展了绩效目标完成情况自评。</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 w:hAnsi="仿宋" w:eastAsia="仿宋" w:cs="仿宋"/>
          <w:sz w:val="32"/>
          <w:szCs w:val="32"/>
          <w:lang w:val="en-US" w:eastAsia="zh-CN"/>
        </w:rPr>
        <w:t>广元市自然资源储备交易中心</w:t>
      </w:r>
      <w:r>
        <w:rPr>
          <w:rFonts w:hint="eastAsia" w:ascii="仿宋_GB2312" w:hAnsi="仿宋_GB2312" w:eastAsia="仿宋_GB2312" w:cs="仿宋_GB2312"/>
          <w:color w:val="000000"/>
          <w:sz w:val="32"/>
          <w:szCs w:val="32"/>
        </w:rPr>
        <w:t>按要求对2020年部门整体支出绩效评价情况开展了自评，《</w:t>
      </w:r>
      <w:r>
        <w:rPr>
          <w:rFonts w:hint="eastAsia" w:ascii="仿宋" w:hAnsi="仿宋" w:eastAsia="仿宋" w:cs="仿宋"/>
          <w:sz w:val="32"/>
          <w:szCs w:val="32"/>
          <w:lang w:val="en-US" w:eastAsia="zh-CN"/>
        </w:rPr>
        <w:t>广元市自然资源储备交易中心</w:t>
      </w:r>
      <w:r>
        <w:rPr>
          <w:rFonts w:hint="eastAsia" w:ascii="仿宋_GB2312" w:hAnsi="仿宋_GB2312" w:eastAsia="仿宋_GB2312" w:cs="仿宋_GB2312"/>
          <w:color w:val="000000"/>
          <w:sz w:val="32"/>
          <w:szCs w:val="32"/>
        </w:rPr>
        <w:t>2020年部门整体支出绩效评价报告》见附件（附件1）。</w:t>
      </w:r>
    </w:p>
    <w:p>
      <w:pPr>
        <w:ind w:firstLine="640" w:firstLineChars="200"/>
        <w:rPr>
          <w:rFonts w:hint="eastAsia" w:ascii="仿宋" w:hAnsi="仿宋" w:eastAsia="仿宋" w:cs="仿宋"/>
          <w:sz w:val="32"/>
          <w:szCs w:val="32"/>
          <w:lang w:val="en-US" w:eastAsia="zh-CN"/>
        </w:rPr>
      </w:pPr>
    </w:p>
    <w:p>
      <w:pPr>
        <w:jc w:val="center"/>
        <w:rPr>
          <w:rStyle w:val="37"/>
          <w:rFonts w:hint="eastAsia" w:ascii="方正小标宋_GBK" w:hAnsi="方正小标宋_GBK" w:eastAsia="方正小标宋_GBK" w:cs="方正小标宋_GBK"/>
          <w:b w:val="0"/>
          <w:bCs w:val="0"/>
        </w:rPr>
      </w:pPr>
      <w:r>
        <w:rPr>
          <w:rFonts w:hint="eastAsia" w:ascii="仿宋" w:hAnsi="仿宋" w:eastAsia="仿宋" w:cs="仿宋"/>
          <w:sz w:val="32"/>
          <w:szCs w:val="32"/>
          <w:lang w:val="en-US" w:eastAsia="zh-CN"/>
        </w:rPr>
        <w:br w:type="page"/>
      </w:r>
      <w:bookmarkStart w:id="38" w:name="_Toc15377225"/>
      <w:bookmarkStart w:id="39" w:name="_Toc15396613"/>
      <w:r>
        <w:rPr>
          <w:rStyle w:val="37"/>
          <w:rFonts w:hint="eastAsia" w:ascii="方正小标宋_GBK" w:hAnsi="方正小标宋_GBK" w:eastAsia="方正小标宋_GBK" w:cs="方正小标宋_GBK"/>
          <w:b w:val="0"/>
          <w:bCs w:val="0"/>
        </w:rPr>
        <w:t>第三部分  名词解释</w:t>
      </w:r>
      <w:bookmarkEnd w:id="38"/>
      <w:bookmarkEnd w:id="39"/>
    </w:p>
    <w:p>
      <w:pPr>
        <w:spacing w:line="580" w:lineRule="exact"/>
        <w:jc w:val="left"/>
        <w:rPr>
          <w:rFonts w:ascii="宋体"/>
          <w:b/>
          <w:color w:val="000000"/>
          <w:sz w:val="44"/>
          <w:szCs w:val="44"/>
        </w:rPr>
      </w:pP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2.其他收入：指单位取得的除上述收入以外的各项收入。主要是单位银行存款利息和财政未通过大平台拨付的项目资金。</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3.年初结转和结余：指以前年度尚未完成、结转到本年按有关规定继续使用的资金。</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4.年末结转和结余：指单位按有关规定结转到下年或以后年度继续使用的资金。</w:t>
      </w:r>
    </w:p>
    <w:p>
      <w:pPr>
        <w:spacing w:line="580" w:lineRule="exact"/>
        <w:ind w:firstLine="643" w:firstLineChars="200"/>
        <w:rPr>
          <w:rStyle w:val="14"/>
          <w:rFonts w:hint="eastAsia"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rPr>
        <w:t>5.社会保障和就业（类）行政事业单位离退休（款）机关事业单位基本养老保险缴费支出（项）:</w:t>
      </w:r>
      <w:r>
        <w:rPr>
          <w:rStyle w:val="14"/>
          <w:rFonts w:hint="eastAsia" w:ascii="仿宋_GB2312" w:hAnsi="仿宋_GB2312" w:eastAsia="仿宋_GB2312" w:cs="仿宋_GB2312"/>
          <w:b w:val="0"/>
          <w:sz w:val="32"/>
          <w:szCs w:val="32"/>
        </w:rPr>
        <w:t>指机关事业单位</w:t>
      </w:r>
      <w:r>
        <w:rPr>
          <w:rStyle w:val="14"/>
          <w:rFonts w:hint="eastAsia" w:ascii="仿宋_GB2312" w:hAnsi="仿宋_GB2312" w:eastAsia="仿宋_GB2312" w:cs="仿宋_GB2312"/>
          <w:b w:val="0"/>
          <w:color w:val="000000"/>
          <w:sz w:val="32"/>
          <w:szCs w:val="32"/>
        </w:rPr>
        <w:t>实施养老保险制度由单位缴纳的基本养老保险费支出。</w:t>
      </w:r>
    </w:p>
    <w:p>
      <w:pPr>
        <w:spacing w:line="580" w:lineRule="exact"/>
        <w:ind w:firstLine="643" w:firstLineChars="200"/>
        <w:rPr>
          <w:rStyle w:val="14"/>
          <w:rFonts w:hint="eastAsia"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rPr>
        <w:t>6.社会保障和就业（类）行政事业单位离退休（款）机关事业单位职业年金缴费支出（项）:</w:t>
      </w:r>
      <w:r>
        <w:rPr>
          <w:rStyle w:val="14"/>
          <w:rFonts w:hint="eastAsia" w:ascii="仿宋_GB2312" w:hAnsi="仿宋_GB2312" w:eastAsia="仿宋_GB2312" w:cs="仿宋_GB2312"/>
          <w:b w:val="0"/>
          <w:sz w:val="32"/>
          <w:szCs w:val="32"/>
        </w:rPr>
        <w:t>指机关事业单位实施养老保险制度由单位实际缴纳的职业年金支出。</w:t>
      </w:r>
    </w:p>
    <w:p>
      <w:pPr>
        <w:spacing w:line="580" w:lineRule="exact"/>
        <w:ind w:firstLine="643" w:firstLineChars="200"/>
        <w:rPr>
          <w:rStyle w:val="14"/>
          <w:rFonts w:hint="eastAsia" w:ascii="仿宋_GB2312" w:hAnsi="仿宋_GB2312" w:eastAsia="仿宋_GB2312" w:cs="仿宋_GB2312"/>
          <w:b w:val="0"/>
          <w:sz w:val="32"/>
          <w:szCs w:val="32"/>
        </w:rPr>
      </w:pPr>
      <w:r>
        <w:rPr>
          <w:rStyle w:val="14"/>
          <w:rFonts w:hint="eastAsia" w:ascii="仿宋_GB2312" w:hAnsi="仿宋_GB2312" w:eastAsia="仿宋_GB2312" w:cs="仿宋_GB2312"/>
          <w:bCs/>
          <w:color w:val="000000"/>
          <w:sz w:val="32"/>
          <w:szCs w:val="32"/>
        </w:rPr>
        <w:t>7.社会保障和就业（类）抚恤（款）死亡抚恤（项）：指</w:t>
      </w:r>
      <w:r>
        <w:rPr>
          <w:rStyle w:val="14"/>
          <w:rFonts w:hint="eastAsia" w:ascii="仿宋_GB2312" w:hAnsi="仿宋_GB2312" w:eastAsia="仿宋_GB2312" w:cs="仿宋_GB2312"/>
          <w:b w:val="0"/>
          <w:color w:val="000000"/>
          <w:sz w:val="32"/>
          <w:szCs w:val="32"/>
        </w:rPr>
        <w:t>反映按规定用于烈士牺牲、病故人员家属的一次性和定期抚恤金以及丧葬补助费。</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r>
        <w:rPr>
          <w:rFonts w:hint="eastAsia" w:ascii="仿宋_GB2312" w:hAnsi="仿宋_GB2312" w:eastAsia="仿宋_GB2312" w:cs="仿宋_GB2312"/>
          <w:b/>
          <w:bCs/>
          <w:color w:val="000000"/>
          <w:sz w:val="32"/>
          <w:szCs w:val="32"/>
        </w:rPr>
        <w:t>卫生健康</w:t>
      </w:r>
      <w:r>
        <w:rPr>
          <w:rStyle w:val="14"/>
          <w:rFonts w:hint="eastAsia" w:ascii="仿宋_GB2312" w:hAnsi="仿宋_GB2312" w:eastAsia="仿宋_GB2312" w:cs="仿宋_GB2312"/>
          <w:bCs/>
          <w:color w:val="000000"/>
          <w:sz w:val="32"/>
          <w:szCs w:val="32"/>
        </w:rPr>
        <w:t>（类）行政事业单位医疗（款）行政单位医疗（项）</w:t>
      </w:r>
      <w:r>
        <w:rPr>
          <w:rFonts w:hint="eastAsia" w:ascii="仿宋_GB2312" w:hAnsi="仿宋_GB2312" w:eastAsia="仿宋_GB2312" w:cs="仿宋_GB2312"/>
          <w:color w:val="000000"/>
          <w:sz w:val="32"/>
          <w:szCs w:val="32"/>
        </w:rPr>
        <w:t>：指</w:t>
      </w:r>
      <w:r>
        <w:rPr>
          <w:rStyle w:val="14"/>
          <w:rFonts w:hint="eastAsia" w:ascii="仿宋_GB2312" w:hAnsi="仿宋_GB2312" w:eastAsia="仿宋_GB2312" w:cs="仿宋_GB2312"/>
          <w:b w:val="0"/>
          <w:sz w:val="32"/>
          <w:szCs w:val="32"/>
        </w:rPr>
        <w:t>局机关</w:t>
      </w:r>
      <w:r>
        <w:rPr>
          <w:rFonts w:hint="eastAsia" w:ascii="仿宋_GB2312" w:hAnsi="仿宋_GB2312" w:eastAsia="仿宋_GB2312" w:cs="仿宋_GB2312"/>
          <w:sz w:val="32"/>
          <w:szCs w:val="32"/>
          <w:shd w:val="clear" w:color="auto" w:fill="FFFFFF"/>
        </w:rPr>
        <w:t>用于缴纳单位基本医疗保险支出。</w:t>
      </w:r>
    </w:p>
    <w:p>
      <w:pPr>
        <w:spacing w:line="580" w:lineRule="exact"/>
        <w:ind w:firstLine="640" w:firstLineChars="200"/>
        <w:rPr>
          <w:rStyle w:val="14"/>
          <w:rFonts w:hint="eastAsia" w:ascii="仿宋_GB2312" w:hAnsi="仿宋_GB2312" w:eastAsia="仿宋_GB2312" w:cs="仿宋_GB2312"/>
          <w:b w:val="0"/>
          <w:sz w:val="32"/>
          <w:szCs w:val="32"/>
        </w:rPr>
      </w:pPr>
      <w:r>
        <w:rPr>
          <w:rFonts w:hint="eastAsia" w:ascii="仿宋_GB2312" w:hAnsi="仿宋_GB2312" w:eastAsia="仿宋_GB2312" w:cs="仿宋_GB2312"/>
          <w:color w:val="000000"/>
          <w:sz w:val="32"/>
          <w:szCs w:val="32"/>
        </w:rPr>
        <w:t>9.</w:t>
      </w:r>
      <w:r>
        <w:rPr>
          <w:rFonts w:hint="eastAsia" w:ascii="仿宋_GB2312" w:hAnsi="仿宋_GB2312" w:eastAsia="仿宋_GB2312" w:cs="仿宋_GB2312"/>
          <w:b/>
          <w:bCs/>
          <w:color w:val="000000"/>
          <w:sz w:val="32"/>
          <w:szCs w:val="32"/>
        </w:rPr>
        <w:t>卫生健康</w:t>
      </w:r>
      <w:r>
        <w:rPr>
          <w:rStyle w:val="14"/>
          <w:rFonts w:hint="eastAsia" w:ascii="仿宋_GB2312" w:hAnsi="仿宋_GB2312" w:eastAsia="仿宋_GB2312" w:cs="仿宋_GB2312"/>
          <w:bCs/>
          <w:color w:val="000000"/>
          <w:sz w:val="32"/>
          <w:szCs w:val="32"/>
        </w:rPr>
        <w:t>（类）行政事业单位医疗（款）事业单位医疗（项）</w:t>
      </w:r>
      <w:r>
        <w:rPr>
          <w:rFonts w:hint="eastAsia" w:ascii="仿宋_GB2312" w:hAnsi="仿宋_GB2312" w:eastAsia="仿宋_GB2312" w:cs="仿宋_GB2312"/>
          <w:color w:val="000000"/>
          <w:sz w:val="32"/>
          <w:szCs w:val="32"/>
        </w:rPr>
        <w:t>：</w:t>
      </w:r>
      <w:r>
        <w:rPr>
          <w:rStyle w:val="14"/>
          <w:rFonts w:hint="eastAsia" w:ascii="仿宋_GB2312" w:hAnsi="仿宋_GB2312" w:eastAsia="仿宋_GB2312" w:cs="仿宋_GB2312"/>
          <w:b w:val="0"/>
          <w:sz w:val="32"/>
          <w:szCs w:val="32"/>
        </w:rPr>
        <w:t>指</w:t>
      </w:r>
      <w:r>
        <w:rPr>
          <w:rFonts w:hint="eastAsia" w:ascii="仿宋_GB2312" w:hAnsi="仿宋_GB2312" w:eastAsia="仿宋_GB2312" w:cs="仿宋_GB2312"/>
          <w:sz w:val="32"/>
          <w:szCs w:val="32"/>
          <w:shd w:val="clear" w:color="auto" w:fill="FFFFFF"/>
        </w:rPr>
        <w:t>事业单位用于缴纳单位基本医疗保险支出。</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w:t>
      </w:r>
      <w:r>
        <w:rPr>
          <w:rFonts w:hint="eastAsia" w:ascii="仿宋_GB2312" w:hAnsi="仿宋_GB2312" w:eastAsia="仿宋_GB2312" w:cs="仿宋_GB2312"/>
          <w:b/>
          <w:bCs/>
          <w:color w:val="000000"/>
          <w:sz w:val="32"/>
          <w:szCs w:val="32"/>
        </w:rPr>
        <w:t>城区社区（类）其他城区社区支出（款）土地开发及出让支出（项）</w:t>
      </w:r>
      <w:r>
        <w:rPr>
          <w:rFonts w:hint="eastAsia" w:ascii="仿宋_GB2312" w:hAnsi="仿宋_GB2312" w:eastAsia="仿宋_GB2312" w:cs="仿宋_GB2312"/>
          <w:color w:val="000000"/>
          <w:sz w:val="32"/>
          <w:szCs w:val="32"/>
        </w:rPr>
        <w:t>：指土地开发及出让项目发生的业务支出、土地拆迁补偿支出、土地出让业务支出。</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b/>
          <w:bCs/>
          <w:color w:val="000000"/>
          <w:sz w:val="32"/>
          <w:szCs w:val="32"/>
        </w:rPr>
        <w:t>自然资源海洋气象等（类）自然资源事务（款）行政运行（项）：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局行政机关用于保障机构正常运行、开展日常工作的基本支出。</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b/>
          <w:bCs/>
          <w:color w:val="000000"/>
          <w:sz w:val="32"/>
          <w:szCs w:val="32"/>
        </w:rPr>
        <w:t>自然资源海洋气象等（类）自然资源事务（款)、事业运行（项）：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局事业单位用于保障机构正常运行、开展日常工作的基本支出。</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b/>
          <w:bCs/>
          <w:color w:val="000000"/>
          <w:sz w:val="32"/>
          <w:szCs w:val="32"/>
        </w:rPr>
        <w:t>自然资源海洋气象等（类）自然资源事务（款)一般行政管理事务行（项）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局机关及事业单位开展自然资源综合业务专门性自然资源管理工作的项目支出。</w:t>
      </w:r>
    </w:p>
    <w:p>
      <w:pPr>
        <w:spacing w:line="580" w:lineRule="exact"/>
        <w:ind w:firstLine="640" w:firstLineChars="200"/>
        <w:rPr>
          <w:rStyle w:val="14"/>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sz w:val="32"/>
          <w:szCs w:val="32"/>
          <w:shd w:val="clear" w:color="auto" w:fill="FFFFFF"/>
        </w:rPr>
        <w:t>14.</w:t>
      </w:r>
      <w:r>
        <w:rPr>
          <w:rStyle w:val="14"/>
          <w:rFonts w:hint="eastAsia" w:ascii="仿宋_GB2312" w:hAnsi="仿宋_GB2312" w:eastAsia="仿宋_GB2312" w:cs="仿宋_GB2312"/>
          <w:b w:val="0"/>
          <w:bCs/>
          <w:color w:val="000000"/>
          <w:sz w:val="32"/>
          <w:szCs w:val="32"/>
        </w:rPr>
        <w:t>自然资源海洋气象等支出（类）自然资源事务（款）自然资源利用与保护（项）：指地质环境治理和土地整治方面的支出。</w:t>
      </w:r>
    </w:p>
    <w:p>
      <w:pPr>
        <w:spacing w:line="580" w:lineRule="exact"/>
        <w:ind w:firstLine="640"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 w:val="0"/>
          <w:bCs/>
          <w:color w:val="000000"/>
          <w:sz w:val="32"/>
          <w:szCs w:val="32"/>
        </w:rPr>
        <w:t>15.</w:t>
      </w:r>
      <w:r>
        <w:rPr>
          <w:rStyle w:val="14"/>
          <w:rFonts w:hint="eastAsia" w:ascii="仿宋_GB2312" w:hAnsi="仿宋_GB2312" w:eastAsia="仿宋_GB2312" w:cs="仿宋_GB2312"/>
          <w:color w:val="000000"/>
          <w:sz w:val="32"/>
          <w:szCs w:val="32"/>
        </w:rPr>
        <w:t>自然资源海洋气象等支出（类）自然资源事务（款）地质勘察与矿产资源管理（项）</w:t>
      </w:r>
      <w:r>
        <w:rPr>
          <w:rStyle w:val="14"/>
          <w:rFonts w:hint="eastAsia" w:ascii="仿宋_GB2312" w:hAnsi="仿宋_GB2312" w:eastAsia="仿宋_GB2312" w:cs="仿宋_GB2312"/>
          <w:b w:val="0"/>
          <w:bCs/>
          <w:color w:val="000000"/>
          <w:sz w:val="32"/>
          <w:szCs w:val="32"/>
        </w:rPr>
        <w:t>：指矿业权管理、矿产资源合理利用和保护方面的支出。</w:t>
      </w:r>
    </w:p>
    <w:p>
      <w:pPr>
        <w:spacing w:line="580" w:lineRule="exact"/>
        <w:ind w:firstLine="640" w:firstLineChars="200"/>
        <w:rPr>
          <w:rFonts w:hint="eastAsia" w:ascii="仿宋_GB2312" w:hAnsi="仿宋_GB2312" w:eastAsia="仿宋_GB2312" w:cs="仿宋_GB2312"/>
          <w:color w:val="000000"/>
          <w:sz w:val="32"/>
          <w:szCs w:val="32"/>
        </w:rPr>
      </w:pPr>
      <w:r>
        <w:rPr>
          <w:rStyle w:val="14"/>
          <w:rFonts w:hint="eastAsia" w:ascii="仿宋_GB2312" w:hAnsi="仿宋_GB2312" w:eastAsia="仿宋_GB2312" w:cs="仿宋_GB2312"/>
          <w:b w:val="0"/>
          <w:bCs/>
          <w:color w:val="000000"/>
          <w:sz w:val="32"/>
          <w:szCs w:val="32"/>
        </w:rPr>
        <w:t>16.</w:t>
      </w:r>
      <w:r>
        <w:rPr>
          <w:rStyle w:val="14"/>
          <w:rFonts w:hint="eastAsia" w:ascii="仿宋_GB2312" w:hAnsi="仿宋_GB2312" w:eastAsia="仿宋_GB2312" w:cs="仿宋_GB2312"/>
          <w:color w:val="000000"/>
          <w:sz w:val="32"/>
          <w:szCs w:val="32"/>
        </w:rPr>
        <w:t>自然资源海洋气象等支出（类）自然资源事务（款）其他自然资源事务（项）</w:t>
      </w:r>
      <w:r>
        <w:rPr>
          <w:rStyle w:val="14"/>
          <w:rFonts w:hint="eastAsia" w:ascii="仿宋_GB2312" w:hAnsi="仿宋_GB2312" w:eastAsia="仿宋_GB2312" w:cs="仿宋_GB2312"/>
          <w:b w:val="0"/>
          <w:bCs/>
          <w:color w:val="000000"/>
          <w:sz w:val="32"/>
          <w:szCs w:val="32"/>
        </w:rPr>
        <w:t>：指除财政一般公共预算安排的项目之外的项目支出。</w:t>
      </w:r>
    </w:p>
    <w:p>
      <w:pPr>
        <w:spacing w:line="580" w:lineRule="exact"/>
        <w:ind w:firstLine="640" w:firstLineChars="200"/>
        <w:rPr>
          <w:rFonts w:hint="eastAsia" w:ascii="仿宋_GB2312" w:hAnsi="仿宋_GB2312" w:eastAsia="仿宋_GB2312" w:cs="仿宋_GB2312"/>
          <w:color w:val="000000"/>
          <w:sz w:val="32"/>
          <w:szCs w:val="32"/>
        </w:rPr>
      </w:pPr>
      <w:r>
        <w:rPr>
          <w:rStyle w:val="14"/>
          <w:rFonts w:hint="eastAsia" w:ascii="仿宋_GB2312" w:hAnsi="仿宋_GB2312" w:eastAsia="仿宋_GB2312" w:cs="仿宋_GB2312"/>
          <w:b w:val="0"/>
          <w:bCs/>
          <w:color w:val="000000"/>
          <w:sz w:val="32"/>
          <w:szCs w:val="32"/>
        </w:rPr>
        <w:t>17.</w:t>
      </w:r>
      <w:r>
        <w:rPr>
          <w:rStyle w:val="14"/>
          <w:rFonts w:hint="eastAsia" w:ascii="仿宋_GB2312" w:hAnsi="仿宋_GB2312" w:eastAsia="仿宋_GB2312" w:cs="仿宋_GB2312"/>
          <w:color w:val="000000"/>
          <w:sz w:val="32"/>
          <w:szCs w:val="32"/>
        </w:rPr>
        <w:t>灾害防治及应急管理（类）自然灾害防治（款）地质灾害防治（项）</w:t>
      </w:r>
      <w:r>
        <w:rPr>
          <w:rStyle w:val="14"/>
          <w:rFonts w:hint="eastAsia" w:ascii="仿宋_GB2312" w:hAnsi="仿宋_GB2312" w:eastAsia="仿宋_GB2312" w:cs="仿宋_GB2312"/>
          <w:b w:val="0"/>
          <w:bCs/>
          <w:color w:val="000000"/>
          <w:sz w:val="32"/>
          <w:szCs w:val="32"/>
        </w:rPr>
        <w:t>：指用于地质灾害防治方面的支出。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b/>
          <w:bCs/>
          <w:color w:val="000000"/>
          <w:sz w:val="32"/>
          <w:szCs w:val="32"/>
        </w:rPr>
        <w:t>住房保障（类）住房改革支出（款）住房公积金（项）：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指局机关及事业单位按行政事业单位按人力资源部和社会保障部、财政部规定的基本工资和津贴补贴以及规定比例为职工缴纳的住房公积金。</w:t>
      </w:r>
    </w:p>
    <w:p>
      <w:pPr>
        <w:spacing w:line="580" w:lineRule="exact"/>
        <w:ind w:left="319" w:leftChars="152"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b/>
          <w:bCs/>
          <w:color w:val="000000"/>
          <w:sz w:val="32"/>
          <w:szCs w:val="32"/>
        </w:rPr>
        <w:t>住房保障（类）住房改革支出（款）购房补贴（项）：</w:t>
      </w:r>
      <w:r>
        <w:rPr>
          <w:rFonts w:hint="eastAsia" w:ascii="仿宋_GB2312" w:hAnsi="仿宋_GB2312" w:eastAsia="仿宋_GB2312" w:cs="仿宋_GB2312"/>
          <w:color w:val="000000"/>
          <w:sz w:val="32"/>
          <w:szCs w:val="32"/>
        </w:rPr>
        <w:t>印记的研究生和选调生的安家补助费。</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b/>
          <w:bCs/>
          <w:color w:val="000000"/>
          <w:sz w:val="32"/>
          <w:szCs w:val="32"/>
        </w:rPr>
        <w:t>基本支出</w:t>
      </w:r>
      <w:r>
        <w:rPr>
          <w:rFonts w:hint="eastAsia" w:ascii="仿宋_GB2312" w:hAnsi="仿宋_GB2312" w:eastAsia="仿宋_GB2312" w:cs="仿宋_GB2312"/>
          <w:color w:val="000000"/>
          <w:sz w:val="32"/>
          <w:szCs w:val="32"/>
        </w:rPr>
        <w:t>：指为保障机构正常运转、完成日常工作任务而发生的人员支出和公用支出。</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w:t>
      </w:r>
      <w:r>
        <w:rPr>
          <w:rFonts w:hint="eastAsia" w:ascii="仿宋_GB2312" w:hAnsi="仿宋_GB2312" w:eastAsia="仿宋_GB2312" w:cs="仿宋_GB2312"/>
          <w:b/>
          <w:bCs/>
          <w:color w:val="000000"/>
          <w:sz w:val="32"/>
          <w:szCs w:val="32"/>
        </w:rPr>
        <w:t>项目支出</w:t>
      </w:r>
      <w:r>
        <w:rPr>
          <w:rFonts w:hint="eastAsia" w:ascii="仿宋_GB2312" w:hAnsi="仿宋_GB2312" w:eastAsia="仿宋_GB2312" w:cs="仿宋_GB2312"/>
          <w:color w:val="000000"/>
          <w:sz w:val="32"/>
          <w:szCs w:val="32"/>
        </w:rPr>
        <w:t>：指在基本支出之外为完成特定行政任务和事业发展目标所发生的支出。</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b/>
          <w:bCs/>
          <w:sz w:val="32"/>
          <w:szCs w:val="32"/>
        </w:rPr>
        <w:t>“三公”经费：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b/>
          <w:bCs/>
          <w:sz w:val="32"/>
          <w:szCs w:val="32"/>
        </w:rPr>
        <w:t>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黑体"/>
          <w:sz w:val="32"/>
          <w:szCs w:val="32"/>
        </w:rPr>
      </w:pPr>
    </w:p>
    <w:p>
      <w:pPr>
        <w:spacing w:line="600" w:lineRule="exact"/>
        <w:jc w:val="center"/>
        <w:outlineLvl w:val="0"/>
        <w:rPr>
          <w:rStyle w:val="37"/>
          <w:rFonts w:ascii="黑体" w:hAnsi="黑体" w:eastAsia="黑体"/>
          <w:b w:val="0"/>
        </w:rPr>
      </w:pPr>
      <w:bookmarkStart w:id="40" w:name="_Toc15377226"/>
      <w:r>
        <w:rPr>
          <w:rFonts w:ascii="宋体"/>
          <w:b/>
          <w:color w:val="000000"/>
          <w:sz w:val="44"/>
          <w:szCs w:val="44"/>
        </w:rPr>
        <w:br w:type="page"/>
      </w:r>
      <w:bookmarkStart w:id="41" w:name="_Toc15396614"/>
      <w:r>
        <w:rPr>
          <w:rFonts w:hint="eastAsia" w:ascii="黑体" w:hAnsi="黑体" w:eastAsia="黑体"/>
          <w:color w:val="000000"/>
          <w:sz w:val="44"/>
          <w:szCs w:val="44"/>
        </w:rPr>
        <w:t>第</w:t>
      </w:r>
      <w:r>
        <w:rPr>
          <w:rStyle w:val="37"/>
          <w:rFonts w:hint="eastAsia" w:ascii="黑体" w:hAnsi="黑体" w:eastAsia="黑体"/>
          <w:b w:val="0"/>
        </w:rPr>
        <w:t>四部分  附件</w:t>
      </w:r>
      <w:bookmarkEnd w:id="41"/>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b/>
          <w:bCs/>
          <w:sz w:val="44"/>
          <w:szCs w:val="44"/>
        </w:rPr>
      </w:pPr>
    </w:p>
    <w:p>
      <w:pPr>
        <w:spacing w:line="560" w:lineRule="exact"/>
        <w:jc w:val="center"/>
        <w:outlineLvl w:val="0"/>
        <w:rPr>
          <w:rFonts w:hint="eastAsia" w:ascii="方正小标宋_GBK" w:eastAsia="方正小标宋_GBK"/>
          <w:b/>
          <w:bCs/>
          <w:sz w:val="36"/>
          <w:szCs w:val="36"/>
          <w:lang w:eastAsia="zh-CN"/>
        </w:rPr>
      </w:pPr>
      <w:r>
        <w:rPr>
          <w:rFonts w:hint="eastAsia" w:ascii="方正小标宋_GBK" w:eastAsia="方正小标宋_GBK"/>
          <w:b/>
          <w:bCs/>
          <w:sz w:val="36"/>
          <w:szCs w:val="36"/>
          <w:lang w:eastAsia="zh-CN"/>
        </w:rPr>
        <w:t>广元市自然资源储备交易中心</w:t>
      </w:r>
    </w:p>
    <w:p>
      <w:pPr>
        <w:spacing w:line="560" w:lineRule="exact"/>
        <w:jc w:val="center"/>
        <w:outlineLvl w:val="0"/>
        <w:rPr>
          <w:rFonts w:hint="eastAsia" w:ascii="方正小标宋_GBK" w:eastAsia="方正小标宋_GBK"/>
          <w:b/>
          <w:bCs/>
          <w:sz w:val="36"/>
          <w:szCs w:val="36"/>
        </w:rPr>
      </w:pPr>
      <w:r>
        <w:rPr>
          <w:rFonts w:hint="eastAsia" w:ascii="方正小标宋_GBK" w:eastAsia="方正小标宋_GBK"/>
          <w:b/>
          <w:bCs/>
          <w:sz w:val="36"/>
          <w:szCs w:val="36"/>
          <w:lang w:val="en-US" w:eastAsia="zh-CN"/>
        </w:rPr>
        <w:t>2020</w:t>
      </w:r>
      <w:r>
        <w:rPr>
          <w:rFonts w:hint="eastAsia" w:ascii="方正小标宋_GBK" w:eastAsia="方正小标宋_GBK"/>
          <w:b/>
          <w:bCs/>
          <w:sz w:val="36"/>
          <w:szCs w:val="36"/>
        </w:rPr>
        <w:t>年部门支出绩效评价自评报告</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hint="eastAsia" w:ascii="黑体" w:hAnsi="黑体" w:eastAsia="黑体"/>
          <w:bCs/>
          <w:sz w:val="32"/>
          <w:szCs w:val="32"/>
        </w:rPr>
      </w:pPr>
      <w:r>
        <w:rPr>
          <w:rFonts w:hint="eastAsia" w:ascii="黑体" w:hAnsi="黑体" w:eastAsia="黑体"/>
          <w:bCs/>
          <w:sz w:val="32"/>
          <w:szCs w:val="32"/>
        </w:rPr>
        <w:t>一、部门概况</w:t>
      </w:r>
    </w:p>
    <w:p>
      <w:pPr>
        <w:pStyle w:val="5"/>
        <w:adjustRightInd w:val="0"/>
        <w:snapToGrid w:val="0"/>
        <w:spacing w:before="93" w:line="580" w:lineRule="exact"/>
        <w:ind w:firstLine="672" w:firstLineChars="210"/>
        <w:outlineLvl w:val="2"/>
        <w:rPr>
          <w:rFonts w:hint="eastAsia" w:ascii="楷体_GB2312" w:eastAsia="楷体_GB2312"/>
          <w:bCs/>
          <w:sz w:val="32"/>
          <w:szCs w:val="32"/>
        </w:rPr>
      </w:pPr>
      <w:r>
        <w:rPr>
          <w:rFonts w:hint="eastAsia" w:ascii="楷体_GB2312" w:eastAsia="楷体_GB2312"/>
          <w:sz w:val="32"/>
          <w:szCs w:val="32"/>
        </w:rPr>
        <w:t>(</w:t>
      </w:r>
      <w:r>
        <w:rPr>
          <w:rFonts w:hint="eastAsia" w:ascii="楷体_GB2312" w:eastAsia="楷体_GB2312"/>
          <w:bCs/>
          <w:sz w:val="32"/>
          <w:szCs w:val="32"/>
        </w:rPr>
        <w:t>一）基本职能</w:t>
      </w:r>
    </w:p>
    <w:p>
      <w:pPr>
        <w:numPr>
          <w:ilvl w:val="0"/>
          <w:numId w:val="0"/>
        </w:numPr>
        <w:spacing w:line="580" w:lineRule="exact"/>
        <w:ind w:firstLine="640" w:firstLineChars="200"/>
        <w:rPr>
          <w:rFonts w:hint="default" w:ascii="黑体" w:hAnsi="黑体" w:eastAsia="黑体"/>
          <w:b/>
          <w:sz w:val="32"/>
          <w:szCs w:val="32"/>
          <w:lang w:val="en-US" w:eastAsia="zh-CN"/>
        </w:rPr>
      </w:pPr>
      <w:r>
        <w:rPr>
          <w:rFonts w:hint="eastAsia" w:ascii="宋体" w:hAnsi="宋体"/>
          <w:color w:val="333333"/>
          <w:sz w:val="32"/>
          <w:szCs w:val="32"/>
          <w:shd w:val="clear" w:color="auto" w:fill="FFFFFF"/>
          <w:lang w:val="en-US" w:eastAsia="zh-CN"/>
        </w:rPr>
        <w:t>负责编制市本级土地储备计划并实施；负责储备土地实施前期开发和管护；配合土地储备专项债券发行工作；承担国有建设用地供应事务性工作；负责国有建设用地二级市场相关工作。</w:t>
      </w:r>
    </w:p>
    <w:p>
      <w:pPr>
        <w:numPr>
          <w:ilvl w:val="0"/>
          <w:numId w:val="2"/>
        </w:numPr>
        <w:spacing w:line="580" w:lineRule="exact"/>
        <w:ind w:firstLine="640" w:firstLineChars="200"/>
        <w:rPr>
          <w:rFonts w:hint="eastAsia" w:ascii="楷体_GB2312" w:eastAsia="楷体_GB2312"/>
          <w:bCs/>
          <w:sz w:val="32"/>
          <w:szCs w:val="32"/>
        </w:rPr>
      </w:pPr>
      <w:r>
        <w:rPr>
          <w:rFonts w:hint="eastAsia" w:ascii="楷体_GB2312" w:eastAsia="楷体_GB2312"/>
          <w:bCs/>
          <w:sz w:val="32"/>
          <w:szCs w:val="32"/>
        </w:rPr>
        <w:t>基本情况</w:t>
      </w:r>
    </w:p>
    <w:p>
      <w:pPr>
        <w:widowControl/>
        <w:adjustRightInd w:val="0"/>
        <w:snapToGrid w:val="0"/>
        <w:spacing w:line="500" w:lineRule="exact"/>
        <w:ind w:firstLine="640" w:firstLineChars="200"/>
        <w:jc w:val="left"/>
        <w:rPr>
          <w:rFonts w:hint="eastAsia" w:ascii="仿宋_GB2312" w:hAnsi="仿宋_GB2312" w:eastAsia="仿宋_GB2312" w:cs="仿宋_GB2312"/>
          <w:color w:val="000000"/>
          <w:kern w:val="0"/>
          <w:sz w:val="30"/>
          <w:szCs w:val="30"/>
          <w:shd w:val="clear" w:color="auto" w:fill="FFFFFF"/>
          <w:lang w:eastAsia="zh-CN"/>
        </w:rPr>
      </w:pPr>
      <w:r>
        <w:rPr>
          <w:rFonts w:hint="eastAsia" w:ascii="楷体_GB2312" w:eastAsia="楷体_GB2312"/>
          <w:bCs/>
          <w:sz w:val="32"/>
          <w:szCs w:val="32"/>
        </w:rPr>
        <w:t xml:space="preserve">1.人员情况  </w:t>
      </w:r>
      <w:r>
        <w:rPr>
          <w:rFonts w:hint="eastAsia" w:ascii="仿宋_GB2312" w:hAnsi="仿宋_GB2312" w:eastAsia="仿宋_GB2312" w:cs="仿宋_GB2312"/>
          <w:color w:val="000000"/>
          <w:kern w:val="0"/>
          <w:sz w:val="30"/>
          <w:szCs w:val="30"/>
          <w:shd w:val="clear" w:color="auto" w:fill="FFFFFF"/>
          <w:lang w:val="zh-CN"/>
        </w:rPr>
        <w:t xml:space="preserve"> </w:t>
      </w:r>
      <w:r>
        <w:rPr>
          <w:rFonts w:hint="eastAsia" w:ascii="仿宋_GB2312" w:hAnsi="仿宋_GB2312" w:eastAsia="仿宋_GB2312" w:cs="仿宋_GB2312"/>
          <w:color w:val="000000"/>
          <w:kern w:val="0"/>
          <w:sz w:val="30"/>
          <w:szCs w:val="30"/>
          <w:shd w:val="clear" w:color="auto" w:fill="FFFFFF"/>
          <w:lang w:val="zh-CN" w:eastAsia="zh-CN"/>
        </w:rPr>
        <w:t>广元市自然资源储备交易中心在职编制数</w:t>
      </w:r>
      <w:r>
        <w:rPr>
          <w:rFonts w:hint="eastAsia" w:ascii="仿宋_GB2312" w:hAnsi="仿宋_GB2312" w:eastAsia="仿宋_GB2312" w:cs="仿宋_GB2312"/>
          <w:color w:val="000000"/>
          <w:kern w:val="0"/>
          <w:sz w:val="30"/>
          <w:szCs w:val="30"/>
          <w:shd w:val="clear" w:color="auto" w:fill="FFFFFF"/>
          <w:lang w:val="en-US" w:eastAsia="zh-CN"/>
        </w:rPr>
        <w:t>13</w:t>
      </w:r>
      <w:r>
        <w:rPr>
          <w:rFonts w:hint="eastAsia" w:ascii="仿宋_GB2312" w:hAnsi="仿宋_GB2312" w:eastAsia="仿宋_GB2312" w:cs="仿宋_GB2312"/>
          <w:color w:val="000000"/>
          <w:kern w:val="0"/>
          <w:sz w:val="30"/>
          <w:szCs w:val="30"/>
          <w:shd w:val="clear" w:color="auto" w:fill="FFFFFF"/>
        </w:rPr>
        <w:t>名。年末在职人员</w:t>
      </w:r>
      <w:r>
        <w:rPr>
          <w:rFonts w:hint="eastAsia" w:ascii="仿宋_GB2312" w:hAnsi="仿宋_GB2312" w:eastAsia="仿宋_GB2312" w:cs="仿宋_GB2312"/>
          <w:color w:val="000000"/>
          <w:kern w:val="0"/>
          <w:sz w:val="30"/>
          <w:szCs w:val="30"/>
          <w:shd w:val="clear" w:color="auto" w:fill="FFFFFF"/>
          <w:lang w:val="en-US" w:eastAsia="zh-CN"/>
        </w:rPr>
        <w:t>13</w:t>
      </w:r>
      <w:r>
        <w:rPr>
          <w:rFonts w:hint="eastAsia" w:ascii="仿宋_GB2312" w:hAnsi="仿宋_GB2312" w:eastAsia="仿宋_GB2312" w:cs="仿宋_GB2312"/>
          <w:color w:val="000000"/>
          <w:kern w:val="0"/>
          <w:sz w:val="30"/>
          <w:szCs w:val="30"/>
          <w:shd w:val="clear" w:color="auto" w:fill="FFFFFF"/>
        </w:rPr>
        <w:t>人</w:t>
      </w:r>
      <w:r>
        <w:rPr>
          <w:rFonts w:hint="eastAsia" w:ascii="仿宋_GB2312" w:hAnsi="仿宋_GB2312" w:eastAsia="仿宋_GB2312" w:cs="仿宋_GB2312"/>
          <w:color w:val="000000"/>
          <w:kern w:val="0"/>
          <w:sz w:val="30"/>
          <w:szCs w:val="30"/>
          <w:shd w:val="clear" w:color="auto" w:fill="FFFFFF"/>
          <w:lang w:eastAsia="zh-CN"/>
        </w:rPr>
        <w:t>。</w:t>
      </w:r>
    </w:p>
    <w:p>
      <w:pPr>
        <w:spacing w:line="576" w:lineRule="exact"/>
        <w:ind w:firstLine="600" w:firstLineChars="200"/>
        <w:rPr>
          <w:rFonts w:hint="eastAsia" w:ascii="仿宋" w:hAnsi="仿宋" w:eastAsia="仿宋" w:cs="仿宋_GB2312"/>
          <w:b/>
          <w:bCs/>
          <w:kern w:val="0"/>
          <w:sz w:val="30"/>
          <w:szCs w:val="30"/>
        </w:rPr>
      </w:pPr>
      <w:r>
        <w:rPr>
          <w:rFonts w:hint="eastAsia" w:ascii="仿宋_GB2312" w:hAnsi="仿宋_GB2312" w:eastAsia="仿宋_GB2312" w:cs="仿宋_GB2312"/>
          <w:color w:val="000000"/>
          <w:kern w:val="0"/>
          <w:sz w:val="30"/>
          <w:szCs w:val="30"/>
          <w:shd w:val="clear" w:color="auto" w:fill="FFFFFF"/>
        </w:rPr>
        <w:t>2.</w:t>
      </w:r>
      <w:r>
        <w:rPr>
          <w:rFonts w:hint="eastAsia" w:ascii="楷体_GB2312" w:hAnsi="Times New Roman" w:eastAsia="楷体_GB2312" w:cs="Times New Roman"/>
          <w:bCs/>
          <w:sz w:val="32"/>
          <w:szCs w:val="32"/>
        </w:rPr>
        <w:t>部门自评步骤及方法</w:t>
      </w:r>
    </w:p>
    <w:p>
      <w:pPr>
        <w:spacing w:line="576" w:lineRule="exact"/>
        <w:ind w:firstLine="600" w:firstLineChars="200"/>
        <w:rPr>
          <w:rFonts w:hint="eastAsia" w:ascii="仿宋" w:hAnsi="仿宋" w:eastAsia="仿宋" w:cs="仿宋_GB2312"/>
          <w:kern w:val="0"/>
          <w:sz w:val="30"/>
          <w:szCs w:val="30"/>
        </w:rPr>
      </w:pPr>
      <w:r>
        <w:rPr>
          <w:rFonts w:hint="eastAsia" w:ascii="仿宋" w:hAnsi="仿宋" w:eastAsia="仿宋" w:cs="仿宋_GB2312"/>
          <w:kern w:val="0"/>
          <w:sz w:val="30"/>
          <w:szCs w:val="30"/>
          <w:lang w:val="en-US" w:eastAsia="zh-CN"/>
        </w:rPr>
        <w:t>根据</w:t>
      </w:r>
      <w:r>
        <w:rPr>
          <w:rFonts w:hint="eastAsia" w:ascii="仿宋" w:hAnsi="仿宋" w:eastAsia="仿宋" w:cs="仿宋_GB2312"/>
          <w:kern w:val="0"/>
          <w:sz w:val="30"/>
          <w:szCs w:val="30"/>
        </w:rPr>
        <w:t>《</w:t>
      </w:r>
      <w:r>
        <w:rPr>
          <w:rFonts w:hint="eastAsia" w:ascii="仿宋" w:hAnsi="仿宋" w:eastAsia="仿宋" w:cs="仿宋_GB2312"/>
          <w:bCs/>
          <w:kern w:val="0"/>
          <w:sz w:val="30"/>
          <w:szCs w:val="30"/>
        </w:rPr>
        <w:t>20</w:t>
      </w:r>
      <w:r>
        <w:rPr>
          <w:rFonts w:hint="eastAsia" w:ascii="仿宋" w:hAnsi="仿宋" w:eastAsia="仿宋" w:cs="仿宋_GB2312"/>
          <w:bCs/>
          <w:kern w:val="0"/>
          <w:sz w:val="30"/>
          <w:szCs w:val="30"/>
          <w:lang w:val="en-US" w:eastAsia="zh-CN"/>
        </w:rPr>
        <w:t>20</w:t>
      </w:r>
      <w:r>
        <w:rPr>
          <w:rFonts w:hint="eastAsia" w:ascii="仿宋" w:hAnsi="仿宋" w:eastAsia="仿宋" w:cs="仿宋_GB2312"/>
          <w:bCs/>
          <w:kern w:val="0"/>
          <w:sz w:val="30"/>
          <w:szCs w:val="30"/>
        </w:rPr>
        <w:t>年市本级预算单位部门支出绩效评价工作的通知</w:t>
      </w:r>
      <w:r>
        <w:rPr>
          <w:rFonts w:hint="eastAsia" w:ascii="仿宋" w:hAnsi="仿宋" w:eastAsia="仿宋" w:cs="仿宋_GB2312"/>
          <w:kern w:val="0"/>
          <w:sz w:val="30"/>
          <w:szCs w:val="30"/>
        </w:rPr>
        <w:t>》要求，对照《广元市部门整体支出绩效评价指标体系》，对20</w:t>
      </w:r>
      <w:r>
        <w:rPr>
          <w:rFonts w:hint="eastAsia" w:ascii="仿宋" w:hAnsi="仿宋" w:eastAsia="仿宋" w:cs="仿宋_GB2312"/>
          <w:kern w:val="0"/>
          <w:sz w:val="30"/>
          <w:szCs w:val="30"/>
          <w:lang w:val="en-US" w:eastAsia="zh-CN"/>
        </w:rPr>
        <w:t>20</w:t>
      </w:r>
      <w:r>
        <w:rPr>
          <w:rFonts w:hint="eastAsia" w:ascii="仿宋" w:hAnsi="仿宋" w:eastAsia="仿宋" w:cs="仿宋_GB2312"/>
          <w:kern w:val="0"/>
          <w:sz w:val="30"/>
          <w:szCs w:val="30"/>
        </w:rPr>
        <w:t>年预算编制和执行情况、财政资金收支管理情况以及项目资金管理情况逐一核实、打分。</w:t>
      </w:r>
    </w:p>
    <w:p>
      <w:pPr>
        <w:spacing w:line="576" w:lineRule="exact"/>
        <w:ind w:firstLine="600" w:firstLineChars="200"/>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lang w:val="en-US" w:eastAsia="zh-CN"/>
        </w:rPr>
        <w:t>3.</w:t>
      </w:r>
      <w:r>
        <w:rPr>
          <w:rFonts w:hint="eastAsia" w:ascii="仿宋_GB2312" w:hAnsi="仿宋_GB2312" w:eastAsia="仿宋_GB2312" w:cs="仿宋_GB2312"/>
          <w:color w:val="000000"/>
          <w:kern w:val="0"/>
          <w:sz w:val="30"/>
          <w:szCs w:val="30"/>
          <w:shd w:val="clear" w:color="auto" w:fill="FFFFFF"/>
        </w:rPr>
        <w:t>部分支出绩效评价得分情况</w:t>
      </w:r>
    </w:p>
    <w:tbl>
      <w:tblPr>
        <w:tblStyle w:val="12"/>
        <w:tblW w:w="8607" w:type="dxa"/>
        <w:tblInd w:w="93" w:type="dxa"/>
        <w:tblLayout w:type="fixed"/>
        <w:tblCellMar>
          <w:top w:w="0" w:type="dxa"/>
          <w:left w:w="108" w:type="dxa"/>
          <w:bottom w:w="0" w:type="dxa"/>
          <w:right w:w="108" w:type="dxa"/>
        </w:tblCellMar>
      </w:tblPr>
      <w:tblGrid>
        <w:gridCol w:w="1260"/>
        <w:gridCol w:w="1660"/>
        <w:gridCol w:w="3642"/>
        <w:gridCol w:w="1077"/>
        <w:gridCol w:w="968"/>
      </w:tblGrid>
      <w:tr>
        <w:tblPrEx>
          <w:tblCellMar>
            <w:top w:w="0" w:type="dxa"/>
            <w:left w:w="108" w:type="dxa"/>
            <w:bottom w:w="0" w:type="dxa"/>
            <w:right w:w="108" w:type="dxa"/>
          </w:tblCellMar>
        </w:tblPrEx>
        <w:trPr>
          <w:trHeight w:val="525"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一级指标</w:t>
            </w:r>
          </w:p>
        </w:tc>
        <w:tc>
          <w:tcPr>
            <w:tcW w:w="166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二级指标</w:t>
            </w:r>
          </w:p>
        </w:tc>
        <w:tc>
          <w:tcPr>
            <w:tcW w:w="3642"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三级指标</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仿宋" w:hAnsi="仿宋" w:eastAsia="仿宋" w:cs="Arial"/>
                <w:bCs/>
                <w:color w:val="000000"/>
                <w:kern w:val="0"/>
                <w:sz w:val="24"/>
                <w:szCs w:val="24"/>
              </w:rPr>
              <w:t>分值</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仿宋" w:hAnsi="仿宋" w:eastAsia="仿宋" w:cs="Arial"/>
                <w:bCs/>
                <w:color w:val="000000"/>
                <w:kern w:val="0"/>
                <w:sz w:val="24"/>
                <w:szCs w:val="24"/>
              </w:rPr>
              <w:t>得分</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预算编制（</w:t>
            </w:r>
            <w:r>
              <w:rPr>
                <w:rFonts w:hint="eastAsia" w:ascii="仿宋" w:hAnsi="仿宋" w:eastAsia="仿宋" w:cs="宋体"/>
                <w:bCs/>
                <w:color w:val="000000"/>
                <w:kern w:val="0"/>
                <w:sz w:val="24"/>
                <w:szCs w:val="24"/>
                <w:lang w:val="en-US" w:eastAsia="zh-CN"/>
              </w:rPr>
              <w:t>6</w:t>
            </w:r>
            <w:r>
              <w:rPr>
                <w:rFonts w:hint="eastAsia" w:ascii="仿宋" w:hAnsi="仿宋" w:eastAsia="仿宋" w:cs="宋体"/>
                <w:bCs/>
                <w:color w:val="000000"/>
                <w:kern w:val="0"/>
                <w:sz w:val="24"/>
                <w:szCs w:val="24"/>
              </w:rPr>
              <w:t>分）</w:t>
            </w: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报送时间</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报送时效</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编制质量</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预算编制准确</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预算执行（</w:t>
            </w:r>
            <w:r>
              <w:rPr>
                <w:rFonts w:hint="eastAsia" w:ascii="仿宋" w:hAnsi="仿宋" w:eastAsia="仿宋" w:cs="宋体"/>
                <w:bCs/>
                <w:color w:val="000000"/>
                <w:kern w:val="0"/>
                <w:sz w:val="24"/>
                <w:szCs w:val="24"/>
                <w:lang w:val="en-US" w:eastAsia="zh-CN"/>
              </w:rPr>
              <w:t>12</w:t>
            </w:r>
            <w:r>
              <w:rPr>
                <w:rFonts w:hint="eastAsia" w:ascii="仿宋" w:hAnsi="仿宋" w:eastAsia="仿宋" w:cs="宋体"/>
                <w:bCs/>
                <w:color w:val="000000"/>
                <w:kern w:val="0"/>
                <w:sz w:val="24"/>
                <w:szCs w:val="24"/>
              </w:rPr>
              <w:t>分）</w:t>
            </w: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执行进度</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部门预算执行进度</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预算调整</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预算执行可行性</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行政成本</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“三公”经费</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决算</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部门决算编制和审查</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绩效管理（19份）</w:t>
            </w:r>
          </w:p>
        </w:tc>
        <w:tc>
          <w:tcPr>
            <w:tcW w:w="16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绩效目标</w:t>
            </w:r>
          </w:p>
        </w:tc>
        <w:tc>
          <w:tcPr>
            <w:tcW w:w="3642" w:type="dxa"/>
            <w:tcBorders>
              <w:top w:val="nil"/>
              <w:left w:val="nil"/>
              <w:bottom w:val="single" w:color="auto" w:sz="4" w:space="0"/>
              <w:right w:val="single" w:color="auto" w:sz="4" w:space="0"/>
            </w:tcBorders>
            <w:noWrap w:val="0"/>
            <w:vAlign w:val="center"/>
          </w:tcPr>
          <w:p>
            <w:pPr>
              <w:widowControl/>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部门整体绩效目标</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项目绩效评价</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绩效监控</w:t>
            </w:r>
          </w:p>
        </w:tc>
        <w:tc>
          <w:tcPr>
            <w:tcW w:w="3642" w:type="dxa"/>
            <w:tcBorders>
              <w:top w:val="nil"/>
              <w:left w:val="nil"/>
              <w:bottom w:val="single" w:color="auto" w:sz="4" w:space="0"/>
              <w:right w:val="single" w:color="auto" w:sz="4" w:space="0"/>
            </w:tcBorders>
            <w:noWrap w:val="0"/>
            <w:vAlign w:val="center"/>
          </w:tcPr>
          <w:p>
            <w:pPr>
              <w:widowControl/>
              <w:jc w:val="left"/>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跟踪监控开展情况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4</w:t>
            </w:r>
          </w:p>
        </w:tc>
        <w:tc>
          <w:tcPr>
            <w:tcW w:w="968" w:type="dxa"/>
            <w:tcBorders>
              <w:top w:val="nil"/>
              <w:left w:val="nil"/>
              <w:bottom w:val="single" w:color="auto" w:sz="4" w:space="0"/>
              <w:right w:val="single" w:color="auto" w:sz="4" w:space="0"/>
            </w:tcBorders>
            <w:noWrap w:val="0"/>
            <w:vAlign w:val="center"/>
          </w:tcPr>
          <w:p>
            <w:pPr>
              <w:widowControl/>
              <w:jc w:val="center"/>
              <w:rPr>
                <w:rFonts w:hint="default" w:ascii="Arial" w:hAnsi="Arial" w:cs="Arial"/>
                <w:bCs/>
                <w:color w:val="000000"/>
                <w:kern w:val="0"/>
                <w:sz w:val="24"/>
                <w:szCs w:val="24"/>
                <w:lang w:val="en-US"/>
              </w:rPr>
            </w:pPr>
            <w:r>
              <w:rPr>
                <w:rFonts w:hint="eastAsia" w:ascii="Arial" w:hAnsi="Arial" w:cs="Arial"/>
                <w:bCs/>
                <w:color w:val="000000"/>
                <w:kern w:val="0"/>
                <w:sz w:val="24"/>
                <w:szCs w:val="24"/>
                <w:lang w:val="en-US" w:eastAsia="zh-CN"/>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监控结果运用情况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hint="default" w:ascii="Arial" w:hAnsi="Arial" w:cs="Arial"/>
                <w:bCs/>
                <w:color w:val="000000"/>
                <w:kern w:val="0"/>
                <w:sz w:val="24"/>
                <w:szCs w:val="24"/>
                <w:lang w:val="en-US"/>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绩效评价</w:t>
            </w:r>
          </w:p>
        </w:tc>
        <w:tc>
          <w:tcPr>
            <w:tcW w:w="3642"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评价开展情况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评价结果报告</w:t>
            </w:r>
          </w:p>
        </w:tc>
        <w:tc>
          <w:tcPr>
            <w:tcW w:w="1077" w:type="dxa"/>
            <w:tcBorders>
              <w:top w:val="nil"/>
              <w:left w:val="nil"/>
              <w:bottom w:val="single" w:color="auto" w:sz="4" w:space="0"/>
              <w:right w:val="single" w:color="auto" w:sz="4" w:space="0"/>
            </w:tcBorders>
            <w:noWrap w:val="0"/>
            <w:vAlign w:val="center"/>
          </w:tcPr>
          <w:p>
            <w:pPr>
              <w:widowControl/>
              <w:jc w:val="center"/>
              <w:rPr>
                <w:rFonts w:hint="default"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bidi="ar-SA"/>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bidi="ar-SA"/>
              </w:rPr>
              <w:t>3</w:t>
            </w:r>
          </w:p>
        </w:tc>
      </w:tr>
      <w:tr>
        <w:tblPrEx>
          <w:tblCellMar>
            <w:top w:w="0" w:type="dxa"/>
            <w:left w:w="108" w:type="dxa"/>
            <w:bottom w:w="0" w:type="dxa"/>
            <w:right w:w="108" w:type="dxa"/>
          </w:tblCellMar>
        </w:tblPrEx>
        <w:trPr>
          <w:trHeight w:val="465"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综合管理（3</w:t>
            </w:r>
            <w:r>
              <w:rPr>
                <w:rFonts w:hint="eastAsia" w:ascii="仿宋" w:hAnsi="仿宋" w:eastAsia="仿宋" w:cs="宋体"/>
                <w:bCs/>
                <w:color w:val="000000"/>
                <w:kern w:val="0"/>
                <w:sz w:val="24"/>
                <w:szCs w:val="24"/>
                <w:lang w:val="en-US" w:eastAsia="zh-CN"/>
              </w:rPr>
              <w:t>3</w:t>
            </w:r>
            <w:r>
              <w:rPr>
                <w:rFonts w:hint="eastAsia" w:ascii="仿宋" w:hAnsi="仿宋" w:eastAsia="仿宋" w:cs="宋体"/>
                <w:bCs/>
                <w:color w:val="000000"/>
                <w:kern w:val="0"/>
                <w:sz w:val="24"/>
                <w:szCs w:val="24"/>
              </w:rPr>
              <w:t>分）</w:t>
            </w:r>
          </w:p>
        </w:tc>
        <w:tc>
          <w:tcPr>
            <w:tcW w:w="16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非税收入</w:t>
            </w:r>
            <w:r>
              <w:rPr>
                <w:rFonts w:hint="eastAsia" w:ascii="仿宋" w:hAnsi="仿宋" w:eastAsia="仿宋" w:cs="宋体"/>
                <w:bCs/>
                <w:color w:val="000000"/>
                <w:kern w:val="0"/>
                <w:sz w:val="24"/>
                <w:szCs w:val="24"/>
                <w:lang w:val="en-US" w:eastAsia="zh-CN"/>
              </w:rPr>
              <w:t xml:space="preserve">   </w:t>
            </w:r>
            <w:r>
              <w:rPr>
                <w:rFonts w:hint="eastAsia" w:ascii="仿宋" w:hAnsi="仿宋" w:eastAsia="仿宋" w:cs="宋体"/>
                <w:bCs/>
                <w:color w:val="000000"/>
                <w:kern w:val="0"/>
                <w:sz w:val="24"/>
                <w:szCs w:val="24"/>
              </w:rPr>
              <w:t>执收情况</w:t>
            </w:r>
          </w:p>
        </w:tc>
        <w:tc>
          <w:tcPr>
            <w:tcW w:w="36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非税收入征收情况</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非税收入上缴情况</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465" w:hRule="atLeast"/>
        </w:trPr>
        <w:tc>
          <w:tcPr>
            <w:tcW w:w="12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政府采购</w:t>
            </w:r>
          </w:p>
        </w:tc>
        <w:tc>
          <w:tcPr>
            <w:tcW w:w="364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政府采购实施计划编制</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政府采购实施计划执行</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资产管理</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资产管理信息系统建设情况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行政事业单位资产清查开展情况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行政事业单位资产报表上报情况</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1</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1</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内部控制管理</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内部控制制度健全完整</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信息公开</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预算公开</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决算公开</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绩效信息公开</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财政政策执行</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公务卡改革</w:t>
            </w:r>
          </w:p>
        </w:tc>
        <w:tc>
          <w:tcPr>
            <w:tcW w:w="1077" w:type="dxa"/>
            <w:tcBorders>
              <w:top w:val="nil"/>
              <w:left w:val="nil"/>
              <w:bottom w:val="single" w:color="auto" w:sz="4" w:space="0"/>
              <w:right w:val="single" w:color="auto" w:sz="4" w:space="0"/>
            </w:tcBorders>
            <w:noWrap/>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ign w:val="center"/>
          </w:tcPr>
          <w:p>
            <w:pPr>
              <w:widowControl/>
              <w:jc w:val="center"/>
              <w:rPr>
                <w:rFonts w:hint="default" w:ascii="Arial" w:hAnsi="Arial" w:cs="Arial"/>
                <w:bCs/>
                <w:color w:val="000000"/>
                <w:kern w:val="0"/>
                <w:sz w:val="24"/>
                <w:szCs w:val="24"/>
                <w:lang w:val="en-US"/>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预算执行动态监控</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hint="default"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授权支付退票</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财经纪律执行</w:t>
            </w:r>
          </w:p>
        </w:tc>
        <w:tc>
          <w:tcPr>
            <w:tcW w:w="3642" w:type="dxa"/>
            <w:tcBorders>
              <w:top w:val="nil"/>
              <w:left w:val="nil"/>
              <w:bottom w:val="single" w:color="auto" w:sz="4" w:space="0"/>
              <w:right w:val="single" w:color="auto" w:sz="4" w:space="0"/>
            </w:tcBorders>
            <w:noWrap w:val="0"/>
            <w:vAlign w:val="center"/>
          </w:tcPr>
          <w:p>
            <w:pPr>
              <w:widowControl/>
              <w:jc w:val="left"/>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违规记录</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存在问题整改是否到位</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375" w:hRule="atLeast"/>
        </w:trPr>
        <w:tc>
          <w:tcPr>
            <w:tcW w:w="1260" w:type="dxa"/>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lang w:val="en-US" w:eastAsia="zh-CN"/>
              </w:rPr>
              <w:t xml:space="preserve">评价结果应用  </w:t>
            </w:r>
            <w:r>
              <w:rPr>
                <w:rFonts w:hint="eastAsia" w:ascii="仿宋" w:hAnsi="仿宋" w:eastAsia="仿宋" w:cs="宋体"/>
                <w:bCs/>
                <w:color w:val="000000"/>
                <w:kern w:val="0"/>
                <w:sz w:val="24"/>
                <w:szCs w:val="24"/>
              </w:rPr>
              <w:t>（</w:t>
            </w:r>
            <w:r>
              <w:rPr>
                <w:rFonts w:hint="eastAsia" w:ascii="仿宋" w:hAnsi="仿宋" w:eastAsia="仿宋" w:cs="宋体"/>
                <w:bCs/>
                <w:color w:val="000000"/>
                <w:kern w:val="0"/>
                <w:sz w:val="24"/>
                <w:szCs w:val="24"/>
                <w:lang w:val="en-US" w:eastAsia="zh-CN"/>
              </w:rPr>
              <w:t>30</w:t>
            </w:r>
            <w:r>
              <w:rPr>
                <w:rFonts w:hint="eastAsia" w:ascii="仿宋" w:hAnsi="仿宋" w:eastAsia="仿宋" w:cs="宋体"/>
                <w:bCs/>
                <w:color w:val="000000"/>
                <w:kern w:val="0"/>
                <w:sz w:val="24"/>
                <w:szCs w:val="24"/>
              </w:rPr>
              <w:t>分）</w:t>
            </w:r>
          </w:p>
        </w:tc>
        <w:tc>
          <w:tcPr>
            <w:tcW w:w="1660" w:type="dxa"/>
            <w:tcBorders>
              <w:top w:val="nil"/>
              <w:left w:val="single" w:color="auto" w:sz="4" w:space="0"/>
              <w:bottom w:val="single" w:color="000000" w:sz="4" w:space="0"/>
              <w:right w:val="single" w:color="auto" w:sz="4" w:space="0"/>
            </w:tcBorders>
            <w:noWrap w:val="0"/>
            <w:vAlign w:val="center"/>
          </w:tcPr>
          <w:p>
            <w:pPr>
              <w:widowControl/>
              <w:jc w:val="center"/>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项目</w:t>
            </w:r>
            <w:r>
              <w:rPr>
                <w:rFonts w:hint="eastAsia" w:ascii="仿宋" w:hAnsi="仿宋" w:eastAsia="仿宋" w:cs="宋体"/>
                <w:bCs/>
                <w:color w:val="000000"/>
                <w:kern w:val="0"/>
                <w:sz w:val="24"/>
                <w:szCs w:val="24"/>
              </w:rPr>
              <w:t>绩效</w:t>
            </w:r>
            <w:r>
              <w:rPr>
                <w:rFonts w:hint="eastAsia" w:ascii="仿宋" w:hAnsi="仿宋" w:eastAsia="仿宋" w:cs="宋体"/>
                <w:bCs/>
                <w:color w:val="000000"/>
                <w:kern w:val="0"/>
                <w:sz w:val="24"/>
                <w:szCs w:val="24"/>
                <w:lang w:val="en-US" w:eastAsia="zh-CN"/>
              </w:rPr>
              <w:t>评价结果</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项目绩效评价结果</w:t>
            </w:r>
          </w:p>
        </w:tc>
        <w:tc>
          <w:tcPr>
            <w:tcW w:w="1077" w:type="dxa"/>
            <w:tcBorders>
              <w:top w:val="nil"/>
              <w:left w:val="nil"/>
              <w:bottom w:val="single" w:color="auto" w:sz="4" w:space="0"/>
              <w:right w:val="single" w:color="auto" w:sz="4" w:space="0"/>
            </w:tcBorders>
            <w:noWrap w:val="0"/>
            <w:vAlign w:val="center"/>
          </w:tcPr>
          <w:p>
            <w:pPr>
              <w:widowControl/>
              <w:jc w:val="center"/>
              <w:rPr>
                <w:rFonts w:hint="default"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30</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30</w:t>
            </w:r>
          </w:p>
        </w:tc>
      </w:tr>
      <w:tr>
        <w:tblPrEx>
          <w:tblCellMar>
            <w:top w:w="0" w:type="dxa"/>
            <w:left w:w="108" w:type="dxa"/>
            <w:bottom w:w="0" w:type="dxa"/>
            <w:right w:w="108" w:type="dxa"/>
          </w:tblCellMar>
        </w:tblPrEx>
        <w:trPr>
          <w:trHeight w:val="540" w:hRule="atLeast"/>
        </w:trPr>
        <w:tc>
          <w:tcPr>
            <w:tcW w:w="65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合  计</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
                <w:bCs/>
                <w:color w:val="000000"/>
                <w:kern w:val="0"/>
                <w:sz w:val="24"/>
                <w:szCs w:val="24"/>
              </w:rPr>
            </w:pPr>
            <w:r>
              <w:rPr>
                <w:rFonts w:ascii="Arial" w:hAnsi="Arial" w:cs="Arial"/>
                <w:b/>
                <w:bCs/>
                <w:color w:val="000000"/>
                <w:kern w:val="0"/>
                <w:sz w:val="24"/>
                <w:szCs w:val="24"/>
              </w:rPr>
              <w:t>100</w:t>
            </w:r>
          </w:p>
        </w:tc>
        <w:tc>
          <w:tcPr>
            <w:tcW w:w="968" w:type="dxa"/>
            <w:tcBorders>
              <w:top w:val="nil"/>
              <w:left w:val="nil"/>
              <w:bottom w:val="single" w:color="auto" w:sz="4" w:space="0"/>
              <w:right w:val="single" w:color="auto" w:sz="4" w:space="0"/>
            </w:tcBorders>
            <w:noWrap/>
            <w:vAlign w:val="center"/>
          </w:tcPr>
          <w:p>
            <w:pPr>
              <w:widowControl/>
              <w:jc w:val="center"/>
              <w:rPr>
                <w:rFonts w:hint="default" w:ascii="Arial" w:hAnsi="Arial" w:eastAsia="宋体" w:cs="Arial"/>
                <w:b/>
                <w:bCs/>
                <w:color w:val="000000"/>
                <w:kern w:val="0"/>
                <w:sz w:val="24"/>
                <w:szCs w:val="24"/>
                <w:lang w:val="en-US" w:eastAsia="zh-CN"/>
              </w:rPr>
            </w:pPr>
            <w:r>
              <w:rPr>
                <w:rFonts w:hint="eastAsia" w:ascii="Arial" w:hAnsi="Arial" w:eastAsia="宋体" w:cs="Arial"/>
                <w:b/>
                <w:bCs/>
                <w:color w:val="000000"/>
                <w:kern w:val="0"/>
                <w:sz w:val="24"/>
                <w:szCs w:val="24"/>
                <w:lang w:val="en-US" w:eastAsia="zh-CN"/>
              </w:rPr>
              <w:t>99</w:t>
            </w:r>
          </w:p>
        </w:tc>
      </w:tr>
    </w:tbl>
    <w:p>
      <w:pPr>
        <w:widowControl/>
        <w:adjustRightInd w:val="0"/>
        <w:snapToGrid w:val="0"/>
        <w:spacing w:line="500" w:lineRule="exact"/>
        <w:jc w:val="left"/>
        <w:rPr>
          <w:rFonts w:hint="eastAsia" w:hAnsi="仿宋_GB2312" w:cs="仿宋_GB2312"/>
          <w:color w:val="000000"/>
          <w:sz w:val="30"/>
          <w:szCs w:val="30"/>
        </w:rPr>
      </w:pPr>
    </w:p>
    <w:p>
      <w:pPr>
        <w:spacing w:line="500" w:lineRule="exact"/>
        <w:ind w:firstLine="7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二.部门总体评价</w:t>
      </w:r>
    </w:p>
    <w:p>
      <w:pPr>
        <w:spacing w:line="576"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shd w:val="clear" w:color="auto" w:fill="FFFFFF"/>
          <w:lang w:val="zh-CN" w:eastAsia="zh-CN"/>
        </w:rPr>
        <w:t>广元市自然资源储备交易中心</w:t>
      </w:r>
      <w:r>
        <w:rPr>
          <w:rFonts w:hint="eastAsia" w:ascii="仿宋_GB2312" w:hAnsi="仿宋_GB2312" w:eastAsia="仿宋_GB2312" w:cs="仿宋_GB2312"/>
          <w:sz w:val="30"/>
          <w:szCs w:val="30"/>
        </w:rPr>
        <w:t>总体支出绩效评价得分</w:t>
      </w:r>
      <w:r>
        <w:rPr>
          <w:rFonts w:hint="eastAsia" w:ascii="仿宋_GB2312" w:hAnsi="仿宋_GB2312" w:eastAsia="仿宋_GB2312" w:cs="仿宋_GB2312"/>
          <w:sz w:val="30"/>
          <w:szCs w:val="30"/>
          <w:lang w:val="en-US" w:eastAsia="zh-CN"/>
        </w:rPr>
        <w:t>99</w:t>
      </w:r>
      <w:r>
        <w:rPr>
          <w:rFonts w:hint="eastAsia" w:ascii="仿宋_GB2312" w:hAnsi="仿宋_GB2312" w:eastAsia="仿宋_GB2312" w:cs="仿宋_GB2312"/>
          <w:sz w:val="30"/>
          <w:szCs w:val="30"/>
        </w:rPr>
        <w:t>分。</w:t>
      </w:r>
      <w:r>
        <w:rPr>
          <w:rFonts w:hint="eastAsia" w:ascii="仿宋" w:hAnsi="仿宋" w:eastAsia="仿宋" w:cs="仿宋_GB2312"/>
          <w:kern w:val="0"/>
          <w:sz w:val="30"/>
          <w:szCs w:val="30"/>
        </w:rPr>
        <w:t>对照《部门支出绩效评价指标体系》，我</w:t>
      </w:r>
      <w:r>
        <w:rPr>
          <w:rFonts w:hint="eastAsia" w:ascii="仿宋" w:hAnsi="仿宋" w:eastAsia="仿宋" w:cs="仿宋_GB2312"/>
          <w:kern w:val="0"/>
          <w:sz w:val="30"/>
          <w:szCs w:val="30"/>
          <w:lang w:eastAsia="zh-CN"/>
        </w:rPr>
        <w:t>单位</w:t>
      </w:r>
      <w:r>
        <w:rPr>
          <w:rFonts w:hint="eastAsia" w:ascii="仿宋" w:hAnsi="仿宋" w:eastAsia="仿宋" w:cs="仿宋_GB2312"/>
          <w:kern w:val="0"/>
          <w:sz w:val="30"/>
          <w:szCs w:val="30"/>
          <w:lang w:val="en-US" w:eastAsia="zh-CN"/>
        </w:rPr>
        <w:t>2020</w:t>
      </w:r>
      <w:r>
        <w:rPr>
          <w:rFonts w:hint="eastAsia" w:ascii="仿宋" w:hAnsi="仿宋" w:eastAsia="仿宋" w:cs="仿宋_GB2312"/>
          <w:kern w:val="0"/>
          <w:sz w:val="30"/>
          <w:szCs w:val="30"/>
        </w:rPr>
        <w:t>年部门支出绩效评价自评得分9</w:t>
      </w:r>
      <w:r>
        <w:rPr>
          <w:rFonts w:hint="eastAsia" w:ascii="仿宋" w:hAnsi="仿宋" w:eastAsia="仿宋" w:cs="仿宋_GB2312"/>
          <w:kern w:val="0"/>
          <w:sz w:val="30"/>
          <w:szCs w:val="30"/>
          <w:lang w:val="en-US" w:eastAsia="zh-CN"/>
        </w:rPr>
        <w:t>9</w:t>
      </w:r>
      <w:r>
        <w:rPr>
          <w:rFonts w:hint="eastAsia" w:ascii="仿宋" w:hAnsi="仿宋" w:eastAsia="仿宋" w:cs="仿宋_GB2312"/>
          <w:kern w:val="0"/>
          <w:sz w:val="30"/>
          <w:szCs w:val="30"/>
        </w:rPr>
        <w:t>分。</w:t>
      </w:r>
    </w:p>
    <w:p>
      <w:pPr>
        <w:spacing w:line="580" w:lineRule="exact"/>
        <w:ind w:left="627"/>
        <w:rPr>
          <w:rFonts w:hint="eastAsia" w:ascii="黑体" w:hAnsi="黑体" w:eastAsia="黑体"/>
          <w:sz w:val="32"/>
          <w:szCs w:val="32"/>
        </w:rPr>
      </w:pPr>
      <w:r>
        <w:rPr>
          <w:rFonts w:hint="eastAsia" w:ascii="黑体" w:hAnsi="黑体" w:eastAsia="黑体"/>
          <w:sz w:val="32"/>
          <w:szCs w:val="32"/>
        </w:rPr>
        <w:t>三.部门财政支出管理情况</w:t>
      </w:r>
    </w:p>
    <w:p>
      <w:pPr>
        <w:spacing w:line="580" w:lineRule="exact"/>
        <w:rPr>
          <w:rFonts w:hint="eastAsia" w:ascii="楷体_GB2312" w:hAnsi="黑体" w:eastAsia="楷体_GB2312"/>
          <w:sz w:val="32"/>
          <w:szCs w:val="32"/>
        </w:rPr>
      </w:pPr>
      <w:r>
        <w:rPr>
          <w:rFonts w:hint="eastAsia" w:ascii="楷体_GB2312" w:hAnsi="黑体" w:eastAsia="楷体_GB2312"/>
          <w:sz w:val="32"/>
          <w:szCs w:val="32"/>
        </w:rPr>
        <w:t xml:space="preserve">    （一）预算编制</w:t>
      </w:r>
    </w:p>
    <w:p>
      <w:pPr>
        <w:spacing w:line="580" w:lineRule="exact"/>
        <w:rPr>
          <w:rFonts w:hint="eastAsia" w:ascii="仿宋_GB2312" w:eastAsia="仿宋_GB2312"/>
          <w:sz w:val="32"/>
          <w:szCs w:val="32"/>
        </w:rPr>
      </w:pPr>
      <w:r>
        <w:rPr>
          <w:rFonts w:hint="eastAsia" w:ascii="仿宋_GB2312" w:eastAsia="仿宋_GB2312"/>
          <w:sz w:val="32"/>
          <w:szCs w:val="32"/>
        </w:rPr>
        <w:t xml:space="preserve">    1.报送时效。我</w:t>
      </w:r>
      <w:r>
        <w:rPr>
          <w:rFonts w:hint="eastAsia" w:ascii="仿宋_GB2312" w:eastAsia="仿宋_GB2312"/>
          <w:sz w:val="32"/>
          <w:szCs w:val="32"/>
          <w:lang w:eastAsia="zh-CN"/>
        </w:rPr>
        <w:t>单位</w:t>
      </w:r>
      <w:r>
        <w:rPr>
          <w:rFonts w:hint="eastAsia" w:ascii="仿宋_GB2312" w:eastAsia="仿宋_GB2312"/>
          <w:sz w:val="32"/>
          <w:szCs w:val="32"/>
        </w:rPr>
        <w:t>严格按财政部门预算编制要求的时间及时报送了部门预算和项目绩效目标,并规范准确完整地填制和报送预算报表，合理反映了本部门年度职责履行情况。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2.编制质量。我</w:t>
      </w:r>
      <w:r>
        <w:rPr>
          <w:rFonts w:hint="eastAsia" w:ascii="仿宋_GB2312" w:eastAsia="仿宋_GB2312"/>
          <w:sz w:val="32"/>
          <w:szCs w:val="32"/>
          <w:lang w:eastAsia="zh-CN"/>
        </w:rPr>
        <w:t>单位</w:t>
      </w:r>
      <w:r>
        <w:rPr>
          <w:rFonts w:hint="eastAsia" w:ascii="仿宋_GB2312" w:eastAsia="仿宋_GB2312"/>
          <w:sz w:val="32"/>
          <w:szCs w:val="32"/>
        </w:rPr>
        <w:t>严格按照财政要求编制部门预算，达到了财政预算编制质量要求。做到编制完整无漏项，预算编制准确，基础信息和科目使用准确，单位编制、人员情况与供养人员横向联网系统数据相符。预算编制规范，项目名称、绩效指标、项目内容说明等合符规范。总之，基本支出按人员编制和定额标准，项目支出按照本单位职能职责根据上级和市委市政府下达的工作目标任务进行编制，做到了资料完整、依据充分。</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（二）预算执行</w:t>
      </w:r>
    </w:p>
    <w:p>
      <w:pPr>
        <w:spacing w:line="580" w:lineRule="exact"/>
        <w:ind w:firstLine="640" w:firstLineChars="200"/>
        <w:rPr>
          <w:rFonts w:hint="eastAsia" w:ascii="仿宋_GB2312" w:hAnsi="宋体" w:eastAsia="仿宋_GB2312" w:cs="宋体"/>
          <w:kern w:val="0"/>
          <w:sz w:val="32"/>
          <w:szCs w:val="32"/>
        </w:rPr>
      </w:pPr>
      <w:r>
        <w:rPr>
          <w:rFonts w:hint="eastAsia" w:ascii="仿宋_GB2312" w:eastAsia="仿宋_GB2312"/>
          <w:bCs/>
          <w:sz w:val="32"/>
          <w:szCs w:val="32"/>
        </w:rPr>
        <w:t>1.预算执行进度</w:t>
      </w:r>
      <w:r>
        <w:rPr>
          <w:rFonts w:hint="eastAsia" w:ascii="仿宋_GB2312" w:eastAsia="仿宋_GB2312"/>
          <w:b/>
          <w:sz w:val="32"/>
          <w:szCs w:val="32"/>
        </w:rPr>
        <w:t>。</w:t>
      </w:r>
      <w:r>
        <w:rPr>
          <w:rFonts w:hint="eastAsia" w:ascii="仿宋_GB2312" w:hAnsi="宋体" w:eastAsia="仿宋_GB2312" w:cs="宋体"/>
          <w:kern w:val="0"/>
          <w:sz w:val="32"/>
          <w:szCs w:val="32"/>
        </w:rPr>
        <w:t>本年度预算执行收支平衡，完成本部门经济和社会事业发展职能职责，人员支出部分按时间进度执行。</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2.预算平衡调整。</w:t>
      </w:r>
      <w:r>
        <w:rPr>
          <w:rFonts w:hint="eastAsia" w:ascii="仿宋_GB2312" w:eastAsia="仿宋_GB2312"/>
          <w:sz w:val="32"/>
          <w:szCs w:val="32"/>
        </w:rPr>
        <w:t>我</w:t>
      </w:r>
      <w:r>
        <w:rPr>
          <w:rFonts w:hint="eastAsia" w:ascii="仿宋_GB2312" w:eastAsia="仿宋_GB2312"/>
          <w:sz w:val="32"/>
          <w:szCs w:val="32"/>
          <w:lang w:eastAsia="zh-CN"/>
        </w:rPr>
        <w:t>三位</w:t>
      </w:r>
      <w:r>
        <w:rPr>
          <w:rFonts w:hint="eastAsia" w:ascii="仿宋_GB2312" w:eastAsia="仿宋_GB2312"/>
          <w:sz w:val="32"/>
          <w:szCs w:val="32"/>
        </w:rPr>
        <w:t>严格执行预算，执行中不调整项目。</w:t>
      </w:r>
    </w:p>
    <w:p>
      <w:pPr>
        <w:spacing w:line="580" w:lineRule="exact"/>
        <w:ind w:firstLine="640"/>
        <w:rPr>
          <w:rFonts w:ascii="仿宋_GB2312" w:hAnsi="仿宋_GB2312" w:eastAsia="仿宋_GB2312" w:cs="仿宋_GB2312"/>
          <w:color w:val="000000"/>
          <w:sz w:val="32"/>
          <w:szCs w:val="32"/>
        </w:rPr>
      </w:pPr>
      <w:r>
        <w:rPr>
          <w:rFonts w:hint="eastAsia" w:ascii="仿宋_GB2312" w:hAnsi="宋体" w:eastAsia="仿宋_GB2312" w:cs="宋体"/>
          <w:kern w:val="0"/>
          <w:sz w:val="32"/>
          <w:szCs w:val="32"/>
        </w:rPr>
        <w:t>3.三公经费执行情况</w:t>
      </w:r>
      <w:r>
        <w:rPr>
          <w:rFonts w:hint="eastAsia" w:ascii="仿宋_GB2312" w:hAnsi="宋体" w:eastAsia="仿宋_GB2312" w:cs="宋体"/>
          <w:b/>
          <w:bCs/>
          <w:kern w:val="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年“三公”经费预算</w:t>
      </w:r>
      <w:r>
        <w:rPr>
          <w:rFonts w:hint="eastAsia" w:ascii="仿宋_GB2312" w:hAnsi="仿宋_GB2312" w:eastAsia="仿宋_GB2312" w:cs="仿宋_GB2312"/>
          <w:color w:val="000000"/>
          <w:sz w:val="32"/>
          <w:szCs w:val="32"/>
          <w:lang w:val="en-US" w:eastAsia="zh-CN"/>
        </w:rPr>
        <w:t>0.5万</w:t>
      </w:r>
      <w:r>
        <w:rPr>
          <w:rFonts w:hint="eastAsia" w:ascii="仿宋_GB2312" w:hAnsi="仿宋_GB2312" w:eastAsia="仿宋_GB2312" w:cs="仿宋_GB2312"/>
          <w:color w:val="000000"/>
          <w:sz w:val="32"/>
          <w:szCs w:val="32"/>
        </w:rPr>
        <w:t>元，其中:公务接待</w:t>
      </w:r>
      <w:r>
        <w:rPr>
          <w:rFonts w:hint="eastAsia" w:ascii="仿宋_GB2312" w:hAnsi="仿宋_GB2312" w:eastAsia="仿宋_GB2312" w:cs="仿宋_GB2312"/>
          <w:color w:val="000000"/>
          <w:sz w:val="32"/>
          <w:szCs w:val="32"/>
          <w:lang w:val="en-US" w:eastAsia="zh-CN"/>
        </w:rPr>
        <w:t>0.5万</w:t>
      </w:r>
      <w:r>
        <w:rPr>
          <w:rFonts w:hint="eastAsia" w:ascii="仿宋_GB2312" w:hAnsi="仿宋_GB2312" w:eastAsia="仿宋_GB2312" w:cs="仿宋_GB2312"/>
          <w:color w:val="000000"/>
          <w:sz w:val="32"/>
          <w:szCs w:val="32"/>
        </w:rPr>
        <w:t>元，车辆运行维护费</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 xml:space="preserve">万元。全年支出 </w:t>
      </w:r>
      <w:r>
        <w:rPr>
          <w:rFonts w:hint="eastAsia" w:ascii="仿宋_GB2312" w:hAnsi="仿宋_GB2312" w:eastAsia="仿宋_GB2312" w:cs="仿宋_GB2312"/>
          <w:color w:val="000000"/>
          <w:sz w:val="32"/>
          <w:szCs w:val="32"/>
          <w:lang w:val="en-US" w:eastAsia="zh-CN"/>
        </w:rPr>
        <w:t>0.13</w:t>
      </w:r>
      <w:r>
        <w:rPr>
          <w:rFonts w:hint="eastAsia" w:ascii="仿宋_GB2312" w:hAnsi="仿宋_GB2312" w:eastAsia="仿宋_GB2312" w:cs="仿宋_GB2312"/>
          <w:color w:val="000000"/>
          <w:sz w:val="32"/>
          <w:szCs w:val="32"/>
        </w:rPr>
        <w:t>万元。其中：公务接待费</w:t>
      </w:r>
      <w:r>
        <w:rPr>
          <w:rFonts w:hint="eastAsia" w:ascii="仿宋_GB2312" w:hAnsi="仿宋_GB2312" w:eastAsia="仿宋_GB2312" w:cs="仿宋_GB2312"/>
          <w:color w:val="000000"/>
          <w:sz w:val="32"/>
          <w:szCs w:val="32"/>
          <w:lang w:val="en-US" w:eastAsia="zh-CN"/>
        </w:rPr>
        <w:t>0.13</w:t>
      </w:r>
      <w:r>
        <w:rPr>
          <w:rFonts w:hint="eastAsia" w:ascii="仿宋_GB2312" w:hAnsi="仿宋_GB2312" w:eastAsia="仿宋_GB2312" w:cs="仿宋_GB2312"/>
          <w:color w:val="000000"/>
          <w:sz w:val="32"/>
          <w:szCs w:val="32"/>
        </w:rPr>
        <w:t>万元，车辆运行维护费</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万元，具体情况如下：</w:t>
      </w:r>
    </w:p>
    <w:p>
      <w:pPr>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（1）公务用车运行维护费支出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我单位现公务用车在编数量为</w:t>
      </w:r>
      <w:r>
        <w:rPr>
          <w:rFonts w:hint="eastAsia" w:ascii="仿宋_GB2312" w:hAnsi="仿宋_GB2312" w:eastAsia="仿宋_GB2312" w:cs="仿宋_GB2312"/>
          <w:color w:val="000000"/>
          <w:sz w:val="32"/>
          <w:szCs w:val="32"/>
          <w:lang w:val="en-US" w:eastAsia="zh-CN"/>
        </w:rPr>
        <w:t>0。</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（2）公务接待费支出</w:t>
      </w:r>
      <w:r>
        <w:rPr>
          <w:rFonts w:hint="eastAsia" w:ascii="仿宋_GB2312" w:hAnsi="仿宋_GB2312" w:eastAsia="仿宋_GB2312" w:cs="仿宋_GB2312"/>
          <w:color w:val="000000"/>
          <w:sz w:val="32"/>
          <w:szCs w:val="32"/>
          <w:lang w:val="en-US" w:eastAsia="zh-CN"/>
        </w:rPr>
        <w:t>0.13</w:t>
      </w:r>
      <w:r>
        <w:rPr>
          <w:rFonts w:hint="eastAsia" w:ascii="仿宋_GB2312" w:hAnsi="仿宋_GB2312" w:eastAsia="仿宋_GB2312" w:cs="仿宋_GB2312"/>
          <w:color w:val="000000"/>
          <w:sz w:val="32"/>
          <w:szCs w:val="32"/>
        </w:rPr>
        <w:t>万元，决算数小于预算数是因为贯彻执行厉行节约政策、努力压缩开支。国内公务接待</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批次，</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余人次（不包括陪同人员）</w:t>
      </w:r>
      <w:r>
        <w:rPr>
          <w:rFonts w:hint="eastAsia" w:ascii="仿宋_GB2312" w:hAnsi="仿宋_GB2312" w:eastAsia="仿宋_GB2312" w:cs="仿宋_GB2312"/>
          <w:color w:val="000000"/>
          <w:sz w:val="32"/>
          <w:szCs w:val="32"/>
          <w:lang w:val="en-US" w:eastAsia="zh-CN"/>
        </w:rPr>
        <w:t>，共计支出0.13万元，具</w:t>
      </w:r>
      <w:r>
        <w:rPr>
          <w:rFonts w:hint="eastAsia" w:ascii="仿宋_GB2312" w:hAnsi="仿宋_GB2312" w:eastAsia="仿宋_GB2312" w:cs="仿宋_GB2312"/>
          <w:color w:val="000000"/>
          <w:sz w:val="32"/>
          <w:szCs w:val="32"/>
        </w:rPr>
        <w:t>体内容包括：主要用于县区局用于工作衔接和关于</w:t>
      </w:r>
      <w:r>
        <w:rPr>
          <w:rFonts w:hint="eastAsia" w:ascii="仿宋_GB2312" w:hAnsi="仿宋_GB2312" w:eastAsia="仿宋_GB2312" w:cs="仿宋_GB2312"/>
          <w:color w:val="000000"/>
          <w:sz w:val="32"/>
          <w:szCs w:val="32"/>
          <w:lang w:eastAsia="zh-CN"/>
        </w:rPr>
        <w:t>土地储备</w:t>
      </w:r>
      <w:r>
        <w:rPr>
          <w:rFonts w:hint="eastAsia" w:ascii="仿宋_GB2312" w:hAnsi="仿宋_GB2312" w:eastAsia="仿宋_GB2312" w:cs="仿宋_GB2312"/>
          <w:color w:val="000000"/>
          <w:sz w:val="32"/>
          <w:szCs w:val="32"/>
        </w:rPr>
        <w:t>等业务工作餐。</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4.部门决算编制和审查。</w:t>
      </w:r>
      <w:r>
        <w:rPr>
          <w:rFonts w:hint="eastAsia" w:ascii="仿宋_GB2312" w:hAnsi="宋体" w:eastAsia="仿宋_GB2312" w:cs="宋体"/>
          <w:kern w:val="0"/>
          <w:sz w:val="32"/>
          <w:szCs w:val="32"/>
        </w:rPr>
        <w:t>及时进行年终账务清算，核实各项预算收支，按规定时间报送决算报表，做到了帐表一致，决算数据真实准确，部门决算编制人员与供养人员系统数据相符。</w:t>
      </w:r>
    </w:p>
    <w:p>
      <w:pPr>
        <w:spacing w:line="580" w:lineRule="exact"/>
        <w:rPr>
          <w:rFonts w:hint="eastAsia" w:ascii="楷体_GB2312" w:eastAsia="楷体_GB2312"/>
          <w:sz w:val="32"/>
          <w:szCs w:val="32"/>
        </w:rPr>
      </w:pPr>
      <w:r>
        <w:rPr>
          <w:rFonts w:hint="eastAsia" w:ascii="楷体_GB2312" w:eastAsia="楷体_GB2312"/>
          <w:bCs/>
          <w:sz w:val="32"/>
          <w:szCs w:val="32"/>
        </w:rPr>
        <w:t xml:space="preserve">    （三）财政资金综合管理情况</w:t>
      </w:r>
    </w:p>
    <w:p>
      <w:pPr>
        <w:spacing w:line="580" w:lineRule="exact"/>
        <w:rPr>
          <w:rFonts w:hint="eastAsia" w:ascii="仿宋_GB2312" w:eastAsia="仿宋_GB2312"/>
          <w:sz w:val="32"/>
          <w:szCs w:val="32"/>
          <w:lang w:eastAsia="zh-CN"/>
        </w:rPr>
      </w:pPr>
      <w:r>
        <w:rPr>
          <w:rFonts w:hint="eastAsia" w:ascii="仿宋_GB2312" w:eastAsia="仿宋_GB2312"/>
          <w:b/>
          <w:bCs/>
          <w:sz w:val="32"/>
          <w:szCs w:val="32"/>
        </w:rPr>
        <w:t xml:space="preserve">    </w:t>
      </w:r>
      <w:r>
        <w:rPr>
          <w:rFonts w:hint="eastAsia" w:ascii="仿宋_GB2312" w:eastAsia="仿宋_GB2312"/>
          <w:sz w:val="32"/>
          <w:szCs w:val="32"/>
        </w:rPr>
        <w:t>1.非税收入征收、上缴情况。</w:t>
      </w:r>
      <w:r>
        <w:rPr>
          <w:rFonts w:hint="eastAsia" w:ascii="仿宋_GB2312" w:hAnsi="宋体" w:eastAsia="仿宋_GB2312" w:cs="宋体"/>
          <w:kern w:val="0"/>
          <w:sz w:val="32"/>
          <w:szCs w:val="32"/>
        </w:rPr>
        <w:t>我</w:t>
      </w:r>
      <w:r>
        <w:rPr>
          <w:rFonts w:hint="eastAsia" w:ascii="仿宋_GB2312" w:hAnsi="宋体" w:eastAsia="仿宋_GB2312" w:cs="宋体"/>
          <w:kern w:val="0"/>
          <w:sz w:val="32"/>
          <w:szCs w:val="32"/>
          <w:lang w:eastAsia="zh-CN"/>
        </w:rPr>
        <w:t>单位无非税收入征收、上缴工作。</w:t>
      </w:r>
    </w:p>
    <w:p>
      <w:pPr>
        <w:spacing w:line="580" w:lineRule="exact"/>
        <w:rPr>
          <w:rFonts w:hint="eastAsia" w:ascii="仿宋_GB2312" w:hAnsi="宋体" w:eastAsia="仿宋_GB2312" w:cs="宋体"/>
          <w:kern w:val="0"/>
          <w:sz w:val="32"/>
          <w:szCs w:val="32"/>
          <w:lang w:val="en-US" w:eastAsia="zh-CN"/>
        </w:rPr>
      </w:pPr>
      <w:r>
        <w:rPr>
          <w:rFonts w:hint="eastAsia" w:ascii="仿宋_GB2312" w:eastAsia="仿宋_GB2312"/>
          <w:b/>
          <w:bCs/>
          <w:sz w:val="32"/>
          <w:szCs w:val="32"/>
        </w:rPr>
        <w:t xml:space="preserve">   </w:t>
      </w:r>
      <w:r>
        <w:rPr>
          <w:rFonts w:hint="eastAsia" w:ascii="仿宋_GB2312" w:eastAsia="仿宋_GB2312"/>
          <w:sz w:val="32"/>
          <w:szCs w:val="32"/>
        </w:rPr>
        <w:t xml:space="preserve"> 2.政府采购实施计划编制执行情况。</w:t>
      </w:r>
      <w:r>
        <w:rPr>
          <w:rFonts w:hint="eastAsia" w:ascii="仿宋_GB2312" w:hAnsi="宋体" w:eastAsia="仿宋_GB2312" w:cs="宋体"/>
          <w:kern w:val="0"/>
          <w:sz w:val="32"/>
          <w:szCs w:val="32"/>
        </w:rPr>
        <w:t>认真编制政府采购预算，做到应编尽编，不遗漏；规范采购行为，执行政府采购政策，做到应采尽采。全年一般公共预算采购预算为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万元，实际采购金额</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spacing w:line="580" w:lineRule="exac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 xml:space="preserve"> 3.资产管理信息系统建设、资产清查上报情况。本部门的新增和减少资产已严格按照要求录入资产管理系统，并按照上级要求及时、准确、全面上报资产报表，严格按照财政资产管理科和市机关事务管理局的相关政策进行资产清理和上报，使资产管理系统和财务会计资产系统账账相符。</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4.部门内部控制制度健全情况。我</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内部管理制度比较健全，设置有《岗位责任制》，《廉政风险三同防控图》，</w:t>
      </w:r>
      <w:r>
        <w:rPr>
          <w:rFonts w:hint="eastAsia" w:ascii="仿宋_GB2312" w:hAnsi="宋体" w:eastAsia="仿宋_GB2312" w:cs="宋体"/>
          <w:kern w:val="0"/>
          <w:sz w:val="32"/>
          <w:szCs w:val="32"/>
          <w:lang w:eastAsia="zh-CN"/>
        </w:rPr>
        <w:t>依据</w:t>
      </w:r>
      <w:r>
        <w:rPr>
          <w:rFonts w:hint="eastAsia" w:ascii="仿宋_GB2312" w:hAnsi="宋体" w:eastAsia="仿宋_GB2312" w:cs="宋体"/>
          <w:kern w:val="0"/>
          <w:sz w:val="32"/>
          <w:szCs w:val="32"/>
        </w:rPr>
        <w:t>了《广元市</w:t>
      </w:r>
      <w:r>
        <w:rPr>
          <w:rFonts w:hint="eastAsia" w:ascii="仿宋_GB2312" w:hAnsi="宋体" w:eastAsia="仿宋_GB2312" w:cs="宋体"/>
          <w:kern w:val="0"/>
          <w:sz w:val="32"/>
          <w:szCs w:val="32"/>
          <w:lang w:eastAsia="zh-CN"/>
        </w:rPr>
        <w:t>自然资源</w:t>
      </w:r>
      <w:r>
        <w:rPr>
          <w:rFonts w:hint="eastAsia" w:ascii="仿宋_GB2312" w:hAnsi="宋体" w:eastAsia="仿宋_GB2312" w:cs="宋体"/>
          <w:kern w:val="0"/>
          <w:sz w:val="32"/>
          <w:szCs w:val="32"/>
        </w:rPr>
        <w:t>系统内部审计管理办法》、《广元市</w:t>
      </w:r>
      <w:r>
        <w:rPr>
          <w:rFonts w:hint="eastAsia" w:ascii="仿宋_GB2312" w:hAnsi="宋体" w:eastAsia="仿宋_GB2312" w:cs="宋体"/>
          <w:kern w:val="0"/>
          <w:sz w:val="32"/>
          <w:szCs w:val="32"/>
          <w:lang w:eastAsia="zh-CN"/>
        </w:rPr>
        <w:t>自然资源</w:t>
      </w:r>
      <w:r>
        <w:rPr>
          <w:rFonts w:hint="eastAsia" w:ascii="仿宋_GB2312" w:hAnsi="宋体" w:eastAsia="仿宋_GB2312" w:cs="宋体"/>
          <w:kern w:val="0"/>
          <w:sz w:val="32"/>
          <w:szCs w:val="32"/>
        </w:rPr>
        <w:t>局财务管理制度》，具体内容包括经费审批制度、现金管理、票据管理、会计档案管理、资产管理等。</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5.预决算及绩效信息公开情况。我</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严格按照财政要求，及时、准确、全面的在政府网站和局域内门户网站公开预决算和绩效信息。</w:t>
      </w:r>
    </w:p>
    <w:p>
      <w:pPr>
        <w:spacing w:line="580" w:lineRule="exact"/>
        <w:ind w:firstLine="640" w:firstLineChars="200"/>
        <w:rPr>
          <w:rFonts w:hint="eastAsia" w:ascii="仿宋_GB2312" w:eastAsia="仿宋_GB2312"/>
          <w:color w:val="000000"/>
          <w:sz w:val="32"/>
          <w:szCs w:val="32"/>
        </w:rPr>
      </w:pPr>
      <w:r>
        <w:rPr>
          <w:rFonts w:hint="eastAsia" w:ascii="仿宋_GB2312" w:hAnsi="宋体" w:eastAsia="仿宋_GB2312" w:cs="宋体"/>
          <w:kern w:val="0"/>
          <w:sz w:val="32"/>
          <w:szCs w:val="32"/>
        </w:rPr>
        <w:t>6.绩效评价开展、评价结果报告情况。</w:t>
      </w:r>
      <w:r>
        <w:rPr>
          <w:rFonts w:hint="eastAsia" w:ascii="仿宋_GB2312" w:hAnsi="宋体" w:eastAsia="仿宋_GB2312" w:cs="宋体"/>
          <w:kern w:val="0"/>
          <w:sz w:val="32"/>
          <w:szCs w:val="32"/>
          <w:lang w:eastAsia="zh-CN"/>
        </w:rPr>
        <w:t>积极对我单位</w:t>
      </w:r>
      <w:r>
        <w:rPr>
          <w:rFonts w:hint="eastAsia" w:ascii="仿宋_GB2312" w:eastAsia="仿宋_GB2312"/>
          <w:color w:val="000000"/>
          <w:sz w:val="32"/>
          <w:szCs w:val="32"/>
        </w:rPr>
        <w:t>开展了绩效</w:t>
      </w:r>
      <w:r>
        <w:rPr>
          <w:rFonts w:hint="eastAsia" w:ascii="仿宋_GB2312" w:eastAsia="仿宋_GB2312"/>
          <w:color w:val="000000"/>
          <w:sz w:val="32"/>
          <w:szCs w:val="32"/>
          <w:lang w:eastAsia="zh-CN"/>
        </w:rPr>
        <w:t>自</w:t>
      </w:r>
      <w:r>
        <w:rPr>
          <w:rFonts w:hint="eastAsia" w:ascii="仿宋_GB2312" w:eastAsia="仿宋_GB2312"/>
          <w:color w:val="000000"/>
          <w:sz w:val="32"/>
          <w:szCs w:val="32"/>
        </w:rPr>
        <w:t>评，通过对支出总体评价，自评得分</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分。</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color w:val="000000"/>
          <w:sz w:val="32"/>
          <w:szCs w:val="32"/>
        </w:rPr>
        <w:t>7.绩效管理工作开展情况</w:t>
      </w:r>
      <w:r>
        <w:rPr>
          <w:rFonts w:hint="eastAsia" w:ascii="仿宋_GB2312" w:eastAsia="仿宋_GB2312"/>
          <w:color w:val="000000"/>
          <w:sz w:val="32"/>
          <w:szCs w:val="32"/>
          <w:lang w:eastAsia="zh-CN"/>
        </w:rPr>
        <w:t>。我的单位严格按照绩效管理评价工作的要求，积极落实，</w:t>
      </w:r>
      <w:r>
        <w:rPr>
          <w:rFonts w:hint="eastAsia" w:ascii="仿宋_GB2312" w:hAnsi="仿宋_GB2312" w:eastAsia="仿宋_GB2312" w:cs="仿宋_GB2312"/>
          <w:bCs/>
          <w:kern w:val="0"/>
          <w:sz w:val="32"/>
          <w:szCs w:val="32"/>
          <w:lang w:val="en-US" w:eastAsia="zh-CN"/>
        </w:rPr>
        <w:t>认真组织本部门相关人员开展绩效评价工作。</w:t>
      </w:r>
    </w:p>
    <w:p>
      <w:pPr>
        <w:spacing w:line="580" w:lineRule="exact"/>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 xml:space="preserve"> 8.财政政策执行情况</w:t>
      </w:r>
    </w:p>
    <w:p>
      <w:pPr>
        <w:spacing w:line="580" w:lineRule="exact"/>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1）国库集中支付。我</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严格执行国库集中支付规定，当年部门预算支出中直接支付比例超过市本级当期平均水平。</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（2）公务卡改革。严格按公务卡强制结算目录，公务用车燃油费、职工出差培训费、住宿费、公务机票等都使用公务卡进行结算。</w:t>
      </w:r>
    </w:p>
    <w:p>
      <w:pPr>
        <w:spacing w:line="580" w:lineRule="exact"/>
        <w:ind w:firstLine="640" w:firstLineChars="200"/>
        <w:rPr>
          <w:rFonts w:hint="eastAsia" w:ascii="仿宋_GB2312" w:eastAsia="仿宋_GB2312"/>
          <w:sz w:val="32"/>
          <w:szCs w:val="32"/>
        </w:rPr>
      </w:pPr>
      <w:r>
        <w:rPr>
          <w:rFonts w:hint="eastAsia" w:ascii="仿宋_GB2312" w:hAnsi="宋体" w:eastAsia="仿宋_GB2312" w:cs="宋体"/>
          <w:kern w:val="0"/>
          <w:sz w:val="32"/>
          <w:szCs w:val="32"/>
        </w:rPr>
        <w:t>（3）政府采购政策执行。认真编制政府采购预算，做到应编尽编，不遗漏；规范采购行为，执行政府采购政策，做到应采尽采。</w:t>
      </w:r>
    </w:p>
    <w:p>
      <w:pPr>
        <w:spacing w:line="5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（4）非税收入征收管理。我</w:t>
      </w:r>
      <w:r>
        <w:rPr>
          <w:rFonts w:hint="eastAsia" w:ascii="仿宋_GB2312" w:hAnsi="宋体" w:eastAsia="仿宋_GB2312" w:cs="宋体"/>
          <w:kern w:val="0"/>
          <w:sz w:val="32"/>
          <w:szCs w:val="32"/>
          <w:lang w:eastAsia="zh-CN"/>
        </w:rPr>
        <w:t>单位无非税收入征收业务。</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（5）厉行节约。按照相关规定进行经费开支，无违反规定支出行为，无超标准开支行为；“三公”经费严格按财政规定限额标准进行限制和压缩。</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9.财经纪律执行情况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（1）审计监察。接受了</w:t>
      </w:r>
      <w:r>
        <w:rPr>
          <w:rFonts w:hint="eastAsia" w:ascii="仿宋_GB2312" w:eastAsia="仿宋_GB2312"/>
          <w:sz w:val="32"/>
          <w:szCs w:val="32"/>
          <w:lang w:eastAsia="zh-CN"/>
        </w:rPr>
        <w:t>审计局及</w:t>
      </w:r>
      <w:r>
        <w:rPr>
          <w:rFonts w:hint="eastAsia" w:ascii="仿宋_GB2312" w:eastAsia="仿宋_GB2312"/>
          <w:sz w:val="32"/>
          <w:szCs w:val="32"/>
        </w:rPr>
        <w:t>相关部门检查组对我</w:t>
      </w:r>
      <w:r>
        <w:rPr>
          <w:rFonts w:hint="eastAsia" w:ascii="仿宋_GB2312" w:eastAsia="仿宋_GB2312"/>
          <w:sz w:val="32"/>
          <w:szCs w:val="32"/>
          <w:lang w:eastAsia="zh-CN"/>
        </w:rPr>
        <w:t>单位</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年度财政预算收支情况的检查，</w:t>
      </w:r>
      <w:r>
        <w:rPr>
          <w:rFonts w:hint="eastAsia" w:ascii="仿宋_GB2312" w:eastAsia="仿宋_GB2312"/>
          <w:sz w:val="32"/>
          <w:szCs w:val="32"/>
          <w:lang w:eastAsia="zh-CN"/>
        </w:rPr>
        <w:t>以及</w:t>
      </w:r>
      <w:r>
        <w:rPr>
          <w:rFonts w:hint="eastAsia" w:ascii="仿宋_GB2312" w:eastAsia="仿宋_GB2312"/>
          <w:sz w:val="32"/>
          <w:szCs w:val="32"/>
        </w:rPr>
        <w:t>财政等部门的</w:t>
      </w:r>
      <w:r>
        <w:rPr>
          <w:rFonts w:hint="eastAsia" w:ascii="仿宋_GB2312" w:eastAsia="仿宋_GB2312"/>
          <w:sz w:val="32"/>
          <w:szCs w:val="32"/>
          <w:lang w:eastAsia="zh-CN"/>
        </w:rPr>
        <w:t>其他</w:t>
      </w:r>
      <w:r>
        <w:rPr>
          <w:rFonts w:hint="eastAsia" w:ascii="仿宋_GB2312" w:eastAsia="仿宋_GB2312"/>
          <w:sz w:val="32"/>
          <w:szCs w:val="32"/>
        </w:rPr>
        <w:t>相关检查。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（2）预算执行动态监控。所有收支均通过财政大平台实行动态监控，资金管理较规范，按市财政国库动态监控预警无违规支付行为。</w:t>
      </w:r>
    </w:p>
    <w:p>
      <w:pPr>
        <w:spacing w:line="580" w:lineRule="exact"/>
        <w:ind w:firstLine="640" w:firstLineChars="200"/>
        <w:rPr>
          <w:rFonts w:hint="eastAsia" w:ascii="黑体" w:hAnsi="黑体" w:eastAsia="黑体"/>
          <w:bCs/>
          <w:sz w:val="32"/>
          <w:szCs w:val="32"/>
        </w:rPr>
      </w:pPr>
      <w:r>
        <w:rPr>
          <w:rFonts w:hint="eastAsia" w:ascii="黑体" w:hAnsi="黑体" w:eastAsia="黑体"/>
          <w:bCs/>
          <w:sz w:val="32"/>
          <w:szCs w:val="32"/>
        </w:rPr>
        <w:t>三、存在问题</w:t>
      </w:r>
    </w:p>
    <w:p>
      <w:pPr>
        <w:numPr>
          <w:ilvl w:val="0"/>
          <w:numId w:val="0"/>
        </w:numPr>
        <w:autoSpaceDE w:val="0"/>
        <w:autoSpaceDN w:val="0"/>
        <w:adjustRightInd w:val="0"/>
        <w:spacing w:line="576" w:lineRule="atLeast"/>
        <w:ind w:leftChars="0"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加强内控制度的衔接与建立，确保内控制度全覆盖。我们也会今后在工作中不断改进和加强各项支出管理，确保整体支出绩效达到最佳水平。</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四、整改建议和意见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下一步改进措施：一是建议财政加强对单位及其财务人员项目绩效评价和内控制度建设等方面的培训力度，为适应新形势新要求，让每一个财务人员及时正确掌握政策，把握好财经纪律。建议将财务人员定期培训工作纳入目标任务。二是建议通过财政支出和项目绩效评价结果，财政根据各单位的项目工作任务及政府目标考核内容纳入项目工作经费，确保各单位履行行政职能职责有保障。</w:t>
      </w:r>
    </w:p>
    <w:p>
      <w:pPr>
        <w:spacing w:line="580" w:lineRule="exact"/>
        <w:rPr>
          <w:rFonts w:hint="eastAsia"/>
          <w:sz w:val="32"/>
          <w:szCs w:val="32"/>
        </w:rPr>
      </w:pPr>
    </w:p>
    <w:p>
      <w:pPr>
        <w:spacing w:line="580" w:lineRule="exact"/>
        <w:rPr>
          <w:rFonts w:hint="eastAsia"/>
          <w:sz w:val="32"/>
          <w:szCs w:val="32"/>
        </w:rPr>
      </w:pPr>
    </w:p>
    <w:p>
      <w:pPr>
        <w:spacing w:line="580" w:lineRule="exact"/>
        <w:rPr>
          <w:rFonts w:hint="eastAsia"/>
          <w:sz w:val="32"/>
          <w:szCs w:val="32"/>
        </w:rPr>
      </w:pPr>
      <w:r>
        <w:rPr>
          <w:rFonts w:hint="eastAsia"/>
          <w:sz w:val="32"/>
          <w:szCs w:val="32"/>
        </w:rPr>
        <w:t xml:space="preserve">   </w:t>
      </w:r>
    </w:p>
    <w:p>
      <w:pPr>
        <w:spacing w:line="580" w:lineRule="exact"/>
        <w:ind w:left="5430" w:leftChars="1824" w:hanging="1600" w:hangingChars="500"/>
        <w:rPr>
          <w:sz w:val="32"/>
          <w:szCs w:val="32"/>
        </w:rPr>
      </w:pPr>
      <w:r>
        <w:rPr>
          <w:rFonts w:hint="eastAsia"/>
          <w:sz w:val="32"/>
          <w:szCs w:val="32"/>
        </w:rPr>
        <w:t xml:space="preserve">  </w:t>
      </w:r>
    </w:p>
    <w:p>
      <w:pPr>
        <w:widowControl/>
        <w:jc w:val="left"/>
        <w:rPr>
          <w:rStyle w:val="37"/>
          <w:rFonts w:ascii="黑体" w:hAnsi="黑体" w:eastAsia="黑体"/>
          <w:b w:val="0"/>
        </w:rPr>
      </w:pPr>
      <w:r>
        <w:rPr>
          <w:rFonts w:hint="eastAsia" w:ascii="仿宋_GB2312" w:hAnsi="宋体" w:eastAsia="仿宋_GB2312" w:cs="宋体"/>
          <w:color w:val="000000"/>
          <w:kern w:val="0"/>
          <w:sz w:val="32"/>
          <w:szCs w:val="32"/>
          <w:shd w:val="clear" w:color="auto" w:fill="FFFFFF"/>
          <w:lang w:val="zh-CN"/>
        </w:rPr>
        <w:br w:type="page"/>
      </w:r>
    </w:p>
    <w:p>
      <w:pPr>
        <w:spacing w:line="600" w:lineRule="exact"/>
        <w:jc w:val="center"/>
        <w:outlineLvl w:val="0"/>
        <w:rPr>
          <w:rStyle w:val="37"/>
          <w:rFonts w:hint="eastAsia" w:ascii="黑体" w:hAnsi="黑体" w:eastAsia="黑体"/>
          <w:b w:val="0"/>
        </w:rPr>
      </w:pPr>
      <w:bookmarkStart w:id="42" w:name="_Toc15396618"/>
      <w:r>
        <w:rPr>
          <w:rFonts w:hint="eastAsia" w:ascii="黑体" w:hAnsi="黑体" w:eastAsia="黑体"/>
          <w:color w:val="000000"/>
          <w:sz w:val="44"/>
          <w:szCs w:val="44"/>
        </w:rPr>
        <w:t>第</w:t>
      </w:r>
      <w:r>
        <w:rPr>
          <w:rStyle w:val="37"/>
          <w:rFonts w:hint="eastAsia" w:ascii="黑体" w:hAnsi="黑体" w:eastAsia="黑体"/>
          <w:b w:val="0"/>
        </w:rPr>
        <w:t>五部分  附表</w:t>
      </w:r>
      <w:bookmarkEnd w:id="40"/>
      <w:bookmarkEnd w:id="42"/>
    </w:p>
    <w:p>
      <w:pPr>
        <w:spacing w:line="600" w:lineRule="exact"/>
        <w:jc w:val="center"/>
        <w:outlineLvl w:val="0"/>
        <w:rPr>
          <w:rStyle w:val="37"/>
          <w:rFonts w:hint="eastAsia" w:ascii="黑体" w:hAnsi="黑体" w:eastAsia="黑体"/>
          <w:b w:val="0"/>
        </w:rPr>
      </w:pPr>
    </w:p>
    <w:bookmarkEnd w:id="37"/>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一、收入支出决算总表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二、收入决算表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四、财政拨款收入支出决算总表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五、财政拨款支出决算明细表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六、一般公共预算财政拨款支出决算表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七、一般公共预算财政拨款支出决算明细表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八、一般公共预算财政拨款基本支出决算表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九、一般公共预算财政拨款项目支出决算表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十、一般公共预算财政拨款“三公”经费支出决算表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十一、政府性基金预算财政拨款收入支出决算表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十二、政府性基金预算财政拨款“三公”经费支出决算表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十三、国有资本经营预算财政拨款收入支出决算表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十四、国有资本经营预算财政拨款支出决算表</w:t>
      </w:r>
    </w:p>
    <w:p>
      <w:pPr>
        <w:rPr>
          <w:rFonts w:hint="eastAsia" w:ascii="仿宋_GB2312" w:hAnsi="Times New Roman" w:eastAsia="仿宋_GB2312" w:cs="Times New Roman"/>
          <w:kern w:val="2"/>
          <w:sz w:val="32"/>
          <w:szCs w:val="32"/>
          <w:lang w:val="en-US" w:eastAsia="zh-CN" w:bidi="ar-SA"/>
        </w:rPr>
      </w:pPr>
    </w:p>
    <w:p/>
    <w:sectPr>
      <w:headerReference r:id="rId3" w:type="default"/>
      <w:footerReference r:id="rId4" w:type="default"/>
      <w:pgSz w:w="11906" w:h="16838"/>
      <w:pgMar w:top="1440" w:right="1304" w:bottom="1134" w:left="1418" w:header="851" w:footer="1134"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31</w:t>
    </w:r>
    <w:r>
      <w:rPr>
        <w:rStyle w:val="15"/>
      </w:rPr>
      <w:fldChar w:fldCharType="end"/>
    </w:r>
  </w:p>
  <w:p>
    <w:pPr>
      <w:pStyle w:val="8"/>
      <w:ind w:right="360"/>
      <w:jc w:val="cente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cs="Times New Roman"/>
        <w:b w:val="0"/>
        <w:bCs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28C7ED72"/>
    <w:multiLevelType w:val="singleLevel"/>
    <w:tmpl w:val="28C7ED7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NDBmYmQ1NzZkZmQ3ZTc5NjI2NjJhYTZmMGE1ZjIifQ=="/>
  </w:docVars>
  <w:rsids>
    <w:rsidRoot w:val="00F1361C"/>
    <w:rsid w:val="00003BA4"/>
    <w:rsid w:val="000222C6"/>
    <w:rsid w:val="0002549F"/>
    <w:rsid w:val="00035BAF"/>
    <w:rsid w:val="00036507"/>
    <w:rsid w:val="000468DB"/>
    <w:rsid w:val="00056652"/>
    <w:rsid w:val="0006487A"/>
    <w:rsid w:val="00065F8F"/>
    <w:rsid w:val="00070A43"/>
    <w:rsid w:val="00071F1B"/>
    <w:rsid w:val="00072EEA"/>
    <w:rsid w:val="000763B8"/>
    <w:rsid w:val="000768F2"/>
    <w:rsid w:val="000824A7"/>
    <w:rsid w:val="00087B0F"/>
    <w:rsid w:val="0009184B"/>
    <w:rsid w:val="00094236"/>
    <w:rsid w:val="0009593C"/>
    <w:rsid w:val="00096865"/>
    <w:rsid w:val="00097322"/>
    <w:rsid w:val="000A160F"/>
    <w:rsid w:val="000A6A92"/>
    <w:rsid w:val="000B047F"/>
    <w:rsid w:val="000B5923"/>
    <w:rsid w:val="000B5A48"/>
    <w:rsid w:val="000B6FF3"/>
    <w:rsid w:val="000C3467"/>
    <w:rsid w:val="000C3CA6"/>
    <w:rsid w:val="000D1267"/>
    <w:rsid w:val="000D1D50"/>
    <w:rsid w:val="000D3A4C"/>
    <w:rsid w:val="000D3B39"/>
    <w:rsid w:val="000D5424"/>
    <w:rsid w:val="000D5782"/>
    <w:rsid w:val="000D7DA7"/>
    <w:rsid w:val="000E09EF"/>
    <w:rsid w:val="000E6613"/>
    <w:rsid w:val="000E7119"/>
    <w:rsid w:val="000F10EF"/>
    <w:rsid w:val="00110386"/>
    <w:rsid w:val="00114E9B"/>
    <w:rsid w:val="00142216"/>
    <w:rsid w:val="00144D6A"/>
    <w:rsid w:val="0014729F"/>
    <w:rsid w:val="0015174A"/>
    <w:rsid w:val="00157BAB"/>
    <w:rsid w:val="001654D1"/>
    <w:rsid w:val="00172DB9"/>
    <w:rsid w:val="00174518"/>
    <w:rsid w:val="0018106D"/>
    <w:rsid w:val="001877A7"/>
    <w:rsid w:val="00191536"/>
    <w:rsid w:val="00196687"/>
    <w:rsid w:val="001A03B9"/>
    <w:rsid w:val="001C0962"/>
    <w:rsid w:val="001D2E85"/>
    <w:rsid w:val="001D7531"/>
    <w:rsid w:val="001E18D7"/>
    <w:rsid w:val="001E737D"/>
    <w:rsid w:val="001F0592"/>
    <w:rsid w:val="001F7506"/>
    <w:rsid w:val="002006CD"/>
    <w:rsid w:val="00202B36"/>
    <w:rsid w:val="00204B7A"/>
    <w:rsid w:val="00204CDE"/>
    <w:rsid w:val="0021101A"/>
    <w:rsid w:val="00220536"/>
    <w:rsid w:val="002307CB"/>
    <w:rsid w:val="002328DD"/>
    <w:rsid w:val="00235629"/>
    <w:rsid w:val="00260C38"/>
    <w:rsid w:val="002616C0"/>
    <w:rsid w:val="00265372"/>
    <w:rsid w:val="002662AA"/>
    <w:rsid w:val="00280496"/>
    <w:rsid w:val="00294DC9"/>
    <w:rsid w:val="00295495"/>
    <w:rsid w:val="00296E64"/>
    <w:rsid w:val="002A31DE"/>
    <w:rsid w:val="002B2613"/>
    <w:rsid w:val="002B413C"/>
    <w:rsid w:val="002D19B0"/>
    <w:rsid w:val="002D6D05"/>
    <w:rsid w:val="002F1818"/>
    <w:rsid w:val="002F567B"/>
    <w:rsid w:val="003216A9"/>
    <w:rsid w:val="0033461E"/>
    <w:rsid w:val="00335A74"/>
    <w:rsid w:val="00346ACE"/>
    <w:rsid w:val="003542B8"/>
    <w:rsid w:val="00361E0A"/>
    <w:rsid w:val="0036561B"/>
    <w:rsid w:val="003669AB"/>
    <w:rsid w:val="0037013F"/>
    <w:rsid w:val="0037141F"/>
    <w:rsid w:val="00377146"/>
    <w:rsid w:val="00380C92"/>
    <w:rsid w:val="00393E88"/>
    <w:rsid w:val="003A484F"/>
    <w:rsid w:val="003A4883"/>
    <w:rsid w:val="003A58C6"/>
    <w:rsid w:val="003B0BE0"/>
    <w:rsid w:val="003B0C1B"/>
    <w:rsid w:val="003B688C"/>
    <w:rsid w:val="003C0291"/>
    <w:rsid w:val="003C39AE"/>
    <w:rsid w:val="003C7B60"/>
    <w:rsid w:val="003D0C0F"/>
    <w:rsid w:val="003D1FB2"/>
    <w:rsid w:val="003D66DA"/>
    <w:rsid w:val="003E1310"/>
    <w:rsid w:val="003E6F55"/>
    <w:rsid w:val="00404979"/>
    <w:rsid w:val="00406254"/>
    <w:rsid w:val="00406A97"/>
    <w:rsid w:val="0041291A"/>
    <w:rsid w:val="0041464D"/>
    <w:rsid w:val="00416CD4"/>
    <w:rsid w:val="004223DE"/>
    <w:rsid w:val="00423EBD"/>
    <w:rsid w:val="0043341E"/>
    <w:rsid w:val="00433909"/>
    <w:rsid w:val="00434489"/>
    <w:rsid w:val="00437085"/>
    <w:rsid w:val="00443880"/>
    <w:rsid w:val="00444587"/>
    <w:rsid w:val="004464F4"/>
    <w:rsid w:val="00451530"/>
    <w:rsid w:val="00451544"/>
    <w:rsid w:val="0046577C"/>
    <w:rsid w:val="00471401"/>
    <w:rsid w:val="00473F31"/>
    <w:rsid w:val="0048263A"/>
    <w:rsid w:val="00486EE5"/>
    <w:rsid w:val="00487E5D"/>
    <w:rsid w:val="00496CB4"/>
    <w:rsid w:val="004A48F5"/>
    <w:rsid w:val="004A588C"/>
    <w:rsid w:val="004A711F"/>
    <w:rsid w:val="004B199D"/>
    <w:rsid w:val="004B4690"/>
    <w:rsid w:val="004B4C77"/>
    <w:rsid w:val="004E0A2D"/>
    <w:rsid w:val="004E206B"/>
    <w:rsid w:val="004E6DF7"/>
    <w:rsid w:val="004F0FBD"/>
    <w:rsid w:val="004F403E"/>
    <w:rsid w:val="004F6F23"/>
    <w:rsid w:val="00505A47"/>
    <w:rsid w:val="00512FDA"/>
    <w:rsid w:val="0051532A"/>
    <w:rsid w:val="00520DA0"/>
    <w:rsid w:val="00565AEA"/>
    <w:rsid w:val="005664BB"/>
    <w:rsid w:val="00566FFA"/>
    <w:rsid w:val="0057481D"/>
    <w:rsid w:val="00575F0B"/>
    <w:rsid w:val="0058054A"/>
    <w:rsid w:val="0058486E"/>
    <w:rsid w:val="00585B33"/>
    <w:rsid w:val="0059014D"/>
    <w:rsid w:val="005B5C64"/>
    <w:rsid w:val="005C615A"/>
    <w:rsid w:val="005C6BD0"/>
    <w:rsid w:val="005C6C4C"/>
    <w:rsid w:val="005D1C8B"/>
    <w:rsid w:val="005D468D"/>
    <w:rsid w:val="005D5CED"/>
    <w:rsid w:val="005F1081"/>
    <w:rsid w:val="005F1A4C"/>
    <w:rsid w:val="006054D4"/>
    <w:rsid w:val="00605688"/>
    <w:rsid w:val="006070AF"/>
    <w:rsid w:val="00607E6C"/>
    <w:rsid w:val="006101B1"/>
    <w:rsid w:val="00614832"/>
    <w:rsid w:val="00614E44"/>
    <w:rsid w:val="0062270A"/>
    <w:rsid w:val="00622830"/>
    <w:rsid w:val="00623DA0"/>
    <w:rsid w:val="00630AEF"/>
    <w:rsid w:val="00630B43"/>
    <w:rsid w:val="006325F8"/>
    <w:rsid w:val="00633463"/>
    <w:rsid w:val="00634C9A"/>
    <w:rsid w:val="006440E4"/>
    <w:rsid w:val="0066343B"/>
    <w:rsid w:val="00664777"/>
    <w:rsid w:val="006748A4"/>
    <w:rsid w:val="00681A31"/>
    <w:rsid w:val="0068246A"/>
    <w:rsid w:val="00683E73"/>
    <w:rsid w:val="006A3141"/>
    <w:rsid w:val="006A5E34"/>
    <w:rsid w:val="006B2422"/>
    <w:rsid w:val="006B2B9A"/>
    <w:rsid w:val="006C1937"/>
    <w:rsid w:val="006C570B"/>
    <w:rsid w:val="006E4764"/>
    <w:rsid w:val="006E76A7"/>
    <w:rsid w:val="006F020C"/>
    <w:rsid w:val="007127B7"/>
    <w:rsid w:val="00712E44"/>
    <w:rsid w:val="00715723"/>
    <w:rsid w:val="0071798E"/>
    <w:rsid w:val="00727533"/>
    <w:rsid w:val="007416B6"/>
    <w:rsid w:val="00746F48"/>
    <w:rsid w:val="0075404D"/>
    <w:rsid w:val="00757C91"/>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3576"/>
    <w:rsid w:val="007F53D9"/>
    <w:rsid w:val="007F55FC"/>
    <w:rsid w:val="007F5665"/>
    <w:rsid w:val="00800112"/>
    <w:rsid w:val="00806EF9"/>
    <w:rsid w:val="00807329"/>
    <w:rsid w:val="00813348"/>
    <w:rsid w:val="00815C7A"/>
    <w:rsid w:val="00816A80"/>
    <w:rsid w:val="008253BB"/>
    <w:rsid w:val="00833962"/>
    <w:rsid w:val="0083706E"/>
    <w:rsid w:val="00840380"/>
    <w:rsid w:val="008408F6"/>
    <w:rsid w:val="008423A5"/>
    <w:rsid w:val="00845DC2"/>
    <w:rsid w:val="00850625"/>
    <w:rsid w:val="00853718"/>
    <w:rsid w:val="00855221"/>
    <w:rsid w:val="00860645"/>
    <w:rsid w:val="00871F71"/>
    <w:rsid w:val="00872FD8"/>
    <w:rsid w:val="00885AF4"/>
    <w:rsid w:val="008939CD"/>
    <w:rsid w:val="008A3958"/>
    <w:rsid w:val="008A57A1"/>
    <w:rsid w:val="008B768C"/>
    <w:rsid w:val="008C4DB1"/>
    <w:rsid w:val="008C4EAF"/>
    <w:rsid w:val="008C5176"/>
    <w:rsid w:val="008C7FD0"/>
    <w:rsid w:val="008E1DE7"/>
    <w:rsid w:val="008E707C"/>
    <w:rsid w:val="008F3EF3"/>
    <w:rsid w:val="00900B08"/>
    <w:rsid w:val="00902155"/>
    <w:rsid w:val="00902FA3"/>
    <w:rsid w:val="00921781"/>
    <w:rsid w:val="00923564"/>
    <w:rsid w:val="0092392E"/>
    <w:rsid w:val="009315F9"/>
    <w:rsid w:val="00933499"/>
    <w:rsid w:val="00935C98"/>
    <w:rsid w:val="00946945"/>
    <w:rsid w:val="00951248"/>
    <w:rsid w:val="0095152F"/>
    <w:rsid w:val="00954C49"/>
    <w:rsid w:val="00955E37"/>
    <w:rsid w:val="0097099F"/>
    <w:rsid w:val="00971997"/>
    <w:rsid w:val="00971FFC"/>
    <w:rsid w:val="009735B5"/>
    <w:rsid w:val="00973FB7"/>
    <w:rsid w:val="00981ACD"/>
    <w:rsid w:val="0098660A"/>
    <w:rsid w:val="009931C3"/>
    <w:rsid w:val="009B2336"/>
    <w:rsid w:val="009B2C43"/>
    <w:rsid w:val="009B4EAE"/>
    <w:rsid w:val="009B7573"/>
    <w:rsid w:val="009C22F4"/>
    <w:rsid w:val="009C2E98"/>
    <w:rsid w:val="009C37FB"/>
    <w:rsid w:val="009D3447"/>
    <w:rsid w:val="009D4711"/>
    <w:rsid w:val="009F0A32"/>
    <w:rsid w:val="009F1185"/>
    <w:rsid w:val="009F18CD"/>
    <w:rsid w:val="009F2A13"/>
    <w:rsid w:val="009F7527"/>
    <w:rsid w:val="00A039ED"/>
    <w:rsid w:val="00A04EB0"/>
    <w:rsid w:val="00A129BD"/>
    <w:rsid w:val="00A13CC1"/>
    <w:rsid w:val="00A16847"/>
    <w:rsid w:val="00A237D8"/>
    <w:rsid w:val="00A268C4"/>
    <w:rsid w:val="00A307CD"/>
    <w:rsid w:val="00A331C8"/>
    <w:rsid w:val="00A35117"/>
    <w:rsid w:val="00A40A00"/>
    <w:rsid w:val="00A4142F"/>
    <w:rsid w:val="00A422EB"/>
    <w:rsid w:val="00A45BB7"/>
    <w:rsid w:val="00A46C05"/>
    <w:rsid w:val="00A56DF2"/>
    <w:rsid w:val="00A56E6E"/>
    <w:rsid w:val="00A61574"/>
    <w:rsid w:val="00A67AB5"/>
    <w:rsid w:val="00A733B2"/>
    <w:rsid w:val="00A741C2"/>
    <w:rsid w:val="00A91760"/>
    <w:rsid w:val="00A92127"/>
    <w:rsid w:val="00A93B00"/>
    <w:rsid w:val="00A93C21"/>
    <w:rsid w:val="00AA1112"/>
    <w:rsid w:val="00AB64C9"/>
    <w:rsid w:val="00AC3C6A"/>
    <w:rsid w:val="00AD04BA"/>
    <w:rsid w:val="00AD0F83"/>
    <w:rsid w:val="00AD3BA6"/>
    <w:rsid w:val="00AD5620"/>
    <w:rsid w:val="00AD656B"/>
    <w:rsid w:val="00AD7C1B"/>
    <w:rsid w:val="00AE16BA"/>
    <w:rsid w:val="00AE1EBE"/>
    <w:rsid w:val="00AF3C51"/>
    <w:rsid w:val="00B03C9D"/>
    <w:rsid w:val="00B060AE"/>
    <w:rsid w:val="00B10517"/>
    <w:rsid w:val="00B14E76"/>
    <w:rsid w:val="00B161B8"/>
    <w:rsid w:val="00B2048C"/>
    <w:rsid w:val="00B310B9"/>
    <w:rsid w:val="00B338B9"/>
    <w:rsid w:val="00B35F3F"/>
    <w:rsid w:val="00B36CBB"/>
    <w:rsid w:val="00B425E0"/>
    <w:rsid w:val="00B440AA"/>
    <w:rsid w:val="00B44B70"/>
    <w:rsid w:val="00B53C56"/>
    <w:rsid w:val="00B55D5B"/>
    <w:rsid w:val="00B57DAF"/>
    <w:rsid w:val="00B71F8D"/>
    <w:rsid w:val="00B77EA6"/>
    <w:rsid w:val="00B81598"/>
    <w:rsid w:val="00B841F1"/>
    <w:rsid w:val="00B944D6"/>
    <w:rsid w:val="00BB2C84"/>
    <w:rsid w:val="00BB4DF0"/>
    <w:rsid w:val="00BC084F"/>
    <w:rsid w:val="00BC14DA"/>
    <w:rsid w:val="00BC289F"/>
    <w:rsid w:val="00BC2D50"/>
    <w:rsid w:val="00BC5361"/>
    <w:rsid w:val="00BC5460"/>
    <w:rsid w:val="00BC6B50"/>
    <w:rsid w:val="00BC7587"/>
    <w:rsid w:val="00BC7E9A"/>
    <w:rsid w:val="00BD0E25"/>
    <w:rsid w:val="00BD567B"/>
    <w:rsid w:val="00BF5BD6"/>
    <w:rsid w:val="00C00088"/>
    <w:rsid w:val="00C0172B"/>
    <w:rsid w:val="00C03E31"/>
    <w:rsid w:val="00C0700D"/>
    <w:rsid w:val="00C10704"/>
    <w:rsid w:val="00C23DF6"/>
    <w:rsid w:val="00C30E69"/>
    <w:rsid w:val="00C33E72"/>
    <w:rsid w:val="00C354B2"/>
    <w:rsid w:val="00C35554"/>
    <w:rsid w:val="00C40A78"/>
    <w:rsid w:val="00C42709"/>
    <w:rsid w:val="00C44F57"/>
    <w:rsid w:val="00C533CC"/>
    <w:rsid w:val="00C5751C"/>
    <w:rsid w:val="00C61BFC"/>
    <w:rsid w:val="00C62B85"/>
    <w:rsid w:val="00C65438"/>
    <w:rsid w:val="00C80440"/>
    <w:rsid w:val="00C91CBB"/>
    <w:rsid w:val="00C92A53"/>
    <w:rsid w:val="00CA5709"/>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04D2"/>
    <w:rsid w:val="00D51276"/>
    <w:rsid w:val="00D51920"/>
    <w:rsid w:val="00D63930"/>
    <w:rsid w:val="00D7035F"/>
    <w:rsid w:val="00DA5BC9"/>
    <w:rsid w:val="00DA634F"/>
    <w:rsid w:val="00DA65AC"/>
    <w:rsid w:val="00DB1913"/>
    <w:rsid w:val="00DC1361"/>
    <w:rsid w:val="00DC410D"/>
    <w:rsid w:val="00DC5A81"/>
    <w:rsid w:val="00DC68CA"/>
    <w:rsid w:val="00DC7CBA"/>
    <w:rsid w:val="00DD73B7"/>
    <w:rsid w:val="00DF28BC"/>
    <w:rsid w:val="00DF34B9"/>
    <w:rsid w:val="00E01053"/>
    <w:rsid w:val="00E04239"/>
    <w:rsid w:val="00E07ACF"/>
    <w:rsid w:val="00E331A1"/>
    <w:rsid w:val="00E33202"/>
    <w:rsid w:val="00E336A9"/>
    <w:rsid w:val="00E45202"/>
    <w:rsid w:val="00E472B1"/>
    <w:rsid w:val="00E4740A"/>
    <w:rsid w:val="00E50624"/>
    <w:rsid w:val="00E568DF"/>
    <w:rsid w:val="00E64269"/>
    <w:rsid w:val="00E66797"/>
    <w:rsid w:val="00E77321"/>
    <w:rsid w:val="00E82267"/>
    <w:rsid w:val="00E853CE"/>
    <w:rsid w:val="00E867B6"/>
    <w:rsid w:val="00E87F08"/>
    <w:rsid w:val="00EA010F"/>
    <w:rsid w:val="00EC7970"/>
    <w:rsid w:val="00ED1B63"/>
    <w:rsid w:val="00ED2431"/>
    <w:rsid w:val="00ED3C1F"/>
    <w:rsid w:val="00ED4085"/>
    <w:rsid w:val="00ED420E"/>
    <w:rsid w:val="00ED6FBE"/>
    <w:rsid w:val="00EE2F57"/>
    <w:rsid w:val="00EF4C34"/>
    <w:rsid w:val="00EF70EB"/>
    <w:rsid w:val="00EF77C6"/>
    <w:rsid w:val="00F05438"/>
    <w:rsid w:val="00F1361C"/>
    <w:rsid w:val="00F156F0"/>
    <w:rsid w:val="00F160C7"/>
    <w:rsid w:val="00F2408F"/>
    <w:rsid w:val="00F240E9"/>
    <w:rsid w:val="00F35E63"/>
    <w:rsid w:val="00F36D8F"/>
    <w:rsid w:val="00F417B1"/>
    <w:rsid w:val="00F45853"/>
    <w:rsid w:val="00F602DF"/>
    <w:rsid w:val="00F71E92"/>
    <w:rsid w:val="00F754A1"/>
    <w:rsid w:val="00F81FD9"/>
    <w:rsid w:val="00F841AA"/>
    <w:rsid w:val="00F84A94"/>
    <w:rsid w:val="00F87E96"/>
    <w:rsid w:val="00F91249"/>
    <w:rsid w:val="00FA23E8"/>
    <w:rsid w:val="00FA586E"/>
    <w:rsid w:val="00FD3CC1"/>
    <w:rsid w:val="00FE7366"/>
    <w:rsid w:val="00FE7819"/>
    <w:rsid w:val="00FF1E02"/>
    <w:rsid w:val="00FF30B4"/>
    <w:rsid w:val="058C072B"/>
    <w:rsid w:val="06A92826"/>
    <w:rsid w:val="07DE0A6C"/>
    <w:rsid w:val="09CF1707"/>
    <w:rsid w:val="0A3C0A6C"/>
    <w:rsid w:val="0A4B1C59"/>
    <w:rsid w:val="0AFC619F"/>
    <w:rsid w:val="0B2610EC"/>
    <w:rsid w:val="0B3B1F00"/>
    <w:rsid w:val="0BEA2475"/>
    <w:rsid w:val="0DD75714"/>
    <w:rsid w:val="0E1E2A88"/>
    <w:rsid w:val="0E946040"/>
    <w:rsid w:val="105737EB"/>
    <w:rsid w:val="10C055FF"/>
    <w:rsid w:val="10C07695"/>
    <w:rsid w:val="10DE3302"/>
    <w:rsid w:val="111051E3"/>
    <w:rsid w:val="1248787E"/>
    <w:rsid w:val="131D1574"/>
    <w:rsid w:val="1438021D"/>
    <w:rsid w:val="146002B9"/>
    <w:rsid w:val="14600B8F"/>
    <w:rsid w:val="14DE6368"/>
    <w:rsid w:val="14FF7D2F"/>
    <w:rsid w:val="1515286D"/>
    <w:rsid w:val="160E2BE2"/>
    <w:rsid w:val="1627130E"/>
    <w:rsid w:val="16BB723D"/>
    <w:rsid w:val="16F81AAD"/>
    <w:rsid w:val="17B776CF"/>
    <w:rsid w:val="18A800DC"/>
    <w:rsid w:val="18A8056D"/>
    <w:rsid w:val="19026AB4"/>
    <w:rsid w:val="19627B5E"/>
    <w:rsid w:val="199968DD"/>
    <w:rsid w:val="1A4B1CDF"/>
    <w:rsid w:val="1C1C5ED4"/>
    <w:rsid w:val="1D957489"/>
    <w:rsid w:val="1E1938A6"/>
    <w:rsid w:val="1E864938"/>
    <w:rsid w:val="1EA11F9F"/>
    <w:rsid w:val="1ED1539A"/>
    <w:rsid w:val="1EF4767A"/>
    <w:rsid w:val="204A4A1C"/>
    <w:rsid w:val="20BD0DD2"/>
    <w:rsid w:val="2123219E"/>
    <w:rsid w:val="240371BF"/>
    <w:rsid w:val="268B12D0"/>
    <w:rsid w:val="295364FC"/>
    <w:rsid w:val="29FD04D3"/>
    <w:rsid w:val="2A990C6A"/>
    <w:rsid w:val="2AD71259"/>
    <w:rsid w:val="2AE913DA"/>
    <w:rsid w:val="2B7C0BFA"/>
    <w:rsid w:val="2B8D5151"/>
    <w:rsid w:val="2DB027A8"/>
    <w:rsid w:val="308E13C4"/>
    <w:rsid w:val="319F7F4E"/>
    <w:rsid w:val="31A04E90"/>
    <w:rsid w:val="31E103CC"/>
    <w:rsid w:val="32566F47"/>
    <w:rsid w:val="360A7919"/>
    <w:rsid w:val="362C5056"/>
    <w:rsid w:val="3678361F"/>
    <w:rsid w:val="37422BA0"/>
    <w:rsid w:val="39EA3F3A"/>
    <w:rsid w:val="39FE6156"/>
    <w:rsid w:val="3A5D73E6"/>
    <w:rsid w:val="3B5C50A2"/>
    <w:rsid w:val="3BC84E62"/>
    <w:rsid w:val="3C09516D"/>
    <w:rsid w:val="3C1B662B"/>
    <w:rsid w:val="3C233C19"/>
    <w:rsid w:val="3C340349"/>
    <w:rsid w:val="3C740204"/>
    <w:rsid w:val="3CD07AAA"/>
    <w:rsid w:val="3CF67B08"/>
    <w:rsid w:val="3D527E33"/>
    <w:rsid w:val="3E2439CD"/>
    <w:rsid w:val="3E7F5346"/>
    <w:rsid w:val="3E865794"/>
    <w:rsid w:val="40A02CF9"/>
    <w:rsid w:val="40EE2169"/>
    <w:rsid w:val="415B6549"/>
    <w:rsid w:val="419E0DFD"/>
    <w:rsid w:val="41EA284C"/>
    <w:rsid w:val="42467679"/>
    <w:rsid w:val="427C1B91"/>
    <w:rsid w:val="42B67EDD"/>
    <w:rsid w:val="43E80302"/>
    <w:rsid w:val="4478018A"/>
    <w:rsid w:val="447A7E94"/>
    <w:rsid w:val="44DE0C91"/>
    <w:rsid w:val="46826F27"/>
    <w:rsid w:val="47580A3F"/>
    <w:rsid w:val="48147B0E"/>
    <w:rsid w:val="48AB0499"/>
    <w:rsid w:val="4A742A2B"/>
    <w:rsid w:val="4B3711DA"/>
    <w:rsid w:val="4B544FC7"/>
    <w:rsid w:val="4BF54C17"/>
    <w:rsid w:val="4D532219"/>
    <w:rsid w:val="4E4E5C98"/>
    <w:rsid w:val="4ECE2238"/>
    <w:rsid w:val="4F20722D"/>
    <w:rsid w:val="4F9E3D48"/>
    <w:rsid w:val="50847E3F"/>
    <w:rsid w:val="509609B8"/>
    <w:rsid w:val="51423736"/>
    <w:rsid w:val="52962D15"/>
    <w:rsid w:val="529F4220"/>
    <w:rsid w:val="52FB61EE"/>
    <w:rsid w:val="53FD0FD0"/>
    <w:rsid w:val="551A04A3"/>
    <w:rsid w:val="566C64F2"/>
    <w:rsid w:val="5861216A"/>
    <w:rsid w:val="59870923"/>
    <w:rsid w:val="5A7826CE"/>
    <w:rsid w:val="5AE052DB"/>
    <w:rsid w:val="5C605F53"/>
    <w:rsid w:val="5DEB64B6"/>
    <w:rsid w:val="5E413410"/>
    <w:rsid w:val="5F3E27B6"/>
    <w:rsid w:val="5F8222E6"/>
    <w:rsid w:val="5F956146"/>
    <w:rsid w:val="5FF2518A"/>
    <w:rsid w:val="60984E8D"/>
    <w:rsid w:val="61E47C14"/>
    <w:rsid w:val="63676635"/>
    <w:rsid w:val="63FA097E"/>
    <w:rsid w:val="63FF2A9B"/>
    <w:rsid w:val="644276AC"/>
    <w:rsid w:val="65E41219"/>
    <w:rsid w:val="660855D2"/>
    <w:rsid w:val="67736FF5"/>
    <w:rsid w:val="67C839AC"/>
    <w:rsid w:val="6847141C"/>
    <w:rsid w:val="6854692B"/>
    <w:rsid w:val="691A348B"/>
    <w:rsid w:val="6A194C42"/>
    <w:rsid w:val="6A543F22"/>
    <w:rsid w:val="6B534062"/>
    <w:rsid w:val="6B942172"/>
    <w:rsid w:val="6B9C1000"/>
    <w:rsid w:val="6BB96779"/>
    <w:rsid w:val="6D2F34DE"/>
    <w:rsid w:val="6D4076D6"/>
    <w:rsid w:val="6D751282"/>
    <w:rsid w:val="6DCB7D73"/>
    <w:rsid w:val="6E245129"/>
    <w:rsid w:val="6E633B4F"/>
    <w:rsid w:val="6FB502F8"/>
    <w:rsid w:val="70F16A4B"/>
    <w:rsid w:val="71D27A57"/>
    <w:rsid w:val="72734D90"/>
    <w:rsid w:val="74727D43"/>
    <w:rsid w:val="769B4839"/>
    <w:rsid w:val="76C25776"/>
    <w:rsid w:val="77B55D7E"/>
    <w:rsid w:val="78CB58F9"/>
    <w:rsid w:val="78E87F4E"/>
    <w:rsid w:val="79306B95"/>
    <w:rsid w:val="799B1046"/>
    <w:rsid w:val="7A6969ED"/>
    <w:rsid w:val="7AB71011"/>
    <w:rsid w:val="7ABF427F"/>
    <w:rsid w:val="7D3E4C1B"/>
    <w:rsid w:val="7DDB115E"/>
    <w:rsid w:val="7E1F67A2"/>
    <w:rsid w:val="7E4321D4"/>
    <w:rsid w:val="7FDD5EE9"/>
    <w:rsid w:val="DCBD13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kern w:val="0"/>
      <w:sz w:val="18"/>
      <w:szCs w:val="20"/>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semiHidden/>
    <w:qFormat/>
    <w:uiPriority w:val="99"/>
    <w:pPr>
      <w:tabs>
        <w:tab w:val="right" w:leader="dot" w:pos="8296"/>
      </w:tabs>
      <w:adjustRightInd w:val="0"/>
      <w:snapToGrid w:val="0"/>
      <w:spacing w:line="380" w:lineRule="exact"/>
      <w:jc w:val="left"/>
    </w:pPr>
    <w:rPr>
      <w:rFonts w:ascii="黑体" w:hAnsi="黑体" w:eastAsia="黑体" w:cs="黑体"/>
      <w:sz w:val="24"/>
      <w:szCs w:val="24"/>
    </w:rPr>
  </w:style>
  <w:style w:type="paragraph" w:styleId="11">
    <w:name w:val="toc 2"/>
    <w:basedOn w:val="1"/>
    <w:next w:val="1"/>
    <w:semiHidden/>
    <w:qFormat/>
    <w:uiPriority w:val="99"/>
    <w:pPr>
      <w:tabs>
        <w:tab w:val="right" w:leader="dot" w:pos="8296"/>
      </w:tabs>
      <w:ind w:left="420" w:leftChars="200"/>
    </w:p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Times New Roman" w:hAnsi="Times New Roman" w:cs="Times New Roman"/>
      <w:b/>
      <w:bCs/>
      <w:kern w:val="44"/>
      <w:sz w:val="44"/>
      <w:szCs w:val="44"/>
    </w:rPr>
  </w:style>
  <w:style w:type="character" w:customStyle="1" w:styleId="18">
    <w:name w:val="标题 2 Char"/>
    <w:basedOn w:val="13"/>
    <w:link w:val="3"/>
    <w:qFormat/>
    <w:locked/>
    <w:uiPriority w:val="99"/>
    <w:rPr>
      <w:rFonts w:ascii="Cambria" w:hAnsi="Cambria" w:eastAsia="宋体" w:cs="Cambria"/>
      <w:b/>
      <w:bCs/>
      <w:kern w:val="2"/>
      <w:sz w:val="32"/>
      <w:szCs w:val="32"/>
    </w:rPr>
  </w:style>
  <w:style w:type="character" w:customStyle="1" w:styleId="19">
    <w:name w:val="标题 3 Char"/>
    <w:basedOn w:val="13"/>
    <w:link w:val="4"/>
    <w:qFormat/>
    <w:locked/>
    <w:uiPriority w:val="99"/>
    <w:rPr>
      <w:rFonts w:ascii="Times New Roman" w:hAnsi="Times New Roman" w:cs="Times New Roman"/>
      <w:b/>
      <w:bCs/>
      <w:kern w:val="2"/>
      <w:sz w:val="32"/>
      <w:szCs w:val="32"/>
    </w:rPr>
  </w:style>
  <w:style w:type="character" w:customStyle="1" w:styleId="20">
    <w:name w:val="Body Text Char"/>
    <w:basedOn w:val="13"/>
    <w:link w:val="5"/>
    <w:semiHidden/>
    <w:qFormat/>
    <w:locked/>
    <w:uiPriority w:val="99"/>
    <w:rPr>
      <w:rFonts w:ascii="Times New Roman" w:hAnsi="Times New Roman" w:cs="Times New Roman"/>
      <w:sz w:val="24"/>
      <w:szCs w:val="24"/>
    </w:rPr>
  </w:style>
  <w:style w:type="character" w:customStyle="1" w:styleId="21">
    <w:name w:val="批注框文本 Char"/>
    <w:basedOn w:val="13"/>
    <w:link w:val="7"/>
    <w:semiHidden/>
    <w:qFormat/>
    <w:locked/>
    <w:uiPriority w:val="99"/>
    <w:rPr>
      <w:rFonts w:ascii="Times New Roman" w:hAnsi="Times New Roman" w:cs="Times New Roman"/>
      <w:kern w:val="2"/>
      <w:sz w:val="18"/>
      <w:szCs w:val="18"/>
    </w:rPr>
  </w:style>
  <w:style w:type="character" w:customStyle="1" w:styleId="22">
    <w:name w:val="Footer Char"/>
    <w:basedOn w:val="13"/>
    <w:link w:val="8"/>
    <w:semiHidden/>
    <w:qFormat/>
    <w:locked/>
    <w:uiPriority w:val="99"/>
    <w:rPr>
      <w:rFonts w:ascii="Times New Roman" w:hAnsi="Times New Roman" w:cs="Times New Roman"/>
      <w:sz w:val="18"/>
      <w:szCs w:val="18"/>
    </w:rPr>
  </w:style>
  <w:style w:type="character" w:customStyle="1" w:styleId="23">
    <w:name w:val="Header Char"/>
    <w:basedOn w:val="13"/>
    <w:link w:val="9"/>
    <w:semiHidden/>
    <w:qFormat/>
    <w:locked/>
    <w:uiPriority w:val="99"/>
    <w:rPr>
      <w:rFonts w:ascii="Times New Roman" w:hAnsi="Times New Roman" w:cs="Times New Roman"/>
      <w:sz w:val="18"/>
      <w:szCs w:val="18"/>
    </w:rPr>
  </w:style>
  <w:style w:type="character" w:customStyle="1" w:styleId="24">
    <w:name w:val="页眉 Char"/>
    <w:link w:val="9"/>
    <w:semiHidden/>
    <w:qFormat/>
    <w:locked/>
    <w:uiPriority w:val="99"/>
    <w:rPr>
      <w:sz w:val="18"/>
    </w:rPr>
  </w:style>
  <w:style w:type="character" w:customStyle="1" w:styleId="25">
    <w:name w:val="页脚 Char"/>
    <w:link w:val="8"/>
    <w:qFormat/>
    <w:locked/>
    <w:uiPriority w:val="99"/>
    <w:rPr>
      <w:sz w:val="18"/>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Heading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列出段落1"/>
    <w:basedOn w:val="1"/>
    <w:qFormat/>
    <w:uiPriority w:val="0"/>
    <w:pPr>
      <w:ind w:firstLine="420" w:firstLineChars="200"/>
    </w:pPr>
  </w:style>
  <w:style w:type="paragraph" w:customStyle="1" w:styleId="32">
    <w:name w:val="列出段落2"/>
    <w:basedOn w:val="1"/>
    <w:qFormat/>
    <w:uiPriority w:val="0"/>
    <w:pPr>
      <w:ind w:firstLine="420" w:firstLineChars="200"/>
    </w:pPr>
  </w:style>
  <w:style w:type="character" w:customStyle="1" w:styleId="33">
    <w:name w:val="font31"/>
    <w:qFormat/>
    <w:uiPriority w:val="0"/>
    <w:rPr>
      <w:rFonts w:hint="eastAsia" w:ascii="仿宋_GB2312" w:eastAsia="仿宋_GB2312" w:cs="仿宋_GB2312"/>
      <w:color w:val="000000"/>
      <w:sz w:val="24"/>
      <w:szCs w:val="24"/>
      <w:u w:val="none"/>
    </w:rPr>
  </w:style>
  <w:style w:type="character" w:customStyle="1" w:styleId="34">
    <w:name w:val="font41"/>
    <w:qFormat/>
    <w:uiPriority w:val="0"/>
    <w:rPr>
      <w:rFonts w:hint="eastAsia" w:ascii="仿宋_GB2312" w:eastAsia="仿宋_GB2312" w:cs="仿宋_GB2312"/>
      <w:color w:val="000000"/>
      <w:sz w:val="18"/>
      <w:szCs w:val="18"/>
      <w:u w:val="none"/>
    </w:rPr>
  </w:style>
  <w:style w:type="character" w:customStyle="1" w:styleId="35">
    <w:name w:val="font51"/>
    <w:qFormat/>
    <w:uiPriority w:val="0"/>
    <w:rPr>
      <w:rFonts w:hint="eastAsia" w:ascii="仿宋_GB2312" w:eastAsia="仿宋_GB2312" w:cs="仿宋_GB2312"/>
      <w:color w:val="000000"/>
      <w:sz w:val="32"/>
      <w:szCs w:val="32"/>
      <w:u w:val="none"/>
    </w:rPr>
  </w:style>
  <w:style w:type="character" w:customStyle="1" w:styleId="36">
    <w:name w:val="font01"/>
    <w:qFormat/>
    <w:uiPriority w:val="0"/>
    <w:rPr>
      <w:rFonts w:hint="eastAsia" w:ascii="仿宋_GB2312" w:eastAsia="仿宋_GB2312" w:cs="仿宋_GB2312"/>
      <w:color w:val="000000"/>
      <w:sz w:val="21"/>
      <w:szCs w:val="21"/>
      <w:u w:val="none"/>
    </w:rPr>
  </w:style>
  <w:style w:type="character" w:customStyle="1" w:styleId="37">
    <w:name w:val="标题 1 字符"/>
    <w:link w:val="2"/>
    <w:qFormat/>
    <w:locked/>
    <w:uiPriority w:val="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22</Pages>
  <Words>9225</Words>
  <Characters>9843</Characters>
  <Lines>168</Lines>
  <Paragraphs>47</Paragraphs>
  <TotalTime>0</TotalTime>
  <ScaleCrop>false</ScaleCrop>
  <LinksUpToDate>false</LinksUpToDate>
  <CharactersWithSpaces>9917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2020-09-24T10:00:00Z</dcterms:created>
  <dc:creator>曹颖</dc:creator>
  <cp:lastModifiedBy>WPS_1466565073</cp:lastModifiedBy>
  <cp:lastPrinted>2021-05-21T21:39:00Z</cp:lastPrinted>
  <dcterms:modified xsi:type="dcterms:W3CDTF">2022-09-22T03:43:23Z</dcterms:modified>
  <dc:title>四川省***</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EA410B031CC54280B9B9542B1A0B50A9</vt:lpwstr>
  </property>
</Properties>
</file>