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33213">
      <w:pPr>
        <w:spacing w:line="600" w:lineRule="exact"/>
        <w:jc w:val="left"/>
        <w:outlineLvl w:val="9"/>
        <w:rPr>
          <w:rFonts w:ascii="方正小标宋简体" w:hAnsi="宋体" w:eastAsia="方正小标宋简体"/>
          <w:color w:val="auto"/>
          <w:sz w:val="21"/>
          <w:szCs w:val="21"/>
          <w:highlight w:val="none"/>
        </w:rPr>
      </w:pPr>
      <w:bookmarkStart w:id="0" w:name="_Toc15306267"/>
    </w:p>
    <w:p w14:paraId="2FD1BEFF">
      <w:pPr>
        <w:spacing w:line="600" w:lineRule="exact"/>
        <w:jc w:val="center"/>
        <w:outlineLvl w:val="9"/>
        <w:rPr>
          <w:rFonts w:ascii="方正小标宋简体" w:hAnsi="宋体" w:eastAsia="方正小标宋简体"/>
          <w:color w:val="auto"/>
          <w:sz w:val="72"/>
          <w:szCs w:val="72"/>
          <w:highlight w:val="none"/>
        </w:rPr>
      </w:pPr>
    </w:p>
    <w:p w14:paraId="54767E2C">
      <w:pPr>
        <w:spacing w:line="600" w:lineRule="exact"/>
        <w:jc w:val="center"/>
        <w:outlineLvl w:val="9"/>
        <w:rPr>
          <w:rFonts w:ascii="方正小标宋简体" w:hAnsi="宋体" w:eastAsia="方正小标宋简体"/>
          <w:color w:val="auto"/>
          <w:sz w:val="72"/>
          <w:szCs w:val="72"/>
          <w:highlight w:val="none"/>
        </w:rPr>
      </w:pPr>
    </w:p>
    <w:p w14:paraId="28BFF255">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96597"/>
      <w:bookmarkStart w:id="3" w:name="_Toc15377193"/>
      <w:bookmarkStart w:id="4" w:name="_Toc15378441"/>
      <w:bookmarkStart w:id="5" w:name="_Toc12960"/>
      <w:bookmarkStart w:id="6"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p w14:paraId="3735FFC7">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96476"/>
      <w:bookmarkStart w:id="8" w:name="_Toc15396598"/>
      <w:bookmarkStart w:id="9" w:name="_Toc15377426"/>
      <w:bookmarkStart w:id="10" w:name="_Toc12196"/>
      <w:bookmarkStart w:id="11" w:name="_Toc15378442"/>
      <w:bookmarkStart w:id="12" w:name="_Toc15377194"/>
      <w:r>
        <w:rPr>
          <w:rFonts w:hint="eastAsia" w:ascii="方正小标宋简体" w:hAnsi="方正小标宋简体" w:eastAsia="方正小标宋简体" w:cs="方正小标宋简体"/>
          <w:color w:val="auto"/>
          <w:sz w:val="72"/>
          <w:szCs w:val="72"/>
          <w:highlight w:val="none"/>
          <w:lang w:eastAsia="zh-CN"/>
        </w:rPr>
        <w:t>广元市</w:t>
      </w:r>
      <w:bookmarkEnd w:id="0"/>
      <w:bookmarkStart w:id="13" w:name="_Toc15306268"/>
      <w:r>
        <w:rPr>
          <w:rFonts w:hint="eastAsia" w:ascii="方正小标宋简体" w:hAnsi="方正小标宋简体" w:eastAsia="方正小标宋简体" w:cs="方正小标宋简体"/>
          <w:color w:val="auto"/>
          <w:sz w:val="72"/>
          <w:szCs w:val="72"/>
          <w:highlight w:val="none"/>
        </w:rPr>
        <w:t>地籍地政事务</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bookmarkEnd w:id="13"/>
    </w:p>
    <w:p w14:paraId="0FE0EF71">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346E1ECC">
      <w:pPr>
        <w:widowControl/>
        <w:jc w:val="center"/>
        <w:rPr>
          <w:rFonts w:ascii="黑体" w:hAnsi="黑体" w:eastAsia="黑体" w:cstheme="minorBidi"/>
          <w:color w:val="auto"/>
          <w:sz w:val="28"/>
          <w:szCs w:val="28"/>
          <w:highlight w:val="none"/>
        </w:rPr>
      </w:pPr>
    </w:p>
    <w:p w14:paraId="39953084">
      <w:pPr>
        <w:pStyle w:val="10"/>
        <w:rPr>
          <w:rFonts w:hint="eastAsia" w:eastAsia="仿宋"/>
          <w:color w:val="auto"/>
          <w:highlight w:val="none"/>
          <w:lang w:val="en-US" w:eastAsia="zh-CN"/>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10 </w:t>
      </w:r>
      <w:r>
        <w:rPr>
          <w:rFonts w:hint="eastAsia"/>
          <w:color w:val="auto"/>
          <w:highlight w:val="none"/>
        </w:rPr>
        <w:t>月</w:t>
      </w:r>
      <w:r>
        <w:rPr>
          <w:rFonts w:hint="eastAsia"/>
          <w:color w:val="auto"/>
          <w:highlight w:val="none"/>
          <w:lang w:val="en-US" w:eastAsia="zh-CN"/>
        </w:rPr>
        <w:t>18</w:t>
      </w:r>
      <w:bookmarkStart w:id="109" w:name="_GoBack"/>
      <w:bookmarkEnd w:id="109"/>
      <w:r>
        <w:rPr>
          <w:rFonts w:hint="eastAsia"/>
          <w:color w:val="auto"/>
          <w:highlight w:val="none"/>
          <w:lang w:val="en-US" w:eastAsia="zh-CN"/>
        </w:rPr>
        <w:t xml:space="preserve"> </w:t>
      </w:r>
      <w:r>
        <w:rPr>
          <w:rFonts w:hint="eastAsia"/>
          <w:color w:val="auto"/>
          <w:highlight w:val="none"/>
        </w:rPr>
        <w:t>日</w:t>
      </w:r>
    </w:p>
    <w:sdt>
      <w:sdtPr>
        <w:rPr>
          <w:rFonts w:ascii="宋体" w:hAnsi="宋体" w:eastAsia="宋体" w:cs="Times New Roman"/>
          <w:kern w:val="2"/>
          <w:sz w:val="21"/>
          <w:szCs w:val="24"/>
          <w:lang w:val="en-US" w:eastAsia="zh-CN" w:bidi="ar-SA"/>
        </w:rPr>
        <w:id w:val="147474277"/>
        <w15:color w:val="DBDBDB"/>
        <w:docPartObj>
          <w:docPartGallery w:val="Table of Contents"/>
          <w:docPartUnique/>
        </w:docPartObj>
      </w:sdtPr>
      <w:sdtEndPr>
        <w:rPr>
          <w:rFonts w:ascii="Times New Roman" w:hAnsi="Times New Roman" w:eastAsia="宋体" w:cs="Times New Roman"/>
          <w:b/>
          <w:color w:val="auto"/>
          <w:kern w:val="2"/>
          <w:sz w:val="21"/>
          <w:szCs w:val="24"/>
          <w:highlight w:val="none"/>
          <w:lang w:val="en-US" w:eastAsia="zh-CN" w:bidi="ar-SA"/>
        </w:rPr>
      </w:sdtEndPr>
      <w:sdtContent>
        <w:p w14:paraId="3A96CB83">
          <w:pPr>
            <w:spacing w:before="0" w:beforeLines="0" w:after="0" w:afterLines="0" w:line="240" w:lineRule="auto"/>
            <w:ind w:left="0" w:leftChars="0" w:right="0" w:rightChars="0" w:firstLine="0" w:firstLineChars="0"/>
            <w:jc w:val="center"/>
          </w:pPr>
        </w:p>
        <w:p w14:paraId="3A7E7B41">
          <w:pPr>
            <w:pStyle w:val="30"/>
            <w:tabs>
              <w:tab w:val="right" w:leader="dot" w:pos="8306"/>
            </w:tabs>
            <w:rPr>
              <w:b/>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14:paraId="080CD160">
          <w:pPr>
            <w:pStyle w:val="30"/>
            <w:tabs>
              <w:tab w:val="right" w:leader="dot" w:pos="8306"/>
            </w:tabs>
            <w:rPr>
              <w:b/>
            </w:rPr>
          </w:pPr>
          <w:r>
            <w:rPr>
              <w:b/>
              <w:color w:val="auto"/>
              <w:highlight w:val="none"/>
            </w:rPr>
            <w:fldChar w:fldCharType="begin"/>
          </w:r>
          <w:r>
            <w:rPr>
              <w:b/>
              <w:highlight w:val="none"/>
            </w:rPr>
            <w:instrText xml:space="preserve"> HYPERLINK \l _Toc19408 </w:instrText>
          </w:r>
          <w:r>
            <w:rPr>
              <w:b/>
              <w:highlight w:val="none"/>
            </w:rPr>
            <w:fldChar w:fldCharType="separate"/>
          </w:r>
          <w:r>
            <w:rPr>
              <w:rFonts w:hint="eastAsia" w:ascii="黑体" w:hAnsi="黑体" w:eastAsia="黑体"/>
              <w:b/>
              <w:highlight w:val="none"/>
            </w:rPr>
            <w:t xml:space="preserve">第一部分 </w:t>
          </w:r>
          <w:r>
            <w:rPr>
              <w:rFonts w:hint="eastAsia" w:ascii="黑体" w:hAnsi="黑体" w:eastAsia="黑体"/>
              <w:b/>
              <w:highlight w:val="none"/>
              <w:lang w:eastAsia="zh-CN"/>
            </w:rPr>
            <w:t>单位</w:t>
          </w:r>
          <w:r>
            <w:rPr>
              <w:rFonts w:hint="eastAsia" w:ascii="黑体" w:hAnsi="黑体" w:eastAsia="黑体"/>
              <w:b/>
              <w:bCs w:val="0"/>
              <w:highlight w:val="none"/>
            </w:rPr>
            <w:t>概况</w:t>
          </w:r>
          <w:r>
            <w:rPr>
              <w:b/>
            </w:rPr>
            <w:tab/>
          </w:r>
          <w:r>
            <w:rPr>
              <w:b/>
            </w:rPr>
            <w:fldChar w:fldCharType="begin"/>
          </w:r>
          <w:r>
            <w:rPr>
              <w:b/>
            </w:rPr>
            <w:instrText xml:space="preserve"> PAGEREF _Toc19408 \h </w:instrText>
          </w:r>
          <w:r>
            <w:rPr>
              <w:b/>
            </w:rPr>
            <w:fldChar w:fldCharType="separate"/>
          </w:r>
          <w:r>
            <w:rPr>
              <w:b/>
            </w:rPr>
            <w:t>3</w:t>
          </w:r>
          <w:r>
            <w:rPr>
              <w:b/>
            </w:rPr>
            <w:fldChar w:fldCharType="end"/>
          </w:r>
          <w:r>
            <w:rPr>
              <w:b/>
              <w:color w:val="auto"/>
              <w:highlight w:val="none"/>
            </w:rPr>
            <w:fldChar w:fldCharType="end"/>
          </w:r>
        </w:p>
        <w:p w14:paraId="7EFE7287">
          <w:pPr>
            <w:pStyle w:val="31"/>
            <w:tabs>
              <w:tab w:val="right" w:leader="dot" w:pos="8306"/>
            </w:tabs>
          </w:pPr>
          <w:r>
            <w:rPr>
              <w:color w:val="auto"/>
              <w:highlight w:val="none"/>
            </w:rPr>
            <w:fldChar w:fldCharType="begin"/>
          </w:r>
          <w:r>
            <w:rPr>
              <w:highlight w:val="none"/>
            </w:rPr>
            <w:instrText xml:space="preserve"> HYPERLINK \l _Toc24279 </w:instrText>
          </w:r>
          <w:r>
            <w:rPr>
              <w:highlight w:val="none"/>
            </w:rPr>
            <w:fldChar w:fldCharType="separate"/>
          </w:r>
          <w:r>
            <w:rPr>
              <w:rFonts w:hint="eastAsia" w:ascii="黑体" w:hAnsi="黑体" w:eastAsia="黑体"/>
              <w:bCs w:val="0"/>
              <w:lang w:eastAsia="zh-CN"/>
            </w:rPr>
            <w:t xml:space="preserve">一、 </w:t>
          </w:r>
          <w:r>
            <w:rPr>
              <w:rFonts w:hint="eastAsia" w:ascii="黑体" w:hAnsi="黑体" w:eastAsia="黑体"/>
              <w:bCs w:val="0"/>
              <w:highlight w:val="none"/>
              <w:lang w:eastAsia="zh-CN"/>
            </w:rPr>
            <w:t>主要职责</w:t>
          </w:r>
          <w:r>
            <w:tab/>
          </w:r>
          <w:r>
            <w:fldChar w:fldCharType="begin"/>
          </w:r>
          <w:r>
            <w:instrText xml:space="preserve"> PAGEREF _Toc24279 \h </w:instrText>
          </w:r>
          <w:r>
            <w:fldChar w:fldCharType="separate"/>
          </w:r>
          <w:r>
            <w:t>3</w:t>
          </w:r>
          <w:r>
            <w:fldChar w:fldCharType="end"/>
          </w:r>
          <w:r>
            <w:rPr>
              <w:color w:val="auto"/>
              <w:highlight w:val="none"/>
            </w:rPr>
            <w:fldChar w:fldCharType="end"/>
          </w:r>
        </w:p>
        <w:p w14:paraId="2D0E6A23">
          <w:pPr>
            <w:pStyle w:val="31"/>
            <w:tabs>
              <w:tab w:val="right" w:leader="dot" w:pos="8306"/>
            </w:tabs>
          </w:pPr>
          <w:r>
            <w:rPr>
              <w:color w:val="auto"/>
              <w:highlight w:val="none"/>
            </w:rPr>
            <w:fldChar w:fldCharType="begin"/>
          </w:r>
          <w:r>
            <w:rPr>
              <w:highlight w:val="none"/>
            </w:rPr>
            <w:instrText xml:space="preserve"> HYPERLINK \l _Toc19340 </w:instrText>
          </w:r>
          <w:r>
            <w:rPr>
              <w:highlight w:val="none"/>
            </w:rPr>
            <w:fldChar w:fldCharType="separate"/>
          </w:r>
          <w:r>
            <w:rPr>
              <w:rFonts w:hint="eastAsia" w:ascii="黑体" w:hAnsi="黑体" w:eastAsia="黑体"/>
              <w:highlight w:val="none"/>
              <w:lang w:val="en-US" w:eastAsia="zh-CN"/>
            </w:rPr>
            <w:t>二、机构设置</w:t>
          </w:r>
          <w:r>
            <w:tab/>
          </w:r>
          <w:r>
            <w:fldChar w:fldCharType="begin"/>
          </w:r>
          <w:r>
            <w:instrText xml:space="preserve"> PAGEREF _Toc19340 \h </w:instrText>
          </w:r>
          <w:r>
            <w:fldChar w:fldCharType="separate"/>
          </w:r>
          <w:r>
            <w:t>3</w:t>
          </w:r>
          <w:r>
            <w:fldChar w:fldCharType="end"/>
          </w:r>
          <w:r>
            <w:rPr>
              <w:color w:val="auto"/>
              <w:highlight w:val="none"/>
            </w:rPr>
            <w:fldChar w:fldCharType="end"/>
          </w:r>
        </w:p>
        <w:p w14:paraId="220E1FE4">
          <w:pPr>
            <w:pStyle w:val="30"/>
            <w:tabs>
              <w:tab w:val="right" w:leader="dot" w:pos="8306"/>
            </w:tabs>
            <w:rPr>
              <w:b/>
            </w:rPr>
          </w:pPr>
          <w:r>
            <w:rPr>
              <w:b/>
              <w:color w:val="auto"/>
              <w:highlight w:val="none"/>
            </w:rPr>
            <w:fldChar w:fldCharType="begin"/>
          </w:r>
          <w:r>
            <w:rPr>
              <w:b/>
              <w:highlight w:val="none"/>
            </w:rPr>
            <w:instrText xml:space="preserve"> HYPERLINK \l _Toc16060 </w:instrText>
          </w:r>
          <w:r>
            <w:rPr>
              <w:b/>
              <w:highlight w:val="none"/>
            </w:rPr>
            <w:fldChar w:fldCharType="separate"/>
          </w:r>
          <w:r>
            <w:rPr>
              <w:rFonts w:hint="eastAsia" w:ascii="黑体" w:hAnsi="黑体" w:eastAsia="黑体"/>
              <w:b/>
              <w:bCs/>
              <w:highlight w:val="none"/>
            </w:rPr>
            <w:t xml:space="preserve">第二部分 </w:t>
          </w:r>
          <w:r>
            <w:rPr>
              <w:rFonts w:hint="eastAsia" w:ascii="黑体" w:hAnsi="黑体" w:eastAsia="黑体"/>
              <w:b/>
              <w:bCs/>
              <w:highlight w:val="none"/>
              <w:lang w:val="en-US" w:eastAsia="zh-CN"/>
            </w:rPr>
            <w:t>2022年度</w:t>
          </w:r>
          <w:r>
            <w:rPr>
              <w:rFonts w:hint="eastAsia" w:ascii="黑体" w:hAnsi="黑体" w:eastAsia="黑体"/>
              <w:b/>
              <w:bCs/>
              <w:highlight w:val="none"/>
              <w:lang w:eastAsia="zh-CN"/>
            </w:rPr>
            <w:t>单位</w:t>
          </w:r>
          <w:r>
            <w:rPr>
              <w:rFonts w:hint="eastAsia" w:ascii="黑体" w:hAnsi="黑体" w:eastAsia="黑体"/>
              <w:b/>
              <w:bCs/>
              <w:highlight w:val="none"/>
            </w:rPr>
            <w:t>决算情况说明</w:t>
          </w:r>
          <w:r>
            <w:rPr>
              <w:b/>
            </w:rPr>
            <w:tab/>
          </w:r>
          <w:r>
            <w:rPr>
              <w:b/>
            </w:rPr>
            <w:fldChar w:fldCharType="begin"/>
          </w:r>
          <w:r>
            <w:rPr>
              <w:b/>
            </w:rPr>
            <w:instrText xml:space="preserve"> PAGEREF _Toc16060 \h </w:instrText>
          </w:r>
          <w:r>
            <w:rPr>
              <w:b/>
            </w:rPr>
            <w:fldChar w:fldCharType="separate"/>
          </w:r>
          <w:r>
            <w:rPr>
              <w:b/>
            </w:rPr>
            <w:t>4</w:t>
          </w:r>
          <w:r>
            <w:rPr>
              <w:b/>
            </w:rPr>
            <w:fldChar w:fldCharType="end"/>
          </w:r>
          <w:r>
            <w:rPr>
              <w:b/>
              <w:color w:val="auto"/>
              <w:highlight w:val="none"/>
            </w:rPr>
            <w:fldChar w:fldCharType="end"/>
          </w:r>
        </w:p>
        <w:p w14:paraId="3206C015">
          <w:pPr>
            <w:pStyle w:val="31"/>
            <w:tabs>
              <w:tab w:val="right" w:leader="dot" w:pos="8306"/>
            </w:tabs>
          </w:pPr>
          <w:r>
            <w:rPr>
              <w:color w:val="auto"/>
              <w:highlight w:val="none"/>
            </w:rPr>
            <w:fldChar w:fldCharType="begin"/>
          </w:r>
          <w:r>
            <w:rPr>
              <w:highlight w:val="none"/>
            </w:rPr>
            <w:instrText xml:space="preserve"> HYPERLINK \l _Toc31023 </w:instrText>
          </w:r>
          <w:r>
            <w:rPr>
              <w:highlight w:val="none"/>
            </w:rP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_Toc31023 \h </w:instrText>
          </w:r>
          <w:r>
            <w:fldChar w:fldCharType="separate"/>
          </w:r>
          <w:r>
            <w:t>4</w:t>
          </w:r>
          <w:r>
            <w:fldChar w:fldCharType="end"/>
          </w:r>
          <w:r>
            <w:rPr>
              <w:color w:val="auto"/>
              <w:highlight w:val="none"/>
            </w:rPr>
            <w:fldChar w:fldCharType="end"/>
          </w:r>
        </w:p>
        <w:p w14:paraId="750C671E">
          <w:pPr>
            <w:pStyle w:val="31"/>
            <w:tabs>
              <w:tab w:val="right" w:leader="dot" w:pos="8306"/>
            </w:tabs>
          </w:pPr>
          <w:r>
            <w:rPr>
              <w:color w:val="auto"/>
              <w:highlight w:val="none"/>
            </w:rPr>
            <w:fldChar w:fldCharType="begin"/>
          </w:r>
          <w:r>
            <w:rPr>
              <w:highlight w:val="none"/>
            </w:rPr>
            <w:instrText xml:space="preserve"> HYPERLINK \l _Toc3582 </w:instrText>
          </w:r>
          <w:r>
            <w:rPr>
              <w:highlight w:val="none"/>
            </w:rP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_Toc3582 \h </w:instrText>
          </w:r>
          <w:r>
            <w:fldChar w:fldCharType="separate"/>
          </w:r>
          <w:r>
            <w:t>4</w:t>
          </w:r>
          <w:r>
            <w:fldChar w:fldCharType="end"/>
          </w:r>
          <w:r>
            <w:rPr>
              <w:color w:val="auto"/>
              <w:highlight w:val="none"/>
            </w:rPr>
            <w:fldChar w:fldCharType="end"/>
          </w:r>
        </w:p>
        <w:p w14:paraId="44AB466E">
          <w:pPr>
            <w:pStyle w:val="31"/>
            <w:tabs>
              <w:tab w:val="right" w:leader="dot" w:pos="8306"/>
            </w:tabs>
          </w:pPr>
          <w:r>
            <w:rPr>
              <w:color w:val="auto"/>
              <w:highlight w:val="none"/>
            </w:rPr>
            <w:fldChar w:fldCharType="begin"/>
          </w:r>
          <w:r>
            <w:rPr>
              <w:highlight w:val="none"/>
            </w:rPr>
            <w:instrText xml:space="preserve"> HYPERLINK \l _Toc27786 </w:instrText>
          </w:r>
          <w:r>
            <w:rPr>
              <w:highlight w:val="none"/>
            </w:rP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_Toc27786 \h </w:instrText>
          </w:r>
          <w:r>
            <w:fldChar w:fldCharType="separate"/>
          </w:r>
          <w:r>
            <w:t>5</w:t>
          </w:r>
          <w:r>
            <w:fldChar w:fldCharType="end"/>
          </w:r>
          <w:r>
            <w:rPr>
              <w:color w:val="auto"/>
              <w:highlight w:val="none"/>
            </w:rPr>
            <w:fldChar w:fldCharType="end"/>
          </w:r>
        </w:p>
        <w:p w14:paraId="3C50BE7B">
          <w:pPr>
            <w:pStyle w:val="31"/>
            <w:tabs>
              <w:tab w:val="right" w:leader="dot" w:pos="8306"/>
            </w:tabs>
          </w:pPr>
          <w:r>
            <w:rPr>
              <w:color w:val="auto"/>
              <w:highlight w:val="none"/>
            </w:rPr>
            <w:fldChar w:fldCharType="begin"/>
          </w:r>
          <w:r>
            <w:rPr>
              <w:highlight w:val="none"/>
            </w:rPr>
            <w:instrText xml:space="preserve"> HYPERLINK \l _Toc24048 </w:instrText>
          </w:r>
          <w:r>
            <w:rPr>
              <w:highlight w:val="none"/>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_Toc24048 \h </w:instrText>
          </w:r>
          <w:r>
            <w:fldChar w:fldCharType="separate"/>
          </w:r>
          <w:r>
            <w:t>5</w:t>
          </w:r>
          <w:r>
            <w:fldChar w:fldCharType="end"/>
          </w:r>
          <w:r>
            <w:rPr>
              <w:color w:val="auto"/>
              <w:highlight w:val="none"/>
            </w:rPr>
            <w:fldChar w:fldCharType="end"/>
          </w:r>
        </w:p>
        <w:p w14:paraId="1665CB49">
          <w:pPr>
            <w:pStyle w:val="31"/>
            <w:tabs>
              <w:tab w:val="right" w:leader="dot" w:pos="8306"/>
            </w:tabs>
          </w:pPr>
          <w:r>
            <w:rPr>
              <w:color w:val="auto"/>
              <w:highlight w:val="none"/>
            </w:rPr>
            <w:fldChar w:fldCharType="begin"/>
          </w:r>
          <w:r>
            <w:rPr>
              <w:highlight w:val="none"/>
            </w:rPr>
            <w:instrText xml:space="preserve"> HYPERLINK \l _Toc13034 </w:instrText>
          </w:r>
          <w:r>
            <w:rPr>
              <w:highlight w:val="none"/>
            </w:rP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_Toc13034 \h </w:instrText>
          </w:r>
          <w:r>
            <w:fldChar w:fldCharType="separate"/>
          </w:r>
          <w:r>
            <w:t>6</w:t>
          </w:r>
          <w:r>
            <w:fldChar w:fldCharType="end"/>
          </w:r>
          <w:r>
            <w:rPr>
              <w:color w:val="auto"/>
              <w:highlight w:val="none"/>
            </w:rPr>
            <w:fldChar w:fldCharType="end"/>
          </w:r>
        </w:p>
        <w:p w14:paraId="4BAB785B">
          <w:pPr>
            <w:pStyle w:val="31"/>
            <w:tabs>
              <w:tab w:val="right" w:leader="dot" w:pos="8306"/>
            </w:tabs>
          </w:pPr>
          <w:r>
            <w:rPr>
              <w:color w:val="auto"/>
              <w:highlight w:val="none"/>
            </w:rPr>
            <w:fldChar w:fldCharType="begin"/>
          </w:r>
          <w:r>
            <w:rPr>
              <w:highlight w:val="none"/>
            </w:rPr>
            <w:instrText xml:space="preserve"> HYPERLINK \l _Toc9152 </w:instrText>
          </w:r>
          <w:r>
            <w:rPr>
              <w:highlight w:val="none"/>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_Toc9152 \h </w:instrText>
          </w:r>
          <w:r>
            <w:fldChar w:fldCharType="separate"/>
          </w:r>
          <w:r>
            <w:t>8</w:t>
          </w:r>
          <w:r>
            <w:fldChar w:fldCharType="end"/>
          </w:r>
          <w:r>
            <w:rPr>
              <w:color w:val="auto"/>
              <w:highlight w:val="none"/>
            </w:rPr>
            <w:fldChar w:fldCharType="end"/>
          </w:r>
        </w:p>
        <w:p w14:paraId="51C291F1">
          <w:pPr>
            <w:pStyle w:val="31"/>
            <w:tabs>
              <w:tab w:val="right" w:leader="dot" w:pos="8306"/>
            </w:tabs>
          </w:pPr>
          <w:r>
            <w:rPr>
              <w:color w:val="auto"/>
              <w:highlight w:val="none"/>
            </w:rPr>
            <w:fldChar w:fldCharType="begin"/>
          </w:r>
          <w:r>
            <w:rPr>
              <w:highlight w:val="none"/>
            </w:rPr>
            <w:instrText xml:space="preserve"> HYPERLINK \l _Toc5382 </w:instrText>
          </w:r>
          <w:r>
            <w:rPr>
              <w:highlight w:val="none"/>
            </w:rP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_Toc5382 \h </w:instrText>
          </w:r>
          <w:r>
            <w:fldChar w:fldCharType="separate"/>
          </w:r>
          <w:r>
            <w:t>9</w:t>
          </w:r>
          <w:r>
            <w:fldChar w:fldCharType="end"/>
          </w:r>
          <w:r>
            <w:rPr>
              <w:color w:val="auto"/>
              <w:highlight w:val="none"/>
            </w:rPr>
            <w:fldChar w:fldCharType="end"/>
          </w:r>
        </w:p>
        <w:p w14:paraId="1D08A6EA">
          <w:pPr>
            <w:pStyle w:val="31"/>
            <w:tabs>
              <w:tab w:val="right" w:leader="dot" w:pos="8306"/>
            </w:tabs>
          </w:pPr>
          <w:r>
            <w:rPr>
              <w:color w:val="auto"/>
              <w:highlight w:val="none"/>
            </w:rPr>
            <w:fldChar w:fldCharType="begin"/>
          </w:r>
          <w:r>
            <w:rPr>
              <w:highlight w:val="none"/>
            </w:rPr>
            <w:instrText xml:space="preserve"> HYPERLINK \l _Toc17054 </w:instrText>
          </w:r>
          <w:r>
            <w:rPr>
              <w:highlight w:val="none"/>
            </w:rP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_Toc17054 \h </w:instrText>
          </w:r>
          <w:r>
            <w:fldChar w:fldCharType="separate"/>
          </w:r>
          <w:r>
            <w:t>10</w:t>
          </w:r>
          <w:r>
            <w:fldChar w:fldCharType="end"/>
          </w:r>
          <w:r>
            <w:rPr>
              <w:color w:val="auto"/>
              <w:highlight w:val="none"/>
            </w:rPr>
            <w:fldChar w:fldCharType="end"/>
          </w:r>
        </w:p>
        <w:p w14:paraId="50444CA2">
          <w:pPr>
            <w:pStyle w:val="31"/>
            <w:tabs>
              <w:tab w:val="right" w:leader="dot" w:pos="8306"/>
            </w:tabs>
          </w:pPr>
          <w:r>
            <w:rPr>
              <w:color w:val="auto"/>
              <w:highlight w:val="none"/>
            </w:rPr>
            <w:fldChar w:fldCharType="begin"/>
          </w:r>
          <w:r>
            <w:rPr>
              <w:highlight w:val="none"/>
            </w:rPr>
            <w:instrText xml:space="preserve"> HYPERLINK \l _Toc4555 </w:instrText>
          </w:r>
          <w:r>
            <w:rPr>
              <w:highlight w:val="none"/>
            </w:rP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_Toc4555 \h </w:instrText>
          </w:r>
          <w:r>
            <w:fldChar w:fldCharType="separate"/>
          </w:r>
          <w:r>
            <w:t>10</w:t>
          </w:r>
          <w:r>
            <w:fldChar w:fldCharType="end"/>
          </w:r>
          <w:r>
            <w:rPr>
              <w:color w:val="auto"/>
              <w:highlight w:val="none"/>
            </w:rPr>
            <w:fldChar w:fldCharType="end"/>
          </w:r>
        </w:p>
        <w:p w14:paraId="52D8C7D0">
          <w:pPr>
            <w:pStyle w:val="31"/>
            <w:tabs>
              <w:tab w:val="right" w:leader="dot" w:pos="8306"/>
            </w:tabs>
          </w:pPr>
          <w:r>
            <w:rPr>
              <w:color w:val="auto"/>
              <w:highlight w:val="none"/>
            </w:rPr>
            <w:fldChar w:fldCharType="begin"/>
          </w:r>
          <w:r>
            <w:rPr>
              <w:highlight w:val="none"/>
            </w:rPr>
            <w:instrText xml:space="preserve"> HYPERLINK \l _Toc18393 </w:instrText>
          </w:r>
          <w:r>
            <w:rPr>
              <w:highlight w:val="none"/>
            </w:rP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_Toc18393 \h </w:instrText>
          </w:r>
          <w:r>
            <w:fldChar w:fldCharType="separate"/>
          </w:r>
          <w:r>
            <w:t>10</w:t>
          </w:r>
          <w:r>
            <w:fldChar w:fldCharType="end"/>
          </w:r>
          <w:r>
            <w:rPr>
              <w:color w:val="auto"/>
              <w:highlight w:val="none"/>
            </w:rPr>
            <w:fldChar w:fldCharType="end"/>
          </w:r>
        </w:p>
        <w:p w14:paraId="030DCE5D">
          <w:pPr>
            <w:pStyle w:val="30"/>
            <w:tabs>
              <w:tab w:val="right" w:leader="dot" w:pos="8306"/>
            </w:tabs>
            <w:rPr>
              <w:b/>
            </w:rPr>
          </w:pPr>
          <w:r>
            <w:rPr>
              <w:b/>
              <w:color w:val="auto"/>
              <w:highlight w:val="none"/>
            </w:rPr>
            <w:fldChar w:fldCharType="begin"/>
          </w:r>
          <w:r>
            <w:rPr>
              <w:b/>
              <w:highlight w:val="none"/>
            </w:rPr>
            <w:instrText xml:space="preserve"> HYPERLINK \l _Toc30884 </w:instrText>
          </w:r>
          <w:r>
            <w:rPr>
              <w:b/>
              <w:highlight w:val="none"/>
            </w:rPr>
            <w:fldChar w:fldCharType="separate"/>
          </w:r>
          <w:r>
            <w:rPr>
              <w:rFonts w:hint="eastAsia" w:ascii="黑体" w:hAnsi="黑体" w:eastAsia="黑体" w:cs="黑体"/>
              <w:b/>
              <w:szCs w:val="44"/>
            </w:rPr>
            <w:t xml:space="preserve">第三部分 </w:t>
          </w:r>
          <w:r>
            <w:rPr>
              <w:rFonts w:hint="eastAsia" w:ascii="黑体" w:hAnsi="黑体" w:eastAsia="黑体"/>
              <w:b/>
              <w:szCs w:val="44"/>
              <w:highlight w:val="none"/>
            </w:rPr>
            <w:t>名</w:t>
          </w:r>
          <w:r>
            <w:rPr>
              <w:rFonts w:hint="eastAsia" w:ascii="黑体" w:hAnsi="黑体" w:eastAsia="黑体"/>
              <w:b/>
              <w:highlight w:val="none"/>
            </w:rPr>
            <w:t>词解释</w:t>
          </w:r>
          <w:r>
            <w:rPr>
              <w:b/>
            </w:rPr>
            <w:tab/>
          </w:r>
          <w:r>
            <w:rPr>
              <w:b/>
            </w:rPr>
            <w:fldChar w:fldCharType="begin"/>
          </w:r>
          <w:r>
            <w:rPr>
              <w:b/>
            </w:rPr>
            <w:instrText xml:space="preserve"> PAGEREF _Toc30884 \h </w:instrText>
          </w:r>
          <w:r>
            <w:rPr>
              <w:b/>
            </w:rPr>
            <w:fldChar w:fldCharType="separate"/>
          </w:r>
          <w:r>
            <w:rPr>
              <w:b/>
            </w:rPr>
            <w:t>13</w:t>
          </w:r>
          <w:r>
            <w:rPr>
              <w:b/>
            </w:rPr>
            <w:fldChar w:fldCharType="end"/>
          </w:r>
          <w:r>
            <w:rPr>
              <w:b/>
              <w:color w:val="auto"/>
              <w:highlight w:val="none"/>
            </w:rPr>
            <w:fldChar w:fldCharType="end"/>
          </w:r>
        </w:p>
        <w:p w14:paraId="7EE279E7">
          <w:pPr>
            <w:pStyle w:val="30"/>
            <w:tabs>
              <w:tab w:val="right" w:leader="dot" w:pos="8306"/>
            </w:tabs>
            <w:rPr>
              <w:b/>
            </w:rPr>
          </w:pPr>
          <w:r>
            <w:rPr>
              <w:b/>
              <w:color w:val="auto"/>
              <w:highlight w:val="none"/>
            </w:rPr>
            <w:fldChar w:fldCharType="begin"/>
          </w:r>
          <w:r>
            <w:rPr>
              <w:b/>
              <w:highlight w:val="none"/>
            </w:rPr>
            <w:instrText xml:space="preserve"> HYPERLINK \l _Toc29779 </w:instrText>
          </w:r>
          <w:r>
            <w:rPr>
              <w:b/>
              <w:highlight w:val="none"/>
            </w:rPr>
            <w:fldChar w:fldCharType="separate"/>
          </w:r>
          <w:r>
            <w:rPr>
              <w:rFonts w:hint="eastAsia" w:ascii="黑体" w:hAnsi="黑体" w:eastAsia="黑体"/>
              <w:b/>
              <w:szCs w:val="44"/>
              <w:highlight w:val="none"/>
            </w:rPr>
            <w:t>第</w:t>
          </w:r>
          <w:r>
            <w:rPr>
              <w:rFonts w:hint="eastAsia" w:ascii="黑体" w:hAnsi="黑体" w:eastAsia="黑体"/>
              <w:b/>
              <w:highlight w:val="none"/>
            </w:rPr>
            <w:t>四部分 附件</w:t>
          </w:r>
          <w:r>
            <w:rPr>
              <w:b/>
            </w:rPr>
            <w:tab/>
          </w:r>
          <w:r>
            <w:rPr>
              <w:b/>
            </w:rPr>
            <w:fldChar w:fldCharType="begin"/>
          </w:r>
          <w:r>
            <w:rPr>
              <w:b/>
            </w:rPr>
            <w:instrText xml:space="preserve"> PAGEREF _Toc29779 \h </w:instrText>
          </w:r>
          <w:r>
            <w:rPr>
              <w:b/>
            </w:rPr>
            <w:fldChar w:fldCharType="separate"/>
          </w:r>
          <w:r>
            <w:rPr>
              <w:b/>
            </w:rPr>
            <w:t>15</w:t>
          </w:r>
          <w:r>
            <w:rPr>
              <w:b/>
            </w:rPr>
            <w:fldChar w:fldCharType="end"/>
          </w:r>
          <w:r>
            <w:rPr>
              <w:b/>
              <w:color w:val="auto"/>
              <w:highlight w:val="none"/>
            </w:rPr>
            <w:fldChar w:fldCharType="end"/>
          </w:r>
        </w:p>
        <w:p w14:paraId="6883456B">
          <w:pPr>
            <w:pStyle w:val="30"/>
            <w:tabs>
              <w:tab w:val="right" w:leader="dot" w:pos="8306"/>
            </w:tabs>
            <w:rPr>
              <w:b/>
            </w:rPr>
          </w:pPr>
          <w:r>
            <w:rPr>
              <w:b/>
              <w:color w:val="auto"/>
              <w:highlight w:val="none"/>
            </w:rPr>
            <w:fldChar w:fldCharType="begin"/>
          </w:r>
          <w:r>
            <w:rPr>
              <w:b/>
              <w:highlight w:val="none"/>
            </w:rPr>
            <w:instrText xml:space="preserve"> HYPERLINK \l _Toc12595 </w:instrText>
          </w:r>
          <w:r>
            <w:rPr>
              <w:b/>
              <w:highlight w:val="none"/>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rPr>
            <w:tab/>
          </w:r>
          <w:r>
            <w:rPr>
              <w:b/>
            </w:rPr>
            <w:fldChar w:fldCharType="begin"/>
          </w:r>
          <w:r>
            <w:rPr>
              <w:b/>
            </w:rPr>
            <w:instrText xml:space="preserve"> PAGEREF _Toc12595 \h </w:instrText>
          </w:r>
          <w:r>
            <w:rPr>
              <w:b/>
            </w:rPr>
            <w:fldChar w:fldCharType="separate"/>
          </w:r>
          <w:r>
            <w:rPr>
              <w:b/>
            </w:rPr>
            <w:t>16</w:t>
          </w:r>
          <w:r>
            <w:rPr>
              <w:b/>
            </w:rPr>
            <w:fldChar w:fldCharType="end"/>
          </w:r>
          <w:r>
            <w:rPr>
              <w:b/>
              <w:color w:val="auto"/>
              <w:highlight w:val="none"/>
            </w:rPr>
            <w:fldChar w:fldCharType="end"/>
          </w:r>
        </w:p>
        <w:p w14:paraId="50BF971B">
          <w:pPr>
            <w:pStyle w:val="31"/>
            <w:tabs>
              <w:tab w:val="right" w:leader="dot" w:pos="8306"/>
            </w:tabs>
          </w:pPr>
          <w:r>
            <w:rPr>
              <w:color w:val="auto"/>
              <w:highlight w:val="none"/>
            </w:rPr>
            <w:fldChar w:fldCharType="begin"/>
          </w:r>
          <w:r>
            <w:rPr>
              <w:highlight w:val="none"/>
            </w:rPr>
            <w:instrText xml:space="preserve"> HYPERLINK \l _Toc5253 </w:instrText>
          </w:r>
          <w:r>
            <w:rPr>
              <w:highlight w:val="none"/>
            </w:rP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_Toc5253 \h </w:instrText>
          </w:r>
          <w:r>
            <w:fldChar w:fldCharType="separate"/>
          </w:r>
          <w:r>
            <w:t>16</w:t>
          </w:r>
          <w:r>
            <w:fldChar w:fldCharType="end"/>
          </w:r>
          <w:r>
            <w:rPr>
              <w:color w:val="auto"/>
              <w:highlight w:val="none"/>
            </w:rPr>
            <w:fldChar w:fldCharType="end"/>
          </w:r>
        </w:p>
        <w:p w14:paraId="02B66EE8">
          <w:pPr>
            <w:pStyle w:val="31"/>
            <w:tabs>
              <w:tab w:val="right" w:leader="dot" w:pos="8306"/>
            </w:tabs>
          </w:pPr>
          <w:r>
            <w:rPr>
              <w:color w:val="auto"/>
              <w:highlight w:val="none"/>
            </w:rPr>
            <w:fldChar w:fldCharType="begin"/>
          </w:r>
          <w:r>
            <w:rPr>
              <w:highlight w:val="none"/>
            </w:rPr>
            <w:instrText xml:space="preserve"> HYPERLINK \l _Toc25423 </w:instrText>
          </w:r>
          <w:r>
            <w:rPr>
              <w:highlight w:val="none"/>
            </w:rP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_Toc25423 \h </w:instrText>
          </w:r>
          <w:r>
            <w:fldChar w:fldCharType="separate"/>
          </w:r>
          <w:r>
            <w:t>16</w:t>
          </w:r>
          <w:r>
            <w:fldChar w:fldCharType="end"/>
          </w:r>
          <w:r>
            <w:rPr>
              <w:color w:val="auto"/>
              <w:highlight w:val="none"/>
            </w:rPr>
            <w:fldChar w:fldCharType="end"/>
          </w:r>
        </w:p>
        <w:p w14:paraId="32E27290">
          <w:pPr>
            <w:pStyle w:val="31"/>
            <w:tabs>
              <w:tab w:val="right" w:leader="dot" w:pos="8306"/>
            </w:tabs>
          </w:pPr>
          <w:r>
            <w:rPr>
              <w:color w:val="auto"/>
              <w:highlight w:val="none"/>
            </w:rPr>
            <w:fldChar w:fldCharType="begin"/>
          </w:r>
          <w:r>
            <w:rPr>
              <w:highlight w:val="none"/>
            </w:rPr>
            <w:instrText xml:space="preserve"> HYPERLINK \l _Toc19997 </w:instrText>
          </w:r>
          <w:r>
            <w:rPr>
              <w:highlight w:val="none"/>
            </w:rP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_Toc19997 \h </w:instrText>
          </w:r>
          <w:r>
            <w:fldChar w:fldCharType="separate"/>
          </w:r>
          <w:r>
            <w:t>16</w:t>
          </w:r>
          <w:r>
            <w:fldChar w:fldCharType="end"/>
          </w:r>
          <w:r>
            <w:rPr>
              <w:color w:val="auto"/>
              <w:highlight w:val="none"/>
            </w:rPr>
            <w:fldChar w:fldCharType="end"/>
          </w:r>
        </w:p>
        <w:p w14:paraId="665466CD">
          <w:pPr>
            <w:pStyle w:val="31"/>
            <w:tabs>
              <w:tab w:val="right" w:leader="dot" w:pos="8306"/>
            </w:tabs>
          </w:pPr>
          <w:r>
            <w:rPr>
              <w:color w:val="auto"/>
              <w:highlight w:val="none"/>
            </w:rPr>
            <w:fldChar w:fldCharType="begin"/>
          </w:r>
          <w:r>
            <w:rPr>
              <w:highlight w:val="none"/>
            </w:rPr>
            <w:instrText xml:space="preserve"> HYPERLINK \l _Toc993 </w:instrText>
          </w:r>
          <w:r>
            <w:rPr>
              <w:highlight w:val="none"/>
            </w:rP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_Toc993 \h </w:instrText>
          </w:r>
          <w:r>
            <w:fldChar w:fldCharType="separate"/>
          </w:r>
          <w:r>
            <w:t>16</w:t>
          </w:r>
          <w:r>
            <w:fldChar w:fldCharType="end"/>
          </w:r>
          <w:r>
            <w:rPr>
              <w:color w:val="auto"/>
              <w:highlight w:val="none"/>
            </w:rPr>
            <w:fldChar w:fldCharType="end"/>
          </w:r>
        </w:p>
        <w:p w14:paraId="6DCEEB0D">
          <w:pPr>
            <w:pStyle w:val="31"/>
            <w:tabs>
              <w:tab w:val="right" w:leader="dot" w:pos="8306"/>
            </w:tabs>
          </w:pPr>
          <w:r>
            <w:rPr>
              <w:color w:val="auto"/>
              <w:highlight w:val="none"/>
            </w:rPr>
            <w:fldChar w:fldCharType="begin"/>
          </w:r>
          <w:r>
            <w:rPr>
              <w:highlight w:val="none"/>
            </w:rPr>
            <w:instrText xml:space="preserve"> HYPERLINK \l _Toc19707 </w:instrText>
          </w:r>
          <w:r>
            <w:rPr>
              <w:highlight w:val="none"/>
            </w:rP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_Toc19707 \h </w:instrText>
          </w:r>
          <w:r>
            <w:fldChar w:fldCharType="separate"/>
          </w:r>
          <w:r>
            <w:t>16</w:t>
          </w:r>
          <w:r>
            <w:fldChar w:fldCharType="end"/>
          </w:r>
          <w:r>
            <w:rPr>
              <w:color w:val="auto"/>
              <w:highlight w:val="none"/>
            </w:rPr>
            <w:fldChar w:fldCharType="end"/>
          </w:r>
        </w:p>
        <w:p w14:paraId="33CA69BE">
          <w:pPr>
            <w:pStyle w:val="31"/>
            <w:tabs>
              <w:tab w:val="right" w:leader="dot" w:pos="8306"/>
            </w:tabs>
          </w:pPr>
          <w:r>
            <w:rPr>
              <w:color w:val="auto"/>
              <w:highlight w:val="none"/>
            </w:rPr>
            <w:fldChar w:fldCharType="begin"/>
          </w:r>
          <w:r>
            <w:rPr>
              <w:highlight w:val="none"/>
            </w:rPr>
            <w:instrText xml:space="preserve"> HYPERLINK \l _Toc2990 </w:instrText>
          </w:r>
          <w:r>
            <w:rPr>
              <w:highlight w:val="none"/>
            </w:rP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_Toc2990 \h </w:instrText>
          </w:r>
          <w:r>
            <w:fldChar w:fldCharType="separate"/>
          </w:r>
          <w:r>
            <w:t>16</w:t>
          </w:r>
          <w:r>
            <w:fldChar w:fldCharType="end"/>
          </w:r>
          <w:r>
            <w:rPr>
              <w:color w:val="auto"/>
              <w:highlight w:val="none"/>
            </w:rPr>
            <w:fldChar w:fldCharType="end"/>
          </w:r>
        </w:p>
        <w:p w14:paraId="30AF1303">
          <w:pPr>
            <w:pStyle w:val="31"/>
            <w:tabs>
              <w:tab w:val="right" w:leader="dot" w:pos="8306"/>
            </w:tabs>
          </w:pPr>
          <w:r>
            <w:rPr>
              <w:color w:val="auto"/>
              <w:highlight w:val="none"/>
            </w:rPr>
            <w:fldChar w:fldCharType="begin"/>
          </w:r>
          <w:r>
            <w:rPr>
              <w:highlight w:val="none"/>
            </w:rPr>
            <w:instrText xml:space="preserve"> HYPERLINK \l _Toc13823 </w:instrText>
          </w:r>
          <w:r>
            <w:rPr>
              <w:highlight w:val="none"/>
            </w:rP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_Toc13823 \h </w:instrText>
          </w:r>
          <w:r>
            <w:fldChar w:fldCharType="separate"/>
          </w:r>
          <w:r>
            <w:t>16</w:t>
          </w:r>
          <w:r>
            <w:fldChar w:fldCharType="end"/>
          </w:r>
          <w:r>
            <w:rPr>
              <w:color w:val="auto"/>
              <w:highlight w:val="none"/>
            </w:rPr>
            <w:fldChar w:fldCharType="end"/>
          </w:r>
        </w:p>
        <w:p w14:paraId="240E3968">
          <w:pPr>
            <w:pStyle w:val="31"/>
            <w:tabs>
              <w:tab w:val="right" w:leader="dot" w:pos="8306"/>
            </w:tabs>
          </w:pPr>
          <w:r>
            <w:rPr>
              <w:color w:val="auto"/>
              <w:highlight w:val="none"/>
            </w:rPr>
            <w:fldChar w:fldCharType="begin"/>
          </w:r>
          <w:r>
            <w:rPr>
              <w:highlight w:val="none"/>
            </w:rPr>
            <w:instrText xml:space="preserve"> HYPERLINK \l _Toc9858 </w:instrText>
          </w:r>
          <w:r>
            <w:rPr>
              <w:highlight w:val="none"/>
            </w:rP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_Toc9858 \h </w:instrText>
          </w:r>
          <w:r>
            <w:fldChar w:fldCharType="separate"/>
          </w:r>
          <w:r>
            <w:t>16</w:t>
          </w:r>
          <w:r>
            <w:fldChar w:fldCharType="end"/>
          </w:r>
          <w:r>
            <w:rPr>
              <w:color w:val="auto"/>
              <w:highlight w:val="none"/>
            </w:rPr>
            <w:fldChar w:fldCharType="end"/>
          </w:r>
        </w:p>
        <w:p w14:paraId="71D7118C">
          <w:pPr>
            <w:pStyle w:val="31"/>
            <w:tabs>
              <w:tab w:val="right" w:leader="dot" w:pos="8306"/>
            </w:tabs>
          </w:pPr>
          <w:r>
            <w:rPr>
              <w:color w:val="auto"/>
              <w:highlight w:val="none"/>
            </w:rPr>
            <w:fldChar w:fldCharType="begin"/>
          </w:r>
          <w:r>
            <w:rPr>
              <w:highlight w:val="none"/>
            </w:rPr>
            <w:instrText xml:space="preserve"> HYPERLINK \l _Toc24199 </w:instrText>
          </w:r>
          <w:r>
            <w:rPr>
              <w:highlight w:val="none"/>
            </w:rP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_Toc24199 \h </w:instrText>
          </w:r>
          <w:r>
            <w:fldChar w:fldCharType="separate"/>
          </w:r>
          <w:r>
            <w:t>16</w:t>
          </w:r>
          <w:r>
            <w:fldChar w:fldCharType="end"/>
          </w:r>
          <w:r>
            <w:rPr>
              <w:color w:val="auto"/>
              <w:highlight w:val="none"/>
            </w:rPr>
            <w:fldChar w:fldCharType="end"/>
          </w:r>
        </w:p>
        <w:p w14:paraId="71E8A0B2">
          <w:pPr>
            <w:pStyle w:val="31"/>
            <w:tabs>
              <w:tab w:val="right" w:leader="dot" w:pos="8306"/>
            </w:tabs>
          </w:pPr>
          <w:r>
            <w:rPr>
              <w:color w:val="auto"/>
              <w:highlight w:val="none"/>
            </w:rPr>
            <w:fldChar w:fldCharType="begin"/>
          </w:r>
          <w:r>
            <w:rPr>
              <w:highlight w:val="none"/>
            </w:rPr>
            <w:instrText xml:space="preserve"> HYPERLINK \l _Toc20983 </w:instrText>
          </w:r>
          <w:r>
            <w:rPr>
              <w:highlight w:val="none"/>
            </w:rP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_Toc20983 \h </w:instrText>
          </w:r>
          <w:r>
            <w:fldChar w:fldCharType="separate"/>
          </w:r>
          <w:r>
            <w:t>16</w:t>
          </w:r>
          <w:r>
            <w:fldChar w:fldCharType="end"/>
          </w:r>
          <w:r>
            <w:rPr>
              <w:color w:val="auto"/>
              <w:highlight w:val="none"/>
            </w:rPr>
            <w:fldChar w:fldCharType="end"/>
          </w:r>
        </w:p>
        <w:p w14:paraId="0FF5F25E">
          <w:pPr>
            <w:pStyle w:val="31"/>
            <w:tabs>
              <w:tab w:val="right" w:leader="dot" w:pos="8306"/>
            </w:tabs>
          </w:pPr>
          <w:r>
            <w:rPr>
              <w:color w:val="auto"/>
              <w:highlight w:val="none"/>
            </w:rPr>
            <w:fldChar w:fldCharType="begin"/>
          </w:r>
          <w:r>
            <w:rPr>
              <w:highlight w:val="none"/>
            </w:rPr>
            <w:instrText xml:space="preserve"> HYPERLINK \l _Toc15515 </w:instrText>
          </w:r>
          <w:r>
            <w:rPr>
              <w:highlight w:val="none"/>
            </w:rP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_Toc15515 \h </w:instrText>
          </w:r>
          <w:r>
            <w:fldChar w:fldCharType="separate"/>
          </w:r>
          <w:r>
            <w:t>16</w:t>
          </w:r>
          <w:r>
            <w:fldChar w:fldCharType="end"/>
          </w:r>
          <w:r>
            <w:rPr>
              <w:color w:val="auto"/>
              <w:highlight w:val="none"/>
            </w:rPr>
            <w:fldChar w:fldCharType="end"/>
          </w:r>
        </w:p>
        <w:p w14:paraId="757C1D4F">
          <w:pPr>
            <w:pStyle w:val="31"/>
            <w:tabs>
              <w:tab w:val="right" w:leader="dot" w:pos="8306"/>
            </w:tabs>
          </w:pPr>
          <w:r>
            <w:rPr>
              <w:color w:val="auto"/>
              <w:highlight w:val="none"/>
            </w:rPr>
            <w:fldChar w:fldCharType="begin"/>
          </w:r>
          <w:r>
            <w:rPr>
              <w:highlight w:val="none"/>
            </w:rPr>
            <w:instrText xml:space="preserve"> HYPERLINK \l _Toc10118 </w:instrText>
          </w:r>
          <w:r>
            <w:rPr>
              <w:highlight w:val="none"/>
            </w:rP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_Toc10118 \h </w:instrText>
          </w:r>
          <w:r>
            <w:fldChar w:fldCharType="separate"/>
          </w:r>
          <w:r>
            <w:t>16</w:t>
          </w:r>
          <w:r>
            <w:fldChar w:fldCharType="end"/>
          </w:r>
          <w:r>
            <w:rPr>
              <w:color w:val="auto"/>
              <w:highlight w:val="none"/>
            </w:rPr>
            <w:fldChar w:fldCharType="end"/>
          </w:r>
        </w:p>
        <w:p w14:paraId="0E48D407">
          <w:pPr>
            <w:pStyle w:val="31"/>
            <w:tabs>
              <w:tab w:val="right" w:leader="dot" w:pos="8306"/>
            </w:tabs>
          </w:pPr>
          <w:r>
            <w:rPr>
              <w:color w:val="auto"/>
              <w:highlight w:val="none"/>
            </w:rPr>
            <w:fldChar w:fldCharType="begin"/>
          </w:r>
          <w:r>
            <w:rPr>
              <w:highlight w:val="none"/>
            </w:rPr>
            <w:instrText xml:space="preserve"> HYPERLINK \l _Toc14638 </w:instrText>
          </w:r>
          <w:r>
            <w:rPr>
              <w:highlight w:val="none"/>
            </w:rP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_Toc14638 \h </w:instrText>
          </w:r>
          <w:r>
            <w:fldChar w:fldCharType="separate"/>
          </w:r>
          <w:r>
            <w:t>16</w:t>
          </w:r>
          <w:r>
            <w:fldChar w:fldCharType="end"/>
          </w:r>
          <w:r>
            <w:rPr>
              <w:color w:val="auto"/>
              <w:highlight w:val="none"/>
            </w:rPr>
            <w:fldChar w:fldCharType="end"/>
          </w:r>
        </w:p>
        <w:p w14:paraId="0BD959D1">
          <w:pPr>
            <w:rPr>
              <w:rFonts w:hint="eastAsia" w:ascii="黑体" w:hAnsi="黑体" w:eastAsia="黑体"/>
              <w:b w:val="0"/>
              <w:color w:val="auto"/>
              <w:highlight w:val="none"/>
            </w:rPr>
          </w:pPr>
          <w:r>
            <w:rPr>
              <w:b/>
              <w:color w:val="auto"/>
              <w:highlight w:val="none"/>
            </w:rPr>
            <w:fldChar w:fldCharType="end"/>
          </w:r>
          <w:bookmarkStart w:id="14" w:name="_Toc15377196"/>
          <w:bookmarkStart w:id="15" w:name="_Toc15396599"/>
        </w:p>
      </w:sdtContent>
    </w:sdt>
    <w:p w14:paraId="0DEE6E39">
      <w:pPr>
        <w:pStyle w:val="2"/>
        <w:jc w:val="center"/>
        <w:rPr>
          <w:rStyle w:val="24"/>
          <w:rFonts w:ascii="黑体" w:hAnsi="黑体" w:eastAsia="黑体"/>
          <w:b/>
          <w:bCs w:val="0"/>
          <w:color w:val="auto"/>
          <w:highlight w:val="none"/>
        </w:rPr>
      </w:pPr>
      <w:bookmarkStart w:id="16" w:name="_Toc19408"/>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4"/>
      <w:bookmarkEnd w:id="15"/>
      <w:bookmarkEnd w:id="16"/>
    </w:p>
    <w:p w14:paraId="22E22FDA">
      <w:pPr>
        <w:widowControl/>
        <w:jc w:val="left"/>
        <w:rPr>
          <w:rFonts w:ascii="黑体" w:eastAsia="黑体"/>
          <w:color w:val="auto"/>
          <w:sz w:val="32"/>
          <w:szCs w:val="32"/>
          <w:highlight w:val="none"/>
        </w:rPr>
      </w:pPr>
    </w:p>
    <w:p w14:paraId="5688E767">
      <w:pPr>
        <w:pStyle w:val="3"/>
        <w:numPr>
          <w:ilvl w:val="0"/>
          <w:numId w:val="1"/>
        </w:numPr>
        <w:rPr>
          <w:rStyle w:val="25"/>
          <w:rFonts w:hint="eastAsia" w:ascii="黑体" w:hAnsi="黑体" w:eastAsia="黑体"/>
          <w:b w:val="0"/>
          <w:bCs w:val="0"/>
          <w:color w:val="auto"/>
          <w:highlight w:val="none"/>
          <w:lang w:eastAsia="zh-CN"/>
        </w:rPr>
      </w:pPr>
      <w:bookmarkStart w:id="17" w:name="_Toc24279"/>
      <w:bookmarkStart w:id="18" w:name="_Toc15396600"/>
      <w:bookmarkStart w:id="19" w:name="_Toc15377197"/>
      <w:r>
        <w:rPr>
          <w:rStyle w:val="25"/>
          <w:rFonts w:hint="eastAsia" w:ascii="黑体" w:hAnsi="黑体" w:eastAsia="黑体"/>
          <w:b w:val="0"/>
          <w:bCs w:val="0"/>
          <w:color w:val="auto"/>
          <w:highlight w:val="none"/>
          <w:lang w:eastAsia="zh-CN"/>
        </w:rPr>
        <w:t>主要职责</w:t>
      </w:r>
      <w:bookmarkEnd w:id="17"/>
    </w:p>
    <w:p w14:paraId="7EE7E178">
      <w:pPr>
        <w:pStyle w:val="23"/>
        <w:widowControl/>
        <w:ind w:left="0" w:firstLine="640" w:firstLineChars="200"/>
        <w:rPr>
          <w:rFonts w:hint="eastAsia"/>
          <w:lang w:eastAsia="zh-CN"/>
        </w:rPr>
      </w:pPr>
      <w:r>
        <w:rPr>
          <w:rFonts w:hint="eastAsia" w:ascii="仿宋_GB2312" w:hAnsi="仿宋_GB2312" w:eastAsia="仿宋_GB2312" w:cs="仿宋_GB2312"/>
          <w:kern w:val="0"/>
          <w:sz w:val="32"/>
          <w:szCs w:val="32"/>
        </w:rPr>
        <w:t>负责地籍、地形、宗地测量 用地范围勘测定界及出具勘测技术报告书。</w:t>
      </w:r>
    </w:p>
    <w:p w14:paraId="29A864E2">
      <w:pPr>
        <w:pStyle w:val="3"/>
        <w:numPr>
          <w:ilvl w:val="0"/>
          <w:numId w:val="0"/>
        </w:numPr>
        <w:rPr>
          <w:rFonts w:hint="eastAsia" w:ascii="黑体" w:hAnsi="黑体" w:eastAsia="黑体"/>
          <w:b w:val="0"/>
          <w:color w:val="auto"/>
          <w:highlight w:val="none"/>
          <w:lang w:val="en-US" w:eastAsia="zh-CN"/>
        </w:rPr>
      </w:pPr>
      <w:bookmarkStart w:id="20" w:name="_Toc19340"/>
      <w:r>
        <w:rPr>
          <w:rFonts w:hint="eastAsia" w:ascii="黑体" w:hAnsi="黑体" w:eastAsia="黑体"/>
          <w:b w:val="0"/>
          <w:color w:val="auto"/>
          <w:highlight w:val="none"/>
          <w:lang w:val="en-US" w:eastAsia="zh-CN"/>
        </w:rPr>
        <w:t>二、机构设置</w:t>
      </w:r>
      <w:bookmarkEnd w:id="20"/>
    </w:p>
    <w:bookmarkEnd w:id="18"/>
    <w:bookmarkEnd w:id="19"/>
    <w:p w14:paraId="47757742">
      <w:pPr>
        <w:widowControl/>
        <w:ind w:firstLine="640" w:firstLineChars="200"/>
        <w:jc w:val="left"/>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广元市</w:t>
      </w:r>
      <w:r>
        <w:rPr>
          <w:rFonts w:hint="eastAsia" w:ascii="仿宋" w:hAnsi="仿宋" w:eastAsia="仿宋"/>
          <w:color w:val="auto"/>
          <w:kern w:val="0"/>
          <w:sz w:val="32"/>
          <w:szCs w:val="32"/>
          <w:highlight w:val="none"/>
          <w:lang w:val="en-US" w:eastAsia="zh-CN"/>
        </w:rPr>
        <w:t>地籍地政事务</w:t>
      </w:r>
      <w:r>
        <w:rPr>
          <w:rFonts w:hint="eastAsia" w:ascii="仿宋" w:hAnsi="仿宋" w:eastAsia="仿宋"/>
          <w:color w:val="auto"/>
          <w:kern w:val="0"/>
          <w:sz w:val="32"/>
          <w:szCs w:val="32"/>
          <w:highlight w:val="none"/>
        </w:rPr>
        <w:t>中心属于财政二级预算单位，在编人数</w:t>
      </w:r>
      <w:r>
        <w:rPr>
          <w:rFonts w:hint="eastAsia" w:ascii="仿宋" w:hAnsi="仿宋" w:eastAsia="仿宋"/>
          <w:color w:val="auto"/>
          <w:kern w:val="0"/>
          <w:sz w:val="32"/>
          <w:szCs w:val="32"/>
          <w:highlight w:val="none"/>
          <w:lang w:val="en-US" w:eastAsia="zh-CN"/>
        </w:rPr>
        <w:t>8</w:t>
      </w:r>
      <w:r>
        <w:rPr>
          <w:rFonts w:hint="eastAsia" w:ascii="仿宋" w:hAnsi="仿宋" w:eastAsia="仿宋"/>
          <w:color w:val="auto"/>
          <w:kern w:val="0"/>
          <w:sz w:val="32"/>
          <w:szCs w:val="32"/>
          <w:highlight w:val="none"/>
        </w:rPr>
        <w:t>人。</w:t>
      </w:r>
    </w:p>
    <w:p w14:paraId="30CC615A">
      <w:pPr>
        <w:widowControl/>
        <w:jc w:val="left"/>
        <w:rPr>
          <w:rFonts w:hint="eastAsia" w:ascii="仿宋" w:hAnsi="仿宋" w:eastAsia="仿宋"/>
          <w:color w:val="auto"/>
          <w:kern w:val="0"/>
          <w:sz w:val="32"/>
          <w:szCs w:val="32"/>
          <w:highlight w:val="none"/>
        </w:rPr>
      </w:pPr>
    </w:p>
    <w:p w14:paraId="6B180A72">
      <w:pPr>
        <w:widowControl/>
        <w:jc w:val="left"/>
        <w:rPr>
          <w:rFonts w:hint="eastAsia" w:ascii="仿宋" w:hAnsi="仿宋" w:eastAsia="仿宋"/>
          <w:color w:val="auto"/>
          <w:kern w:val="0"/>
          <w:sz w:val="32"/>
          <w:szCs w:val="32"/>
          <w:highlight w:val="none"/>
        </w:rPr>
      </w:pPr>
    </w:p>
    <w:p w14:paraId="2E975E0E">
      <w:pPr>
        <w:widowControl/>
        <w:jc w:val="left"/>
        <w:rPr>
          <w:rFonts w:hint="eastAsia" w:ascii="仿宋" w:hAnsi="仿宋" w:eastAsia="仿宋"/>
          <w:color w:val="auto"/>
          <w:kern w:val="0"/>
          <w:sz w:val="32"/>
          <w:szCs w:val="32"/>
          <w:highlight w:val="none"/>
        </w:rPr>
      </w:pPr>
    </w:p>
    <w:p w14:paraId="0D564C09">
      <w:pPr>
        <w:widowControl/>
        <w:jc w:val="left"/>
        <w:rPr>
          <w:rFonts w:hint="eastAsia" w:ascii="仿宋" w:hAnsi="仿宋" w:eastAsia="仿宋"/>
          <w:color w:val="auto"/>
          <w:kern w:val="0"/>
          <w:sz w:val="32"/>
          <w:szCs w:val="32"/>
          <w:highlight w:val="none"/>
        </w:rPr>
      </w:pPr>
    </w:p>
    <w:p w14:paraId="7802D85B">
      <w:pPr>
        <w:widowControl/>
        <w:jc w:val="left"/>
        <w:rPr>
          <w:rFonts w:hint="eastAsia" w:ascii="仿宋" w:hAnsi="仿宋" w:eastAsia="仿宋"/>
          <w:color w:val="auto"/>
          <w:kern w:val="0"/>
          <w:sz w:val="32"/>
          <w:szCs w:val="32"/>
          <w:highlight w:val="none"/>
        </w:rPr>
      </w:pPr>
    </w:p>
    <w:p w14:paraId="7CED1F47">
      <w:pPr>
        <w:widowControl/>
        <w:jc w:val="left"/>
        <w:rPr>
          <w:rFonts w:hint="eastAsia" w:ascii="仿宋" w:hAnsi="仿宋" w:eastAsia="仿宋"/>
          <w:color w:val="auto"/>
          <w:kern w:val="0"/>
          <w:sz w:val="32"/>
          <w:szCs w:val="32"/>
          <w:highlight w:val="none"/>
        </w:rPr>
      </w:pPr>
    </w:p>
    <w:p w14:paraId="6FCF91CA">
      <w:pPr>
        <w:widowControl/>
        <w:jc w:val="left"/>
        <w:rPr>
          <w:rFonts w:hint="eastAsia" w:ascii="仿宋" w:hAnsi="仿宋" w:eastAsia="仿宋"/>
          <w:color w:val="auto"/>
          <w:kern w:val="0"/>
          <w:sz w:val="32"/>
          <w:szCs w:val="32"/>
          <w:highlight w:val="none"/>
        </w:rPr>
      </w:pPr>
    </w:p>
    <w:p w14:paraId="3D971EE8">
      <w:pPr>
        <w:widowControl/>
        <w:jc w:val="left"/>
        <w:rPr>
          <w:rFonts w:hint="eastAsia" w:ascii="仿宋" w:hAnsi="仿宋" w:eastAsia="仿宋"/>
          <w:color w:val="auto"/>
          <w:kern w:val="0"/>
          <w:sz w:val="32"/>
          <w:szCs w:val="32"/>
          <w:highlight w:val="none"/>
        </w:rPr>
      </w:pPr>
    </w:p>
    <w:p w14:paraId="7F1927E8">
      <w:pPr>
        <w:widowControl/>
        <w:jc w:val="left"/>
        <w:rPr>
          <w:rFonts w:hint="eastAsia" w:ascii="仿宋" w:hAnsi="仿宋" w:eastAsia="仿宋"/>
          <w:color w:val="auto"/>
          <w:kern w:val="0"/>
          <w:sz w:val="32"/>
          <w:szCs w:val="32"/>
          <w:highlight w:val="none"/>
        </w:rPr>
      </w:pPr>
    </w:p>
    <w:p w14:paraId="6CF2DB7B">
      <w:pPr>
        <w:widowControl/>
        <w:jc w:val="left"/>
        <w:rPr>
          <w:rFonts w:hint="eastAsia" w:ascii="仿宋" w:hAnsi="仿宋" w:eastAsia="仿宋"/>
          <w:color w:val="auto"/>
          <w:kern w:val="0"/>
          <w:sz w:val="32"/>
          <w:szCs w:val="32"/>
          <w:highlight w:val="none"/>
        </w:rPr>
      </w:pPr>
    </w:p>
    <w:p w14:paraId="2044E366">
      <w:pPr>
        <w:pStyle w:val="2"/>
        <w:ind w:right="440"/>
        <w:jc w:val="center"/>
        <w:rPr>
          <w:color w:val="auto"/>
          <w:highlight w:val="none"/>
        </w:rPr>
      </w:pPr>
      <w:bookmarkStart w:id="21" w:name="_Toc15377204"/>
      <w:bookmarkStart w:id="22" w:name="_Toc15396602"/>
      <w:bookmarkStart w:id="23" w:name="_Toc16060"/>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1"/>
      <w:bookmarkEnd w:id="22"/>
      <w:bookmarkEnd w:id="23"/>
    </w:p>
    <w:p w14:paraId="031BCF19">
      <w:pPr>
        <w:pStyle w:val="23"/>
        <w:numPr>
          <w:ilvl w:val="0"/>
          <w:numId w:val="2"/>
        </w:numPr>
        <w:spacing w:line="600" w:lineRule="exact"/>
        <w:ind w:firstLineChars="0"/>
        <w:outlineLvl w:val="1"/>
        <w:rPr>
          <w:rStyle w:val="25"/>
          <w:rFonts w:ascii="黑体" w:hAnsi="黑体" w:eastAsia="黑体"/>
          <w:b w:val="0"/>
          <w:color w:val="auto"/>
          <w:highlight w:val="none"/>
        </w:rPr>
      </w:pPr>
      <w:bookmarkStart w:id="24" w:name="_Toc15396603"/>
      <w:bookmarkStart w:id="25" w:name="_Toc15377205"/>
      <w:bookmarkStart w:id="26" w:name="_Toc3102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4"/>
      <w:bookmarkEnd w:id="25"/>
      <w:bookmarkEnd w:id="26"/>
    </w:p>
    <w:p w14:paraId="652D7D58">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2022年度收、支总计582.22万元。与2021年相比，收、支总计各减少94.84万元，下降14%。主要变动原因是项目预算减少。</w:t>
      </w:r>
    </w:p>
    <w:p w14:paraId="210EC90A">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59264" behindDoc="0" locked="0" layoutInCell="1" allowOverlap="1">
            <wp:simplePos x="0" y="0"/>
            <wp:positionH relativeFrom="column">
              <wp:posOffset>213995</wp:posOffset>
            </wp:positionH>
            <wp:positionV relativeFrom="paragraph">
              <wp:posOffset>177165</wp:posOffset>
            </wp:positionV>
            <wp:extent cx="4706620" cy="2924175"/>
            <wp:effectExtent l="4445" t="4445" r="13335" b="50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39B89367">
      <w:pPr>
        <w:pStyle w:val="23"/>
        <w:numPr>
          <w:ilvl w:val="0"/>
          <w:numId w:val="2"/>
        </w:numPr>
        <w:spacing w:line="600" w:lineRule="exact"/>
        <w:ind w:firstLineChars="0"/>
        <w:outlineLvl w:val="1"/>
        <w:rPr>
          <w:rStyle w:val="25"/>
          <w:rFonts w:ascii="黑体" w:hAnsi="黑体" w:eastAsia="黑体"/>
          <w:b w:val="0"/>
          <w:color w:val="auto"/>
          <w:highlight w:val="none"/>
        </w:rPr>
      </w:pPr>
      <w:bookmarkStart w:id="27" w:name="_Toc3582"/>
      <w:bookmarkStart w:id="28" w:name="_Toc15396604"/>
      <w:bookmarkStart w:id="29"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7"/>
      <w:bookmarkEnd w:id="28"/>
      <w:bookmarkEnd w:id="29"/>
    </w:p>
    <w:p w14:paraId="1D745393">
      <w:pPr>
        <w:spacing w:line="600" w:lineRule="exact"/>
        <w:ind w:firstLine="640" w:firstLineChars="200"/>
        <w:outlineLvl w:val="1"/>
        <w:rPr>
          <w:rFonts w:hint="eastAsia" w:ascii="仿宋" w:hAnsi="仿宋" w:eastAsia="仿宋"/>
          <w:color w:val="auto"/>
          <w:sz w:val="32"/>
          <w:szCs w:val="32"/>
          <w:highlight w:val="none"/>
        </w:rPr>
      </w:pPr>
      <w:bookmarkStart w:id="30" w:name="_Toc17030"/>
      <w:r>
        <w:rPr>
          <w:rFonts w:hint="eastAsia" w:ascii="仿宋" w:hAnsi="仿宋" w:eastAsia="仿宋"/>
          <w:color w:val="auto"/>
          <w:sz w:val="32"/>
          <w:szCs w:val="32"/>
          <w:highlight w:val="none"/>
        </w:rPr>
        <w:t>2022年本年收入合计532.32万元，其中：一般公共预算财政拨款收入532.3万元，占99.99%；其他收入0.02万元，占0.01%。</w:t>
      </w:r>
      <w:bookmarkEnd w:id="30"/>
    </w:p>
    <w:p w14:paraId="14BC3D0B">
      <w:pPr>
        <w:spacing w:line="600" w:lineRule="exact"/>
        <w:ind w:firstLine="640" w:firstLineChars="200"/>
        <w:outlineLvl w:val="1"/>
        <w:rPr>
          <w:rFonts w:ascii="仿宋_GB2312" w:eastAsia="仿宋_GB2312"/>
          <w:color w:val="auto"/>
          <w:sz w:val="32"/>
          <w:szCs w:val="32"/>
          <w:highlight w:val="none"/>
        </w:rPr>
      </w:pPr>
      <w:bookmarkStart w:id="31" w:name="_Toc19905"/>
      <w:r>
        <w:rPr>
          <w:rFonts w:hint="eastAsia" w:hAnsi="仿宋"/>
          <w:color w:val="auto"/>
          <w:sz w:val="32"/>
          <w:szCs w:val="32"/>
        </w:rPr>
        <w:drawing>
          <wp:anchor distT="0" distB="0" distL="114300" distR="114300" simplePos="0" relativeHeight="251660288" behindDoc="0" locked="0" layoutInCell="1" allowOverlap="1">
            <wp:simplePos x="0" y="0"/>
            <wp:positionH relativeFrom="column">
              <wp:posOffset>325120</wp:posOffset>
            </wp:positionH>
            <wp:positionV relativeFrom="paragraph">
              <wp:posOffset>33020</wp:posOffset>
            </wp:positionV>
            <wp:extent cx="4547235" cy="2495550"/>
            <wp:effectExtent l="4445" t="4445" r="20320"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（图2：收入决算结构图）（饼状图）</w:t>
      </w:r>
      <w:bookmarkEnd w:id="31"/>
    </w:p>
    <w:p w14:paraId="215551AD">
      <w:pPr>
        <w:pStyle w:val="23"/>
        <w:numPr>
          <w:ilvl w:val="0"/>
          <w:numId w:val="2"/>
        </w:numPr>
        <w:spacing w:line="600" w:lineRule="exact"/>
        <w:ind w:firstLineChars="0"/>
        <w:outlineLvl w:val="1"/>
        <w:rPr>
          <w:rStyle w:val="25"/>
          <w:rFonts w:ascii="黑体" w:hAnsi="黑体" w:eastAsia="黑体"/>
          <w:b w:val="0"/>
          <w:color w:val="auto"/>
          <w:highlight w:val="none"/>
        </w:rPr>
      </w:pPr>
      <w:bookmarkStart w:id="32" w:name="_Toc27786"/>
      <w:bookmarkStart w:id="33" w:name="_Toc15377207"/>
      <w:bookmarkStart w:id="34"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32"/>
      <w:bookmarkEnd w:id="33"/>
      <w:bookmarkEnd w:id="34"/>
    </w:p>
    <w:p w14:paraId="1B6AF9EF">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2022年本年支出合计582.22万元，其中：基本支出152.33万元，占26.2%；项目支出429.88万元，占73.8%。</w:t>
      </w:r>
    </w:p>
    <w:p w14:paraId="6277A046">
      <w:pPr>
        <w:spacing w:line="600" w:lineRule="exact"/>
        <w:ind w:firstLine="640"/>
        <w:rPr>
          <w:rFonts w:ascii="仿宋_GB2312" w:eastAsia="仿宋_GB2312"/>
          <w:color w:val="auto"/>
          <w:sz w:val="32"/>
          <w:szCs w:val="32"/>
          <w:highlight w:val="none"/>
        </w:rPr>
      </w:pPr>
      <w:r>
        <w:rPr>
          <w:rFonts w:hint="eastAsia" w:hAnsi="仿宋"/>
          <w:color w:val="auto"/>
          <w:sz w:val="32"/>
          <w:szCs w:val="32"/>
          <w:shd w:val="pct10" w:color="auto" w:fill="FFFFFF"/>
        </w:rPr>
        <w:drawing>
          <wp:anchor distT="0" distB="0" distL="114300" distR="114300" simplePos="0" relativeHeight="251661312" behindDoc="0" locked="0" layoutInCell="1" allowOverlap="1">
            <wp:simplePos x="0" y="0"/>
            <wp:positionH relativeFrom="column">
              <wp:posOffset>277495</wp:posOffset>
            </wp:positionH>
            <wp:positionV relativeFrom="paragraph">
              <wp:posOffset>137795</wp:posOffset>
            </wp:positionV>
            <wp:extent cx="4906645" cy="2644775"/>
            <wp:effectExtent l="4445" t="4445" r="22860" b="177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（图3：支出决算结构图）（饼状图）</w:t>
      </w:r>
    </w:p>
    <w:p w14:paraId="452B65B3">
      <w:pPr>
        <w:spacing w:line="600" w:lineRule="exact"/>
        <w:ind w:firstLine="640" w:firstLineChars="200"/>
        <w:outlineLvl w:val="1"/>
        <w:rPr>
          <w:rStyle w:val="25"/>
          <w:rFonts w:ascii="黑体" w:hAnsi="黑体" w:eastAsia="黑体"/>
          <w:b w:val="0"/>
          <w:color w:val="auto"/>
          <w:highlight w:val="none"/>
        </w:rPr>
      </w:pPr>
      <w:bookmarkStart w:id="35" w:name="_Toc15396606"/>
      <w:bookmarkStart w:id="36" w:name="_Toc24048"/>
      <w:bookmarkStart w:id="37"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35"/>
      <w:bookmarkEnd w:id="36"/>
      <w:bookmarkEnd w:id="37"/>
    </w:p>
    <w:p w14:paraId="2209FC83">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2022年财政拨款收、支总计582.2万元。与2021年相</w:t>
      </w:r>
    </w:p>
    <w:p w14:paraId="6AE5917C">
      <w:pPr>
        <w:bidi w:val="0"/>
        <w:jc w:val="left"/>
        <w:rPr>
          <w:rFonts w:hint="eastAsia" w:ascii="仿宋" w:hAnsi="仿宋" w:eastAsia="仿宋"/>
          <w:color w:val="auto"/>
          <w:sz w:val="32"/>
          <w:szCs w:val="32"/>
          <w:highlight w:val="none"/>
        </w:rPr>
      </w:pPr>
      <w:r>
        <w:rPr>
          <w:rFonts w:hint="eastAsia" w:hAnsi="仿宋"/>
          <w:color w:val="auto"/>
          <w:sz w:val="32"/>
          <w:szCs w:val="32"/>
        </w:rPr>
        <w:drawing>
          <wp:anchor distT="0" distB="0" distL="114300" distR="114300" simplePos="0" relativeHeight="251662336" behindDoc="0" locked="0" layoutInCell="1" allowOverlap="1">
            <wp:simplePos x="0" y="0"/>
            <wp:positionH relativeFrom="column">
              <wp:posOffset>125095</wp:posOffset>
            </wp:positionH>
            <wp:positionV relativeFrom="paragraph">
              <wp:posOffset>1033145</wp:posOffset>
            </wp:positionV>
            <wp:extent cx="5218430" cy="2578735"/>
            <wp:effectExtent l="4445" t="4445" r="15875" b="762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比，收、支总计各减少94.84万元，下降14%。主要变动原因是项目预算减少。</w:t>
      </w:r>
    </w:p>
    <w:p w14:paraId="30BF3E55">
      <w:pPr>
        <w:spacing w:line="600" w:lineRule="exact"/>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0AAE08CF">
      <w:pPr>
        <w:spacing w:line="600" w:lineRule="exact"/>
        <w:ind w:firstLine="640" w:firstLineChars="200"/>
        <w:outlineLvl w:val="1"/>
        <w:rPr>
          <w:rStyle w:val="25"/>
          <w:rFonts w:ascii="黑体" w:hAnsi="黑体" w:eastAsia="黑体"/>
          <w:b w:val="0"/>
          <w:color w:val="auto"/>
          <w:highlight w:val="none"/>
        </w:rPr>
      </w:pPr>
      <w:bookmarkStart w:id="38" w:name="_Toc15396607"/>
      <w:bookmarkStart w:id="39" w:name="_Toc15377209"/>
      <w:bookmarkStart w:id="40" w:name="_Toc13034"/>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38"/>
      <w:bookmarkEnd w:id="39"/>
      <w:bookmarkEnd w:id="40"/>
    </w:p>
    <w:p w14:paraId="33426B5A">
      <w:pPr>
        <w:spacing w:line="6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（一）一般公共预算财政拨款支出决算总体情况</w:t>
      </w:r>
    </w:p>
    <w:p w14:paraId="4EAD1608">
      <w:pPr>
        <w:spacing w:line="600" w:lineRule="exact"/>
        <w:ind w:firstLine="640" w:firstLineChars="200"/>
        <w:rPr>
          <w:rFonts w:hint="eastAsia" w:ascii="仿宋" w:hAnsi="仿宋" w:eastAsia="仿宋"/>
          <w:b w:val="0"/>
          <w:bCs/>
          <w:color w:val="auto"/>
          <w:sz w:val="32"/>
          <w:szCs w:val="32"/>
          <w:highlight w:val="none"/>
        </w:rPr>
      </w:pPr>
      <w:r>
        <w:rPr>
          <w:rFonts w:hint="eastAsia" w:hAnsi="仿宋"/>
          <w:color w:val="auto"/>
          <w:sz w:val="32"/>
          <w:szCs w:val="32"/>
        </w:rPr>
        <w:drawing>
          <wp:anchor distT="0" distB="0" distL="114300" distR="114300" simplePos="0" relativeHeight="251663360" behindDoc="0" locked="0" layoutInCell="1" allowOverlap="1">
            <wp:simplePos x="0" y="0"/>
            <wp:positionH relativeFrom="column">
              <wp:posOffset>29845</wp:posOffset>
            </wp:positionH>
            <wp:positionV relativeFrom="paragraph">
              <wp:posOffset>1541145</wp:posOffset>
            </wp:positionV>
            <wp:extent cx="5501640" cy="2531110"/>
            <wp:effectExtent l="4445" t="4445" r="18415" b="1714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val="0"/>
          <w:bCs/>
          <w:color w:val="auto"/>
          <w:sz w:val="32"/>
          <w:szCs w:val="32"/>
          <w:highlight w:val="none"/>
        </w:rPr>
        <w:t>2022年一般公共预算财政拨款支出582.2万元，占本年支出合计的100%。与2021年相比，一般公共预算财政拨款支出减少43.94万元，下降7.02%。主要变动原因是项目支出经费减少。</w:t>
      </w:r>
    </w:p>
    <w:p w14:paraId="7D33E22B">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14:paraId="1DC86655">
      <w:pPr>
        <w:spacing w:line="600" w:lineRule="exact"/>
        <w:ind w:firstLine="643" w:firstLineChars="200"/>
        <w:outlineLvl w:val="2"/>
        <w:rPr>
          <w:rFonts w:ascii="仿宋" w:hAnsi="仿宋" w:eastAsia="仿宋"/>
          <w:b/>
          <w:color w:val="auto"/>
          <w:sz w:val="32"/>
          <w:szCs w:val="32"/>
          <w:highlight w:val="none"/>
        </w:rPr>
      </w:pPr>
      <w:bookmarkStart w:id="41" w:name="_Toc15377211"/>
      <w:r>
        <w:rPr>
          <w:rFonts w:hint="eastAsia" w:ascii="仿宋" w:hAnsi="仿宋" w:eastAsia="仿宋"/>
          <w:b/>
          <w:color w:val="auto"/>
          <w:sz w:val="32"/>
          <w:szCs w:val="32"/>
          <w:highlight w:val="none"/>
        </w:rPr>
        <w:t>（二）一般公共预算财政拨款支出决算结构情况</w:t>
      </w:r>
      <w:bookmarkEnd w:id="41"/>
    </w:p>
    <w:p w14:paraId="42AE926B">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2022年一般公共预算财政拨款支出582.2万元，主要用于以下方面:社会保障和就业（类）支出16.1万元，占2.77%；卫生健康支出4.49万元，占0.77%；自然资源海洋气象等支出551.8万元，占94.78%；住房保障支出9.81万元，占1.68%。 </w:t>
      </w:r>
    </w:p>
    <w:p w14:paraId="41558100">
      <w:pPr>
        <w:spacing w:line="600" w:lineRule="exact"/>
        <w:ind w:firstLine="640"/>
        <w:rPr>
          <w:rFonts w:ascii="仿宋" w:hAnsi="仿宋" w:eastAsia="仿宋"/>
          <w:color w:val="auto"/>
          <w:sz w:val="32"/>
          <w:szCs w:val="32"/>
          <w:highlight w:val="none"/>
        </w:rPr>
      </w:pPr>
      <w:r>
        <w:rPr>
          <w:rFonts w:hint="eastAsia" w:hAnsi="仿宋"/>
          <w:color w:val="auto"/>
          <w:sz w:val="32"/>
          <w:szCs w:val="32"/>
        </w:rPr>
        <w:drawing>
          <wp:anchor distT="0" distB="0" distL="114300" distR="114300" simplePos="0" relativeHeight="251664384" behindDoc="0" locked="0" layoutInCell="1" allowOverlap="1">
            <wp:simplePos x="0" y="0"/>
            <wp:positionH relativeFrom="column">
              <wp:posOffset>334645</wp:posOffset>
            </wp:positionH>
            <wp:positionV relativeFrom="paragraph">
              <wp:posOffset>118745</wp:posOffset>
            </wp:positionV>
            <wp:extent cx="4741545" cy="2798445"/>
            <wp:effectExtent l="4445" t="4445" r="16510" b="1651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（图6：一般公共预算财政拨款支出决算结构）（饼状图）</w:t>
      </w:r>
    </w:p>
    <w:p w14:paraId="5131C4E3">
      <w:pPr>
        <w:spacing w:line="600" w:lineRule="exact"/>
        <w:ind w:firstLine="643" w:firstLineChars="200"/>
        <w:outlineLvl w:val="2"/>
        <w:rPr>
          <w:rFonts w:ascii="仿宋" w:hAnsi="仿宋" w:eastAsia="仿宋"/>
          <w:b/>
          <w:color w:val="auto"/>
          <w:sz w:val="32"/>
          <w:szCs w:val="32"/>
          <w:highlight w:val="none"/>
        </w:rPr>
      </w:pPr>
      <w:bookmarkStart w:id="42" w:name="_Toc15377212"/>
      <w:r>
        <w:rPr>
          <w:rFonts w:hint="eastAsia" w:ascii="仿宋" w:hAnsi="仿宋" w:eastAsia="仿宋"/>
          <w:b/>
          <w:color w:val="auto"/>
          <w:sz w:val="32"/>
          <w:szCs w:val="32"/>
          <w:highlight w:val="none"/>
        </w:rPr>
        <w:t>（三）一般公共预算财政拨款支出决算具体情况</w:t>
      </w:r>
      <w:bookmarkEnd w:id="42"/>
    </w:p>
    <w:p w14:paraId="6D2D455D">
      <w:pPr>
        <w:spacing w:line="600" w:lineRule="exact"/>
        <w:ind w:firstLine="643" w:firstLineChars="200"/>
        <w:outlineLvl w:val="1"/>
        <w:rPr>
          <w:rFonts w:ascii="仿宋" w:hAnsi="仿宋" w:eastAsia="仿宋"/>
          <w:color w:val="auto"/>
          <w:sz w:val="32"/>
          <w:szCs w:val="32"/>
          <w:highlight w:val="none"/>
        </w:rPr>
      </w:pPr>
      <w:bookmarkStart w:id="43" w:name="_Toc16685"/>
      <w:bookmarkStart w:id="44" w:name="_Toc15377213"/>
      <w:bookmarkStart w:id="45" w:name="_Toc15377444"/>
      <w:bookmarkStart w:id="46"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rPr>
        <w:t>582.2</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43"/>
      <w:bookmarkEnd w:id="44"/>
      <w:bookmarkEnd w:id="45"/>
      <w:bookmarkEnd w:id="46"/>
    </w:p>
    <w:p w14:paraId="6E4C607F">
      <w:pPr>
        <w:tabs>
          <w:tab w:val="right" w:pos="8306"/>
        </w:tabs>
        <w:spacing w:line="600" w:lineRule="exact"/>
        <w:ind w:firstLine="640"/>
        <w:outlineLvl w:val="1"/>
        <w:rPr>
          <w:rStyle w:val="14"/>
          <w:rFonts w:hint="eastAsia" w:ascii="仿宋" w:hAnsi="仿宋" w:eastAsia="仿宋"/>
          <w:bCs/>
          <w:color w:val="auto"/>
          <w:sz w:val="32"/>
          <w:szCs w:val="32"/>
          <w:highlight w:val="none"/>
        </w:rPr>
      </w:pPr>
      <w:bookmarkStart w:id="47" w:name="_Toc5312"/>
      <w:bookmarkStart w:id="48" w:name="_Toc15396608"/>
      <w:bookmarkStart w:id="49" w:name="_Toc15377214"/>
      <w:r>
        <w:rPr>
          <w:rStyle w:val="14"/>
          <w:rFonts w:hint="eastAsia" w:ascii="仿宋" w:hAnsi="仿宋" w:eastAsia="仿宋"/>
          <w:bCs/>
          <w:color w:val="auto"/>
          <w:sz w:val="32"/>
          <w:szCs w:val="32"/>
          <w:highlight w:val="none"/>
        </w:rPr>
        <w:t>1.社会保障和就业（类）行政事业单位养老支出（款）机关事业单位基本养老保险缴费支出（项）:</w:t>
      </w:r>
      <w:r>
        <w:rPr>
          <w:rStyle w:val="14"/>
          <w:rFonts w:hint="eastAsia" w:ascii="仿宋" w:hAnsi="仿宋" w:eastAsia="仿宋"/>
          <w:b w:val="0"/>
          <w:bCs w:val="0"/>
          <w:color w:val="auto"/>
          <w:sz w:val="32"/>
          <w:szCs w:val="32"/>
          <w:highlight w:val="none"/>
        </w:rPr>
        <w:t>支出决算为8.99万元，完成预算100%，决算数与预算数基本持平。</w:t>
      </w:r>
      <w:bookmarkEnd w:id="47"/>
    </w:p>
    <w:p w14:paraId="380F043D">
      <w:pPr>
        <w:tabs>
          <w:tab w:val="right" w:pos="8306"/>
        </w:tabs>
        <w:spacing w:line="600" w:lineRule="exact"/>
        <w:ind w:firstLine="640"/>
        <w:outlineLvl w:val="1"/>
        <w:rPr>
          <w:rStyle w:val="14"/>
          <w:rFonts w:hint="eastAsia" w:ascii="仿宋" w:hAnsi="仿宋" w:eastAsia="仿宋" w:cstheme="minorBidi"/>
          <w:b w:val="0"/>
          <w:bCs w:val="0"/>
          <w:color w:val="auto"/>
          <w:sz w:val="32"/>
          <w:szCs w:val="32"/>
          <w:highlight w:val="none"/>
        </w:rPr>
      </w:pPr>
      <w:bookmarkStart w:id="50" w:name="_Toc27933"/>
      <w:r>
        <w:rPr>
          <w:rStyle w:val="14"/>
          <w:rFonts w:hint="eastAsia" w:ascii="仿宋" w:hAnsi="仿宋" w:eastAsia="仿宋"/>
          <w:bCs/>
          <w:color w:val="auto"/>
          <w:sz w:val="32"/>
          <w:szCs w:val="32"/>
          <w:highlight w:val="none"/>
        </w:rPr>
        <w:t>2.社会保障和就业（类）行政事业单位养老支出（款）机关事业单位职业年金缴费支出（项）:</w:t>
      </w:r>
      <w:r>
        <w:rPr>
          <w:rStyle w:val="14"/>
          <w:rFonts w:hint="eastAsia" w:ascii="仿宋" w:hAnsi="仿宋" w:eastAsia="仿宋" w:cstheme="minorBidi"/>
          <w:b w:val="0"/>
          <w:bCs w:val="0"/>
          <w:color w:val="auto"/>
          <w:sz w:val="32"/>
          <w:szCs w:val="32"/>
          <w:highlight w:val="none"/>
        </w:rPr>
        <w:t>支出决算为7.11万元，完成预算100%，决算数与预算数基本持平。</w:t>
      </w:r>
      <w:bookmarkEnd w:id="50"/>
    </w:p>
    <w:p w14:paraId="262C4273">
      <w:pPr>
        <w:tabs>
          <w:tab w:val="right" w:pos="8306"/>
        </w:tabs>
        <w:spacing w:line="600" w:lineRule="exact"/>
        <w:ind w:firstLine="640"/>
        <w:outlineLvl w:val="1"/>
        <w:rPr>
          <w:rStyle w:val="14"/>
          <w:rFonts w:hint="eastAsia" w:ascii="仿宋" w:hAnsi="仿宋" w:eastAsia="仿宋"/>
          <w:bCs/>
          <w:color w:val="auto"/>
          <w:sz w:val="32"/>
          <w:szCs w:val="32"/>
          <w:highlight w:val="none"/>
        </w:rPr>
      </w:pPr>
      <w:bookmarkStart w:id="51" w:name="_Toc16435"/>
      <w:r>
        <w:rPr>
          <w:rStyle w:val="14"/>
          <w:rFonts w:hint="eastAsia" w:ascii="仿宋" w:hAnsi="仿宋" w:eastAsia="仿宋"/>
          <w:bCs/>
          <w:color w:val="auto"/>
          <w:sz w:val="32"/>
          <w:szCs w:val="32"/>
          <w:highlight w:val="none"/>
        </w:rPr>
        <w:t>3.卫生健康（类）行政事业单位医疗（款）事业单位医疗（项）:</w:t>
      </w:r>
      <w:r>
        <w:rPr>
          <w:rStyle w:val="14"/>
          <w:rFonts w:hint="eastAsia" w:ascii="仿宋" w:hAnsi="仿宋" w:eastAsia="仿宋" w:cstheme="minorBidi"/>
          <w:b w:val="0"/>
          <w:bCs w:val="0"/>
          <w:color w:val="auto"/>
          <w:sz w:val="32"/>
          <w:szCs w:val="32"/>
          <w:highlight w:val="none"/>
        </w:rPr>
        <w:t>支出决算为4.49万元，完成预算100%，决算数与预算数持平。</w:t>
      </w:r>
      <w:bookmarkEnd w:id="51"/>
    </w:p>
    <w:p w14:paraId="01E31CC8">
      <w:pPr>
        <w:tabs>
          <w:tab w:val="right" w:pos="8306"/>
        </w:tabs>
        <w:spacing w:line="600" w:lineRule="exact"/>
        <w:ind w:firstLine="640"/>
        <w:outlineLvl w:val="1"/>
        <w:rPr>
          <w:rStyle w:val="14"/>
          <w:rFonts w:hint="eastAsia" w:ascii="仿宋" w:hAnsi="仿宋" w:eastAsia="仿宋"/>
          <w:bCs/>
          <w:color w:val="auto"/>
          <w:sz w:val="32"/>
          <w:szCs w:val="32"/>
          <w:highlight w:val="none"/>
        </w:rPr>
      </w:pPr>
      <w:bookmarkStart w:id="52" w:name="_Toc29214"/>
      <w:r>
        <w:rPr>
          <w:rStyle w:val="14"/>
          <w:rFonts w:hint="eastAsia" w:ascii="仿宋" w:hAnsi="仿宋" w:eastAsia="仿宋"/>
          <w:bCs/>
          <w:color w:val="auto"/>
          <w:sz w:val="32"/>
          <w:szCs w:val="32"/>
          <w:highlight w:val="none"/>
        </w:rPr>
        <w:t>4.自然资源海洋气象等支出（类）自然资源事务（款）事业运行(项）：</w:t>
      </w:r>
      <w:r>
        <w:rPr>
          <w:rStyle w:val="14"/>
          <w:rFonts w:hint="eastAsia" w:ascii="仿宋" w:hAnsi="仿宋" w:eastAsia="仿宋" w:cstheme="minorBidi"/>
          <w:b w:val="0"/>
          <w:bCs w:val="0"/>
          <w:color w:val="auto"/>
          <w:sz w:val="32"/>
          <w:szCs w:val="32"/>
          <w:highlight w:val="none"/>
        </w:rPr>
        <w:t>支出决算为121.92万元，完成预算100%，决算数与预算数持平。</w:t>
      </w:r>
      <w:bookmarkEnd w:id="52"/>
    </w:p>
    <w:p w14:paraId="738E35D6">
      <w:pPr>
        <w:tabs>
          <w:tab w:val="right" w:pos="8306"/>
        </w:tabs>
        <w:spacing w:line="600" w:lineRule="exact"/>
        <w:ind w:firstLine="640"/>
        <w:outlineLvl w:val="1"/>
        <w:rPr>
          <w:rStyle w:val="14"/>
          <w:rFonts w:hint="eastAsia" w:ascii="仿宋" w:hAnsi="仿宋" w:eastAsia="仿宋"/>
          <w:bCs/>
          <w:color w:val="auto"/>
          <w:sz w:val="32"/>
          <w:szCs w:val="32"/>
          <w:highlight w:val="none"/>
        </w:rPr>
      </w:pPr>
      <w:bookmarkStart w:id="53" w:name="_Toc23498"/>
      <w:r>
        <w:rPr>
          <w:rStyle w:val="14"/>
          <w:rFonts w:hint="eastAsia" w:ascii="仿宋" w:hAnsi="仿宋" w:eastAsia="仿宋"/>
          <w:bCs/>
          <w:color w:val="auto"/>
          <w:sz w:val="32"/>
          <w:szCs w:val="32"/>
          <w:highlight w:val="none"/>
        </w:rPr>
        <w:t>5.自然资源海洋气象等支出（类）自然资源事务（款）其他自然资源事务（项）：</w:t>
      </w:r>
      <w:r>
        <w:rPr>
          <w:rStyle w:val="14"/>
          <w:rFonts w:hint="eastAsia" w:ascii="仿宋" w:hAnsi="仿宋" w:eastAsia="仿宋" w:cstheme="minorBidi"/>
          <w:b w:val="0"/>
          <w:bCs w:val="0"/>
          <w:color w:val="auto"/>
          <w:sz w:val="32"/>
          <w:szCs w:val="32"/>
          <w:highlight w:val="none"/>
        </w:rPr>
        <w:t>支出决算数429.88万元，完成预算100%，决算数与预算数持平。</w:t>
      </w:r>
      <w:bookmarkEnd w:id="53"/>
    </w:p>
    <w:p w14:paraId="72E181E3">
      <w:pPr>
        <w:tabs>
          <w:tab w:val="right" w:pos="8306"/>
        </w:tabs>
        <w:spacing w:line="600" w:lineRule="exact"/>
        <w:ind w:firstLine="640"/>
        <w:outlineLvl w:val="1"/>
        <w:rPr>
          <w:rStyle w:val="14"/>
          <w:rFonts w:hint="eastAsia" w:ascii="仿宋" w:hAnsi="仿宋" w:eastAsia="仿宋" w:cstheme="minorBidi"/>
          <w:b w:val="0"/>
          <w:bCs w:val="0"/>
          <w:color w:val="auto"/>
          <w:sz w:val="32"/>
          <w:szCs w:val="32"/>
          <w:highlight w:val="none"/>
        </w:rPr>
      </w:pPr>
      <w:bookmarkStart w:id="54" w:name="_Toc23980"/>
      <w:r>
        <w:rPr>
          <w:rStyle w:val="14"/>
          <w:rFonts w:hint="eastAsia" w:ascii="仿宋" w:hAnsi="仿宋" w:eastAsia="仿宋"/>
          <w:bCs/>
          <w:color w:val="auto"/>
          <w:sz w:val="32"/>
          <w:szCs w:val="32"/>
          <w:highlight w:val="none"/>
        </w:rPr>
        <w:t>6.住房保障（类）住房改革（款）住房公积金（项）:</w:t>
      </w:r>
      <w:r>
        <w:rPr>
          <w:rStyle w:val="14"/>
          <w:rFonts w:hint="eastAsia" w:ascii="仿宋" w:hAnsi="仿宋" w:eastAsia="仿宋" w:cstheme="minorBidi"/>
          <w:b w:val="0"/>
          <w:bCs w:val="0"/>
          <w:color w:val="auto"/>
          <w:sz w:val="32"/>
          <w:szCs w:val="32"/>
          <w:highlight w:val="none"/>
        </w:rPr>
        <w:t>支出决算为9.81万元，完成预算100%，决算数与预算数基本持平。</w:t>
      </w:r>
      <w:bookmarkEnd w:id="54"/>
    </w:p>
    <w:p w14:paraId="71F2EF4A">
      <w:pPr>
        <w:tabs>
          <w:tab w:val="right" w:pos="8306"/>
        </w:tabs>
        <w:spacing w:line="600" w:lineRule="exact"/>
        <w:ind w:firstLine="640"/>
        <w:outlineLvl w:val="1"/>
        <w:rPr>
          <w:rStyle w:val="25"/>
          <w:color w:val="auto"/>
          <w:highlight w:val="none"/>
        </w:rPr>
      </w:pPr>
      <w:bookmarkStart w:id="55" w:name="_Toc9152"/>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48"/>
      <w:bookmarkEnd w:id="49"/>
      <w:bookmarkEnd w:id="55"/>
      <w:r>
        <w:rPr>
          <w:rStyle w:val="25"/>
          <w:rFonts w:ascii="黑体" w:hAnsi="黑体" w:eastAsia="黑体"/>
          <w:b w:val="0"/>
          <w:color w:val="auto"/>
          <w:highlight w:val="none"/>
        </w:rPr>
        <w:tab/>
      </w:r>
    </w:p>
    <w:p w14:paraId="17C7E380">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2022年一般公共预算财政拨款基本支出152.32万元，其中：</w:t>
      </w:r>
    </w:p>
    <w:p w14:paraId="4FDA69EA">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141.79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3DFF48FF">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公用经费10.53万元，主要包括：办公费、电费、差旅费、租赁费、公务接待费、委托业务费、工会经费、公务用车运行维护费。</w:t>
      </w:r>
    </w:p>
    <w:p w14:paraId="626AD8B4">
      <w:pPr>
        <w:spacing w:line="600" w:lineRule="exact"/>
        <w:ind w:firstLine="640"/>
        <w:outlineLvl w:val="1"/>
        <w:rPr>
          <w:rStyle w:val="25"/>
          <w:rFonts w:ascii="黑体" w:hAnsi="黑体" w:eastAsia="黑体"/>
          <w:b w:val="0"/>
          <w:color w:val="auto"/>
          <w:highlight w:val="none"/>
        </w:rPr>
      </w:pPr>
      <w:bookmarkStart w:id="56" w:name="_Toc5382"/>
      <w:bookmarkStart w:id="57" w:name="_Toc15377215"/>
      <w:bookmarkStart w:id="58" w:name="_Toc15396609"/>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56"/>
      <w:bookmarkEnd w:id="57"/>
      <w:bookmarkEnd w:id="58"/>
    </w:p>
    <w:p w14:paraId="6A26E74D">
      <w:pPr>
        <w:spacing w:line="600" w:lineRule="exact"/>
        <w:ind w:firstLine="640"/>
        <w:outlineLvl w:val="2"/>
        <w:rPr>
          <w:rFonts w:ascii="仿宋" w:hAnsi="仿宋" w:eastAsia="仿宋"/>
          <w:b/>
          <w:sz w:val="32"/>
          <w:szCs w:val="32"/>
        </w:rPr>
      </w:pPr>
      <w:bookmarkStart w:id="59" w:name="_Toc120697369"/>
      <w:bookmarkStart w:id="60" w:name="_Toc15377216"/>
      <w:bookmarkStart w:id="61" w:name="_Toc28041"/>
      <w:r>
        <w:rPr>
          <w:rFonts w:hint="eastAsia" w:ascii="仿宋" w:hAnsi="仿宋" w:eastAsia="仿宋"/>
          <w:b/>
          <w:sz w:val="32"/>
          <w:szCs w:val="32"/>
        </w:rPr>
        <w:t>（一）“三公”经费财政拨款支出决算总体情况说明</w:t>
      </w:r>
      <w:bookmarkEnd w:id="59"/>
      <w:bookmarkEnd w:id="60"/>
      <w:bookmarkEnd w:id="61"/>
    </w:p>
    <w:p w14:paraId="7D639829">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14.43</w:t>
      </w:r>
      <w:r>
        <w:rPr>
          <w:rFonts w:hint="eastAsia" w:ascii="仿宋" w:hAnsi="仿宋" w:eastAsia="仿宋"/>
          <w:sz w:val="32"/>
          <w:szCs w:val="32"/>
        </w:rPr>
        <w:t>万元，完成预算</w:t>
      </w:r>
      <w:r>
        <w:rPr>
          <w:rFonts w:hint="eastAsia" w:ascii="仿宋" w:hAnsi="仿宋" w:eastAsia="仿宋"/>
          <w:sz w:val="32"/>
          <w:szCs w:val="32"/>
          <w:lang w:val="en-US" w:eastAsia="zh-CN"/>
        </w:rPr>
        <w:t>72.15</w:t>
      </w:r>
      <w:r>
        <w:rPr>
          <w:rFonts w:ascii="仿宋" w:hAnsi="仿宋" w:eastAsia="仿宋"/>
          <w:sz w:val="32"/>
          <w:szCs w:val="32"/>
        </w:rPr>
        <w:t>%</w:t>
      </w:r>
      <w:r>
        <w:rPr>
          <w:rFonts w:hint="eastAsia" w:ascii="仿宋" w:hAnsi="仿宋" w:eastAsia="仿宋"/>
          <w:sz w:val="32"/>
          <w:szCs w:val="32"/>
          <w:highlight w:val="none"/>
        </w:rPr>
        <w:t>，</w:t>
      </w:r>
      <w:r>
        <w:rPr>
          <w:rFonts w:ascii="仿宋" w:hAnsi="仿宋" w:eastAsia="仿宋" w:cs="仿宋"/>
          <w:i w:val="0"/>
          <w:iCs w:val="0"/>
          <w:caps w:val="0"/>
          <w:color w:val="000000"/>
          <w:spacing w:val="0"/>
          <w:kern w:val="0"/>
          <w:sz w:val="32"/>
          <w:szCs w:val="32"/>
          <w:highlight w:val="none"/>
          <w:lang w:val="en-US" w:eastAsia="zh-CN" w:bidi="ar"/>
        </w:rPr>
        <w:t>较上年</w:t>
      </w:r>
      <w:r>
        <w:rPr>
          <w:rFonts w:hint="eastAsia" w:ascii="仿宋" w:hAnsi="仿宋" w:eastAsia="仿宋" w:cs="仿宋"/>
          <w:i w:val="0"/>
          <w:iCs w:val="0"/>
          <w:caps w:val="0"/>
          <w:color w:val="000000"/>
          <w:spacing w:val="0"/>
          <w:kern w:val="0"/>
          <w:sz w:val="32"/>
          <w:szCs w:val="32"/>
          <w:highlight w:val="none"/>
          <w:lang w:val="en-US" w:eastAsia="zh-CN" w:bidi="ar"/>
        </w:rPr>
        <w:t>增加4.43</w:t>
      </w:r>
      <w:r>
        <w:rPr>
          <w:rFonts w:hint="default" w:ascii="仿宋" w:hAnsi="仿宋" w:eastAsia="仿宋" w:cs="仿宋"/>
          <w:i w:val="0"/>
          <w:iCs w:val="0"/>
          <w:caps w:val="0"/>
          <w:color w:val="000000"/>
          <w:spacing w:val="0"/>
          <w:kern w:val="0"/>
          <w:sz w:val="32"/>
          <w:szCs w:val="32"/>
          <w:highlight w:val="none"/>
          <w:lang w:val="en-US" w:eastAsia="zh-CN" w:bidi="ar"/>
        </w:rPr>
        <w:t>万元，</w:t>
      </w:r>
      <w:r>
        <w:rPr>
          <w:rFonts w:hint="eastAsia" w:ascii="仿宋" w:hAnsi="仿宋" w:eastAsia="仿宋" w:cs="仿宋"/>
          <w:i w:val="0"/>
          <w:iCs w:val="0"/>
          <w:caps w:val="0"/>
          <w:color w:val="000000"/>
          <w:spacing w:val="0"/>
          <w:kern w:val="0"/>
          <w:sz w:val="32"/>
          <w:szCs w:val="32"/>
          <w:highlight w:val="none"/>
          <w:lang w:val="en-US" w:eastAsia="zh-CN" w:bidi="ar"/>
        </w:rPr>
        <w:t>增长44.3</w:t>
      </w:r>
      <w:r>
        <w:rPr>
          <w:rFonts w:hint="default" w:ascii="仿宋" w:hAnsi="仿宋" w:eastAsia="仿宋" w:cs="仿宋"/>
          <w:i w:val="0"/>
          <w:iCs w:val="0"/>
          <w:caps w:val="0"/>
          <w:color w:val="000000"/>
          <w:spacing w:val="0"/>
          <w:kern w:val="0"/>
          <w:sz w:val="32"/>
          <w:szCs w:val="32"/>
          <w:highlight w:val="none"/>
          <w:lang w:val="en-US" w:eastAsia="zh-CN" w:bidi="ar"/>
        </w:rPr>
        <w:t>%。</w:t>
      </w:r>
      <w:r>
        <w:rPr>
          <w:rFonts w:hint="eastAsia" w:ascii="仿宋" w:hAnsi="仿宋" w:eastAsia="仿宋"/>
          <w:sz w:val="32"/>
          <w:szCs w:val="32"/>
        </w:rPr>
        <w:t>决算数小于预算数的主要原因是</w:t>
      </w:r>
      <w:r>
        <w:rPr>
          <w:rFonts w:hint="eastAsia" w:ascii="仿宋_GB2312" w:hAnsi="仿宋_GB2312" w:eastAsia="仿宋_GB2312" w:cs="仿宋_GB2312"/>
          <w:sz w:val="32"/>
          <w:szCs w:val="32"/>
        </w:rPr>
        <w:t>严格控制经费，压缩各项开支。</w:t>
      </w:r>
    </w:p>
    <w:p w14:paraId="087BC942">
      <w:pPr>
        <w:spacing w:line="600" w:lineRule="exact"/>
        <w:ind w:firstLine="640"/>
        <w:outlineLvl w:val="2"/>
        <w:rPr>
          <w:rFonts w:ascii="仿宋" w:hAnsi="仿宋" w:eastAsia="仿宋"/>
          <w:b/>
          <w:sz w:val="32"/>
          <w:szCs w:val="32"/>
        </w:rPr>
      </w:pPr>
      <w:bookmarkStart w:id="62" w:name="_Toc15377217"/>
      <w:bookmarkStart w:id="63" w:name="_Toc120697370"/>
      <w:bookmarkStart w:id="64" w:name="_Toc23807"/>
      <w:r>
        <w:rPr>
          <w:rFonts w:hint="eastAsia" w:ascii="仿宋" w:hAnsi="仿宋" w:eastAsia="仿宋"/>
          <w:b/>
          <w:sz w:val="32"/>
          <w:szCs w:val="32"/>
        </w:rPr>
        <w:t>（二）“三公”经费财政拨款支出决算具体情况说明</w:t>
      </w:r>
      <w:bookmarkEnd w:id="62"/>
      <w:bookmarkEnd w:id="63"/>
      <w:bookmarkEnd w:id="64"/>
    </w:p>
    <w:p w14:paraId="2B474B35">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年“三公”经费财政拨款支出决算中，因公出国（境）费支出决算0万元，年初未安排预算；公务用车购置及运行维护费支出决算</w:t>
      </w:r>
      <w:r>
        <w:rPr>
          <w:rFonts w:hint="eastAsia" w:ascii="仿宋" w:hAnsi="仿宋" w:eastAsia="仿宋"/>
          <w:sz w:val="32"/>
          <w:szCs w:val="32"/>
          <w:lang w:val="en-US" w:eastAsia="zh-CN"/>
        </w:rPr>
        <w:t>14.02</w:t>
      </w:r>
      <w:r>
        <w:rPr>
          <w:rFonts w:hint="eastAsia" w:ascii="仿宋" w:hAnsi="仿宋" w:eastAsia="仿宋"/>
          <w:sz w:val="32"/>
          <w:szCs w:val="32"/>
        </w:rPr>
        <w:t>万元，占</w:t>
      </w:r>
      <w:r>
        <w:rPr>
          <w:rFonts w:hint="eastAsia" w:ascii="仿宋" w:hAnsi="仿宋" w:eastAsia="仿宋"/>
          <w:sz w:val="32"/>
          <w:szCs w:val="32"/>
          <w:lang w:val="en-US" w:eastAsia="zh-CN"/>
        </w:rPr>
        <w:t>97.16</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0.41</w:t>
      </w:r>
      <w:r>
        <w:rPr>
          <w:rFonts w:hint="eastAsia" w:ascii="仿宋" w:hAnsi="仿宋" w:eastAsia="仿宋"/>
          <w:sz w:val="32"/>
          <w:szCs w:val="32"/>
        </w:rPr>
        <w:t>万元，占</w:t>
      </w:r>
      <w:r>
        <w:rPr>
          <w:rFonts w:hint="eastAsia" w:ascii="仿宋" w:hAnsi="仿宋" w:eastAsia="仿宋"/>
          <w:sz w:val="32"/>
          <w:szCs w:val="32"/>
          <w:lang w:val="en-US" w:eastAsia="zh-CN"/>
        </w:rPr>
        <w:t>2.84</w:t>
      </w:r>
      <w:r>
        <w:rPr>
          <w:rFonts w:ascii="仿宋" w:hAnsi="仿宋" w:eastAsia="仿宋"/>
          <w:sz w:val="32"/>
          <w:szCs w:val="32"/>
        </w:rPr>
        <w:t>%</w:t>
      </w:r>
      <w:r>
        <w:rPr>
          <w:rFonts w:hint="eastAsia" w:ascii="仿宋" w:hAnsi="仿宋" w:eastAsia="仿宋"/>
          <w:sz w:val="32"/>
          <w:szCs w:val="32"/>
        </w:rPr>
        <w:t>。具体情况如下：</w:t>
      </w:r>
    </w:p>
    <w:p w14:paraId="5A697C4D">
      <w:pPr>
        <w:spacing w:line="600" w:lineRule="exact"/>
        <w:ind w:firstLine="640"/>
        <w:rPr>
          <w:rFonts w:ascii="仿宋" w:hAnsi="仿宋" w:eastAsia="仿宋"/>
          <w:color w:val="auto"/>
          <w:sz w:val="32"/>
          <w:szCs w:val="32"/>
          <w:highlight w:val="none"/>
        </w:rPr>
      </w:pPr>
      <w:r>
        <w:rPr>
          <w:rFonts w:hint="eastAsia" w:hAnsi="仿宋"/>
          <w:color w:val="auto"/>
          <w:sz w:val="32"/>
          <w:szCs w:val="32"/>
        </w:rPr>
        <w:drawing>
          <wp:anchor distT="0" distB="0" distL="114300" distR="114300" simplePos="0" relativeHeight="251665408" behindDoc="0" locked="0" layoutInCell="1" allowOverlap="1">
            <wp:simplePos x="0" y="0"/>
            <wp:positionH relativeFrom="column">
              <wp:posOffset>210820</wp:posOffset>
            </wp:positionH>
            <wp:positionV relativeFrom="paragraph">
              <wp:posOffset>80010</wp:posOffset>
            </wp:positionV>
            <wp:extent cx="4636770" cy="2771775"/>
            <wp:effectExtent l="4445" t="4445" r="6985" b="508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（图7：“三公”经费财政拨款支出结构）（饼状图）</w:t>
      </w:r>
    </w:p>
    <w:p w14:paraId="2C348787">
      <w:pPr>
        <w:spacing w:line="600" w:lineRule="exact"/>
        <w:ind w:firstLine="640"/>
        <w:rPr>
          <w:rFonts w:ascii="仿宋_GB2312" w:eastAsia="仿宋_GB2312"/>
          <w:b/>
          <w:sz w:val="32"/>
          <w:szCs w:val="32"/>
        </w:rPr>
      </w:pPr>
      <w:bookmarkStart w:id="65" w:name="_Toc15396610"/>
      <w:bookmarkStart w:id="66" w:name="_Toc15377218"/>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4"/>
          <w:rFonts w:hint="eastAsia" w:ascii="仿宋" w:hAnsi="仿宋" w:eastAsia="仿宋"/>
          <w:b w:val="0"/>
          <w:bCs/>
          <w:sz w:val="32"/>
          <w:szCs w:val="32"/>
        </w:rPr>
        <w:t>年初未安排预算</w:t>
      </w:r>
      <w:r>
        <w:rPr>
          <w:rFonts w:hint="eastAsia" w:ascii="仿宋_GB2312" w:eastAsia="仿宋_GB2312"/>
          <w:sz w:val="32"/>
          <w:szCs w:val="32"/>
        </w:rPr>
        <w:t>。</w:t>
      </w:r>
    </w:p>
    <w:p w14:paraId="6121812C">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14.02</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93.47</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增加11.34</w:t>
      </w:r>
      <w:r>
        <w:rPr>
          <w:rFonts w:hint="eastAsia" w:ascii="仿宋_GB2312" w:eastAsia="仿宋_GB2312"/>
          <w:sz w:val="32"/>
          <w:szCs w:val="32"/>
        </w:rPr>
        <w:t>万元，</w:t>
      </w:r>
      <w:r>
        <w:rPr>
          <w:rFonts w:hint="eastAsia" w:ascii="仿宋_GB2312" w:eastAsia="仿宋_GB2312"/>
          <w:sz w:val="32"/>
          <w:szCs w:val="32"/>
          <w:lang w:val="en-US" w:eastAsia="zh-CN"/>
        </w:rPr>
        <w:t>增加423.1</w:t>
      </w:r>
      <w:r>
        <w:rPr>
          <w:rFonts w:ascii="仿宋_GB2312" w:eastAsia="仿宋_GB2312"/>
          <w:sz w:val="32"/>
          <w:szCs w:val="32"/>
        </w:rPr>
        <w:t>%</w:t>
      </w:r>
      <w:r>
        <w:rPr>
          <w:rFonts w:hint="eastAsia" w:ascii="仿宋_GB2312" w:eastAsia="仿宋_GB2312"/>
          <w:sz w:val="32"/>
          <w:szCs w:val="32"/>
        </w:rPr>
        <w:t>。主要原因是项目业务用车</w:t>
      </w:r>
      <w:r>
        <w:rPr>
          <w:rFonts w:hint="eastAsia" w:ascii="仿宋_GB2312" w:eastAsia="仿宋_GB2312"/>
          <w:sz w:val="32"/>
          <w:szCs w:val="32"/>
          <w:lang w:val="en-US" w:eastAsia="zh-CN"/>
        </w:rPr>
        <w:t>增加一台</w:t>
      </w:r>
      <w:r>
        <w:rPr>
          <w:rFonts w:hint="eastAsia" w:ascii="仿宋_GB2312" w:eastAsia="仿宋_GB2312"/>
          <w:sz w:val="32"/>
          <w:szCs w:val="32"/>
        </w:rPr>
        <w:t>。</w:t>
      </w:r>
    </w:p>
    <w:p w14:paraId="2B2BEEAC">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万元。全年按规定更新购置公务用车0辆，其中：越野车0辆、金额0万元，主要</w:t>
      </w:r>
      <w:r>
        <w:rPr>
          <w:rFonts w:hint="eastAsia" w:ascii="仿宋_GB2312" w:hAnsi="仿宋_GB2312" w:eastAsia="仿宋_GB2312" w:cs="仿宋_GB2312"/>
          <w:sz w:val="32"/>
          <w:szCs w:val="32"/>
        </w:rPr>
        <w:t>年初未安排预算</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月底，单位共有公务用车3辆，其中：越野车2辆，特种车1辆。</w:t>
      </w:r>
    </w:p>
    <w:p w14:paraId="2DA44C08">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14.02</w:t>
      </w:r>
      <w:r>
        <w:rPr>
          <w:rFonts w:hint="eastAsia" w:ascii="仿宋_GB2312" w:eastAsia="仿宋_GB2312"/>
          <w:sz w:val="32"/>
          <w:szCs w:val="32"/>
        </w:rPr>
        <w:t>万元。主要用于地籍测绘所需的业务用车部分燃料费、维修费、过路过桥费、保险费等支出。</w:t>
      </w:r>
    </w:p>
    <w:p w14:paraId="0CD93043">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0.41</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8.2</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年减少0.</w:t>
      </w:r>
      <w:r>
        <w:rPr>
          <w:rFonts w:hint="eastAsia" w:ascii="仿宋_GB2312" w:eastAsia="仿宋_GB2312"/>
          <w:sz w:val="32"/>
          <w:szCs w:val="32"/>
          <w:lang w:val="en-US" w:eastAsia="zh-CN"/>
        </w:rPr>
        <w:t>91</w:t>
      </w:r>
      <w:r>
        <w:rPr>
          <w:rFonts w:hint="eastAsia" w:ascii="仿宋_GB2312" w:eastAsia="仿宋_GB2312"/>
          <w:sz w:val="32"/>
          <w:szCs w:val="32"/>
        </w:rPr>
        <w:t>万元，下降</w:t>
      </w:r>
      <w:r>
        <w:rPr>
          <w:rFonts w:hint="eastAsia" w:ascii="仿宋_GB2312" w:eastAsia="仿宋_GB2312"/>
          <w:sz w:val="32"/>
          <w:szCs w:val="32"/>
          <w:lang w:val="en-US" w:eastAsia="zh-CN"/>
        </w:rPr>
        <w:t>68.94</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sz w:val="32"/>
          <w:szCs w:val="32"/>
        </w:rPr>
        <w:t>严格控制经费，按照厉行节约的原则压缩各项开支</w:t>
      </w:r>
      <w:r>
        <w:rPr>
          <w:rFonts w:hint="eastAsia" w:ascii="仿宋_GB2312" w:eastAsia="仿宋_GB2312"/>
          <w:sz w:val="32"/>
          <w:szCs w:val="32"/>
        </w:rPr>
        <w:t>。其中：</w:t>
      </w:r>
    </w:p>
    <w:p w14:paraId="04A4CD75">
      <w:pPr>
        <w:spacing w:line="600" w:lineRule="exact"/>
        <w:ind w:firstLine="640"/>
        <w:rPr>
          <w:rFonts w:hint="eastAsia" w:ascii="仿宋_GB2312" w:eastAsia="仿宋_GB2312"/>
          <w:color w:val="FF0000"/>
          <w:sz w:val="32"/>
          <w:szCs w:val="32"/>
          <w:lang w:eastAsia="zh-CN"/>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0.41</w:t>
      </w:r>
      <w:r>
        <w:rPr>
          <w:rFonts w:hint="eastAsia" w:ascii="仿宋_GB2312" w:eastAsia="仿宋_GB2312"/>
          <w:sz w:val="32"/>
          <w:szCs w:val="32"/>
        </w:rPr>
        <w:t>万元，主要用于</w:t>
      </w:r>
      <w:r>
        <w:rPr>
          <w:rFonts w:hint="eastAsia" w:ascii="仿宋_GB2312" w:hAnsi="仿宋_GB2312" w:eastAsia="仿宋_GB2312" w:cs="仿宋_GB2312"/>
          <w:color w:val="000000"/>
          <w:sz w:val="32"/>
          <w:szCs w:val="32"/>
        </w:rPr>
        <w:t>执行公务、开展业务活动开支的用餐费等</w:t>
      </w:r>
      <w:r>
        <w:rPr>
          <w:rFonts w:hint="eastAsia" w:ascii="仿宋_GB2312" w:eastAsia="仿宋_GB2312"/>
          <w:sz w:val="32"/>
          <w:szCs w:val="32"/>
        </w:rPr>
        <w:t>。国内公务接待</w:t>
      </w:r>
      <w:r>
        <w:rPr>
          <w:rFonts w:hint="eastAsia" w:ascii="仿宋_GB2312" w:eastAsia="仿宋_GB2312"/>
          <w:sz w:val="32"/>
          <w:szCs w:val="32"/>
          <w:lang w:val="en-US" w:eastAsia="zh-CN"/>
        </w:rPr>
        <w:t>6</w:t>
      </w:r>
      <w:r>
        <w:rPr>
          <w:rFonts w:hint="eastAsia" w:ascii="仿宋_GB2312" w:eastAsia="仿宋_GB2312"/>
          <w:sz w:val="32"/>
          <w:szCs w:val="32"/>
        </w:rPr>
        <w:t>批次，</w:t>
      </w:r>
      <w:r>
        <w:rPr>
          <w:rFonts w:hint="eastAsia" w:ascii="仿宋_GB2312" w:eastAsia="仿宋_GB2312"/>
          <w:sz w:val="32"/>
          <w:szCs w:val="32"/>
          <w:lang w:val="en-US" w:eastAsia="zh-CN"/>
        </w:rPr>
        <w:t>40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0.41</w:t>
      </w:r>
      <w:r>
        <w:rPr>
          <w:rFonts w:hint="eastAsia" w:ascii="仿宋_GB2312" w:eastAsia="仿宋_GB2312"/>
          <w:sz w:val="32"/>
          <w:szCs w:val="32"/>
        </w:rPr>
        <w:t>万元，具体内容包括：接待各县区对接地籍测绘</w:t>
      </w:r>
      <w:r>
        <w:rPr>
          <w:rFonts w:hint="eastAsia" w:ascii="仿宋_GB2312" w:eastAsia="仿宋_GB2312"/>
          <w:sz w:val="32"/>
          <w:szCs w:val="32"/>
          <w:lang w:eastAsia="zh-CN"/>
        </w:rPr>
        <w:t>。</w:t>
      </w:r>
    </w:p>
    <w:p w14:paraId="0B567873">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14:paraId="4612F79F">
      <w:pPr>
        <w:spacing w:line="600" w:lineRule="exact"/>
        <w:ind w:firstLine="640"/>
        <w:outlineLvl w:val="1"/>
        <w:rPr>
          <w:rStyle w:val="25"/>
          <w:rFonts w:ascii="黑体" w:hAnsi="黑体" w:eastAsia="黑体"/>
          <w:color w:val="auto"/>
          <w:highlight w:val="none"/>
        </w:rPr>
      </w:pPr>
      <w:bookmarkStart w:id="67" w:name="_Toc17054"/>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65"/>
      <w:bookmarkEnd w:id="66"/>
      <w:bookmarkEnd w:id="67"/>
    </w:p>
    <w:p w14:paraId="43D94862">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2022年政府性基金预算财政拨款支出0万元。</w:t>
      </w:r>
    </w:p>
    <w:p w14:paraId="613E4053">
      <w:pPr>
        <w:numPr>
          <w:ilvl w:val="0"/>
          <w:numId w:val="3"/>
        </w:numPr>
        <w:spacing w:line="600" w:lineRule="exact"/>
        <w:ind w:firstLine="640"/>
        <w:outlineLvl w:val="1"/>
        <w:rPr>
          <w:rStyle w:val="25"/>
          <w:rFonts w:ascii="黑体" w:hAnsi="黑体" w:eastAsia="黑体"/>
          <w:b w:val="0"/>
          <w:color w:val="auto"/>
          <w:highlight w:val="none"/>
        </w:rPr>
      </w:pPr>
      <w:bookmarkStart w:id="68" w:name="_Toc4555"/>
      <w:bookmarkStart w:id="69" w:name="_Toc15377219"/>
      <w:bookmarkStart w:id="70" w:name="_Toc15396611"/>
      <w:r>
        <w:rPr>
          <w:rStyle w:val="25"/>
          <w:rFonts w:hint="eastAsia" w:ascii="黑体" w:hAnsi="黑体" w:eastAsia="黑体"/>
          <w:b w:val="0"/>
          <w:color w:val="auto"/>
          <w:highlight w:val="none"/>
        </w:rPr>
        <w:t>国有资本经营预算支出决算情况说明</w:t>
      </w:r>
      <w:bookmarkEnd w:id="68"/>
      <w:bookmarkEnd w:id="69"/>
      <w:bookmarkEnd w:id="70"/>
    </w:p>
    <w:p w14:paraId="1F54AD19">
      <w:pPr>
        <w:spacing w:line="600" w:lineRule="exact"/>
        <w:ind w:firstLine="640"/>
        <w:rPr>
          <w:rFonts w:ascii="方正小标宋简体" w:hAnsi="方正小标宋简体" w:eastAsia="方正小标宋简体" w:cs="方正小标宋简体"/>
          <w:color w:val="auto"/>
          <w:sz w:val="44"/>
          <w:szCs w:val="44"/>
          <w:highlight w:val="none"/>
        </w:rPr>
      </w:pPr>
      <w:r>
        <w:rPr>
          <w:rFonts w:hint="eastAsia" w:ascii="仿宋_GB2312" w:eastAsia="仿宋_GB2312"/>
          <w:color w:val="auto"/>
          <w:sz w:val="32"/>
          <w:szCs w:val="32"/>
          <w:highlight w:val="none"/>
        </w:rPr>
        <w:t>2022年国有资本经营预算财政拨款支出0万元。</w:t>
      </w:r>
    </w:p>
    <w:p w14:paraId="118B6337">
      <w:pPr>
        <w:numPr>
          <w:ilvl w:val="0"/>
          <w:numId w:val="3"/>
        </w:numPr>
        <w:spacing w:line="600" w:lineRule="exact"/>
        <w:ind w:firstLine="640"/>
        <w:outlineLvl w:val="1"/>
        <w:rPr>
          <w:rStyle w:val="25"/>
          <w:rFonts w:hint="eastAsia" w:ascii="黑体" w:hAnsi="黑体" w:eastAsia="黑体"/>
          <w:b w:val="0"/>
          <w:color w:val="auto"/>
          <w:highlight w:val="none"/>
        </w:rPr>
      </w:pPr>
      <w:bookmarkStart w:id="71" w:name="_Toc15377221"/>
      <w:bookmarkStart w:id="72" w:name="_Toc18393"/>
      <w:bookmarkStart w:id="73" w:name="_Toc15396612"/>
      <w:r>
        <w:rPr>
          <w:rStyle w:val="25"/>
          <w:rFonts w:hint="eastAsia" w:ascii="黑体" w:hAnsi="黑体" w:eastAsia="黑体"/>
          <w:b w:val="0"/>
          <w:color w:val="auto"/>
          <w:highlight w:val="none"/>
        </w:rPr>
        <w:t>其他重要事项的情况说明</w:t>
      </w:r>
      <w:bookmarkEnd w:id="71"/>
      <w:bookmarkEnd w:id="72"/>
      <w:bookmarkEnd w:id="73"/>
    </w:p>
    <w:p w14:paraId="1FF86B3D">
      <w:pPr>
        <w:spacing w:line="600" w:lineRule="exact"/>
        <w:ind w:firstLine="643" w:firstLineChars="200"/>
        <w:outlineLvl w:val="2"/>
        <w:rPr>
          <w:rFonts w:ascii="仿宋" w:hAnsi="仿宋" w:eastAsia="仿宋"/>
          <w:sz w:val="32"/>
          <w:szCs w:val="32"/>
        </w:rPr>
      </w:pPr>
      <w:r>
        <w:rPr>
          <w:rFonts w:hint="eastAsia" w:ascii="仿宋" w:hAnsi="仿宋" w:eastAsia="仿宋"/>
          <w:b/>
          <w:sz w:val="32"/>
          <w:szCs w:val="32"/>
        </w:rPr>
        <w:t>（一）机关运行经费支出情况</w:t>
      </w:r>
    </w:p>
    <w:p w14:paraId="0B836558">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年，广元市地籍地政事务中心未发生机关运行经费，</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年无变化，年初未安排预算。</w:t>
      </w:r>
    </w:p>
    <w:p w14:paraId="5C92D746">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14:paraId="1BC35BE7">
      <w:pPr>
        <w:spacing w:line="600" w:lineRule="exact"/>
        <w:ind w:firstLine="640" w:firstLineChars="200"/>
        <w:rPr>
          <w:rFonts w:ascii="仿宋_GB2312" w:eastAsia="仿宋_GB2312"/>
          <w:sz w:val="32"/>
          <w:szCs w:val="32"/>
        </w:rPr>
      </w:pPr>
      <w:r>
        <w:rPr>
          <w:rFonts w:hint="eastAsia" w:ascii="仿宋_GB2312" w:eastAsia="仿宋_GB2312"/>
          <w:sz w:val="32"/>
          <w:szCs w:val="32"/>
        </w:rPr>
        <w:t>2022年，广元市地籍地政事务中心政府采购支出总额51.38万元，其中：政府采购货物支出51.38万元、政府采购工程支出0万元、政府采购服务支出0万元。主要用于购置测绘设备和复印纸</w:t>
      </w:r>
      <w:r>
        <w:rPr>
          <w:rFonts w:hint="eastAsia" w:ascii="仿宋_GB2312" w:eastAsia="仿宋_GB2312"/>
          <w:sz w:val="32"/>
          <w:szCs w:val="32"/>
          <w:lang w:eastAsia="zh-CN"/>
        </w:rPr>
        <w:t>、</w:t>
      </w:r>
      <w:r>
        <w:rPr>
          <w:rFonts w:hint="eastAsia" w:ascii="仿宋_GB2312" w:eastAsia="仿宋_GB2312"/>
          <w:sz w:val="32"/>
          <w:szCs w:val="32"/>
          <w:lang w:val="en-US" w:eastAsia="zh-CN"/>
        </w:rPr>
        <w:t>办公家具</w:t>
      </w:r>
      <w:r>
        <w:rPr>
          <w:rFonts w:hint="eastAsia" w:ascii="仿宋_GB2312" w:eastAsia="仿宋_GB2312"/>
          <w:sz w:val="32"/>
          <w:szCs w:val="32"/>
        </w:rPr>
        <w:t>。授予中小企业合同金额51.38万元，占政府采购支出总额的100%，其中：授予小微企业合同金额4.38万元，占政府采购支出总额的8.5%。</w:t>
      </w:r>
    </w:p>
    <w:p w14:paraId="6E1D4DFE">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p>
    <w:p w14:paraId="40C8411B">
      <w:pPr>
        <w:spacing w:line="580" w:lineRule="exact"/>
        <w:ind w:firstLine="640" w:firstLineChars="200"/>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日，广元市地籍地政事务中心共有车辆3辆，其中：主要领导干部用0辆、机要通信用车0辆、应急保障用车0辆、其他用车2辆，特种车辆1辆。其他用车主要是用于</w:t>
      </w:r>
      <w:r>
        <w:rPr>
          <w:rFonts w:hint="eastAsia" w:ascii="仿宋_GB2312" w:hAnsi="仿宋_GB2312" w:eastAsia="仿宋_GB2312" w:cs="仿宋_GB2312"/>
          <w:color w:val="000000"/>
          <w:sz w:val="32"/>
          <w:szCs w:val="32"/>
        </w:rPr>
        <w:t>一般公务、业务用车。</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4279F45F">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7E05C05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年度预算编制阶段，组织对聘用人员费用、地籍中心测绘工作经费、自然资源土地勘界、宗地入库、日常地籍维护更新费等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个项目开展了绩效自评，202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年部门预算项目绩效目标自评表见附件（第四部分）。</w:t>
      </w:r>
    </w:p>
    <w:p w14:paraId="32B973C6">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3BFBF4FD">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74" w:name="_Toc15377225"/>
      <w:bookmarkStart w:id="75" w:name="_Toc15396613"/>
      <w:bookmarkStart w:id="76" w:name="_Toc30884"/>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4"/>
      <w:bookmarkEnd w:id="75"/>
      <w:bookmarkEnd w:id="76"/>
    </w:p>
    <w:p w14:paraId="4F85E66B">
      <w:pPr>
        <w:spacing w:line="600" w:lineRule="exact"/>
        <w:jc w:val="left"/>
        <w:rPr>
          <w:rFonts w:ascii="宋体"/>
          <w:b/>
          <w:color w:val="auto"/>
          <w:sz w:val="44"/>
          <w:szCs w:val="44"/>
          <w:highlight w:val="none"/>
        </w:rPr>
      </w:pPr>
    </w:p>
    <w:p w14:paraId="5188201E">
      <w:pPr>
        <w:pStyle w:val="22"/>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1.财政拨款收入：</w:t>
      </w:r>
      <w:r>
        <w:rPr>
          <w:rFonts w:hint="eastAsia" w:ascii="仿宋_GB2312" w:hAnsi="仿宋_GB2312" w:eastAsia="仿宋_GB2312" w:cs="仿宋_GB2312"/>
          <w:sz w:val="32"/>
          <w:szCs w:val="32"/>
        </w:rPr>
        <w:t>指单位从同级财政部门取得的财政预算资金。</w:t>
      </w:r>
    </w:p>
    <w:p w14:paraId="5A2BA1CC">
      <w:pPr>
        <w:pStyle w:val="22"/>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2.其他收入</w:t>
      </w:r>
      <w:r>
        <w:rPr>
          <w:rFonts w:hint="eastAsia" w:ascii="仿宋_GB2312" w:hAnsi="仿宋_GB2312" w:eastAsia="仿宋_GB2312" w:cs="仿宋_GB2312"/>
          <w:sz w:val="32"/>
          <w:szCs w:val="32"/>
        </w:rPr>
        <w:t>：指单位取得的除上述收入以外的各项收入。主要是单位银行存款利息和财政</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拨付的项目资金。</w:t>
      </w:r>
    </w:p>
    <w:p w14:paraId="415F1212">
      <w:pPr>
        <w:pStyle w:val="22"/>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3.年初结转和结余：</w:t>
      </w:r>
      <w:r>
        <w:rPr>
          <w:rFonts w:hint="eastAsia" w:ascii="仿宋_GB2312" w:hAnsi="仿宋_GB2312" w:eastAsia="仿宋_GB2312" w:cs="仿宋_GB2312"/>
          <w:sz w:val="32"/>
          <w:szCs w:val="32"/>
        </w:rPr>
        <w:t>指以前年度尚未完成、结转到本年按有关规定继续使用的资金。</w:t>
      </w:r>
    </w:p>
    <w:p w14:paraId="157C3809">
      <w:pPr>
        <w:pStyle w:val="22"/>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4.年末结转和结余：</w:t>
      </w:r>
      <w:r>
        <w:rPr>
          <w:rFonts w:hint="eastAsia" w:ascii="仿宋_GB2312" w:hAnsi="仿宋_GB2312" w:eastAsia="仿宋_GB2312" w:cs="仿宋_GB2312"/>
          <w:sz w:val="32"/>
          <w:szCs w:val="32"/>
        </w:rPr>
        <w:t>指单位按有关规定结转到下年或以后年度继续使用的资金。</w:t>
      </w:r>
    </w:p>
    <w:p w14:paraId="0EA567E3">
      <w:pPr>
        <w:spacing w:line="580" w:lineRule="exact"/>
        <w:ind w:firstLine="643" w:firstLineChars="200"/>
        <w:rPr>
          <w:rStyle w:val="14"/>
          <w:rFonts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rPr>
        <w:t>5.社会保障和就业（类）行政事业单位养老支出（款）机关事业单位基本养老保险缴费支出（项）:</w:t>
      </w:r>
      <w:r>
        <w:rPr>
          <w:rStyle w:val="14"/>
          <w:rFonts w:hint="eastAsia" w:ascii="仿宋_GB2312" w:hAnsi="仿宋_GB2312" w:eastAsia="仿宋_GB2312" w:cs="仿宋_GB2312"/>
          <w:b w:val="0"/>
          <w:sz w:val="32"/>
          <w:szCs w:val="32"/>
        </w:rPr>
        <w:t>指机关事业单位</w:t>
      </w:r>
      <w:r>
        <w:rPr>
          <w:rStyle w:val="14"/>
          <w:rFonts w:hint="eastAsia" w:ascii="仿宋_GB2312" w:hAnsi="仿宋_GB2312" w:eastAsia="仿宋_GB2312" w:cs="仿宋_GB2312"/>
          <w:b w:val="0"/>
          <w:color w:val="000000"/>
          <w:sz w:val="32"/>
          <w:szCs w:val="32"/>
        </w:rPr>
        <w:t>实施养老保险制度由单位缴纳的基本养老保险费支出。</w:t>
      </w:r>
    </w:p>
    <w:p w14:paraId="1C11900A">
      <w:pPr>
        <w:spacing w:line="580" w:lineRule="exact"/>
        <w:ind w:firstLine="643" w:firstLineChars="200"/>
        <w:rPr>
          <w:rStyle w:val="14"/>
          <w:rFonts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rPr>
        <w:t>6.社会保障和就业（类）行政事业单位养老支出（款）机关事业单位职业年金缴费支出（项）:</w:t>
      </w:r>
      <w:r>
        <w:rPr>
          <w:rStyle w:val="14"/>
          <w:rFonts w:hint="eastAsia" w:ascii="仿宋_GB2312" w:hAnsi="仿宋_GB2312" w:eastAsia="仿宋_GB2312" w:cs="仿宋_GB2312"/>
          <w:b w:val="0"/>
          <w:sz w:val="32"/>
          <w:szCs w:val="32"/>
        </w:rPr>
        <w:t>指机关事业单位实施养老保险制度由单位实际缴纳的职业年金支出。</w:t>
      </w:r>
    </w:p>
    <w:p w14:paraId="6EE7271E">
      <w:pPr>
        <w:spacing w:line="580" w:lineRule="exact"/>
        <w:ind w:firstLine="643" w:firstLineChars="200"/>
        <w:rPr>
          <w:rStyle w:val="14"/>
          <w:rFonts w:ascii="仿宋_GB2312" w:hAnsi="仿宋_GB2312" w:eastAsia="仿宋_GB2312" w:cs="仿宋_GB2312"/>
          <w:b w:val="0"/>
          <w:sz w:val="32"/>
          <w:szCs w:val="32"/>
        </w:rPr>
      </w:pPr>
      <w:r>
        <w:rPr>
          <w:rFonts w:hint="eastAsia" w:ascii="仿宋_GB2312" w:hAnsi="仿宋_GB2312" w:eastAsia="仿宋_GB2312" w:cs="仿宋_GB2312"/>
          <w:b/>
          <w:bCs/>
          <w:color w:val="000000"/>
          <w:sz w:val="32"/>
          <w:szCs w:val="32"/>
          <w:lang w:val="en-US" w:eastAsia="zh-CN"/>
        </w:rPr>
        <w:t>7</w:t>
      </w:r>
      <w:r>
        <w:rPr>
          <w:rFonts w:hint="eastAsia" w:ascii="仿宋_GB2312" w:hAnsi="仿宋_GB2312" w:eastAsia="仿宋_GB2312" w:cs="仿宋_GB2312"/>
          <w:b/>
          <w:bCs/>
          <w:color w:val="000000"/>
          <w:sz w:val="32"/>
          <w:szCs w:val="32"/>
        </w:rPr>
        <w:t>.卫生健康</w:t>
      </w:r>
      <w:r>
        <w:rPr>
          <w:rStyle w:val="14"/>
          <w:rFonts w:hint="eastAsia" w:ascii="仿宋_GB2312" w:hAnsi="仿宋_GB2312" w:eastAsia="仿宋_GB2312" w:cs="仿宋_GB2312"/>
          <w:bCs/>
          <w:color w:val="000000"/>
          <w:sz w:val="32"/>
          <w:szCs w:val="32"/>
        </w:rPr>
        <w:t>（类）行政事业单位医疗（款）事业单位医疗（项）</w:t>
      </w:r>
      <w:r>
        <w:rPr>
          <w:rFonts w:hint="eastAsia" w:ascii="仿宋_GB2312" w:hAnsi="仿宋_GB2312" w:eastAsia="仿宋_GB2312" w:cs="仿宋_GB2312"/>
          <w:color w:val="000000"/>
          <w:sz w:val="32"/>
          <w:szCs w:val="32"/>
        </w:rPr>
        <w:t>：</w:t>
      </w:r>
      <w:r>
        <w:rPr>
          <w:rStyle w:val="14"/>
          <w:rFonts w:hint="eastAsia" w:ascii="仿宋_GB2312" w:hAnsi="仿宋_GB2312" w:eastAsia="仿宋_GB2312" w:cs="仿宋_GB2312"/>
          <w:b w:val="0"/>
          <w:sz w:val="32"/>
          <w:szCs w:val="32"/>
        </w:rPr>
        <w:t>指</w:t>
      </w:r>
      <w:r>
        <w:rPr>
          <w:rFonts w:hint="eastAsia" w:ascii="仿宋_GB2312" w:hAnsi="仿宋_GB2312" w:eastAsia="仿宋_GB2312" w:cs="仿宋_GB2312"/>
          <w:sz w:val="32"/>
          <w:szCs w:val="32"/>
          <w:shd w:val="clear" w:color="auto" w:fill="FFFFFF"/>
        </w:rPr>
        <w:t>事业单位用于缴纳单位基本医疗保险支出。</w:t>
      </w:r>
    </w:p>
    <w:p w14:paraId="4105D930">
      <w:pPr>
        <w:spacing w:line="58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color w:val="000000"/>
          <w:sz w:val="32"/>
          <w:szCs w:val="32"/>
          <w:lang w:val="en-US" w:eastAsia="zh-CN"/>
        </w:rPr>
        <w:t>8</w:t>
      </w:r>
      <w:r>
        <w:rPr>
          <w:rFonts w:hint="eastAsia" w:ascii="仿宋_GB2312" w:hAnsi="仿宋_GB2312" w:eastAsia="仿宋_GB2312" w:cs="仿宋_GB2312"/>
          <w:b/>
          <w:bCs/>
          <w:color w:val="000000"/>
          <w:sz w:val="32"/>
          <w:szCs w:val="32"/>
        </w:rPr>
        <w:t>.自然资源海洋气象等（类）自然资源事务（款)事业运行（项）：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局事业单位用于保障机构正常运行、开展日常工作的基本支出。</w:t>
      </w:r>
    </w:p>
    <w:p w14:paraId="79A74ED3">
      <w:pPr>
        <w:spacing w:line="580" w:lineRule="exact"/>
        <w:ind w:firstLine="643" w:firstLineChars="200"/>
        <w:rPr>
          <w:rFonts w:ascii="仿宋_GB2312" w:hAnsi="仿宋_GB2312" w:eastAsia="仿宋_GB2312" w:cs="仿宋_GB2312"/>
          <w:color w:val="000000"/>
          <w:sz w:val="32"/>
          <w:szCs w:val="32"/>
        </w:rPr>
      </w:pPr>
      <w:r>
        <w:rPr>
          <w:rStyle w:val="14"/>
          <w:rFonts w:hint="eastAsia" w:ascii="仿宋_GB2312" w:hAnsi="仿宋_GB2312" w:eastAsia="仿宋_GB2312" w:cs="仿宋_GB2312"/>
          <w:b/>
          <w:bCs/>
          <w:color w:val="000000"/>
          <w:sz w:val="32"/>
          <w:szCs w:val="32"/>
          <w:lang w:val="en-US" w:eastAsia="zh-CN"/>
        </w:rPr>
        <w:t>9</w:t>
      </w:r>
      <w:r>
        <w:rPr>
          <w:rStyle w:val="14"/>
          <w:rFonts w:hint="eastAsia" w:ascii="仿宋_GB2312" w:hAnsi="仿宋_GB2312" w:eastAsia="仿宋_GB2312" w:cs="仿宋_GB2312"/>
          <w:b/>
          <w:bCs/>
          <w:color w:val="000000"/>
          <w:sz w:val="32"/>
          <w:szCs w:val="32"/>
        </w:rPr>
        <w:t>.</w:t>
      </w:r>
      <w:r>
        <w:rPr>
          <w:rStyle w:val="14"/>
          <w:rFonts w:hint="eastAsia" w:ascii="仿宋_GB2312" w:hAnsi="仿宋_GB2312" w:eastAsia="仿宋_GB2312" w:cs="仿宋_GB2312"/>
          <w:color w:val="000000"/>
          <w:sz w:val="32"/>
          <w:szCs w:val="32"/>
        </w:rPr>
        <w:t>自然资源海洋气象等支出（类）自然资源事务（款）其他自然资源事务（项）</w:t>
      </w:r>
      <w:r>
        <w:rPr>
          <w:rStyle w:val="14"/>
          <w:rFonts w:hint="eastAsia" w:ascii="仿宋_GB2312" w:hAnsi="仿宋_GB2312" w:eastAsia="仿宋_GB2312" w:cs="仿宋_GB2312"/>
          <w:b w:val="0"/>
          <w:bCs/>
          <w:color w:val="000000"/>
          <w:sz w:val="32"/>
          <w:szCs w:val="32"/>
        </w:rPr>
        <w:t>：指除财政一般公共预算安排的项目之外的项目支出。</w:t>
      </w:r>
    </w:p>
    <w:p w14:paraId="68497F45">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10</w:t>
      </w:r>
      <w:r>
        <w:rPr>
          <w:rFonts w:hint="eastAsia" w:ascii="仿宋_GB2312" w:hAnsi="仿宋_GB2312" w:eastAsia="仿宋_GB2312" w:cs="仿宋_GB2312"/>
          <w:b/>
          <w:bCs/>
          <w:color w:val="000000"/>
          <w:sz w:val="32"/>
          <w:szCs w:val="32"/>
        </w:rPr>
        <w:t>.住房保障（类）住房改革支出（款）住房公积金（项）：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rPr>
        <w:t>指局机关及事业单位按行政事业单位按人力资源部和社会保障部、财政部规定的基本工资和津贴补贴以及规定比例为职工缴纳的住房公积金。</w:t>
      </w:r>
    </w:p>
    <w:p w14:paraId="548A9A77">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11</w:t>
      </w:r>
      <w:r>
        <w:rPr>
          <w:rFonts w:hint="eastAsia" w:ascii="仿宋_GB2312" w:hAnsi="仿宋_GB2312" w:eastAsia="仿宋_GB2312" w:cs="仿宋_GB2312"/>
          <w:b/>
          <w:bCs/>
          <w:color w:val="000000"/>
          <w:sz w:val="32"/>
          <w:szCs w:val="32"/>
        </w:rPr>
        <w:t>.基本支出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14:paraId="7EFABD55">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12</w:t>
      </w:r>
      <w:r>
        <w:rPr>
          <w:rFonts w:hint="eastAsia" w:ascii="仿宋_GB2312" w:hAnsi="仿宋_GB2312" w:eastAsia="仿宋_GB2312" w:cs="仿宋_GB2312"/>
          <w:b/>
          <w:bCs/>
          <w:color w:val="000000"/>
          <w:sz w:val="32"/>
          <w:szCs w:val="32"/>
        </w:rPr>
        <w:t>.项目支出</w:t>
      </w:r>
      <w:r>
        <w:rPr>
          <w:rFonts w:hint="eastAsia" w:ascii="仿宋_GB2312" w:hAnsi="仿宋_GB2312" w:eastAsia="仿宋_GB2312" w:cs="仿宋_GB2312"/>
          <w:color w:val="000000"/>
          <w:sz w:val="32"/>
          <w:szCs w:val="32"/>
        </w:rPr>
        <w:t>：指在基本支出之外为完成特定行政任务和事业发展目标所发生的支出。</w:t>
      </w:r>
    </w:p>
    <w:p w14:paraId="33CF8E84">
      <w:pPr>
        <w:ind w:firstLine="643" w:firstLineChars="200"/>
        <w:rPr>
          <w:rFonts w:ascii="仿宋" w:hAnsi="仿宋" w:eastAsia="仿宋"/>
          <w:b/>
          <w:color w:val="auto"/>
          <w:sz w:val="32"/>
          <w:szCs w:val="32"/>
          <w:highlight w:val="none"/>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17F306C">
      <w:pPr>
        <w:spacing w:line="600" w:lineRule="exact"/>
        <w:jc w:val="center"/>
        <w:outlineLvl w:val="0"/>
        <w:rPr>
          <w:rStyle w:val="24"/>
          <w:rFonts w:ascii="黑体" w:hAnsi="黑体" w:eastAsia="黑体"/>
          <w:b w:val="0"/>
          <w:color w:val="auto"/>
          <w:highlight w:val="none"/>
        </w:rPr>
      </w:pPr>
      <w:bookmarkStart w:id="77" w:name="_Toc15377226"/>
      <w:r>
        <w:rPr>
          <w:rFonts w:ascii="宋体"/>
          <w:b/>
          <w:color w:val="auto"/>
          <w:sz w:val="44"/>
          <w:szCs w:val="44"/>
          <w:highlight w:val="none"/>
        </w:rPr>
        <w:br w:type="page"/>
      </w:r>
      <w:bookmarkStart w:id="78" w:name="_Toc15396614"/>
      <w:bookmarkStart w:id="79" w:name="_Toc29779"/>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78"/>
      <w:bookmarkEnd w:id="79"/>
    </w:p>
    <w:p w14:paraId="4C66314F">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pPr>
    </w:p>
    <w:p w14:paraId="7A6ECEF0">
      <w:pPr>
        <w:spacing w:line="600" w:lineRule="exact"/>
        <w:jc w:val="center"/>
        <w:outlineLvl w:val="1"/>
        <w:rPr>
          <w:rFonts w:hint="eastAsia" w:ascii="仿宋_GB2312" w:hAnsi="Calibri" w:eastAsia="仿宋_GB2312" w:cs="仿宋"/>
          <w:color w:val="auto"/>
          <w:kern w:val="0"/>
          <w:sz w:val="32"/>
          <w:szCs w:val="32"/>
          <w:highlight w:val="none"/>
          <w:lang w:val="en-US" w:eastAsia="zh-CN" w:bidi="ar-SA"/>
        </w:rPr>
      </w:pPr>
      <w:bookmarkStart w:id="80" w:name="_Toc579"/>
      <w:bookmarkStart w:id="81" w:name="_Toc15396618"/>
      <w:r>
        <w:rPr>
          <w:rFonts w:hint="eastAsia" w:ascii="宋体" w:hAnsi="宋体" w:eastAsia="宋体" w:cs="宋体"/>
          <w:color w:val="auto"/>
          <w:kern w:val="0"/>
          <w:sz w:val="32"/>
          <w:szCs w:val="32"/>
          <w:highlight w:val="none"/>
          <w:lang w:val="en-US" w:eastAsia="zh-CN" w:bidi="ar-SA"/>
        </w:rPr>
        <w:t>部门预算项目支出绩效自评表（2022年度）</w:t>
      </w:r>
      <w:bookmarkEnd w:id="80"/>
    </w:p>
    <w:p w14:paraId="7200604D">
      <w:pPr>
        <w:pStyle w:val="5"/>
        <w:rPr>
          <w:rFonts w:hint="eastAsia" w:ascii="仿宋_GB2312" w:hAnsi="Calibri" w:eastAsia="仿宋_GB2312" w:cs="仿宋"/>
          <w:color w:val="auto"/>
          <w:kern w:val="0"/>
          <w:sz w:val="32"/>
          <w:szCs w:val="32"/>
          <w:highlight w:val="none"/>
          <w:lang w:val="en-US" w:eastAsia="zh-CN" w:bidi="ar-SA"/>
        </w:rPr>
      </w:pPr>
    </w:p>
    <w:p w14:paraId="034D926B">
      <w:pPr>
        <w:pStyle w:val="5"/>
        <w:rPr>
          <w:rFonts w:hint="eastAsia" w:ascii="仿宋_GB2312" w:hAnsi="Calibri" w:eastAsia="仿宋_GB2312" w:cs="仿宋"/>
          <w:color w:val="auto"/>
          <w:kern w:val="0"/>
          <w:sz w:val="32"/>
          <w:szCs w:val="32"/>
          <w:highlight w:val="none"/>
          <w:lang w:val="en-US" w:eastAsia="zh-CN" w:bidi="ar-SA"/>
        </w:rPr>
      </w:pPr>
    </w:p>
    <w:p w14:paraId="534B1518">
      <w:pPr>
        <w:pStyle w:val="5"/>
        <w:rPr>
          <w:rFonts w:hint="eastAsia" w:ascii="仿宋_GB2312" w:hAnsi="Calibri" w:eastAsia="仿宋_GB2312" w:cs="仿宋"/>
          <w:color w:val="auto"/>
          <w:kern w:val="0"/>
          <w:sz w:val="32"/>
          <w:szCs w:val="32"/>
          <w:highlight w:val="none"/>
          <w:lang w:val="en-US" w:eastAsia="zh-CN" w:bidi="ar-SA"/>
        </w:rPr>
      </w:pPr>
    </w:p>
    <w:p w14:paraId="11F49EA7">
      <w:pPr>
        <w:pStyle w:val="5"/>
        <w:rPr>
          <w:rFonts w:hint="eastAsia" w:ascii="仿宋_GB2312" w:hAnsi="Calibri" w:eastAsia="仿宋_GB2312" w:cs="仿宋"/>
          <w:color w:val="auto"/>
          <w:kern w:val="0"/>
          <w:sz w:val="32"/>
          <w:szCs w:val="32"/>
          <w:highlight w:val="none"/>
          <w:lang w:val="en-US" w:eastAsia="zh-CN" w:bidi="ar-SA"/>
        </w:rPr>
      </w:pPr>
    </w:p>
    <w:p w14:paraId="5ED97D49">
      <w:pPr>
        <w:pStyle w:val="5"/>
        <w:rPr>
          <w:rFonts w:hint="eastAsia" w:ascii="仿宋_GB2312" w:hAnsi="Calibri" w:eastAsia="仿宋_GB2312" w:cs="仿宋"/>
          <w:color w:val="auto"/>
          <w:kern w:val="0"/>
          <w:sz w:val="32"/>
          <w:szCs w:val="32"/>
          <w:highlight w:val="none"/>
          <w:lang w:val="en-US" w:eastAsia="zh-CN" w:bidi="ar-SA"/>
        </w:rPr>
      </w:pPr>
    </w:p>
    <w:p w14:paraId="47D449D6">
      <w:pPr>
        <w:pStyle w:val="5"/>
        <w:rPr>
          <w:rFonts w:hint="eastAsia" w:ascii="仿宋_GB2312" w:hAnsi="Calibri" w:eastAsia="仿宋_GB2312" w:cs="仿宋"/>
          <w:color w:val="auto"/>
          <w:kern w:val="0"/>
          <w:sz w:val="32"/>
          <w:szCs w:val="32"/>
          <w:highlight w:val="none"/>
          <w:lang w:val="en-US" w:eastAsia="zh-CN" w:bidi="ar-SA"/>
        </w:rPr>
      </w:pPr>
    </w:p>
    <w:p w14:paraId="29869FAC">
      <w:pPr>
        <w:pStyle w:val="5"/>
        <w:rPr>
          <w:rFonts w:hint="eastAsia" w:ascii="仿宋_GB2312" w:hAnsi="Calibri" w:eastAsia="仿宋_GB2312" w:cs="仿宋"/>
          <w:color w:val="auto"/>
          <w:kern w:val="0"/>
          <w:sz w:val="32"/>
          <w:szCs w:val="32"/>
          <w:highlight w:val="none"/>
          <w:lang w:val="en-US" w:eastAsia="zh-CN" w:bidi="ar-SA"/>
        </w:rPr>
      </w:pPr>
    </w:p>
    <w:p w14:paraId="2792F107">
      <w:pPr>
        <w:pStyle w:val="5"/>
        <w:rPr>
          <w:rFonts w:hint="eastAsia" w:ascii="仿宋_GB2312" w:hAnsi="Calibri" w:eastAsia="仿宋_GB2312" w:cs="仿宋"/>
          <w:color w:val="auto"/>
          <w:kern w:val="0"/>
          <w:sz w:val="32"/>
          <w:szCs w:val="32"/>
          <w:highlight w:val="none"/>
          <w:lang w:val="en-US" w:eastAsia="zh-CN" w:bidi="ar-SA"/>
        </w:rPr>
      </w:pPr>
    </w:p>
    <w:p w14:paraId="3279CF87">
      <w:pPr>
        <w:pStyle w:val="5"/>
        <w:rPr>
          <w:rFonts w:hint="eastAsia" w:ascii="仿宋_GB2312" w:hAnsi="Calibri" w:eastAsia="仿宋_GB2312" w:cs="仿宋"/>
          <w:color w:val="auto"/>
          <w:kern w:val="0"/>
          <w:sz w:val="32"/>
          <w:szCs w:val="32"/>
          <w:highlight w:val="none"/>
          <w:lang w:val="en-US" w:eastAsia="zh-CN" w:bidi="ar-SA"/>
        </w:rPr>
      </w:pPr>
    </w:p>
    <w:p w14:paraId="3564F66A">
      <w:pPr>
        <w:pStyle w:val="5"/>
        <w:rPr>
          <w:rFonts w:hint="eastAsia" w:ascii="仿宋_GB2312" w:hAnsi="Calibri" w:eastAsia="仿宋_GB2312" w:cs="仿宋"/>
          <w:color w:val="auto"/>
          <w:kern w:val="0"/>
          <w:sz w:val="32"/>
          <w:szCs w:val="32"/>
          <w:highlight w:val="none"/>
          <w:lang w:val="en-US" w:eastAsia="zh-CN" w:bidi="ar-SA"/>
        </w:rPr>
      </w:pPr>
    </w:p>
    <w:p w14:paraId="61439D0E">
      <w:pPr>
        <w:pStyle w:val="5"/>
        <w:rPr>
          <w:rFonts w:hint="eastAsia" w:ascii="仿宋_GB2312" w:hAnsi="Calibri" w:eastAsia="仿宋_GB2312" w:cs="仿宋"/>
          <w:color w:val="auto"/>
          <w:kern w:val="0"/>
          <w:sz w:val="32"/>
          <w:szCs w:val="32"/>
          <w:highlight w:val="none"/>
          <w:lang w:val="en-US" w:eastAsia="zh-CN" w:bidi="ar-SA"/>
        </w:rPr>
      </w:pPr>
    </w:p>
    <w:p w14:paraId="2C9F2DD0">
      <w:pPr>
        <w:pStyle w:val="5"/>
        <w:rPr>
          <w:rFonts w:hint="eastAsia" w:ascii="仿宋_GB2312" w:hAnsi="Calibri" w:eastAsia="仿宋_GB2312" w:cs="仿宋"/>
          <w:color w:val="auto"/>
          <w:kern w:val="0"/>
          <w:sz w:val="32"/>
          <w:szCs w:val="32"/>
          <w:highlight w:val="none"/>
          <w:lang w:val="en-US" w:eastAsia="zh-CN" w:bidi="ar-SA"/>
        </w:rPr>
      </w:pPr>
    </w:p>
    <w:p w14:paraId="10DC72B4">
      <w:pPr>
        <w:spacing w:line="600" w:lineRule="exact"/>
        <w:jc w:val="center"/>
        <w:outlineLvl w:val="0"/>
        <w:rPr>
          <w:rFonts w:hint="eastAsia" w:ascii="仿宋" w:hAnsi="仿宋" w:eastAsia="仿宋"/>
          <w:b w:val="0"/>
          <w:color w:val="auto"/>
          <w:highlight w:val="none"/>
        </w:rPr>
      </w:pPr>
      <w:bookmarkStart w:id="82" w:name="_Toc12595"/>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77"/>
      <w:bookmarkEnd w:id="81"/>
      <w:bookmarkEnd w:id="82"/>
      <w:bookmarkStart w:id="83" w:name="_Toc15396619"/>
    </w:p>
    <w:p w14:paraId="1A1683EC">
      <w:pPr>
        <w:pStyle w:val="3"/>
        <w:rPr>
          <w:rFonts w:ascii="仿宋" w:hAnsi="仿宋" w:eastAsia="仿宋"/>
          <w:color w:val="auto"/>
          <w:highlight w:val="none"/>
        </w:rPr>
      </w:pPr>
      <w:bookmarkStart w:id="84" w:name="_Toc5253"/>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83"/>
      <w:bookmarkEnd w:id="84"/>
    </w:p>
    <w:p w14:paraId="22F146A8">
      <w:pPr>
        <w:pStyle w:val="3"/>
        <w:rPr>
          <w:rFonts w:ascii="仿宋" w:hAnsi="仿宋" w:eastAsia="仿宋"/>
          <w:color w:val="auto"/>
          <w:highlight w:val="none"/>
        </w:rPr>
      </w:pPr>
      <w:bookmarkStart w:id="85" w:name="_Toc15396620"/>
      <w:bookmarkStart w:id="86" w:name="_Toc25423"/>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85"/>
      <w:bookmarkEnd w:id="86"/>
    </w:p>
    <w:p w14:paraId="73CAECBA">
      <w:pPr>
        <w:pStyle w:val="3"/>
        <w:rPr>
          <w:rFonts w:ascii="仿宋" w:hAnsi="仿宋" w:eastAsia="仿宋"/>
          <w:color w:val="auto"/>
          <w:highlight w:val="none"/>
        </w:rPr>
      </w:pPr>
      <w:bookmarkStart w:id="87" w:name="_Toc15396621"/>
      <w:bookmarkStart w:id="88" w:name="_Toc19997"/>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87"/>
      <w:bookmarkEnd w:id="88"/>
    </w:p>
    <w:p w14:paraId="1A57EB63">
      <w:pPr>
        <w:pStyle w:val="3"/>
        <w:rPr>
          <w:rFonts w:ascii="仿宋" w:hAnsi="仿宋" w:eastAsia="仿宋"/>
          <w:b w:val="0"/>
          <w:color w:val="auto"/>
          <w:highlight w:val="none"/>
        </w:rPr>
      </w:pPr>
      <w:bookmarkStart w:id="89" w:name="_Toc993"/>
      <w:bookmarkStart w:id="90"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89"/>
      <w:bookmarkEnd w:id="90"/>
    </w:p>
    <w:p w14:paraId="6A690905">
      <w:pPr>
        <w:pStyle w:val="3"/>
        <w:rPr>
          <w:rStyle w:val="25"/>
          <w:rFonts w:ascii="仿宋" w:hAnsi="仿宋" w:eastAsia="仿宋"/>
          <w:b w:val="0"/>
          <w:bCs w:val="0"/>
          <w:color w:val="auto"/>
          <w:highlight w:val="none"/>
        </w:rPr>
      </w:pPr>
      <w:bookmarkStart w:id="91" w:name="_Toc15396623"/>
      <w:bookmarkStart w:id="92" w:name="_Toc19707"/>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1"/>
      <w:bookmarkEnd w:id="92"/>
      <w:bookmarkStart w:id="93" w:name="_Toc15396624"/>
    </w:p>
    <w:p w14:paraId="0636E2BF">
      <w:pPr>
        <w:pStyle w:val="3"/>
        <w:rPr>
          <w:rFonts w:ascii="仿宋" w:hAnsi="仿宋" w:eastAsia="仿宋"/>
          <w:color w:val="auto"/>
          <w:highlight w:val="none"/>
        </w:rPr>
      </w:pPr>
      <w:bookmarkStart w:id="94" w:name="_Toc2990"/>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93"/>
      <w:bookmarkEnd w:id="94"/>
    </w:p>
    <w:p w14:paraId="1CE5C8F7">
      <w:pPr>
        <w:pStyle w:val="3"/>
        <w:rPr>
          <w:rFonts w:ascii="仿宋" w:hAnsi="仿宋" w:eastAsia="仿宋"/>
          <w:color w:val="auto"/>
          <w:highlight w:val="none"/>
        </w:rPr>
      </w:pPr>
      <w:bookmarkStart w:id="95" w:name="_Toc15396625"/>
      <w:bookmarkStart w:id="96" w:name="_Toc13823"/>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95"/>
      <w:bookmarkEnd w:id="96"/>
    </w:p>
    <w:p w14:paraId="7F5FDEEE">
      <w:pPr>
        <w:pStyle w:val="3"/>
        <w:rPr>
          <w:rFonts w:ascii="仿宋" w:hAnsi="仿宋" w:eastAsia="仿宋"/>
          <w:color w:val="auto"/>
          <w:highlight w:val="none"/>
        </w:rPr>
      </w:pPr>
      <w:bookmarkStart w:id="97" w:name="_Toc15396626"/>
      <w:bookmarkStart w:id="98" w:name="_Toc9858"/>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97"/>
      <w:bookmarkEnd w:id="98"/>
    </w:p>
    <w:p w14:paraId="29A8ECFB">
      <w:pPr>
        <w:pStyle w:val="3"/>
        <w:rPr>
          <w:rFonts w:ascii="仿宋" w:hAnsi="仿宋" w:eastAsia="仿宋"/>
          <w:color w:val="auto"/>
          <w:highlight w:val="none"/>
        </w:rPr>
      </w:pPr>
      <w:bookmarkStart w:id="99" w:name="_Toc15396627"/>
      <w:bookmarkStart w:id="100" w:name="_Toc24199"/>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99"/>
      <w:bookmarkEnd w:id="100"/>
    </w:p>
    <w:p w14:paraId="2F0FFFD0">
      <w:pPr>
        <w:pStyle w:val="3"/>
        <w:rPr>
          <w:rFonts w:ascii="仿宋" w:hAnsi="仿宋" w:eastAsia="仿宋"/>
          <w:color w:val="auto"/>
          <w:highlight w:val="none"/>
        </w:rPr>
      </w:pPr>
      <w:bookmarkStart w:id="101" w:name="_Toc15396628"/>
      <w:bookmarkStart w:id="102" w:name="_Toc20983"/>
      <w:r>
        <w:rPr>
          <w:rStyle w:val="25"/>
          <w:rFonts w:hint="eastAsia" w:ascii="仿宋" w:hAnsi="仿宋" w:eastAsia="仿宋"/>
          <w:b w:val="0"/>
          <w:bCs w:val="0"/>
          <w:color w:val="auto"/>
          <w:highlight w:val="none"/>
        </w:rPr>
        <w:t>十、</w:t>
      </w:r>
      <w:bookmarkEnd w:id="101"/>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02"/>
    </w:p>
    <w:p w14:paraId="7F466F04">
      <w:pPr>
        <w:pStyle w:val="3"/>
        <w:rPr>
          <w:rFonts w:ascii="仿宋" w:hAnsi="仿宋" w:eastAsia="仿宋"/>
          <w:color w:val="auto"/>
          <w:highlight w:val="none"/>
        </w:rPr>
      </w:pPr>
      <w:bookmarkStart w:id="103" w:name="_Toc15396629"/>
      <w:bookmarkStart w:id="104" w:name="_Toc15515"/>
      <w:r>
        <w:rPr>
          <w:rStyle w:val="25"/>
          <w:rFonts w:hint="eastAsia" w:ascii="仿宋" w:hAnsi="仿宋" w:eastAsia="仿宋"/>
          <w:b w:val="0"/>
          <w:bCs w:val="0"/>
          <w:color w:val="auto"/>
          <w:highlight w:val="none"/>
        </w:rPr>
        <w:t>十一、</w:t>
      </w:r>
      <w:bookmarkEnd w:id="103"/>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04"/>
    </w:p>
    <w:p w14:paraId="789184D6">
      <w:pPr>
        <w:pStyle w:val="3"/>
        <w:rPr>
          <w:rFonts w:ascii="仿宋" w:hAnsi="仿宋" w:eastAsia="仿宋"/>
          <w:color w:val="auto"/>
          <w:highlight w:val="none"/>
        </w:rPr>
      </w:pPr>
      <w:bookmarkStart w:id="105" w:name="_Toc15396630"/>
      <w:bookmarkStart w:id="106" w:name="_Toc10118"/>
      <w:r>
        <w:rPr>
          <w:rStyle w:val="25"/>
          <w:rFonts w:hint="eastAsia" w:ascii="仿宋" w:hAnsi="仿宋" w:eastAsia="仿宋"/>
          <w:b w:val="0"/>
          <w:bCs w:val="0"/>
          <w:color w:val="auto"/>
          <w:highlight w:val="none"/>
        </w:rPr>
        <w:t>十二、</w:t>
      </w:r>
      <w:bookmarkEnd w:id="105"/>
      <w:r>
        <w:rPr>
          <w:rStyle w:val="25"/>
          <w:rFonts w:hint="eastAsia" w:ascii="仿宋" w:hAnsi="仿宋" w:eastAsia="仿宋"/>
          <w:b w:val="0"/>
          <w:bCs w:val="0"/>
          <w:color w:val="auto"/>
          <w:highlight w:val="none"/>
          <w:lang w:eastAsia="zh-CN"/>
        </w:rPr>
        <w:t>国有资本经营预算财政拨款支出决算表</w:t>
      </w:r>
      <w:bookmarkEnd w:id="106"/>
    </w:p>
    <w:p w14:paraId="1D367E15">
      <w:pPr>
        <w:pStyle w:val="3"/>
        <w:rPr>
          <w:rFonts w:hint="eastAsia" w:eastAsia="仿宋"/>
          <w:color w:val="auto"/>
          <w:highlight w:val="none"/>
          <w:lang w:eastAsia="zh-CN"/>
        </w:rPr>
      </w:pPr>
      <w:bookmarkStart w:id="107" w:name="_Toc15396631"/>
      <w:bookmarkStart w:id="108" w:name="_Toc14638"/>
      <w:r>
        <w:rPr>
          <w:rStyle w:val="25"/>
          <w:rFonts w:hint="eastAsia" w:ascii="仿宋" w:hAnsi="仿宋" w:eastAsia="仿宋"/>
          <w:b w:val="0"/>
          <w:bCs w:val="0"/>
          <w:color w:val="auto"/>
          <w:highlight w:val="none"/>
        </w:rPr>
        <w:t>十三、</w:t>
      </w:r>
      <w:bookmarkEnd w:id="107"/>
      <w:r>
        <w:rPr>
          <w:rStyle w:val="25"/>
          <w:rFonts w:hint="eastAsia" w:ascii="仿宋" w:hAnsi="仿宋" w:eastAsia="仿宋"/>
          <w:b w:val="0"/>
          <w:bCs w:val="0"/>
          <w:color w:val="auto"/>
          <w:highlight w:val="none"/>
          <w:lang w:eastAsia="zh-CN"/>
        </w:rPr>
        <w:t>财政拨款“三公”经费支出决算表</w:t>
      </w:r>
      <w:bookmarkEnd w:id="10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73F793C">
        <w:pPr>
          <w:pStyle w:val="8"/>
          <w:jc w:val="center"/>
        </w:pPr>
        <w:r>
          <w:fldChar w:fldCharType="begin"/>
        </w:r>
        <w:r>
          <w:instrText xml:space="preserve">PAGE   \* MERGEFORMAT</w:instrText>
        </w:r>
        <w:r>
          <w:fldChar w:fldCharType="separate"/>
        </w:r>
        <w:r>
          <w:rPr>
            <w:lang w:val="zh-CN"/>
          </w:rPr>
          <w:t>8</w:t>
        </w:r>
        <w:r>
          <w:fldChar w:fldCharType="end"/>
        </w:r>
      </w:p>
    </w:sdtContent>
  </w:sdt>
  <w:p w14:paraId="7232AE8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A6AA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MWMyN2JiZTUzNjM4NDhjMzFlYmMwNGRhODI1NW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26F74"/>
    <w:rsid w:val="053A62B5"/>
    <w:rsid w:val="0A2032A3"/>
    <w:rsid w:val="0B8A37D8"/>
    <w:rsid w:val="10C055FF"/>
    <w:rsid w:val="118107EC"/>
    <w:rsid w:val="11DD6519"/>
    <w:rsid w:val="1293465E"/>
    <w:rsid w:val="16BB723D"/>
    <w:rsid w:val="16C442BE"/>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1085755"/>
    <w:rsid w:val="48BF60AB"/>
    <w:rsid w:val="493C27E9"/>
    <w:rsid w:val="496F39ED"/>
    <w:rsid w:val="49FF41D3"/>
    <w:rsid w:val="4BE068DB"/>
    <w:rsid w:val="4BF6002B"/>
    <w:rsid w:val="4ECE2238"/>
    <w:rsid w:val="51DB4B86"/>
    <w:rsid w:val="55333C3E"/>
    <w:rsid w:val="5EE0568D"/>
    <w:rsid w:val="6018380F"/>
    <w:rsid w:val="64CA39A1"/>
    <w:rsid w:val="66637564"/>
    <w:rsid w:val="69630ADE"/>
    <w:rsid w:val="6AD92405"/>
    <w:rsid w:val="6C4A05C8"/>
    <w:rsid w:val="6D3B1A89"/>
    <w:rsid w:val="71BF4EC2"/>
    <w:rsid w:val="72734D90"/>
    <w:rsid w:val="7369464E"/>
    <w:rsid w:val="7412278C"/>
    <w:rsid w:val="7904082E"/>
    <w:rsid w:val="79E7B28D"/>
    <w:rsid w:val="7A1D6CAA"/>
    <w:rsid w:val="7F9F20EE"/>
    <w:rsid w:val="9E3A10E2"/>
    <w:rsid w:val="F2E1F9D4"/>
    <w:rsid w:val="F7880819"/>
    <w:rsid w:val="FD7F2C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32218024824609"/>
          <c:y val="0.1232779587405"/>
          <c:w val="0.85355"/>
          <c:h val="0.709566666666667"/>
        </c:manualLayout>
      </c:layout>
      <c:barChart>
        <c:barDir val="col"/>
        <c:grouping val="clustered"/>
        <c:varyColors val="0"/>
        <c:ser>
          <c:idx val="0"/>
          <c:order val="0"/>
          <c:tx>
            <c:strRef>
              <c:f>Sheet1!$B$1</c:f>
              <c:strCache>
                <c:ptCount val="1"/>
                <c:pt idx="0">
                  <c:v>收、支决算总计变动情况图（单位：万元）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2021年度支总计</c:v>
                </c:pt>
                <c:pt idx="1">
                  <c:v>2022年度收、支总计</c:v>
                </c:pt>
              </c:strCache>
            </c:strRef>
          </c:cat>
          <c:val>
            <c:numRef>
              <c:f>Sheet1!$B$2:$B$3</c:f>
              <c:numCache>
                <c:formatCode>General</c:formatCode>
                <c:ptCount val="2"/>
                <c:pt idx="0">
                  <c:v>677.06</c:v>
                </c:pt>
                <c:pt idx="1">
                  <c:v>582.22</c:v>
                </c:pt>
              </c:numCache>
            </c:numRef>
          </c:val>
        </c:ser>
        <c:dLbls>
          <c:showLegendKey val="0"/>
          <c:showVal val="1"/>
          <c:showCatName val="0"/>
          <c:showSerName val="0"/>
          <c:showPercent val="0"/>
          <c:showBubbleSize val="0"/>
        </c:dLbls>
        <c:gapWidth val="219"/>
        <c:overlap val="-27"/>
        <c:axId val="265468928"/>
        <c:axId val="279302144"/>
      </c:barChart>
      <c:catAx>
        <c:axId val="2654689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9302144"/>
        <c:crosses val="autoZero"/>
        <c:auto val="1"/>
        <c:lblAlgn val="ctr"/>
        <c:lblOffset val="100"/>
        <c:noMultiLvlLbl val="0"/>
      </c:catAx>
      <c:valAx>
        <c:axId val="2793021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4689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532.3</c:v>
                </c:pt>
                <c:pt idx="1">
                  <c:v>0.02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869375"/>
          <c:y val="0.9226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152.33</c:v>
                </c:pt>
                <c:pt idx="1">
                  <c:v>429.88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06201864613"/>
          <c:y val="0.02323103154305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财政拨款收、支决算总计变动情况（单位：万元）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2021年财政拨款收、支总计</c:v>
                </c:pt>
                <c:pt idx="1">
                  <c:v>2022年财政拨款收、支总计</c:v>
                </c:pt>
              </c:strCache>
            </c:strRef>
          </c:cat>
          <c:val>
            <c:numRef>
              <c:f>Sheet1!$B$2:$B$3</c:f>
              <c:numCache>
                <c:formatCode>General</c:formatCode>
                <c:ptCount val="2"/>
                <c:pt idx="0">
                  <c:v>677.04</c:v>
                </c:pt>
                <c:pt idx="1">
                  <c:v>582.2</c:v>
                </c:pt>
              </c:numCache>
            </c:numRef>
          </c:val>
        </c:ser>
        <c:dLbls>
          <c:showLegendKey val="0"/>
          <c:showVal val="1"/>
          <c:showCatName val="0"/>
          <c:showSerName val="0"/>
          <c:showPercent val="0"/>
          <c:showBubbleSize val="0"/>
        </c:dLbls>
        <c:gapWidth val="219"/>
        <c:overlap val="-27"/>
        <c:axId val="266345472"/>
        <c:axId val="266371840"/>
      </c:barChart>
      <c:catAx>
        <c:axId val="26634547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371840"/>
        <c:crosses val="autoZero"/>
        <c:auto val="1"/>
        <c:lblAlgn val="ctr"/>
        <c:lblOffset val="100"/>
        <c:noMultiLvlLbl val="0"/>
      </c:catAx>
      <c:valAx>
        <c:axId val="266371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3454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2021年一般公共预算财政拨款支出</c:v>
                </c:pt>
                <c:pt idx="1">
                  <c:v>2022年一般公共预算财政拨款支出</c:v>
                </c:pt>
              </c:strCache>
            </c:strRef>
          </c:cat>
          <c:val>
            <c:numRef>
              <c:f>Sheet1!$B$2:$B$3</c:f>
              <c:numCache>
                <c:formatCode>General</c:formatCode>
                <c:ptCount val="2"/>
                <c:pt idx="0">
                  <c:v>626.14</c:v>
                </c:pt>
                <c:pt idx="1">
                  <c:v>582.2</c:v>
                </c:pt>
              </c:numCache>
            </c:numRef>
          </c:val>
        </c:ser>
        <c:dLbls>
          <c:showLegendKey val="0"/>
          <c:showVal val="1"/>
          <c:showCatName val="0"/>
          <c:showSerName val="0"/>
          <c:showPercent val="0"/>
          <c:showBubbleSize val="0"/>
        </c:dLbls>
        <c:gapWidth val="219"/>
        <c:overlap val="-27"/>
        <c:axId val="268174080"/>
        <c:axId val="268175616"/>
      </c:barChart>
      <c:catAx>
        <c:axId val="2681740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175616"/>
        <c:crosses val="autoZero"/>
        <c:auto val="1"/>
        <c:lblAlgn val="ctr"/>
        <c:lblOffset val="100"/>
        <c:noMultiLvlLbl val="0"/>
      </c:catAx>
      <c:valAx>
        <c:axId val="2681756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1740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社会保障和就业（类）支出</c:v>
                </c:pt>
                <c:pt idx="1">
                  <c:v>卫生健康支出</c:v>
                </c:pt>
                <c:pt idx="2">
                  <c:v>自然资源海洋气象等支出</c:v>
                </c:pt>
                <c:pt idx="3">
                  <c:v>住房保障支出</c:v>
                </c:pt>
              </c:strCache>
            </c:strRef>
          </c:cat>
          <c:val>
            <c:numRef>
              <c:f>Sheet1!$B$2:$B$5</c:f>
              <c:numCache>
                <c:formatCode>General</c:formatCode>
                <c:ptCount val="4"/>
                <c:pt idx="0">
                  <c:v>16.1</c:v>
                </c:pt>
                <c:pt idx="1">
                  <c:v>4.49</c:v>
                </c:pt>
                <c:pt idx="2">
                  <c:v>551.8</c:v>
                </c:pt>
                <c:pt idx="3">
                  <c:v>9.81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0.0198217020798606"/>
                  <c:y val="0.002361736867589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公务接待费支出决算</c:v>
                </c:pt>
              </c:strCache>
            </c:strRef>
          </c:cat>
          <c:val>
            <c:numRef>
              <c:f>Sheet1!$B$2:$B$4</c:f>
              <c:numCache>
                <c:formatCode>General</c:formatCode>
                <c:ptCount val="3"/>
                <c:pt idx="0">
                  <c:v>0</c:v>
                </c:pt>
                <c:pt idx="1">
                  <c:v>14.02</c:v>
                </c:pt>
                <c:pt idx="2">
                  <c:v>0.41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15</Pages>
  <Words>4098</Words>
  <Characters>4509</Characters>
  <Lines>61</Lines>
  <Paragraphs>17</Paragraphs>
  <TotalTime>1</TotalTime>
  <ScaleCrop>false</ScaleCrop>
  <LinksUpToDate>false</LinksUpToDate>
  <CharactersWithSpaces>4619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七月风筝</cp:lastModifiedBy>
  <cp:lastPrinted>2023-07-31T10:35:00Z</cp:lastPrinted>
  <dcterms:modified xsi:type="dcterms:W3CDTF">2024-08-14T06:53:54Z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6B70361D626A4593B4A9C4A901EC4F63</vt:lpwstr>
  </property>
</Properties>
</file>