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shd w:val="clear"/>
        <w:kinsoku/>
        <w:wordWrap/>
        <w:overflowPunct/>
        <w:topLinePunct w:val="0"/>
        <w:autoSpaceDE/>
        <w:autoSpaceDN/>
        <w:bidi w:val="0"/>
        <w:spacing w:line="240" w:lineRule="auto"/>
        <w:ind w:leftChars="200" w:right="0" w:rightChars="0"/>
        <w:jc w:val="center"/>
        <w:textAlignment w:val="auto"/>
        <w:rPr>
          <w:rFonts w:hint="eastAsia" w:ascii="方正小标宋简体" w:hAnsi="方正小标宋简体" w:eastAsia="方正小标宋简体" w:cs="方正小标宋简体"/>
          <w:color w:val="auto"/>
          <w:sz w:val="52"/>
          <w:szCs w:val="52"/>
          <w:highlight w:val="none"/>
          <w:lang w:val="en-US" w:eastAsia="zh-CN"/>
        </w:rPr>
      </w:pPr>
      <w:bookmarkStart w:id="0" w:name="_Toc15378441"/>
      <w:bookmarkStart w:id="1" w:name="_Toc15396597"/>
      <w:bookmarkStart w:id="2" w:name="_Toc15377193"/>
      <w:bookmarkStart w:id="3" w:name="_Toc15377425"/>
      <w:bookmarkStart w:id="4" w:name="_Toc15396475"/>
      <w:bookmarkStart w:id="5" w:name="_Toc15306267"/>
      <w:r>
        <w:rPr>
          <w:rFonts w:hint="eastAsia" w:ascii="方正小标宋简体" w:hAnsi="方正小标宋简体" w:eastAsia="方正小标宋简体" w:cs="方正小标宋简体"/>
          <w:color w:val="auto"/>
          <w:sz w:val="52"/>
          <w:szCs w:val="52"/>
          <w:highlight w:val="none"/>
          <w:lang w:val="en-US" w:eastAsia="zh-CN"/>
        </w:rPr>
        <w:t>2022年度</w:t>
      </w:r>
      <w:bookmarkEnd w:id="0"/>
      <w:bookmarkEnd w:id="1"/>
      <w:bookmarkEnd w:id="2"/>
      <w:bookmarkEnd w:id="3"/>
      <w:bookmarkEnd w:id="4"/>
    </w:p>
    <w:p>
      <w:pPr>
        <w:pageBreakBefore w:val="0"/>
        <w:widowControl w:val="0"/>
        <w:numPr>
          <w:ilvl w:val="0"/>
          <w:numId w:val="0"/>
        </w:numPr>
        <w:shd w:val="clear"/>
        <w:kinsoku/>
        <w:wordWrap/>
        <w:overflowPunct/>
        <w:topLinePunct w:val="0"/>
        <w:autoSpaceDE/>
        <w:autoSpaceDN/>
        <w:bidi w:val="0"/>
        <w:spacing w:line="240" w:lineRule="auto"/>
        <w:ind w:leftChars="200" w:right="0" w:rightChars="0"/>
        <w:jc w:val="center"/>
        <w:textAlignment w:val="auto"/>
        <w:outlineLvl w:val="0"/>
        <w:rPr>
          <w:rFonts w:hint="eastAsia" w:ascii="方正小标宋简体" w:hAnsi="方正小标宋简体" w:eastAsia="方正小标宋简体" w:cs="方正小标宋简体"/>
          <w:color w:val="auto"/>
          <w:sz w:val="52"/>
          <w:szCs w:val="52"/>
          <w:highlight w:val="none"/>
        </w:rPr>
      </w:pPr>
      <w:bookmarkStart w:id="6" w:name="_Toc23926"/>
      <w:bookmarkStart w:id="7" w:name="_Toc15377194"/>
      <w:bookmarkStart w:id="8" w:name="_Toc15396598"/>
      <w:bookmarkStart w:id="9" w:name="_Toc15378442"/>
      <w:bookmarkStart w:id="10" w:name="_Toc15396476"/>
      <w:bookmarkStart w:id="11" w:name="_Toc15377426"/>
      <w:r>
        <w:rPr>
          <w:rFonts w:hint="eastAsia" w:ascii="方正小标宋简体" w:hAnsi="方正小标宋简体" w:eastAsia="方正小标宋简体" w:cs="方正小标宋简体"/>
          <w:color w:val="auto"/>
          <w:sz w:val="52"/>
          <w:szCs w:val="52"/>
          <w:highlight w:val="none"/>
          <w:lang w:eastAsia="zh-CN"/>
        </w:rPr>
        <w:t>广元市</w:t>
      </w:r>
      <w:bookmarkEnd w:id="5"/>
      <w:bookmarkStart w:id="12" w:name="_Toc15306268"/>
      <w:r>
        <w:rPr>
          <w:rFonts w:hint="eastAsia" w:ascii="方正小标宋简体" w:hAnsi="方正小标宋简体" w:eastAsia="方正小标宋简体" w:cs="方正小标宋简体"/>
          <w:color w:val="auto"/>
          <w:sz w:val="52"/>
          <w:szCs w:val="52"/>
          <w:highlight w:val="none"/>
          <w:lang w:val="en-US" w:eastAsia="zh-CN"/>
        </w:rPr>
        <w:t>自然资源局</w:t>
      </w:r>
      <w:r>
        <w:rPr>
          <w:rFonts w:hint="eastAsia" w:ascii="方正小标宋简体" w:hAnsi="方正小标宋简体" w:eastAsia="方正小标宋简体" w:cs="方正小标宋简体"/>
          <w:color w:val="auto"/>
          <w:sz w:val="52"/>
          <w:szCs w:val="52"/>
          <w:highlight w:val="none"/>
        </w:rPr>
        <w:t>部门决算</w:t>
      </w:r>
      <w:bookmarkEnd w:id="6"/>
      <w:bookmarkEnd w:id="7"/>
      <w:bookmarkEnd w:id="8"/>
      <w:bookmarkEnd w:id="9"/>
      <w:bookmarkEnd w:id="10"/>
      <w:bookmarkEnd w:id="11"/>
      <w:bookmarkEnd w:id="12"/>
    </w:p>
    <w:p>
      <w:pPr>
        <w:shd w:val="clea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br w:type="page"/>
      </w:r>
    </w:p>
    <w:p>
      <w:pPr>
        <w:pageBreakBefore w:val="0"/>
        <w:widowControl w:val="0"/>
        <w:numPr>
          <w:ilvl w:val="0"/>
          <w:numId w:val="0"/>
        </w:numPr>
        <w:shd w:val="clear"/>
        <w:kinsoku/>
        <w:wordWrap/>
        <w:overflowPunct/>
        <w:topLinePunct w:val="0"/>
        <w:autoSpaceDE/>
        <w:autoSpaceDN/>
        <w:bidi w:val="0"/>
        <w:spacing w:line="240" w:lineRule="auto"/>
        <w:ind w:leftChars="200" w:right="0" w:rightChars="0"/>
        <w:jc w:val="center"/>
        <w:textAlignment w:val="auto"/>
        <w:rPr>
          <w:rFonts w:hint="eastAsia" w:ascii="仿宋_GB2312" w:hAnsi="仿宋_GB2312" w:eastAsia="仿宋_GB2312" w:cs="仿宋_GB2312"/>
          <w:color w:val="auto"/>
          <w:sz w:val="32"/>
          <w:szCs w:val="32"/>
          <w:highlight w:val="none"/>
        </w:rPr>
      </w:pPr>
      <w:r>
        <w:rPr>
          <w:rFonts w:hint="eastAsia" w:ascii="方正小标宋_GBK" w:hAnsi="方正小标宋_GBK" w:eastAsia="方正小标宋_GBK" w:cs="方正小标宋_GBK"/>
          <w:color w:val="auto"/>
          <w:sz w:val="44"/>
          <w:szCs w:val="44"/>
          <w:highlight w:val="none"/>
        </w:rPr>
        <w:t>目录</w:t>
      </w:r>
    </w:p>
    <w:p>
      <w:pPr>
        <w:pageBreakBefore w:val="0"/>
        <w:widowControl w:val="0"/>
        <w:numPr>
          <w:ilvl w:val="0"/>
          <w:numId w:val="0"/>
        </w:numPr>
        <w:shd w:val="clear"/>
        <w:kinsoku/>
        <w:wordWrap/>
        <w:overflowPunct/>
        <w:topLinePunct w:val="0"/>
        <w:autoSpaceDE/>
        <w:autoSpaceDN/>
        <w:bidi w:val="0"/>
        <w:spacing w:line="576" w:lineRule="exact"/>
        <w:ind w:right="0" w:right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p>
    <w:sdt>
      <w:sdtPr>
        <w:rPr>
          <w:rFonts w:ascii="宋体" w:hAnsi="宋体" w:eastAsia="宋体" w:cs="Times New Roman"/>
          <w:color w:val="auto"/>
          <w:kern w:val="2"/>
          <w:sz w:val="21"/>
          <w:szCs w:val="24"/>
          <w:highlight w:val="none"/>
          <w:lang w:val="en-US" w:eastAsia="zh-CN" w:bidi="ar-SA"/>
        </w:rPr>
        <w:id w:val="147461371"/>
        <w15:color w:val="DBDBDB"/>
        <w:docPartObj>
          <w:docPartGallery w:val="Table of Contents"/>
          <w:docPartUnique/>
        </w:docPartObj>
      </w:sdtPr>
      <w:sdtEndPr>
        <w:rPr>
          <w:rFonts w:hint="eastAsia" w:ascii="Calibri" w:hAnsi="Calibri" w:eastAsia="宋体" w:cs="Times New Roman"/>
          <w:b/>
          <w:color w:val="auto"/>
          <w:kern w:val="2"/>
          <w:sz w:val="21"/>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color w:val="auto"/>
              <w:highlight w:val="none"/>
            </w:rPr>
          </w:pPr>
        </w:p>
        <w:p>
          <w:pPr>
            <w:pStyle w:val="37"/>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b/>
              <w:color w:val="auto"/>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r>
            <w:rPr>
              <w:rFonts w:hint="eastAsia"/>
              <w:b/>
              <w:color w:val="auto"/>
              <w:highlight w:val="none"/>
            </w:rPr>
            <w:fldChar w:fldCharType="begin"/>
          </w:r>
          <w:r>
            <w:rPr>
              <w:rFonts w:hint="eastAsia"/>
              <w:b/>
              <w:color w:val="auto"/>
              <w:highlight w:val="none"/>
            </w:rPr>
            <w:instrText xml:space="preserve"> HYPERLINK \l _Toc30764 </w:instrText>
          </w:r>
          <w:r>
            <w:rPr>
              <w:rFonts w:hint="eastAsia"/>
              <w:b/>
              <w:color w:val="auto"/>
              <w:highlight w:val="none"/>
            </w:rPr>
            <w:fldChar w:fldCharType="separate"/>
          </w:r>
          <w:r>
            <w:rPr>
              <w:rFonts w:hint="eastAsia" w:ascii="黑体" w:hAnsi="黑体" w:eastAsia="黑体" w:cstheme="minorBidi"/>
              <w:b/>
              <w:bCs w:val="0"/>
              <w:color w:val="auto"/>
              <w:highlight w:val="none"/>
            </w:rPr>
            <w:t>第一部分部门概况</w:t>
          </w:r>
          <w:r>
            <w:rPr>
              <w:b/>
              <w:color w:val="auto"/>
              <w:highlight w:val="none"/>
            </w:rPr>
            <w:tab/>
          </w:r>
          <w:r>
            <w:rPr>
              <w:b/>
              <w:color w:val="auto"/>
              <w:highlight w:val="none"/>
            </w:rPr>
            <w:fldChar w:fldCharType="begin"/>
          </w:r>
          <w:r>
            <w:rPr>
              <w:b/>
              <w:color w:val="auto"/>
              <w:highlight w:val="none"/>
            </w:rPr>
            <w:instrText xml:space="preserve"> PAGEREF _Toc30764 \h </w:instrText>
          </w:r>
          <w:r>
            <w:rPr>
              <w:b/>
              <w:color w:val="auto"/>
              <w:highlight w:val="none"/>
            </w:rPr>
            <w:fldChar w:fldCharType="separate"/>
          </w:r>
          <w:r>
            <w:rPr>
              <w:b/>
              <w:color w:val="auto"/>
              <w:highlight w:val="none"/>
            </w:rPr>
            <w:t>1</w:t>
          </w:r>
          <w:r>
            <w:rPr>
              <w:b/>
              <w:color w:val="auto"/>
              <w:highlight w:val="none"/>
            </w:rPr>
            <w:fldChar w:fldCharType="end"/>
          </w:r>
          <w:r>
            <w:rPr>
              <w:rFonts w:hint="eastAsia"/>
              <w:b/>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_Toc27201 </w:instrText>
          </w:r>
          <w:r>
            <w:rPr>
              <w:rFonts w:hint="eastAsia"/>
              <w:color w:val="auto"/>
              <w:highlight w:val="none"/>
            </w:rPr>
            <w:fldChar w:fldCharType="separate"/>
          </w:r>
          <w:r>
            <w:rPr>
              <w:rFonts w:hint="eastAsia" w:ascii="黑体" w:hAnsi="黑体" w:eastAsia="黑体" w:cs="黑体"/>
              <w:color w:val="auto"/>
              <w:szCs w:val="32"/>
              <w:highlight w:val="none"/>
              <w:lang w:val="en-US" w:eastAsia="zh-CN"/>
            </w:rPr>
            <w:t>一、部门职责</w:t>
          </w:r>
          <w:r>
            <w:rPr>
              <w:color w:val="auto"/>
              <w:highlight w:val="none"/>
            </w:rPr>
            <w:tab/>
          </w:r>
          <w:r>
            <w:rPr>
              <w:color w:val="auto"/>
              <w:highlight w:val="none"/>
            </w:rPr>
            <w:fldChar w:fldCharType="begin"/>
          </w:r>
          <w:r>
            <w:rPr>
              <w:color w:val="auto"/>
              <w:highlight w:val="none"/>
            </w:rPr>
            <w:instrText xml:space="preserve"> PAGEREF _Toc27201 \h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_Toc21914 </w:instrText>
          </w:r>
          <w:r>
            <w:rPr>
              <w:rFonts w:hint="eastAsia"/>
              <w:color w:val="auto"/>
              <w:highlight w:val="none"/>
            </w:rPr>
            <w:fldChar w:fldCharType="separate"/>
          </w:r>
          <w:r>
            <w:rPr>
              <w:rFonts w:hint="eastAsia" w:ascii="黑体" w:hAnsi="黑体" w:eastAsia="黑体" w:cs="黑体"/>
              <w:color w:val="auto"/>
              <w:szCs w:val="32"/>
              <w:highlight w:val="none"/>
            </w:rPr>
            <w:t>二、机</w:t>
          </w:r>
          <w:r>
            <w:rPr>
              <w:rFonts w:hint="eastAsia" w:ascii="黑体" w:hAnsi="黑体" w:eastAsia="黑体" w:cs="黑体"/>
              <w:bCs w:val="0"/>
              <w:color w:val="auto"/>
              <w:szCs w:val="32"/>
              <w:highlight w:val="none"/>
            </w:rPr>
            <w:t>构设置</w:t>
          </w:r>
          <w:r>
            <w:rPr>
              <w:color w:val="auto"/>
              <w:highlight w:val="none"/>
            </w:rPr>
            <w:tab/>
          </w:r>
          <w:r>
            <w:rPr>
              <w:color w:val="auto"/>
              <w:highlight w:val="none"/>
            </w:rPr>
            <w:fldChar w:fldCharType="begin"/>
          </w:r>
          <w:r>
            <w:rPr>
              <w:color w:val="auto"/>
              <w:highlight w:val="none"/>
            </w:rPr>
            <w:instrText xml:space="preserve"> PAGEREF _Toc21914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37"/>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b/>
              <w:color w:val="auto"/>
              <w:highlight w:val="none"/>
            </w:rPr>
          </w:pPr>
          <w:r>
            <w:rPr>
              <w:rFonts w:hint="eastAsia"/>
              <w:b/>
              <w:color w:val="auto"/>
              <w:highlight w:val="none"/>
            </w:rPr>
            <w:fldChar w:fldCharType="begin"/>
          </w:r>
          <w:r>
            <w:rPr>
              <w:rFonts w:hint="eastAsia"/>
              <w:b/>
              <w:color w:val="auto"/>
              <w:highlight w:val="none"/>
            </w:rPr>
            <w:instrText xml:space="preserve"> HYPERLINK \l _Toc627 </w:instrText>
          </w:r>
          <w:r>
            <w:rPr>
              <w:rFonts w:hint="eastAsia"/>
              <w:b/>
              <w:color w:val="auto"/>
              <w:highlight w:val="none"/>
            </w:rPr>
            <w:fldChar w:fldCharType="separate"/>
          </w:r>
          <w:r>
            <w:rPr>
              <w:rFonts w:hint="eastAsia" w:ascii="黑体" w:hAnsi="黑体" w:eastAsia="黑体" w:cstheme="minorBidi"/>
              <w:b/>
              <w:bCs/>
              <w:color w:val="auto"/>
              <w:highlight w:val="none"/>
            </w:rPr>
            <w:t>第二部分</w:t>
          </w:r>
          <w:r>
            <w:rPr>
              <w:rFonts w:hint="eastAsia" w:ascii="黑体" w:hAnsi="黑体" w:eastAsia="黑体" w:cstheme="minorBidi"/>
              <w:b/>
              <w:bCs/>
              <w:color w:val="auto"/>
              <w:highlight w:val="none"/>
              <w:lang w:val="en-US" w:eastAsia="zh-CN"/>
            </w:rPr>
            <w:t>2022年度</w:t>
          </w:r>
          <w:r>
            <w:rPr>
              <w:rFonts w:hint="eastAsia" w:ascii="黑体" w:hAnsi="黑体" w:eastAsia="黑体" w:cstheme="minorBidi"/>
              <w:b/>
              <w:bCs/>
              <w:color w:val="auto"/>
              <w:highlight w:val="none"/>
            </w:rPr>
            <w:t>部门决算情况说明</w:t>
          </w:r>
          <w:r>
            <w:rPr>
              <w:b/>
              <w:color w:val="auto"/>
              <w:highlight w:val="none"/>
            </w:rPr>
            <w:tab/>
          </w:r>
          <w:r>
            <w:rPr>
              <w:b/>
              <w:color w:val="auto"/>
              <w:highlight w:val="none"/>
            </w:rPr>
            <w:fldChar w:fldCharType="begin"/>
          </w:r>
          <w:r>
            <w:rPr>
              <w:b/>
              <w:color w:val="auto"/>
              <w:highlight w:val="none"/>
            </w:rPr>
            <w:instrText xml:space="preserve"> PAGEREF _Toc627 \h </w:instrText>
          </w:r>
          <w:r>
            <w:rPr>
              <w:b/>
              <w:color w:val="auto"/>
              <w:highlight w:val="none"/>
            </w:rPr>
            <w:fldChar w:fldCharType="separate"/>
          </w:r>
          <w:r>
            <w:rPr>
              <w:b/>
              <w:color w:val="auto"/>
              <w:highlight w:val="none"/>
            </w:rPr>
            <w:t>6</w:t>
          </w:r>
          <w:r>
            <w:rPr>
              <w:b/>
              <w:color w:val="auto"/>
              <w:highlight w:val="none"/>
            </w:rPr>
            <w:fldChar w:fldCharType="end"/>
          </w:r>
          <w:r>
            <w:rPr>
              <w:rFonts w:hint="eastAsia"/>
              <w:b/>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_Toc21546 </w:instrText>
          </w:r>
          <w:r>
            <w:rPr>
              <w:rFonts w:hint="eastAsia"/>
              <w:color w:val="auto"/>
              <w:highlight w:val="none"/>
            </w:rPr>
            <w:fldChar w:fldCharType="separate"/>
          </w:r>
          <w:r>
            <w:rPr>
              <w:rFonts w:hint="eastAsia" w:ascii="黑体" w:hAnsi="黑体" w:eastAsia="黑体"/>
              <w:color w:val="auto"/>
              <w:szCs w:val="32"/>
              <w:highlight w:val="none"/>
              <w:lang w:eastAsia="zh-CN"/>
            </w:rPr>
            <w:t>一、</w:t>
          </w:r>
          <w:r>
            <w:rPr>
              <w:rFonts w:hint="eastAsia" w:ascii="黑体" w:hAnsi="黑体" w:eastAsia="黑体"/>
              <w:color w:val="auto"/>
              <w:szCs w:val="32"/>
              <w:highlight w:val="none"/>
            </w:rPr>
            <w:t>收</w:t>
          </w:r>
          <w:r>
            <w:rPr>
              <w:rFonts w:hint="eastAsia" w:ascii="黑体" w:hAnsi="黑体" w:eastAsia="黑体"/>
              <w:color w:val="auto"/>
              <w:highlight w:val="none"/>
            </w:rPr>
            <w:t>入支出决算总体情况说明</w:t>
          </w:r>
          <w:r>
            <w:rPr>
              <w:color w:val="auto"/>
              <w:highlight w:val="none"/>
            </w:rPr>
            <w:tab/>
          </w:r>
          <w:r>
            <w:rPr>
              <w:color w:val="auto"/>
              <w:highlight w:val="none"/>
            </w:rPr>
            <w:fldChar w:fldCharType="begin"/>
          </w:r>
          <w:r>
            <w:rPr>
              <w:color w:val="auto"/>
              <w:highlight w:val="none"/>
            </w:rPr>
            <w:instrText xml:space="preserve"> PAGEREF _Toc21546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_Toc8410 </w:instrText>
          </w:r>
          <w:r>
            <w:rPr>
              <w:rFonts w:hint="eastAsia"/>
              <w:color w:val="auto"/>
              <w:highlight w:val="none"/>
            </w:rPr>
            <w:fldChar w:fldCharType="separate"/>
          </w:r>
          <w:r>
            <w:rPr>
              <w:rFonts w:hint="eastAsia" w:ascii="黑体" w:hAnsi="黑体" w:eastAsia="黑体"/>
              <w:color w:val="auto"/>
              <w:szCs w:val="32"/>
              <w:highlight w:val="none"/>
              <w:lang w:eastAsia="zh-CN"/>
            </w:rPr>
            <w:t>二、</w:t>
          </w:r>
          <w:r>
            <w:rPr>
              <w:rFonts w:hint="eastAsia" w:ascii="黑体" w:hAnsi="黑体" w:eastAsia="黑体"/>
              <w:color w:val="auto"/>
              <w:szCs w:val="32"/>
              <w:highlight w:val="none"/>
            </w:rPr>
            <w:t>收</w:t>
          </w:r>
          <w:r>
            <w:rPr>
              <w:rFonts w:hint="eastAsia" w:ascii="黑体" w:hAnsi="黑体" w:eastAsia="黑体"/>
              <w:color w:val="auto"/>
              <w:highlight w:val="none"/>
            </w:rPr>
            <w:t>入决算情况说明</w:t>
          </w:r>
          <w:r>
            <w:rPr>
              <w:color w:val="auto"/>
              <w:highlight w:val="none"/>
            </w:rPr>
            <w:tab/>
          </w:r>
          <w:r>
            <w:rPr>
              <w:color w:val="auto"/>
              <w:highlight w:val="none"/>
            </w:rPr>
            <w:fldChar w:fldCharType="begin"/>
          </w:r>
          <w:r>
            <w:rPr>
              <w:color w:val="auto"/>
              <w:highlight w:val="none"/>
            </w:rPr>
            <w:instrText xml:space="preserve"> PAGEREF _Toc8410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_Toc630 </w:instrText>
          </w:r>
          <w:r>
            <w:rPr>
              <w:rFonts w:hint="eastAsia"/>
              <w:color w:val="auto"/>
              <w:highlight w:val="none"/>
            </w:rPr>
            <w:fldChar w:fldCharType="separate"/>
          </w:r>
          <w:r>
            <w:rPr>
              <w:rFonts w:hint="eastAsia" w:ascii="黑体" w:hAnsi="黑体" w:eastAsia="黑体"/>
              <w:color w:val="auto"/>
              <w:szCs w:val="32"/>
              <w:highlight w:val="none"/>
              <w:lang w:eastAsia="zh-CN"/>
            </w:rPr>
            <w:t>三、</w:t>
          </w:r>
          <w:r>
            <w:rPr>
              <w:rFonts w:hint="eastAsia" w:ascii="黑体" w:hAnsi="黑体" w:eastAsia="黑体"/>
              <w:color w:val="auto"/>
              <w:szCs w:val="32"/>
              <w:highlight w:val="none"/>
            </w:rPr>
            <w:t>支</w:t>
          </w:r>
          <w:r>
            <w:rPr>
              <w:rFonts w:hint="eastAsia" w:ascii="黑体" w:hAnsi="黑体" w:eastAsia="黑体"/>
              <w:color w:val="auto"/>
              <w:highlight w:val="none"/>
            </w:rPr>
            <w:t>出决算情况说明</w:t>
          </w:r>
          <w:r>
            <w:rPr>
              <w:color w:val="auto"/>
              <w:highlight w:val="none"/>
            </w:rPr>
            <w:tab/>
          </w:r>
          <w:r>
            <w:rPr>
              <w:color w:val="auto"/>
              <w:highlight w:val="none"/>
            </w:rPr>
            <w:fldChar w:fldCharType="begin"/>
          </w:r>
          <w:r>
            <w:rPr>
              <w:color w:val="auto"/>
              <w:highlight w:val="none"/>
            </w:rPr>
            <w:instrText xml:space="preserve"> PAGEREF _Toc630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_Toc17959 </w:instrText>
          </w:r>
          <w:r>
            <w:rPr>
              <w:rFonts w:hint="eastAsia"/>
              <w:color w:val="auto"/>
              <w:highlight w:val="none"/>
            </w:rPr>
            <w:fldChar w:fldCharType="separate"/>
          </w:r>
          <w:r>
            <w:rPr>
              <w:rFonts w:hint="eastAsia" w:ascii="黑体" w:hAnsi="黑体" w:eastAsia="黑体"/>
              <w:color w:val="auto"/>
              <w:szCs w:val="32"/>
              <w:highlight w:val="none"/>
            </w:rPr>
            <w:t>四、财</w:t>
          </w:r>
          <w:r>
            <w:rPr>
              <w:rFonts w:hint="eastAsia" w:ascii="黑体" w:hAnsi="黑体" w:eastAsia="黑体"/>
              <w:color w:val="auto"/>
              <w:highlight w:val="none"/>
            </w:rPr>
            <w:t>政拨款收入支出决算总体情况说明</w:t>
          </w:r>
          <w:r>
            <w:rPr>
              <w:color w:val="auto"/>
              <w:highlight w:val="none"/>
            </w:rPr>
            <w:tab/>
          </w:r>
          <w:r>
            <w:rPr>
              <w:color w:val="auto"/>
              <w:highlight w:val="none"/>
            </w:rPr>
            <w:fldChar w:fldCharType="begin"/>
          </w:r>
          <w:r>
            <w:rPr>
              <w:color w:val="auto"/>
              <w:highlight w:val="none"/>
            </w:rPr>
            <w:instrText xml:space="preserve"> PAGEREF _Toc17959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_Toc19150 </w:instrText>
          </w:r>
          <w:r>
            <w:rPr>
              <w:rFonts w:hint="eastAsia"/>
              <w:color w:val="auto"/>
              <w:highlight w:val="none"/>
            </w:rPr>
            <w:fldChar w:fldCharType="separate"/>
          </w:r>
          <w:r>
            <w:rPr>
              <w:rFonts w:hint="eastAsia" w:ascii="黑体" w:hAnsi="黑体" w:eastAsia="黑体"/>
              <w:color w:val="auto"/>
              <w:szCs w:val="32"/>
              <w:highlight w:val="none"/>
            </w:rPr>
            <w:t>五、一</w:t>
          </w:r>
          <w:r>
            <w:rPr>
              <w:rFonts w:hint="eastAsia" w:ascii="黑体" w:hAnsi="黑体" w:eastAsia="黑体"/>
              <w:color w:val="auto"/>
              <w:highlight w:val="none"/>
            </w:rPr>
            <w:t>般公共预算财政拨款支出决算情况说明</w:t>
          </w:r>
          <w:r>
            <w:rPr>
              <w:color w:val="auto"/>
              <w:highlight w:val="none"/>
            </w:rPr>
            <w:tab/>
          </w:r>
          <w:r>
            <w:rPr>
              <w:color w:val="auto"/>
              <w:highlight w:val="none"/>
            </w:rPr>
            <w:fldChar w:fldCharType="begin"/>
          </w:r>
          <w:r>
            <w:rPr>
              <w:color w:val="auto"/>
              <w:highlight w:val="none"/>
            </w:rPr>
            <w:instrText xml:space="preserve"> PAGEREF _Toc19150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_Toc23181 </w:instrText>
          </w:r>
          <w:r>
            <w:rPr>
              <w:rFonts w:hint="eastAsia"/>
              <w:color w:val="auto"/>
              <w:highlight w:val="none"/>
            </w:rPr>
            <w:fldChar w:fldCharType="separate"/>
          </w:r>
          <w:r>
            <w:rPr>
              <w:rFonts w:hint="eastAsia" w:ascii="黑体" w:eastAsia="黑体"/>
              <w:color w:val="auto"/>
              <w:szCs w:val="32"/>
              <w:highlight w:val="none"/>
            </w:rPr>
            <w:t>六、</w:t>
          </w:r>
          <w:r>
            <w:rPr>
              <w:rFonts w:hint="eastAsia" w:ascii="黑体" w:hAnsi="黑体" w:eastAsia="黑体"/>
              <w:color w:val="auto"/>
              <w:szCs w:val="32"/>
              <w:highlight w:val="none"/>
            </w:rPr>
            <w:t>一</w:t>
          </w:r>
          <w:r>
            <w:rPr>
              <w:rFonts w:hint="eastAsia" w:ascii="黑体" w:hAnsi="黑体" w:eastAsia="黑体"/>
              <w:color w:val="auto"/>
              <w:highlight w:val="none"/>
            </w:rPr>
            <w:t>般公共预算财政拨款基本支出决算情况说明</w:t>
          </w:r>
          <w:r>
            <w:rPr>
              <w:color w:val="auto"/>
              <w:highlight w:val="none"/>
            </w:rPr>
            <w:tab/>
          </w:r>
          <w:r>
            <w:rPr>
              <w:color w:val="auto"/>
              <w:highlight w:val="none"/>
            </w:rPr>
            <w:fldChar w:fldCharType="begin"/>
          </w:r>
          <w:r>
            <w:rPr>
              <w:color w:val="auto"/>
              <w:highlight w:val="none"/>
            </w:rPr>
            <w:instrText xml:space="preserve"> PAGEREF _Toc23181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_Toc25735 </w:instrText>
          </w:r>
          <w:r>
            <w:rPr>
              <w:rFonts w:hint="eastAsia"/>
              <w:color w:val="auto"/>
              <w:highlight w:val="none"/>
            </w:rPr>
            <w:fldChar w:fldCharType="separate"/>
          </w:r>
          <w:r>
            <w:rPr>
              <w:rFonts w:hint="eastAsia" w:ascii="黑体" w:eastAsia="黑体"/>
              <w:color w:val="auto"/>
              <w:szCs w:val="32"/>
              <w:highlight w:val="none"/>
            </w:rPr>
            <w:t>七、</w:t>
          </w:r>
          <w:r>
            <w:rPr>
              <w:rFonts w:hint="eastAsia" w:ascii="黑体" w:hAnsi="黑体" w:eastAsia="黑体"/>
              <w:color w:val="auto"/>
              <w:highlight w:val="none"/>
            </w:rPr>
            <w:t>财政拨款“三公”经费支出决算情况说明</w:t>
          </w:r>
          <w:r>
            <w:rPr>
              <w:color w:val="auto"/>
              <w:highlight w:val="none"/>
            </w:rPr>
            <w:tab/>
          </w:r>
          <w:r>
            <w:rPr>
              <w:color w:val="auto"/>
              <w:highlight w:val="none"/>
            </w:rPr>
            <w:fldChar w:fldCharType="begin"/>
          </w:r>
          <w:r>
            <w:rPr>
              <w:color w:val="auto"/>
              <w:highlight w:val="none"/>
            </w:rPr>
            <w:instrText xml:space="preserve"> PAGEREF _Toc25735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_Toc24925 </w:instrText>
          </w:r>
          <w:r>
            <w:rPr>
              <w:rFonts w:hint="eastAsia"/>
              <w:color w:val="auto"/>
              <w:highlight w:val="none"/>
            </w:rPr>
            <w:fldChar w:fldCharType="separate"/>
          </w:r>
          <w:r>
            <w:rPr>
              <w:rFonts w:hint="eastAsia" w:ascii="黑体" w:eastAsia="黑体"/>
              <w:color w:val="auto"/>
              <w:szCs w:val="32"/>
              <w:highlight w:val="none"/>
            </w:rPr>
            <w:t>八、</w:t>
          </w:r>
          <w:r>
            <w:rPr>
              <w:rFonts w:hint="eastAsia" w:ascii="黑体" w:hAnsi="黑体" w:eastAsia="黑体"/>
              <w:color w:val="auto"/>
              <w:highlight w:val="none"/>
            </w:rPr>
            <w:t>政府性基金预算支出决算情况说明</w:t>
          </w:r>
          <w:r>
            <w:rPr>
              <w:color w:val="auto"/>
              <w:highlight w:val="none"/>
            </w:rPr>
            <w:tab/>
          </w:r>
          <w:r>
            <w:rPr>
              <w:color w:val="auto"/>
              <w:highlight w:val="none"/>
            </w:rPr>
            <w:fldChar w:fldCharType="begin"/>
          </w:r>
          <w:r>
            <w:rPr>
              <w:color w:val="auto"/>
              <w:highlight w:val="none"/>
            </w:rPr>
            <w:instrText xml:space="preserve"> PAGEREF _Toc24925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_Toc4864 </w:instrText>
          </w:r>
          <w:r>
            <w:rPr>
              <w:rFonts w:hint="eastAsia"/>
              <w:color w:val="auto"/>
              <w:highlight w:val="none"/>
            </w:rPr>
            <w:fldChar w:fldCharType="separate"/>
          </w:r>
          <w:r>
            <w:rPr>
              <w:rFonts w:hint="eastAsia" w:ascii="黑体" w:hAnsi="黑体" w:eastAsia="黑体"/>
              <w:color w:val="auto"/>
              <w:highlight w:val="none"/>
            </w:rPr>
            <w:t>九、国有资本经营预算支出决算情况说明</w:t>
          </w:r>
          <w:r>
            <w:rPr>
              <w:color w:val="auto"/>
              <w:highlight w:val="none"/>
            </w:rPr>
            <w:tab/>
          </w:r>
          <w:r>
            <w:rPr>
              <w:color w:val="auto"/>
              <w:highlight w:val="none"/>
            </w:rPr>
            <w:fldChar w:fldCharType="begin"/>
          </w:r>
          <w:r>
            <w:rPr>
              <w:color w:val="auto"/>
              <w:highlight w:val="none"/>
            </w:rPr>
            <w:instrText xml:space="preserve"> PAGEREF _Toc4864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_Toc23636 </w:instrText>
          </w:r>
          <w:r>
            <w:rPr>
              <w:rFonts w:hint="eastAsia"/>
              <w:color w:val="auto"/>
              <w:highlight w:val="none"/>
            </w:rPr>
            <w:fldChar w:fldCharType="separate"/>
          </w:r>
          <w:r>
            <w:rPr>
              <w:rFonts w:hint="eastAsia" w:ascii="黑体" w:hAnsi="黑体" w:eastAsia="黑体"/>
              <w:color w:val="auto"/>
              <w:highlight w:val="none"/>
            </w:rPr>
            <w:t>十、其他重要事项的情况说明</w:t>
          </w:r>
          <w:r>
            <w:rPr>
              <w:color w:val="auto"/>
              <w:highlight w:val="none"/>
            </w:rPr>
            <w:tab/>
          </w:r>
          <w:r>
            <w:rPr>
              <w:color w:val="auto"/>
              <w:highlight w:val="none"/>
            </w:rPr>
            <w:fldChar w:fldCharType="begin"/>
          </w:r>
          <w:r>
            <w:rPr>
              <w:color w:val="auto"/>
              <w:highlight w:val="none"/>
            </w:rPr>
            <w:instrText xml:space="preserve"> PAGEREF _Toc23636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37"/>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b/>
              <w:color w:val="auto"/>
              <w:highlight w:val="none"/>
            </w:rPr>
          </w:pPr>
          <w:r>
            <w:rPr>
              <w:rFonts w:hint="eastAsia"/>
              <w:b/>
              <w:color w:val="auto"/>
              <w:highlight w:val="none"/>
            </w:rPr>
            <w:fldChar w:fldCharType="begin"/>
          </w:r>
          <w:r>
            <w:rPr>
              <w:rFonts w:hint="eastAsia"/>
              <w:b/>
              <w:color w:val="auto"/>
              <w:highlight w:val="none"/>
            </w:rPr>
            <w:instrText xml:space="preserve"> HYPERLINK \l _Toc8591 </w:instrText>
          </w:r>
          <w:r>
            <w:rPr>
              <w:rFonts w:hint="eastAsia"/>
              <w:b/>
              <w:color w:val="auto"/>
              <w:highlight w:val="none"/>
            </w:rPr>
            <w:fldChar w:fldCharType="separate"/>
          </w:r>
          <w:r>
            <w:rPr>
              <w:rFonts w:hint="eastAsia" w:ascii="黑体" w:hAnsi="黑体" w:eastAsia="黑体"/>
              <w:b/>
              <w:color w:val="auto"/>
              <w:szCs w:val="44"/>
              <w:highlight w:val="none"/>
              <w:lang w:eastAsia="zh-CN"/>
            </w:rPr>
            <w:t>第三部分</w:t>
          </w:r>
          <w:r>
            <w:rPr>
              <w:rFonts w:hint="eastAsia" w:ascii="黑体" w:hAnsi="黑体" w:eastAsia="黑体"/>
              <w:b/>
              <w:color w:val="auto"/>
              <w:szCs w:val="44"/>
              <w:highlight w:val="none"/>
            </w:rPr>
            <w:t>名</w:t>
          </w:r>
          <w:r>
            <w:rPr>
              <w:rFonts w:hint="eastAsia" w:ascii="黑体" w:hAnsi="黑体" w:eastAsia="黑体"/>
              <w:b/>
              <w:color w:val="auto"/>
              <w:highlight w:val="none"/>
            </w:rPr>
            <w:t>词解释</w:t>
          </w:r>
          <w:r>
            <w:rPr>
              <w:b/>
              <w:color w:val="auto"/>
              <w:highlight w:val="none"/>
            </w:rPr>
            <w:tab/>
          </w:r>
          <w:r>
            <w:rPr>
              <w:b/>
              <w:color w:val="auto"/>
              <w:highlight w:val="none"/>
            </w:rPr>
            <w:fldChar w:fldCharType="begin"/>
          </w:r>
          <w:r>
            <w:rPr>
              <w:b/>
              <w:color w:val="auto"/>
              <w:highlight w:val="none"/>
            </w:rPr>
            <w:instrText xml:space="preserve"> PAGEREF _Toc8591 \h </w:instrText>
          </w:r>
          <w:r>
            <w:rPr>
              <w:b/>
              <w:color w:val="auto"/>
              <w:highlight w:val="none"/>
            </w:rPr>
            <w:fldChar w:fldCharType="separate"/>
          </w:r>
          <w:r>
            <w:rPr>
              <w:b/>
              <w:color w:val="auto"/>
              <w:highlight w:val="none"/>
            </w:rPr>
            <w:t>17</w:t>
          </w:r>
          <w:r>
            <w:rPr>
              <w:b/>
              <w:color w:val="auto"/>
              <w:highlight w:val="none"/>
            </w:rPr>
            <w:fldChar w:fldCharType="end"/>
          </w:r>
          <w:r>
            <w:rPr>
              <w:rFonts w:hint="eastAsia"/>
              <w:b/>
              <w:color w:val="auto"/>
              <w:highlight w:val="none"/>
            </w:rPr>
            <w:fldChar w:fldCharType="end"/>
          </w:r>
        </w:p>
        <w:p>
          <w:pPr>
            <w:pStyle w:val="37"/>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b/>
              <w:color w:val="auto"/>
              <w:highlight w:val="none"/>
            </w:rPr>
          </w:pPr>
          <w:r>
            <w:rPr>
              <w:rFonts w:hint="eastAsia"/>
              <w:b/>
              <w:color w:val="auto"/>
              <w:highlight w:val="none"/>
            </w:rPr>
            <w:fldChar w:fldCharType="begin"/>
          </w:r>
          <w:r>
            <w:rPr>
              <w:rFonts w:hint="eastAsia"/>
              <w:b/>
              <w:color w:val="auto"/>
              <w:highlight w:val="none"/>
            </w:rPr>
            <w:instrText xml:space="preserve"> HYPERLINK \l _Toc4498 </w:instrText>
          </w:r>
          <w:r>
            <w:rPr>
              <w:rFonts w:hint="eastAsia"/>
              <w:b/>
              <w:color w:val="auto"/>
              <w:highlight w:val="none"/>
            </w:rPr>
            <w:fldChar w:fldCharType="separate"/>
          </w:r>
          <w:r>
            <w:rPr>
              <w:rFonts w:hint="eastAsia" w:ascii="黑体" w:hAnsi="黑体" w:eastAsia="黑体"/>
              <w:b/>
              <w:color w:val="auto"/>
              <w:szCs w:val="44"/>
              <w:highlight w:val="none"/>
            </w:rPr>
            <w:t>第</w:t>
          </w:r>
          <w:r>
            <w:rPr>
              <w:rFonts w:hint="eastAsia" w:ascii="黑体" w:hAnsi="黑体" w:eastAsia="黑体"/>
              <w:b/>
              <w:color w:val="auto"/>
              <w:highlight w:val="none"/>
            </w:rPr>
            <w:t>四部分附件</w:t>
          </w:r>
          <w:r>
            <w:rPr>
              <w:b/>
              <w:color w:val="auto"/>
              <w:highlight w:val="none"/>
            </w:rPr>
            <w:tab/>
          </w:r>
          <w:r>
            <w:rPr>
              <w:b/>
              <w:color w:val="auto"/>
              <w:highlight w:val="none"/>
            </w:rPr>
            <w:fldChar w:fldCharType="begin"/>
          </w:r>
          <w:r>
            <w:rPr>
              <w:b/>
              <w:color w:val="auto"/>
              <w:highlight w:val="none"/>
            </w:rPr>
            <w:instrText xml:space="preserve"> PAGEREF _Toc4498 \h </w:instrText>
          </w:r>
          <w:r>
            <w:rPr>
              <w:b/>
              <w:color w:val="auto"/>
              <w:highlight w:val="none"/>
            </w:rPr>
            <w:fldChar w:fldCharType="separate"/>
          </w:r>
          <w:r>
            <w:rPr>
              <w:b/>
              <w:color w:val="auto"/>
              <w:highlight w:val="none"/>
            </w:rPr>
            <w:t>22</w:t>
          </w:r>
          <w:r>
            <w:rPr>
              <w:b/>
              <w:color w:val="auto"/>
              <w:highlight w:val="none"/>
            </w:rPr>
            <w:fldChar w:fldCharType="end"/>
          </w:r>
          <w:r>
            <w:rPr>
              <w:rFonts w:hint="eastAsia"/>
              <w:b/>
              <w:color w:val="auto"/>
              <w:highlight w:val="none"/>
            </w:rPr>
            <w:fldChar w:fldCharType="end"/>
          </w:r>
        </w:p>
        <w:p>
          <w:pPr>
            <w:pStyle w:val="37"/>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b/>
              <w:color w:val="auto"/>
              <w:highlight w:val="none"/>
            </w:rPr>
          </w:pPr>
          <w:r>
            <w:rPr>
              <w:rFonts w:hint="eastAsia"/>
              <w:b/>
              <w:color w:val="auto"/>
              <w:highlight w:val="none"/>
            </w:rPr>
            <w:fldChar w:fldCharType="begin"/>
          </w:r>
          <w:r>
            <w:rPr>
              <w:rFonts w:hint="eastAsia"/>
              <w:b/>
              <w:color w:val="auto"/>
              <w:highlight w:val="none"/>
            </w:rPr>
            <w:instrText xml:space="preserve"> HYPERLINK \l _Toc21652 </w:instrText>
          </w:r>
          <w:r>
            <w:rPr>
              <w:rFonts w:hint="eastAsia"/>
              <w:b/>
              <w:color w:val="auto"/>
              <w:highlight w:val="none"/>
            </w:rPr>
            <w:fldChar w:fldCharType="separate"/>
          </w:r>
          <w:r>
            <w:rPr>
              <w:rFonts w:hint="eastAsia" w:ascii="黑体" w:hAnsi="黑体" w:eastAsia="黑体"/>
              <w:b/>
              <w:color w:val="auto"/>
              <w:szCs w:val="44"/>
              <w:highlight w:val="none"/>
            </w:rPr>
            <w:t>第</w:t>
          </w:r>
          <w:r>
            <w:rPr>
              <w:rFonts w:hint="eastAsia" w:ascii="黑体" w:hAnsi="黑体" w:eastAsia="黑体"/>
              <w:b/>
              <w:color w:val="auto"/>
              <w:highlight w:val="none"/>
            </w:rPr>
            <w:t>五部分附表</w:t>
          </w:r>
          <w:r>
            <w:rPr>
              <w:b/>
              <w:color w:val="auto"/>
              <w:highlight w:val="none"/>
            </w:rPr>
            <w:tab/>
          </w:r>
          <w:r>
            <w:rPr>
              <w:b/>
              <w:color w:val="auto"/>
              <w:highlight w:val="none"/>
            </w:rPr>
            <w:fldChar w:fldCharType="begin"/>
          </w:r>
          <w:r>
            <w:rPr>
              <w:b/>
              <w:color w:val="auto"/>
              <w:highlight w:val="none"/>
            </w:rPr>
            <w:instrText xml:space="preserve"> PAGEREF _Toc21652 \h </w:instrText>
          </w:r>
          <w:r>
            <w:rPr>
              <w:b/>
              <w:color w:val="auto"/>
              <w:highlight w:val="none"/>
            </w:rPr>
            <w:fldChar w:fldCharType="separate"/>
          </w:r>
          <w:r>
            <w:rPr>
              <w:b/>
              <w:color w:val="auto"/>
              <w:highlight w:val="none"/>
            </w:rPr>
            <w:t>23</w:t>
          </w:r>
          <w:r>
            <w:rPr>
              <w:b/>
              <w:color w:val="auto"/>
              <w:highlight w:val="none"/>
            </w:rPr>
            <w:fldChar w:fldCharType="end"/>
          </w:r>
          <w:r>
            <w:rPr>
              <w:rFonts w:hint="eastAsia"/>
              <w:b/>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_Toc26924 </w:instrText>
          </w:r>
          <w:r>
            <w:rPr>
              <w:rFonts w:hint="eastAsia"/>
              <w:color w:val="auto"/>
              <w:highlight w:val="none"/>
            </w:rPr>
            <w:fldChar w:fldCharType="separate"/>
          </w:r>
          <w:r>
            <w:rPr>
              <w:rFonts w:hint="eastAsia" w:ascii="仿宋_GB2312" w:hAnsi="仿宋_GB2312" w:eastAsia="仿宋_GB2312" w:cs="仿宋_GB2312"/>
              <w:color w:val="auto"/>
              <w:highlight w:val="none"/>
            </w:rPr>
            <w:t>一、收</w:t>
          </w:r>
          <w:r>
            <w:rPr>
              <w:rFonts w:hint="eastAsia" w:ascii="仿宋_GB2312" w:hAnsi="仿宋_GB2312" w:eastAsia="仿宋_GB2312" w:cs="仿宋_GB2312"/>
              <w:bCs w:val="0"/>
              <w:color w:val="auto"/>
              <w:highlight w:val="none"/>
            </w:rPr>
            <w:t>入支出决算总表</w:t>
          </w:r>
          <w:r>
            <w:rPr>
              <w:color w:val="auto"/>
              <w:highlight w:val="none"/>
            </w:rPr>
            <w:tab/>
          </w:r>
          <w:r>
            <w:rPr>
              <w:color w:val="auto"/>
              <w:highlight w:val="none"/>
            </w:rPr>
            <w:fldChar w:fldCharType="begin"/>
          </w:r>
          <w:r>
            <w:rPr>
              <w:color w:val="auto"/>
              <w:highlight w:val="none"/>
            </w:rPr>
            <w:instrText xml:space="preserve"> PAGEREF _Toc26924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_Toc28094 </w:instrText>
          </w:r>
          <w:r>
            <w:rPr>
              <w:rFonts w:hint="eastAsia"/>
              <w:color w:val="auto"/>
              <w:highlight w:val="none"/>
            </w:rPr>
            <w:fldChar w:fldCharType="separate"/>
          </w:r>
          <w:r>
            <w:rPr>
              <w:rFonts w:hint="eastAsia" w:ascii="仿宋_GB2312" w:hAnsi="仿宋_GB2312" w:eastAsia="仿宋_GB2312" w:cs="仿宋_GB2312"/>
              <w:color w:val="auto"/>
              <w:highlight w:val="none"/>
            </w:rPr>
            <w:t>二、收</w:t>
          </w:r>
          <w:r>
            <w:rPr>
              <w:rFonts w:hint="eastAsia" w:ascii="仿宋_GB2312" w:hAnsi="仿宋_GB2312" w:eastAsia="仿宋_GB2312" w:cs="仿宋_GB2312"/>
              <w:bCs w:val="0"/>
              <w:color w:val="auto"/>
              <w:highlight w:val="none"/>
            </w:rPr>
            <w:t>入决算表</w:t>
          </w:r>
          <w:r>
            <w:rPr>
              <w:color w:val="auto"/>
              <w:highlight w:val="none"/>
            </w:rPr>
            <w:tab/>
          </w:r>
          <w:r>
            <w:rPr>
              <w:color w:val="auto"/>
              <w:highlight w:val="none"/>
            </w:rPr>
            <w:fldChar w:fldCharType="begin"/>
          </w:r>
          <w:r>
            <w:rPr>
              <w:color w:val="auto"/>
              <w:highlight w:val="none"/>
            </w:rPr>
            <w:instrText xml:space="preserve"> PAGEREF _Toc28094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_Toc18285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三、</w:t>
          </w:r>
          <w:r>
            <w:rPr>
              <w:rFonts w:hint="eastAsia" w:ascii="仿宋_GB2312" w:hAnsi="仿宋_GB2312" w:eastAsia="仿宋_GB2312" w:cs="仿宋_GB2312"/>
              <w:color w:val="auto"/>
              <w:highlight w:val="none"/>
            </w:rPr>
            <w:t>支</w:t>
          </w:r>
          <w:r>
            <w:rPr>
              <w:rFonts w:hint="eastAsia" w:ascii="仿宋_GB2312" w:hAnsi="仿宋_GB2312" w:eastAsia="仿宋_GB2312" w:cs="仿宋_GB2312"/>
              <w:bCs w:val="0"/>
              <w:color w:val="auto"/>
              <w:highlight w:val="none"/>
            </w:rPr>
            <w:t>出决算表</w:t>
          </w:r>
          <w:r>
            <w:rPr>
              <w:color w:val="auto"/>
              <w:highlight w:val="none"/>
            </w:rPr>
            <w:tab/>
          </w:r>
          <w:r>
            <w:rPr>
              <w:color w:val="auto"/>
              <w:highlight w:val="none"/>
            </w:rPr>
            <w:fldChar w:fldCharType="begin"/>
          </w:r>
          <w:r>
            <w:rPr>
              <w:color w:val="auto"/>
              <w:highlight w:val="none"/>
            </w:rPr>
            <w:instrText xml:space="preserve"> PAGEREF _Toc18285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_Toc14558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四、</w:t>
          </w:r>
          <w:r>
            <w:rPr>
              <w:rFonts w:hint="eastAsia" w:ascii="仿宋_GB2312" w:hAnsi="仿宋_GB2312" w:eastAsia="仿宋_GB2312" w:cs="仿宋_GB2312"/>
              <w:color w:val="auto"/>
              <w:highlight w:val="none"/>
            </w:rPr>
            <w:t>财</w:t>
          </w:r>
          <w:r>
            <w:rPr>
              <w:rFonts w:hint="eastAsia" w:ascii="仿宋_GB2312" w:hAnsi="仿宋_GB2312" w:eastAsia="仿宋_GB2312" w:cs="仿宋_GB2312"/>
              <w:bCs w:val="0"/>
              <w:color w:val="auto"/>
              <w:highlight w:val="none"/>
            </w:rPr>
            <w:t>政拨款收入支出决算总表</w:t>
          </w:r>
          <w:r>
            <w:rPr>
              <w:color w:val="auto"/>
              <w:highlight w:val="none"/>
            </w:rPr>
            <w:tab/>
          </w:r>
          <w:r>
            <w:rPr>
              <w:color w:val="auto"/>
              <w:highlight w:val="none"/>
            </w:rPr>
            <w:fldChar w:fldCharType="begin"/>
          </w:r>
          <w:r>
            <w:rPr>
              <w:color w:val="auto"/>
              <w:highlight w:val="none"/>
            </w:rPr>
            <w:instrText xml:space="preserve"> PAGEREF _Toc14558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_Toc2813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五、</w:t>
          </w:r>
          <w:r>
            <w:rPr>
              <w:rFonts w:hint="eastAsia" w:ascii="仿宋_GB2312" w:hAnsi="仿宋_GB2312" w:eastAsia="仿宋_GB2312" w:cs="仿宋_GB2312"/>
              <w:color w:val="auto"/>
              <w:highlight w:val="none"/>
            </w:rPr>
            <w:t>财</w:t>
          </w:r>
          <w:r>
            <w:rPr>
              <w:rFonts w:hint="eastAsia" w:ascii="仿宋_GB2312" w:hAnsi="仿宋_GB2312" w:eastAsia="仿宋_GB2312" w:cs="仿宋_GB2312"/>
              <w:bCs w:val="0"/>
              <w:color w:val="auto"/>
              <w:highlight w:val="none"/>
            </w:rPr>
            <w:t>政拨款支出决算明细表</w:t>
          </w:r>
          <w:r>
            <w:rPr>
              <w:color w:val="auto"/>
              <w:highlight w:val="none"/>
            </w:rPr>
            <w:tab/>
          </w:r>
          <w:r>
            <w:rPr>
              <w:color w:val="auto"/>
              <w:highlight w:val="none"/>
            </w:rPr>
            <w:fldChar w:fldCharType="begin"/>
          </w:r>
          <w:r>
            <w:rPr>
              <w:color w:val="auto"/>
              <w:highlight w:val="none"/>
            </w:rPr>
            <w:instrText xml:space="preserve"> PAGEREF _Toc2813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_Toc31612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六、</w:t>
          </w:r>
          <w:r>
            <w:rPr>
              <w:rFonts w:hint="eastAsia" w:ascii="仿宋_GB2312" w:hAnsi="仿宋_GB2312" w:eastAsia="仿宋_GB2312" w:cs="仿宋_GB2312"/>
              <w:color w:val="auto"/>
              <w:highlight w:val="none"/>
            </w:rPr>
            <w:t>一</w:t>
          </w:r>
          <w:r>
            <w:rPr>
              <w:rFonts w:hint="eastAsia" w:ascii="仿宋_GB2312" w:hAnsi="仿宋_GB2312" w:eastAsia="仿宋_GB2312" w:cs="仿宋_GB2312"/>
              <w:bCs w:val="0"/>
              <w:color w:val="auto"/>
              <w:highlight w:val="none"/>
            </w:rPr>
            <w:t>般公共预算财政拨款支出决算表</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_Toc9942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七、</w:t>
          </w:r>
          <w:r>
            <w:rPr>
              <w:rFonts w:hint="eastAsia" w:ascii="仿宋_GB2312" w:hAnsi="仿宋_GB2312" w:eastAsia="仿宋_GB2312" w:cs="仿宋_GB2312"/>
              <w:color w:val="auto"/>
              <w:highlight w:val="none"/>
            </w:rPr>
            <w:t>一</w:t>
          </w:r>
          <w:r>
            <w:rPr>
              <w:rFonts w:hint="eastAsia" w:ascii="仿宋_GB2312" w:hAnsi="仿宋_GB2312" w:eastAsia="仿宋_GB2312" w:cs="仿宋_GB2312"/>
              <w:bCs w:val="0"/>
              <w:color w:val="auto"/>
              <w:highlight w:val="none"/>
            </w:rPr>
            <w:t>般公共预算财政拨款支出决算明细表</w:t>
          </w:r>
          <w:r>
            <w:rPr>
              <w:color w:val="auto"/>
              <w:highlight w:val="none"/>
            </w:rPr>
            <w:tab/>
          </w:r>
          <w:r>
            <w:rPr>
              <w:color w:val="auto"/>
              <w:highlight w:val="none"/>
            </w:rPr>
            <w:fldChar w:fldCharType="begin"/>
          </w:r>
          <w:r>
            <w:rPr>
              <w:color w:val="auto"/>
              <w:highlight w:val="none"/>
            </w:rPr>
            <w:instrText xml:space="preserve"> PAGEREF _Toc9942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_Toc23027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八、</w:t>
          </w:r>
          <w:r>
            <w:rPr>
              <w:rFonts w:hint="eastAsia" w:ascii="仿宋_GB2312" w:hAnsi="仿宋_GB2312" w:eastAsia="仿宋_GB2312" w:cs="仿宋_GB2312"/>
              <w:color w:val="auto"/>
              <w:highlight w:val="none"/>
            </w:rPr>
            <w:t>一</w:t>
          </w:r>
          <w:r>
            <w:rPr>
              <w:rFonts w:hint="eastAsia" w:ascii="仿宋_GB2312" w:hAnsi="仿宋_GB2312" w:eastAsia="仿宋_GB2312" w:cs="仿宋_GB2312"/>
              <w:bCs w:val="0"/>
              <w:color w:val="auto"/>
              <w:highlight w:val="none"/>
            </w:rPr>
            <w:t>般公共预算财政拨款基本支出决算表</w:t>
          </w:r>
          <w:r>
            <w:rPr>
              <w:color w:val="auto"/>
              <w:highlight w:val="none"/>
            </w:rPr>
            <w:tab/>
          </w:r>
          <w:r>
            <w:rPr>
              <w:color w:val="auto"/>
              <w:highlight w:val="none"/>
            </w:rPr>
            <w:fldChar w:fldCharType="begin"/>
          </w:r>
          <w:r>
            <w:rPr>
              <w:color w:val="auto"/>
              <w:highlight w:val="none"/>
            </w:rPr>
            <w:instrText xml:space="preserve"> PAGEREF _Toc23027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_Toc24077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九、</w:t>
          </w:r>
          <w:r>
            <w:rPr>
              <w:rFonts w:hint="eastAsia" w:ascii="仿宋_GB2312" w:hAnsi="仿宋_GB2312" w:eastAsia="仿宋_GB2312" w:cs="仿宋_GB2312"/>
              <w:color w:val="auto"/>
              <w:highlight w:val="none"/>
            </w:rPr>
            <w:t>一</w:t>
          </w:r>
          <w:r>
            <w:rPr>
              <w:rFonts w:hint="eastAsia" w:ascii="仿宋_GB2312" w:hAnsi="仿宋_GB2312" w:eastAsia="仿宋_GB2312" w:cs="仿宋_GB2312"/>
              <w:bCs w:val="0"/>
              <w:color w:val="auto"/>
              <w:highlight w:val="none"/>
            </w:rPr>
            <w:t>般公共预算财政拨款项目支出决算表</w:t>
          </w:r>
          <w:r>
            <w:rPr>
              <w:color w:val="auto"/>
              <w:highlight w:val="none"/>
            </w:rPr>
            <w:tab/>
          </w:r>
          <w:r>
            <w:rPr>
              <w:color w:val="auto"/>
              <w:highlight w:val="none"/>
            </w:rPr>
            <w:fldChar w:fldCharType="begin"/>
          </w:r>
          <w:r>
            <w:rPr>
              <w:color w:val="auto"/>
              <w:highlight w:val="none"/>
            </w:rPr>
            <w:instrText xml:space="preserve"> PAGEREF _Toc24077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_Toc668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十、</w:t>
          </w:r>
          <w:r>
            <w:rPr>
              <w:rFonts w:hint="eastAsia" w:ascii="仿宋_GB2312" w:hAnsi="仿宋_GB2312" w:eastAsia="仿宋_GB2312" w:cs="仿宋_GB2312"/>
              <w:color w:val="auto"/>
              <w:highlight w:val="none"/>
            </w:rPr>
            <w:t>政</w:t>
          </w:r>
          <w:r>
            <w:rPr>
              <w:rFonts w:hint="eastAsia" w:ascii="仿宋_GB2312" w:hAnsi="仿宋_GB2312" w:eastAsia="仿宋_GB2312" w:cs="仿宋_GB2312"/>
              <w:bCs w:val="0"/>
              <w:color w:val="auto"/>
              <w:highlight w:val="none"/>
            </w:rPr>
            <w:t>府性基金预算财政拨款收入支出决算表</w:t>
          </w:r>
          <w:r>
            <w:rPr>
              <w:color w:val="auto"/>
              <w:highlight w:val="none"/>
            </w:rPr>
            <w:tab/>
          </w:r>
          <w:r>
            <w:rPr>
              <w:color w:val="auto"/>
              <w:highlight w:val="none"/>
            </w:rPr>
            <w:fldChar w:fldCharType="begin"/>
          </w:r>
          <w:r>
            <w:rPr>
              <w:color w:val="auto"/>
              <w:highlight w:val="none"/>
            </w:rPr>
            <w:instrText xml:space="preserve"> PAGEREF _Toc668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_Toc9925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十一、</w:t>
          </w:r>
          <w:r>
            <w:rPr>
              <w:rFonts w:hint="eastAsia" w:ascii="仿宋_GB2312" w:hAnsi="仿宋_GB2312" w:eastAsia="仿宋_GB2312" w:cs="仿宋_GB2312"/>
              <w:color w:val="auto"/>
              <w:highlight w:val="none"/>
            </w:rPr>
            <w:t>国</w:t>
          </w:r>
          <w:r>
            <w:rPr>
              <w:rFonts w:hint="eastAsia" w:ascii="仿宋_GB2312" w:hAnsi="仿宋_GB2312" w:eastAsia="仿宋_GB2312" w:cs="仿宋_GB2312"/>
              <w:bCs w:val="0"/>
              <w:color w:val="auto"/>
              <w:highlight w:val="none"/>
            </w:rPr>
            <w:t>有资本经营预算</w:t>
          </w:r>
          <w:r>
            <w:rPr>
              <w:rFonts w:hint="eastAsia" w:ascii="仿宋_GB2312" w:hAnsi="仿宋_GB2312" w:eastAsia="仿宋_GB2312" w:cs="仿宋_GB2312"/>
              <w:bCs w:val="0"/>
              <w:color w:val="auto"/>
              <w:highlight w:val="none"/>
              <w:lang w:eastAsia="zh-CN"/>
            </w:rPr>
            <w:t>财政拨款收入</w:t>
          </w:r>
          <w:r>
            <w:rPr>
              <w:rFonts w:hint="eastAsia" w:ascii="仿宋_GB2312" w:hAnsi="仿宋_GB2312" w:eastAsia="仿宋_GB2312" w:cs="仿宋_GB2312"/>
              <w:bCs w:val="0"/>
              <w:color w:val="auto"/>
              <w:highlight w:val="none"/>
            </w:rPr>
            <w:t>支出决算表</w:t>
          </w:r>
          <w:r>
            <w:rPr>
              <w:color w:val="auto"/>
              <w:highlight w:val="none"/>
            </w:rPr>
            <w:tab/>
          </w:r>
          <w:r>
            <w:rPr>
              <w:color w:val="auto"/>
              <w:highlight w:val="none"/>
            </w:rPr>
            <w:fldChar w:fldCharType="begin"/>
          </w:r>
          <w:r>
            <w:rPr>
              <w:color w:val="auto"/>
              <w:highlight w:val="none"/>
            </w:rPr>
            <w:instrText xml:space="preserve"> PAGEREF _Toc9925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_Toc22396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十二、</w:t>
          </w:r>
          <w:r>
            <w:rPr>
              <w:rFonts w:hint="eastAsia" w:ascii="仿宋_GB2312" w:hAnsi="仿宋_GB2312" w:eastAsia="仿宋_GB2312" w:cs="仿宋_GB2312"/>
              <w:bCs w:val="0"/>
              <w:color w:val="auto"/>
              <w:highlight w:val="none"/>
              <w:lang w:eastAsia="zh-CN"/>
            </w:rPr>
            <w:t>国有资本经营预算财政拨款支出决算表</w:t>
          </w:r>
          <w:r>
            <w:rPr>
              <w:color w:val="auto"/>
              <w:highlight w:val="none"/>
            </w:rPr>
            <w:tab/>
          </w:r>
          <w:r>
            <w:rPr>
              <w:color w:val="auto"/>
              <w:highlight w:val="none"/>
            </w:rPr>
            <w:fldChar w:fldCharType="begin"/>
          </w:r>
          <w:r>
            <w:rPr>
              <w:color w:val="auto"/>
              <w:highlight w:val="none"/>
            </w:rPr>
            <w:instrText xml:space="preserve"> PAGEREF _Toc22396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38"/>
            <w:keepNext w:val="0"/>
            <w:keepLines w:val="0"/>
            <w:pageBreakBefore w:val="0"/>
            <w:shd w:val="clear"/>
            <w:tabs>
              <w:tab w:val="right" w:leader="dot" w:pos="8845"/>
            </w:tabs>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fldChar w:fldCharType="begin"/>
          </w:r>
          <w:r>
            <w:rPr>
              <w:rFonts w:hint="eastAsia"/>
              <w:color w:val="auto"/>
              <w:highlight w:val="none"/>
            </w:rPr>
            <w:instrText xml:space="preserve"> HYPERLINK \l _Toc13747 </w:instrText>
          </w:r>
          <w:r>
            <w:rPr>
              <w:rFonts w:hint="eastAsia"/>
              <w:color w:val="auto"/>
              <w:highlight w:val="none"/>
            </w:rPr>
            <w:fldChar w:fldCharType="separate"/>
          </w:r>
          <w:r>
            <w:rPr>
              <w:rFonts w:hint="eastAsia" w:ascii="仿宋_GB2312" w:hAnsi="仿宋_GB2312" w:eastAsia="仿宋_GB2312" w:cs="仿宋_GB2312"/>
              <w:bCs w:val="0"/>
              <w:color w:val="auto"/>
              <w:highlight w:val="none"/>
            </w:rPr>
            <w:t>十三、</w:t>
          </w:r>
          <w:r>
            <w:rPr>
              <w:rFonts w:hint="eastAsia" w:ascii="仿宋_GB2312" w:hAnsi="仿宋_GB2312" w:eastAsia="仿宋_GB2312" w:cs="仿宋_GB2312"/>
              <w:bCs w:val="0"/>
              <w:color w:val="auto"/>
              <w:highlight w:val="none"/>
              <w:lang w:eastAsia="zh-CN"/>
            </w:rPr>
            <w:t>财政拨款“三公”经费支出决算表</w:t>
          </w:r>
          <w:r>
            <w:rPr>
              <w:color w:val="auto"/>
              <w:highlight w:val="none"/>
            </w:rPr>
            <w:tab/>
          </w:r>
          <w:r>
            <w:rPr>
              <w:color w:val="auto"/>
              <w:highlight w:val="none"/>
            </w:rPr>
            <w:fldChar w:fldCharType="begin"/>
          </w:r>
          <w:r>
            <w:rPr>
              <w:color w:val="auto"/>
              <w:highlight w:val="none"/>
            </w:rPr>
            <w:instrText xml:space="preserve"> PAGEREF _Toc13747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2"/>
            <w:keepNext w:val="0"/>
            <w:keepLines w:val="0"/>
            <w:pageBreakBefore w:val="0"/>
            <w:shd w:val="clear"/>
            <w:kinsoku/>
            <w:wordWrap/>
            <w:overflowPunct/>
            <w:topLinePunct w:val="0"/>
            <w:autoSpaceDE/>
            <w:autoSpaceDN/>
            <w:bidi w:val="0"/>
            <w:adjustRightInd/>
            <w:snapToGrid/>
            <w:spacing w:line="340" w:lineRule="exact"/>
            <w:ind w:left="0" w:leftChars="0" w:firstLine="0" w:firstLineChars="0"/>
            <w:textAlignment w:val="auto"/>
            <w:rPr>
              <w:rFonts w:hint="eastAsia"/>
              <w:color w:val="auto"/>
              <w:highlight w:val="none"/>
            </w:rPr>
          </w:pPr>
          <w:r>
            <w:rPr>
              <w:rFonts w:hint="eastAsia"/>
              <w:b/>
              <w:color w:val="auto"/>
              <w:highlight w:val="none"/>
            </w:rPr>
            <w:fldChar w:fldCharType="end"/>
          </w:r>
        </w:p>
      </w:sdtContent>
    </w:sdt>
    <w:p>
      <w:pPr>
        <w:pStyle w:val="2"/>
        <w:shd w:val="clear"/>
        <w:rPr>
          <w:rFonts w:hint="eastAsia"/>
          <w:color w:val="auto"/>
          <w:highlight w:val="none"/>
          <w:lang w:eastAsia="zh-CN"/>
        </w:rPr>
        <w:sectPr>
          <w:pgSz w:w="11906" w:h="16838"/>
          <w:pgMar w:top="2098" w:right="1474" w:bottom="1984" w:left="1587" w:header="851" w:footer="992" w:gutter="0"/>
          <w:pgNumType w:fmt="decimal" w:start="1"/>
          <w:cols w:space="0" w:num="1"/>
          <w:titlePg/>
          <w:rtlGutter w:val="0"/>
          <w:docGrid w:type="lines" w:linePitch="312" w:charSpace="0"/>
        </w:sectPr>
      </w:pPr>
    </w:p>
    <w:p>
      <w:pPr>
        <w:pStyle w:val="2"/>
        <w:shd w:val="clear"/>
        <w:rPr>
          <w:rFonts w:hint="eastAsia"/>
          <w:color w:val="auto"/>
          <w:highlight w:val="none"/>
          <w:lang w:eastAsia="zh-CN"/>
        </w:rPr>
      </w:pPr>
    </w:p>
    <w:p>
      <w:pPr>
        <w:pageBreakBefore w:val="0"/>
        <w:widowControl w:val="0"/>
        <w:shd w:val="clear"/>
        <w:kinsoku/>
        <w:wordWrap/>
        <w:overflowPunct/>
        <w:topLinePunct w:val="0"/>
        <w:bidi w:val="0"/>
        <w:spacing w:line="576" w:lineRule="exact"/>
        <w:jc w:val="center"/>
        <w:textAlignment w:val="auto"/>
        <w:rPr>
          <w:rStyle w:val="21"/>
          <w:rFonts w:hint="eastAsia" w:ascii="黑体" w:hAnsi="黑体" w:eastAsia="黑体" w:cstheme="minorBidi"/>
          <w:b w:val="0"/>
          <w:bCs w:val="0"/>
          <w:color w:val="auto"/>
          <w:highlight w:val="none"/>
        </w:rPr>
      </w:pPr>
      <w:bookmarkStart w:id="13" w:name="_Toc15377196"/>
      <w:bookmarkStart w:id="14" w:name="_Toc30764"/>
      <w:bookmarkStart w:id="15" w:name="_Toc15396599"/>
      <w:r>
        <w:rPr>
          <w:rStyle w:val="21"/>
          <w:rFonts w:hint="eastAsia" w:ascii="黑体" w:hAnsi="黑体" w:eastAsia="黑体" w:cstheme="minorBidi"/>
          <w:b w:val="0"/>
          <w:bCs w:val="0"/>
          <w:color w:val="auto"/>
          <w:highlight w:val="none"/>
        </w:rPr>
        <w:t>第一部分部门概况</w:t>
      </w:r>
      <w:bookmarkEnd w:id="13"/>
      <w:bookmarkEnd w:id="14"/>
      <w:bookmarkEnd w:id="15"/>
    </w:p>
    <w:p>
      <w:pPr>
        <w:pStyle w:val="2"/>
        <w:pageBreakBefore w:val="0"/>
        <w:widowControl w:val="0"/>
        <w:shd w:val="clear"/>
        <w:kinsoku/>
        <w:wordWrap/>
        <w:overflowPunct/>
        <w:topLinePunct w:val="0"/>
        <w:bidi w:val="0"/>
        <w:spacing w:line="576" w:lineRule="exact"/>
        <w:textAlignment w:val="auto"/>
        <w:rPr>
          <w:rFonts w:hint="eastAsia"/>
          <w:color w:val="auto"/>
          <w:highlight w:val="none"/>
          <w:lang w:val="en-US" w:eastAsia="zh-CN"/>
        </w:rPr>
      </w:pPr>
    </w:p>
    <w:p>
      <w:pPr>
        <w:pStyle w:val="4"/>
        <w:pageBreakBefore w:val="0"/>
        <w:widowControl w:val="0"/>
        <w:shd w:val="clear"/>
        <w:kinsoku/>
        <w:wordWrap/>
        <w:overflowPunct/>
        <w:topLinePunct w:val="0"/>
        <w:autoSpaceDE/>
        <w:autoSpaceDN/>
        <w:bidi w:val="0"/>
        <w:adjustRightInd/>
        <w:spacing w:before="0" w:after="0" w:line="576" w:lineRule="exact"/>
        <w:ind w:left="0" w:leftChars="0" w:right="0" w:firstLine="640" w:firstLineChars="200"/>
        <w:jc w:val="both"/>
        <w:textAlignment w:val="auto"/>
        <w:rPr>
          <w:rFonts w:hint="eastAsia" w:ascii="黑体" w:hAnsi="黑体" w:eastAsia="黑体" w:cs="黑体"/>
          <w:b w:val="0"/>
          <w:color w:val="auto"/>
          <w:sz w:val="32"/>
          <w:szCs w:val="32"/>
          <w:highlight w:val="none"/>
          <w:lang w:val="en-US" w:eastAsia="zh-CN"/>
        </w:rPr>
      </w:pPr>
      <w:bookmarkStart w:id="16" w:name="_Toc27201"/>
      <w:r>
        <w:rPr>
          <w:rFonts w:hint="eastAsia" w:ascii="黑体" w:hAnsi="黑体" w:eastAsia="黑体" w:cs="黑体"/>
          <w:b w:val="0"/>
          <w:color w:val="auto"/>
          <w:sz w:val="32"/>
          <w:szCs w:val="32"/>
          <w:highlight w:val="none"/>
          <w:lang w:val="en-US" w:eastAsia="zh-CN"/>
        </w:rPr>
        <w:t>一、部门职责</w:t>
      </w:r>
      <w:bookmarkEnd w:id="16"/>
    </w:p>
    <w:p>
      <w:pPr>
        <w:pageBreakBefore w:val="0"/>
        <w:widowControl w:val="0"/>
        <w:numPr>
          <w:ilvl w:val="0"/>
          <w:numId w:val="0"/>
        </w:numPr>
        <w:shd w:val="clear"/>
        <w:kinsoku/>
        <w:wordWrap/>
        <w:overflowPunct/>
        <w:topLinePunct w:val="0"/>
        <w:autoSpaceDE/>
        <w:autoSpaceDN/>
        <w:bidi w:val="0"/>
        <w:adjustRightIn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的合理开发利用。组织拟订并实施自然资源发展规划和战略，建立政府公示自然资源价格体系，组织开展自然资源分等定级价格评估，开展自然资源利用评价考核，指导节约集约利用。负责自然资源</w:t>
      </w:r>
      <w:r>
        <w:rPr>
          <w:rFonts w:hint="eastAsia" w:ascii="仿宋_GB2312" w:hAnsi="仿宋_GB2312" w:eastAsia="仿宋_GB2312" w:cs="仿宋_GB2312"/>
          <w:color w:val="auto"/>
          <w:sz w:val="32"/>
          <w:szCs w:val="32"/>
          <w:highlight w:val="none"/>
          <w:lang w:eastAsia="zh-CN"/>
        </w:rPr>
        <w:t>市场监管</w:t>
      </w:r>
      <w:r>
        <w:rPr>
          <w:rFonts w:hint="eastAsia" w:ascii="仿宋_GB2312" w:hAnsi="仿宋_GB2312" w:eastAsia="仿宋_GB2312" w:cs="仿宋_GB2312"/>
          <w:color w:val="auto"/>
          <w:sz w:val="32"/>
          <w:szCs w:val="32"/>
          <w:highlight w:val="none"/>
        </w:rPr>
        <w:t>。组织研究自然资源管理涉及宏观调控、区域协调和城乡统筹的政策措施。</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管理全市地质勘察和地质工作。拟订全市地质勘查规划并监督检查执行情况。组织实施重大地质矿产勘查专项。负责地质灾害预防和治理，监督管理地下水过量开采及引发的地面沉降等地质问题。负责古生物化石的监督管理。</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负责全市矿产资源管理工作。负责矿产资源储量管理及压覆矿产资源审核报批。负责矿业权管理。会同有关部门承担保护性开采的特定矿种、优势矿产的调控及相关管理工作。监督指导矿产资源合理利用和保护。</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rPr>
        <w:t>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负责职责范围内的安全生产和职业健康、生态环境保护、审批服务便民化等工作。</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负责测绘地理信息管理。负责基础测绘和测绘行业管理。监督管理全市测绘地理信息安全和市场秩序。负责地理信息公共服务管理和测量标志保护。</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统一领导和管理广元市林业局（简称林业局）。</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完成市委、市政府交办的其他任务。</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八）职能转变。落实关于统一行使全民所有自然资源所有者职责，统一行使所有者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（十九）在自然灾害防救方面的职责分工。</w:t>
      </w:r>
      <w:bookmarkStart w:id="17" w:name="_Toc15377200"/>
      <w:bookmarkStart w:id="18" w:name="_Toc15396601"/>
    </w:p>
    <w:p>
      <w:pPr>
        <w:pStyle w:val="4"/>
        <w:pageBreakBefore w:val="0"/>
        <w:widowControl w:val="0"/>
        <w:shd w:val="clear"/>
        <w:kinsoku/>
        <w:wordWrap/>
        <w:overflowPunct/>
        <w:topLinePunct w:val="0"/>
        <w:autoSpaceDE/>
        <w:autoSpaceDN/>
        <w:bidi w:val="0"/>
        <w:adjustRightInd/>
        <w:spacing w:before="0" w:after="0" w:line="576" w:lineRule="exact"/>
        <w:ind w:left="0" w:leftChars="0" w:right="0" w:firstLine="640" w:firstLineChars="200"/>
        <w:jc w:val="both"/>
        <w:textAlignment w:val="auto"/>
        <w:rPr>
          <w:rStyle w:val="22"/>
          <w:rFonts w:hint="eastAsia" w:ascii="黑体" w:hAnsi="黑体" w:eastAsia="黑体" w:cs="黑体"/>
          <w:b w:val="0"/>
          <w:bCs w:val="0"/>
          <w:color w:val="auto"/>
          <w:sz w:val="32"/>
          <w:szCs w:val="32"/>
          <w:highlight w:val="none"/>
        </w:rPr>
      </w:pPr>
      <w:bookmarkStart w:id="19" w:name="_Toc21914"/>
      <w:r>
        <w:rPr>
          <w:rFonts w:hint="eastAsia" w:ascii="黑体" w:hAnsi="黑体" w:eastAsia="黑体" w:cs="黑体"/>
          <w:b w:val="0"/>
          <w:color w:val="auto"/>
          <w:sz w:val="32"/>
          <w:szCs w:val="32"/>
          <w:highlight w:val="none"/>
        </w:rPr>
        <w:t>二、机</w:t>
      </w:r>
      <w:r>
        <w:rPr>
          <w:rStyle w:val="22"/>
          <w:rFonts w:hint="eastAsia" w:ascii="黑体" w:hAnsi="黑体" w:eastAsia="黑体" w:cs="黑体"/>
          <w:b w:val="0"/>
          <w:bCs w:val="0"/>
          <w:color w:val="auto"/>
          <w:sz w:val="32"/>
          <w:szCs w:val="32"/>
          <w:highlight w:val="none"/>
        </w:rPr>
        <w:t>构设置</w:t>
      </w:r>
      <w:bookmarkEnd w:id="17"/>
      <w:bookmarkEnd w:id="18"/>
      <w:bookmarkEnd w:id="19"/>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20" w:name="_Toc15377204"/>
      <w:bookmarkStart w:id="21" w:name="_Toc15396602"/>
      <w:r>
        <w:rPr>
          <w:rFonts w:hint="eastAsia" w:ascii="仿宋_GB2312" w:hAnsi="仿宋_GB2312" w:eastAsia="仿宋_GB2312" w:cs="仿宋_GB2312"/>
          <w:color w:val="auto"/>
          <w:sz w:val="32"/>
          <w:szCs w:val="32"/>
          <w:highlight w:val="none"/>
          <w:lang w:val="en-US" w:eastAsia="zh-CN"/>
        </w:rPr>
        <w:t>广元市自然资源局下属单位9个（包括两个未独立核算的事业单位：广元市自然资源综合行政执法支队和广元市自然资源信息和档案中心），其中行政单位0个，参照公务员法管理的事业单位2个，其他事业单位7个。</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纳入广元市自然资源局2022年度部门决算编制范围的二级预算单位包括：</w:t>
      </w:r>
    </w:p>
    <w:p>
      <w:pPr>
        <w:pStyle w:val="12"/>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1.广元市自然资源局（本级）</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广元市自然资源局经济开发区事务中心</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广元市地质环境监测站</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广元市不动产登记中心</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广元市国土整治中心</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广元市自然资源储备交易中心</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广元市测绘地理信息中心</w:t>
      </w:r>
    </w:p>
    <w:p>
      <w:pPr>
        <w:pageBreakBefore w:val="0"/>
        <w:widowControl w:val="0"/>
        <w:shd w:val="clear"/>
        <w:kinsoku/>
        <w:wordWrap/>
        <w:overflowPunct/>
        <w:topLinePunct w:val="0"/>
        <w:autoSpaceDE/>
        <w:autoSpaceDN/>
        <w:bidi w:val="0"/>
        <w:adjustRightIn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广元市地籍地政事务中心</w:t>
      </w:r>
    </w:p>
    <w:p>
      <w:pPr>
        <w:pageBreakBefore w:val="0"/>
        <w:widowControl w:val="0"/>
        <w:shd w:val="clear"/>
        <w:kinsoku/>
        <w:wordWrap/>
        <w:overflowPunct/>
        <w:topLinePunct w:val="0"/>
        <w:bidi w:val="0"/>
        <w:spacing w:line="576" w:lineRule="exact"/>
        <w:ind w:left="0" w:leftChars="0" w:right="0" w:firstLine="420" w:firstLineChars="200"/>
        <w:jc w:val="both"/>
        <w:textAlignment w:val="auto"/>
        <w:rPr>
          <w:rFonts w:hint="eastAsia" w:ascii="黑体" w:hAnsi="黑体" w:eastAsia="黑体"/>
          <w:b w:val="0"/>
          <w:bCs/>
          <w:color w:val="auto"/>
          <w:highlight w:val="none"/>
        </w:rPr>
      </w:pPr>
      <w:r>
        <w:rPr>
          <w:rFonts w:hint="eastAsia" w:ascii="黑体" w:hAnsi="黑体" w:eastAsia="黑体"/>
          <w:b w:val="0"/>
          <w:bCs/>
          <w:color w:val="auto"/>
          <w:highlight w:val="none"/>
        </w:rPr>
        <w:br w:type="page"/>
      </w:r>
    </w:p>
    <w:p>
      <w:pPr>
        <w:pStyle w:val="32"/>
        <w:pageBreakBefore w:val="0"/>
        <w:widowControl w:val="0"/>
        <w:numPr>
          <w:ilvl w:val="0"/>
          <w:numId w:val="0"/>
        </w:numPr>
        <w:shd w:val="clear"/>
        <w:kinsoku/>
        <w:wordWrap/>
        <w:overflowPunct/>
        <w:topLinePunct w:val="0"/>
        <w:bidi w:val="0"/>
        <w:spacing w:line="576" w:lineRule="exact"/>
        <w:ind w:right="0" w:rightChars="0"/>
        <w:jc w:val="center"/>
        <w:textAlignment w:val="auto"/>
        <w:outlineLvl w:val="0"/>
        <w:rPr>
          <w:rStyle w:val="21"/>
          <w:rFonts w:hint="eastAsia" w:ascii="黑体" w:hAnsi="黑体" w:eastAsia="黑体" w:cstheme="minorBidi"/>
          <w:b w:val="0"/>
          <w:bCs/>
          <w:color w:val="auto"/>
          <w:highlight w:val="none"/>
        </w:rPr>
      </w:pPr>
      <w:bookmarkStart w:id="22" w:name="_Toc627"/>
      <w:r>
        <w:rPr>
          <w:rStyle w:val="21"/>
          <w:rFonts w:hint="eastAsia" w:ascii="黑体" w:hAnsi="黑体" w:eastAsia="黑体" w:cstheme="minorBidi"/>
          <w:b w:val="0"/>
          <w:bCs/>
          <w:color w:val="auto"/>
          <w:highlight w:val="none"/>
        </w:rPr>
        <w:t>第二部分</w:t>
      </w:r>
      <w:r>
        <w:rPr>
          <w:rStyle w:val="21"/>
          <w:rFonts w:hint="eastAsia" w:ascii="黑体" w:hAnsi="黑体" w:eastAsia="黑体" w:cstheme="minorBidi"/>
          <w:b w:val="0"/>
          <w:bCs/>
          <w:color w:val="auto"/>
          <w:highlight w:val="none"/>
          <w:lang w:val="en-US" w:eastAsia="zh-CN"/>
        </w:rPr>
        <w:t>2022年度</w:t>
      </w:r>
      <w:r>
        <w:rPr>
          <w:rStyle w:val="21"/>
          <w:rFonts w:hint="eastAsia" w:ascii="黑体" w:hAnsi="黑体" w:eastAsia="黑体" w:cstheme="minorBidi"/>
          <w:b w:val="0"/>
          <w:bCs/>
          <w:color w:val="auto"/>
          <w:highlight w:val="none"/>
        </w:rPr>
        <w:t>部门决算情况说明</w:t>
      </w:r>
      <w:bookmarkEnd w:id="20"/>
      <w:bookmarkEnd w:id="21"/>
      <w:bookmarkEnd w:id="22"/>
      <w:bookmarkStart w:id="23" w:name="_Toc15377205"/>
      <w:bookmarkStart w:id="24" w:name="_Toc15396603"/>
    </w:p>
    <w:p>
      <w:pPr>
        <w:pStyle w:val="32"/>
        <w:pageBreakBefore w:val="0"/>
        <w:widowControl w:val="0"/>
        <w:numPr>
          <w:ilvl w:val="0"/>
          <w:numId w:val="0"/>
        </w:numPr>
        <w:shd w:val="clear"/>
        <w:kinsoku/>
        <w:wordWrap/>
        <w:overflowPunct/>
        <w:topLinePunct w:val="0"/>
        <w:bidi w:val="0"/>
        <w:spacing w:line="576" w:lineRule="exact"/>
        <w:ind w:right="0" w:rightChars="0"/>
        <w:jc w:val="center"/>
        <w:textAlignment w:val="auto"/>
        <w:outlineLvl w:val="9"/>
        <w:rPr>
          <w:rStyle w:val="21"/>
          <w:rFonts w:hint="eastAsia" w:ascii="黑体" w:hAnsi="黑体" w:eastAsia="黑体" w:cstheme="minorBidi"/>
          <w:b w:val="0"/>
          <w:bCs/>
          <w:color w:val="auto"/>
          <w:highlight w:val="none"/>
        </w:rPr>
      </w:pPr>
    </w:p>
    <w:p>
      <w:pPr>
        <w:pStyle w:val="32"/>
        <w:keepNext w:val="0"/>
        <w:keepLines w:val="0"/>
        <w:pageBreakBefore w:val="0"/>
        <w:widowControl w:val="0"/>
        <w:numPr>
          <w:ilvl w:val="0"/>
          <w:numId w:val="0"/>
        </w:numPr>
        <w:shd w:val="clear"/>
        <w:kinsoku/>
        <w:wordWrap/>
        <w:overflowPunct/>
        <w:topLinePunct w:val="0"/>
        <w:bidi w:val="0"/>
        <w:snapToGrid/>
        <w:spacing w:line="576" w:lineRule="exact"/>
        <w:ind w:leftChars="0" w:right="0" w:rightChars="0" w:firstLine="640" w:firstLineChars="200"/>
        <w:jc w:val="both"/>
        <w:textAlignment w:val="auto"/>
        <w:outlineLvl w:val="1"/>
        <w:rPr>
          <w:rStyle w:val="22"/>
          <w:rFonts w:ascii="黑体" w:hAnsi="黑体" w:eastAsia="黑体"/>
          <w:b w:val="0"/>
          <w:color w:val="auto"/>
          <w:highlight w:val="none"/>
        </w:rPr>
      </w:pPr>
      <w:bookmarkStart w:id="25" w:name="_Toc21546"/>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2"/>
          <w:rFonts w:hint="eastAsia" w:ascii="黑体" w:hAnsi="黑体" w:eastAsia="黑体"/>
          <w:b w:val="0"/>
          <w:color w:val="auto"/>
          <w:highlight w:val="none"/>
        </w:rPr>
        <w:t>入支出决算总体情况说明</w:t>
      </w:r>
      <w:bookmarkEnd w:id="23"/>
      <w:bookmarkEnd w:id="24"/>
      <w:bookmarkEnd w:id="25"/>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28348.17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14605.94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108.42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单位职能职责和人员增加；二是2022年度将人员的基础绩效奖的五险两金纳入预决算；三是根据市委市政府下达的目标任务，2022年度政府性基金项目拨款增加</w:t>
      </w:r>
      <w:r>
        <w:rPr>
          <w:rFonts w:hint="eastAsia" w:ascii="仿宋" w:hAnsi="仿宋" w:eastAsia="仿宋"/>
          <w:color w:val="auto"/>
          <w:sz w:val="32"/>
          <w:szCs w:val="32"/>
          <w:highlight w:val="none"/>
          <w:lang w:eastAsia="zh-CN"/>
        </w:rPr>
        <w:t>。</w:t>
      </w:r>
    </w:p>
    <w:p>
      <w:pPr>
        <w:pStyle w:val="2"/>
        <w:shd w:val="clear"/>
        <w:ind w:left="0" w:leftChars="0" w:firstLine="0" w:firstLineChars="0"/>
        <w:jc w:val="center"/>
        <w:rPr>
          <w:rFonts w:hint="eastAsia" w:ascii="仿宋" w:hAnsi="仿宋" w:eastAsia="仿宋"/>
          <w:color w:val="auto"/>
          <w:sz w:val="32"/>
          <w:szCs w:val="32"/>
          <w:highlight w:val="none"/>
          <w:lang w:eastAsia="zh-CN"/>
        </w:rPr>
      </w:pPr>
      <w:r>
        <w:rPr>
          <w:color w:val="auto"/>
          <w:highlight w:val="none"/>
        </w:rPr>
        <w:drawing>
          <wp:inline distT="0" distB="0" distL="114300" distR="114300">
            <wp:extent cx="4869180" cy="3029585"/>
            <wp:effectExtent l="4445" t="4445" r="1841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2"/>
        <w:keepNext w:val="0"/>
        <w:keepLines w:val="0"/>
        <w:pageBreakBefore w:val="0"/>
        <w:widowControl w:val="0"/>
        <w:numPr>
          <w:ilvl w:val="0"/>
          <w:numId w:val="0"/>
        </w:numPr>
        <w:shd w:val="clear"/>
        <w:kinsoku/>
        <w:wordWrap/>
        <w:overflowPunct/>
        <w:topLinePunct w:val="0"/>
        <w:bidi w:val="0"/>
        <w:snapToGrid/>
        <w:spacing w:line="576" w:lineRule="exact"/>
        <w:ind w:right="0" w:rightChars="0"/>
        <w:jc w:val="center"/>
        <w:textAlignment w:val="auto"/>
        <w:outlineLvl w:val="1"/>
        <w:rPr>
          <w:rFonts w:hint="eastAsia" w:ascii="仿宋" w:hAnsi="仿宋" w:eastAsia="仿宋"/>
          <w:color w:val="auto"/>
          <w:sz w:val="32"/>
          <w:szCs w:val="32"/>
          <w:highlight w:val="none"/>
        </w:rPr>
      </w:pPr>
      <w:bookmarkStart w:id="26" w:name="_Toc10094"/>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bookmarkEnd w:id="26"/>
      <w:bookmarkStart w:id="27" w:name="_Toc15377206"/>
      <w:bookmarkStart w:id="28" w:name="_Toc15396604"/>
    </w:p>
    <w:p>
      <w:pPr>
        <w:pStyle w:val="32"/>
        <w:keepNext w:val="0"/>
        <w:keepLines w:val="0"/>
        <w:pageBreakBefore w:val="0"/>
        <w:widowControl w:val="0"/>
        <w:numPr>
          <w:ilvl w:val="0"/>
          <w:numId w:val="0"/>
        </w:numPr>
        <w:shd w:val="clear"/>
        <w:kinsoku/>
        <w:wordWrap/>
        <w:overflowPunct/>
        <w:topLinePunct w:val="0"/>
        <w:bidi w:val="0"/>
        <w:snapToGrid/>
        <w:spacing w:line="576" w:lineRule="exact"/>
        <w:ind w:leftChars="0" w:right="0" w:rightChars="0" w:firstLine="640" w:firstLineChars="200"/>
        <w:jc w:val="both"/>
        <w:textAlignment w:val="auto"/>
        <w:outlineLvl w:val="1"/>
        <w:rPr>
          <w:rStyle w:val="22"/>
          <w:rFonts w:ascii="黑体" w:hAnsi="黑体" w:eastAsia="黑体"/>
          <w:b w:val="0"/>
          <w:color w:val="auto"/>
          <w:highlight w:val="none"/>
        </w:rPr>
      </w:pPr>
      <w:bookmarkStart w:id="29" w:name="_Toc8410"/>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2"/>
          <w:rFonts w:hint="eastAsia" w:ascii="黑体" w:hAnsi="黑体" w:eastAsia="黑体"/>
          <w:b w:val="0"/>
          <w:color w:val="auto"/>
          <w:highlight w:val="none"/>
        </w:rPr>
        <w:t>入决算情况说明</w:t>
      </w:r>
      <w:bookmarkEnd w:id="27"/>
      <w:bookmarkEnd w:id="28"/>
      <w:bookmarkEnd w:id="29"/>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color w:val="auto"/>
          <w:highlight w:val="none"/>
        </w:rPr>
      </w:pPr>
      <w:bookmarkStart w:id="30" w:name="_Toc1372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27437.24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6597.75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24.05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20303.60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535.88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pStyle w:val="2"/>
        <w:shd w:val="clear"/>
        <w:ind w:left="0" w:leftChars="0" w:firstLine="0" w:firstLineChars="0"/>
        <w:jc w:val="center"/>
        <w:rPr>
          <w:color w:val="auto"/>
          <w:highlight w:val="none"/>
        </w:rPr>
      </w:pPr>
      <w:r>
        <w:rPr>
          <w:color w:val="auto"/>
          <w:highlight w:val="none"/>
        </w:rPr>
        <w:drawing>
          <wp:inline distT="0" distB="0" distL="114300" distR="114300">
            <wp:extent cx="4826000" cy="2758440"/>
            <wp:effectExtent l="4445" t="4445" r="1587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2"/>
        <w:keepNext w:val="0"/>
        <w:keepLines w:val="0"/>
        <w:pageBreakBefore w:val="0"/>
        <w:widowControl w:val="0"/>
        <w:numPr>
          <w:ilvl w:val="0"/>
          <w:numId w:val="0"/>
        </w:numPr>
        <w:shd w:val="clear"/>
        <w:kinsoku/>
        <w:wordWrap/>
        <w:overflowPunct/>
        <w:topLinePunct w:val="0"/>
        <w:bidi w:val="0"/>
        <w:snapToGrid/>
        <w:spacing w:line="576" w:lineRule="exact"/>
        <w:ind w:right="0" w:rightChars="0"/>
        <w:jc w:val="center"/>
        <w:textAlignment w:val="auto"/>
        <w:outlineLvl w:val="1"/>
        <w:rPr>
          <w:rStyle w:val="22"/>
          <w:rFonts w:ascii="黑体" w:hAnsi="黑体" w:eastAsia="黑体"/>
          <w:b w:val="0"/>
          <w:color w:val="auto"/>
          <w:highlight w:val="none"/>
        </w:rPr>
      </w:pPr>
      <w:bookmarkStart w:id="31" w:name="_Toc9241"/>
      <w:r>
        <w:rPr>
          <w:rFonts w:hint="eastAsia" w:ascii="仿宋" w:hAnsi="仿宋" w:eastAsia="仿宋"/>
          <w:color w:val="auto"/>
          <w:sz w:val="32"/>
          <w:szCs w:val="32"/>
          <w:highlight w:val="none"/>
        </w:rPr>
        <w:t>（图2：收入决算结构图）（饼状图）</w:t>
      </w:r>
      <w:bookmarkEnd w:id="31"/>
      <w:bookmarkStart w:id="32" w:name="_Toc15396605"/>
      <w:bookmarkStart w:id="33" w:name="_Toc15377207"/>
    </w:p>
    <w:p>
      <w:pPr>
        <w:pStyle w:val="32"/>
        <w:keepNext w:val="0"/>
        <w:keepLines w:val="0"/>
        <w:pageBreakBefore w:val="0"/>
        <w:widowControl w:val="0"/>
        <w:numPr>
          <w:ilvl w:val="0"/>
          <w:numId w:val="0"/>
        </w:numPr>
        <w:shd w:val="clear"/>
        <w:kinsoku/>
        <w:wordWrap/>
        <w:overflowPunct/>
        <w:topLinePunct w:val="0"/>
        <w:bidi w:val="0"/>
        <w:snapToGrid/>
        <w:spacing w:line="576" w:lineRule="exact"/>
        <w:ind w:leftChars="0" w:right="0" w:rightChars="0" w:firstLine="640" w:firstLineChars="200"/>
        <w:jc w:val="both"/>
        <w:textAlignment w:val="auto"/>
        <w:outlineLvl w:val="1"/>
        <w:rPr>
          <w:rStyle w:val="22"/>
          <w:rFonts w:ascii="黑体" w:hAnsi="黑体" w:eastAsia="黑体"/>
          <w:b w:val="0"/>
          <w:color w:val="auto"/>
          <w:highlight w:val="none"/>
        </w:rPr>
      </w:pPr>
      <w:bookmarkStart w:id="34" w:name="_Toc630"/>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2"/>
          <w:rFonts w:hint="eastAsia" w:ascii="黑体" w:hAnsi="黑体" w:eastAsia="黑体"/>
          <w:b w:val="0"/>
          <w:color w:val="auto"/>
          <w:highlight w:val="none"/>
        </w:rPr>
        <w:t>出决算情况说明</w:t>
      </w:r>
      <w:bookmarkEnd w:id="32"/>
      <w:bookmarkEnd w:id="33"/>
      <w:bookmarkEnd w:id="34"/>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rFonts w:hint="eastAsia" w:ascii="仿宋" w:hAnsi="仿宋" w:eastAsia="仿宋"/>
          <w:color w:val="auto"/>
          <w:sz w:val="32"/>
          <w:szCs w:val="32"/>
          <w:highlight w:val="none"/>
          <w:lang w:eastAsia="zh-CN"/>
        </w:rPr>
      </w:pPr>
      <w:bookmarkStart w:id="35" w:name="_Toc652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28259.50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3643.55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12.89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24615.95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87.11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5"/>
    </w:p>
    <w:p>
      <w:pPr>
        <w:pStyle w:val="2"/>
        <w:shd w:val="clear"/>
        <w:ind w:left="0" w:leftChars="0" w:firstLine="0" w:firstLineChars="0"/>
        <w:jc w:val="center"/>
        <w:rPr>
          <w:rFonts w:hint="eastAsia"/>
          <w:color w:val="auto"/>
          <w:highlight w:val="none"/>
          <w:lang w:eastAsia="zh-CN"/>
        </w:rPr>
      </w:pPr>
      <w:r>
        <w:rPr>
          <w:color w:val="auto"/>
          <w:highlight w:val="none"/>
        </w:rPr>
        <w:drawing>
          <wp:inline distT="0" distB="0" distL="114300" distR="114300">
            <wp:extent cx="4826000" cy="2758440"/>
            <wp:effectExtent l="4445" t="4445" r="1587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hd w:val="clear"/>
        <w:kinsoku/>
        <w:wordWrap/>
        <w:overflowPunct/>
        <w:topLinePunct w:val="0"/>
        <w:bidi w:val="0"/>
        <w:snapToGrid/>
        <w:spacing w:line="576" w:lineRule="exact"/>
        <w:ind w:right="0"/>
        <w:jc w:val="center"/>
        <w:textAlignment w:val="auto"/>
        <w:outlineLvl w:val="1"/>
        <w:rPr>
          <w:rFonts w:hint="eastAsia" w:ascii="仿宋" w:hAnsi="仿宋" w:eastAsia="仿宋"/>
          <w:color w:val="auto"/>
          <w:sz w:val="32"/>
          <w:szCs w:val="32"/>
          <w:highlight w:val="none"/>
          <w:lang w:eastAsia="zh-CN"/>
        </w:rPr>
      </w:pPr>
      <w:bookmarkStart w:id="36" w:name="_Toc28592"/>
      <w:r>
        <w:rPr>
          <w:rFonts w:hint="eastAsia" w:ascii="仿宋" w:hAnsi="仿宋" w:eastAsia="仿宋"/>
          <w:color w:val="auto"/>
          <w:sz w:val="32"/>
          <w:szCs w:val="32"/>
          <w:highlight w:val="none"/>
        </w:rPr>
        <w:t>（图3：支出决算结构图）（饼状图）</w:t>
      </w:r>
      <w:bookmarkEnd w:id="36"/>
      <w:bookmarkStart w:id="37" w:name="_Toc15377208"/>
      <w:bookmarkStart w:id="38" w:name="_Toc15396606"/>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rStyle w:val="22"/>
          <w:rFonts w:ascii="黑体" w:hAnsi="黑体" w:eastAsia="黑体"/>
          <w:b w:val="0"/>
          <w:color w:val="auto"/>
          <w:highlight w:val="none"/>
        </w:rPr>
      </w:pPr>
      <w:bookmarkStart w:id="39" w:name="_Toc17959"/>
      <w:r>
        <w:rPr>
          <w:rFonts w:hint="eastAsia" w:ascii="黑体" w:hAnsi="黑体" w:eastAsia="黑体"/>
          <w:color w:val="auto"/>
          <w:sz w:val="32"/>
          <w:szCs w:val="32"/>
          <w:highlight w:val="none"/>
        </w:rPr>
        <w:t>四、财</w:t>
      </w:r>
      <w:r>
        <w:rPr>
          <w:rStyle w:val="22"/>
          <w:rFonts w:hint="eastAsia" w:ascii="黑体" w:hAnsi="黑体" w:eastAsia="黑体"/>
          <w:b w:val="0"/>
          <w:color w:val="auto"/>
          <w:highlight w:val="none"/>
        </w:rPr>
        <w:t>政拨款收入支出决算总体情况说明</w:t>
      </w:r>
      <w:bookmarkEnd w:id="37"/>
      <w:bookmarkEnd w:id="38"/>
      <w:bookmarkEnd w:id="39"/>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27677.61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15031.51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118.86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单位职能职责和人员增加；二是2022年度将人员的基础绩效奖的五险两金纳入预决算；三是根据市委市政府下达的目标任务，2022年度政府性基金项目拨款增加</w:t>
      </w:r>
      <w:r>
        <w:rPr>
          <w:rFonts w:hint="eastAsia" w:ascii="仿宋" w:hAnsi="仿宋" w:eastAsia="仿宋"/>
          <w:color w:val="auto"/>
          <w:sz w:val="32"/>
          <w:szCs w:val="32"/>
          <w:highlight w:val="none"/>
          <w:lang w:eastAsia="zh-CN"/>
        </w:rPr>
        <w:t>。</w:t>
      </w:r>
    </w:p>
    <w:p>
      <w:pPr>
        <w:pStyle w:val="2"/>
        <w:shd w:val="clear"/>
        <w:ind w:left="0" w:leftChars="0" w:firstLine="0" w:firstLineChars="0"/>
        <w:jc w:val="center"/>
        <w:rPr>
          <w:rFonts w:hint="eastAsia"/>
          <w:color w:val="auto"/>
          <w:highlight w:val="none"/>
          <w:lang w:eastAsia="zh-CN"/>
        </w:rPr>
      </w:pPr>
      <w:r>
        <w:rPr>
          <w:color w:val="auto"/>
          <w:highlight w:val="none"/>
        </w:rPr>
        <w:drawing>
          <wp:inline distT="0" distB="0" distL="114300" distR="114300">
            <wp:extent cx="4804410" cy="3052445"/>
            <wp:effectExtent l="4445" t="4445" r="6985"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shd w:val="clear"/>
        <w:kinsoku/>
        <w:wordWrap/>
        <w:overflowPunct/>
        <w:topLinePunct w:val="0"/>
        <w:bidi w:val="0"/>
        <w:snapToGrid/>
        <w:spacing w:line="576" w:lineRule="exact"/>
        <w:ind w:right="0"/>
        <w:jc w:val="center"/>
        <w:textAlignment w:val="auto"/>
        <w:outlineLvl w:val="1"/>
        <w:rPr>
          <w:rFonts w:hint="eastAsia" w:ascii="仿宋" w:hAnsi="仿宋" w:eastAsia="仿宋"/>
          <w:color w:val="auto"/>
          <w:sz w:val="32"/>
          <w:szCs w:val="32"/>
          <w:highlight w:val="none"/>
          <w:lang w:eastAsia="zh-CN"/>
        </w:rPr>
      </w:pPr>
      <w:bookmarkStart w:id="40" w:name="_Toc30431"/>
      <w:r>
        <w:rPr>
          <w:rFonts w:hint="eastAsia" w:ascii="仿宋" w:hAnsi="仿宋" w:eastAsia="仿宋"/>
          <w:color w:val="auto"/>
          <w:sz w:val="32"/>
          <w:szCs w:val="32"/>
          <w:highlight w:val="none"/>
        </w:rPr>
        <w:t>（图4：财政拨款收、支决算总计变动情况）（柱状图）</w:t>
      </w:r>
      <w:bookmarkEnd w:id="40"/>
      <w:bookmarkStart w:id="41" w:name="_Toc15396607"/>
      <w:bookmarkStart w:id="42" w:name="_Toc15377209"/>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rStyle w:val="22"/>
          <w:rFonts w:ascii="黑体" w:hAnsi="黑体" w:eastAsia="黑体"/>
          <w:b w:val="0"/>
          <w:color w:val="auto"/>
          <w:highlight w:val="none"/>
        </w:rPr>
      </w:pPr>
      <w:bookmarkStart w:id="43" w:name="_Toc19150"/>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般公共预算财政拨款支出决算情况说明</w:t>
      </w:r>
      <w:bookmarkEnd w:id="41"/>
      <w:bookmarkEnd w:id="42"/>
      <w:bookmarkEnd w:id="43"/>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bookmarkStart w:id="44" w:name="_Toc15377210"/>
      <w:r>
        <w:rPr>
          <w:rFonts w:hint="eastAsia" w:ascii="楷体_GB2312" w:hAnsi="楷体_GB2312" w:eastAsia="楷体_GB2312" w:cs="楷体_GB2312"/>
          <w:b/>
          <w:color w:val="auto"/>
          <w:sz w:val="32"/>
          <w:szCs w:val="32"/>
          <w:highlight w:val="none"/>
        </w:rPr>
        <w:t>（一）一般公共预算财政拨款支出决算总体情况</w:t>
      </w:r>
      <w:bookmarkEnd w:id="44"/>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6900.17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24.98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2393.56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53.11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单位职能职责和人员增加；二是2022年度将人员的基础绩效奖的五险两金纳入预决算。</w:t>
      </w:r>
    </w:p>
    <w:p>
      <w:pPr>
        <w:pStyle w:val="2"/>
        <w:shd w:val="clear"/>
        <w:ind w:left="0" w:leftChars="0" w:firstLine="0" w:firstLineChars="0"/>
        <w:jc w:val="center"/>
        <w:rPr>
          <w:color w:val="auto"/>
          <w:highlight w:val="none"/>
        </w:rPr>
      </w:pPr>
      <w:r>
        <w:rPr>
          <w:color w:val="auto"/>
          <w:highlight w:val="none"/>
        </w:rPr>
        <w:drawing>
          <wp:inline distT="0" distB="0" distL="114300" distR="114300">
            <wp:extent cx="4859020" cy="2463800"/>
            <wp:effectExtent l="4445" t="4445" r="13335" b="15875"/>
            <wp:docPr id="3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shd w:val="clear"/>
        <w:kinsoku/>
        <w:wordWrap/>
        <w:overflowPunct/>
        <w:topLinePunct w:val="0"/>
        <w:bidi w:val="0"/>
        <w:snapToGrid/>
        <w:spacing w:line="576" w:lineRule="exact"/>
        <w:ind w:right="0"/>
        <w:jc w:val="center"/>
        <w:textAlignment w:val="auto"/>
        <w:outlineLvl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（图5：一般公共预算财政拨款支出决算变动情况）（柱状图）</w:t>
      </w:r>
      <w:bookmarkStart w:id="45" w:name="_Toc15377211"/>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（二）一般公共预算财政拨款支出决算结构情况</w:t>
      </w:r>
      <w:bookmarkEnd w:id="45"/>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2"/>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6900.17</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358.78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96.25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自然资源海洋气象等支出6158.54</w:t>
      </w:r>
      <w:r>
        <w:rPr>
          <w:rFonts w:hint="eastAsia" w:ascii="仿宋" w:hAnsi="仿宋" w:eastAsia="仿宋"/>
          <w:color w:val="auto"/>
          <w:sz w:val="32"/>
          <w:szCs w:val="32"/>
          <w:highlight w:val="none"/>
          <w:lang w:val="en-US" w:eastAsia="zh-CN"/>
        </w:rPr>
        <w:t>万元，占89.25%；</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213.26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灾害防治及应急管理支出</w:t>
      </w:r>
      <w:r>
        <w:rPr>
          <w:rFonts w:hint="eastAsia" w:ascii="仿宋" w:hAnsi="仿宋" w:eastAsia="仿宋"/>
          <w:color w:val="auto"/>
          <w:sz w:val="32"/>
          <w:szCs w:val="32"/>
          <w:highlight w:val="none"/>
          <w:lang w:val="en-US" w:eastAsia="zh-CN"/>
        </w:rPr>
        <w:t>7</w:t>
      </w:r>
      <w:r>
        <w:rPr>
          <w:rFonts w:hint="eastAsia" w:ascii="仿宋" w:hAnsi="仿宋" w:eastAsia="仿宋"/>
          <w:b/>
          <w:bCs/>
          <w:color w:val="auto"/>
          <w:sz w:val="32"/>
          <w:szCs w:val="32"/>
          <w:highlight w:val="none"/>
          <w:lang w:val="en-US" w:eastAsia="zh-CN"/>
        </w:rPr>
        <w:t>3.34</w:t>
      </w:r>
      <w:r>
        <w:rPr>
          <w:rFonts w:hint="eastAsia" w:ascii="仿宋" w:hAnsi="仿宋" w:eastAsia="仿宋"/>
          <w:color w:val="auto"/>
          <w:sz w:val="32"/>
          <w:szCs w:val="32"/>
          <w:highlight w:val="none"/>
          <w:lang w:val="en-US" w:eastAsia="zh-CN"/>
        </w:rPr>
        <w:t>万元，占1.06%。</w:t>
      </w:r>
    </w:p>
    <w:p>
      <w:pPr>
        <w:pStyle w:val="2"/>
        <w:shd w:val="clear"/>
        <w:ind w:left="0" w:leftChars="0" w:firstLine="0" w:firstLineChars="0"/>
        <w:jc w:val="center"/>
        <w:rPr>
          <w:rFonts w:hint="eastAsia"/>
          <w:color w:val="auto"/>
          <w:highlight w:val="none"/>
          <w:lang w:val="en-US" w:eastAsia="zh-CN"/>
        </w:rPr>
      </w:pPr>
      <w:r>
        <w:rPr>
          <w:color w:val="auto"/>
          <w:highlight w:val="none"/>
        </w:rPr>
        <w:drawing>
          <wp:inline distT="0" distB="0" distL="114300" distR="114300">
            <wp:extent cx="4658995" cy="2545080"/>
            <wp:effectExtent l="4445" t="4445" r="15240"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shd w:val="clear"/>
        <w:kinsoku/>
        <w:wordWrap/>
        <w:overflowPunct/>
        <w:topLinePunct w:val="0"/>
        <w:bidi w:val="0"/>
        <w:snapToGrid/>
        <w:spacing w:line="576" w:lineRule="exact"/>
        <w:ind w:right="0"/>
        <w:jc w:val="center"/>
        <w:textAlignment w:val="auto"/>
        <w:outlineLvl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（图6：一般公共预算财政拨款支出决算结构）（饼状图）</w:t>
      </w:r>
      <w:bookmarkStart w:id="46" w:name="_Toc15377212"/>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（三）一般公共预算财政拨款支出决算具体情况</w:t>
      </w:r>
      <w:bookmarkEnd w:id="46"/>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1"/>
        <w:rPr>
          <w:rStyle w:val="19"/>
          <w:rFonts w:hint="eastAsia" w:ascii="仿宋" w:hAnsi="仿宋" w:eastAsia="仿宋" w:cstheme="minorBidi"/>
          <w:bCs/>
          <w:color w:val="auto"/>
          <w:sz w:val="32"/>
          <w:szCs w:val="32"/>
          <w:highlight w:val="none"/>
        </w:rPr>
      </w:pPr>
      <w:bookmarkStart w:id="47" w:name="_Toc21870"/>
      <w:bookmarkStart w:id="48" w:name="_Toc15378460"/>
      <w:bookmarkStart w:id="49" w:name="_Toc15377444"/>
      <w:bookmarkStart w:id="50"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6900.17</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default" w:ascii="仿宋" w:hAnsi="仿宋" w:eastAsia="仿宋" w:cstheme="minorBidi"/>
          <w:bCs/>
          <w:color w:val="auto"/>
          <w:sz w:val="32"/>
          <w:szCs w:val="32"/>
          <w:highlight w:val="none"/>
        </w:rPr>
        <w:t>99.95</w:t>
      </w:r>
      <w:r>
        <w:rPr>
          <w:rStyle w:val="19"/>
          <w:rFonts w:hint="eastAsia" w:ascii="仿宋" w:hAnsi="仿宋" w:eastAsia="仿宋" w:cstheme="minorBidi"/>
          <w:bCs/>
          <w:color w:val="auto"/>
          <w:sz w:val="32"/>
          <w:szCs w:val="32"/>
          <w:highlight w:val="none"/>
        </w:rPr>
        <w:t>%。其中：</w:t>
      </w:r>
      <w:bookmarkEnd w:id="47"/>
      <w:bookmarkEnd w:id="48"/>
      <w:bookmarkEnd w:id="49"/>
      <w:bookmarkEnd w:id="50"/>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hint="eastAsia" w:ascii="仿宋" w:hAnsi="仿宋" w:eastAsia="仿宋"/>
          <w:b/>
          <w:color w:val="auto"/>
          <w:sz w:val="32"/>
          <w:szCs w:val="32"/>
          <w:highlight w:val="none"/>
          <w:lang w:eastAsia="zh-CN"/>
        </w:rPr>
      </w:pPr>
      <w:r>
        <w:rPr>
          <w:rStyle w:val="19"/>
          <w:rFonts w:ascii="仿宋" w:hAnsi="仿宋" w:eastAsia="仿宋"/>
          <w:bCs/>
          <w:color w:val="auto"/>
          <w:sz w:val="32"/>
          <w:szCs w:val="32"/>
          <w:highlight w:val="none"/>
        </w:rPr>
        <w:t>1.</w:t>
      </w:r>
      <w:r>
        <w:rPr>
          <w:rStyle w:val="19"/>
          <w:rFonts w:hint="eastAsia" w:ascii="仿宋" w:hAnsi="仿宋" w:eastAsia="仿宋"/>
          <w:bCs/>
          <w:color w:val="auto"/>
          <w:sz w:val="32"/>
          <w:szCs w:val="32"/>
          <w:highlight w:val="none"/>
          <w:lang w:val="en-US" w:eastAsia="zh-CN"/>
        </w:rPr>
        <w:t>社会保障和就业支出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人力资源和社会保障管理事务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其他人力资源和社会保障管理事务支出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8.3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ascii="仿宋" w:hAnsi="仿宋" w:eastAsia="仿宋"/>
          <w:b/>
          <w:color w:val="auto"/>
          <w:sz w:val="32"/>
          <w:szCs w:val="32"/>
          <w:highlight w:val="none"/>
        </w:rPr>
      </w:pPr>
      <w:r>
        <w:rPr>
          <w:rStyle w:val="19"/>
          <w:rFonts w:ascii="仿宋" w:hAnsi="仿宋" w:eastAsia="仿宋"/>
          <w:bCs/>
          <w:color w:val="auto"/>
          <w:sz w:val="32"/>
          <w:szCs w:val="32"/>
          <w:highlight w:val="none"/>
        </w:rPr>
        <w:t>2.</w:t>
      </w:r>
      <w:r>
        <w:rPr>
          <w:rStyle w:val="19"/>
          <w:rFonts w:hint="eastAsia" w:ascii="仿宋" w:hAnsi="仿宋" w:eastAsia="仿宋"/>
          <w:bCs/>
          <w:color w:val="auto"/>
          <w:sz w:val="32"/>
          <w:szCs w:val="32"/>
          <w:highlight w:val="none"/>
          <w:lang w:val="en-US" w:eastAsia="zh-CN"/>
        </w:rPr>
        <w:t>社会保障和就业支出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行政单位离退休</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69.85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ascii="仿宋" w:hAnsi="仿宋" w:eastAsia="仿宋"/>
          <w:b/>
          <w:color w:val="auto"/>
          <w:sz w:val="32"/>
          <w:szCs w:val="32"/>
          <w:highlight w:val="none"/>
        </w:rPr>
      </w:pPr>
      <w:r>
        <w:rPr>
          <w:rStyle w:val="19"/>
          <w:rFonts w:ascii="仿宋" w:hAnsi="仿宋" w:eastAsia="仿宋"/>
          <w:bCs/>
          <w:color w:val="auto"/>
          <w:sz w:val="32"/>
          <w:szCs w:val="32"/>
          <w:highlight w:val="none"/>
        </w:rPr>
        <w:t>3.</w:t>
      </w:r>
      <w:r>
        <w:rPr>
          <w:rStyle w:val="19"/>
          <w:rFonts w:hint="eastAsia" w:ascii="仿宋" w:hAnsi="仿宋" w:eastAsia="仿宋"/>
          <w:bCs/>
          <w:color w:val="auto"/>
          <w:sz w:val="32"/>
          <w:szCs w:val="32"/>
          <w:highlight w:val="none"/>
          <w:lang w:val="en-US" w:eastAsia="zh-CN"/>
        </w:rPr>
        <w:t>社会保障和就业支出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机关事业单位基本养老保险支出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189.68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ascii="仿宋" w:hAnsi="仿宋" w:eastAsia="仿宋"/>
          <w:b/>
          <w:color w:val="auto"/>
          <w:sz w:val="32"/>
          <w:szCs w:val="32"/>
          <w:highlight w:val="none"/>
        </w:rPr>
      </w:pPr>
      <w:r>
        <w:rPr>
          <w:rStyle w:val="19"/>
          <w:rFonts w:ascii="仿宋" w:hAnsi="仿宋" w:eastAsia="仿宋"/>
          <w:bCs/>
          <w:color w:val="auto"/>
          <w:sz w:val="32"/>
          <w:szCs w:val="32"/>
          <w:highlight w:val="none"/>
        </w:rPr>
        <w:t>4.</w:t>
      </w:r>
      <w:r>
        <w:rPr>
          <w:rStyle w:val="19"/>
          <w:rFonts w:hint="eastAsia" w:ascii="仿宋" w:hAnsi="仿宋" w:eastAsia="仿宋"/>
          <w:bCs/>
          <w:color w:val="auto"/>
          <w:sz w:val="32"/>
          <w:szCs w:val="32"/>
          <w:highlight w:val="none"/>
          <w:lang w:val="en-US" w:eastAsia="zh-CN"/>
        </w:rPr>
        <w:t>社会保障和就业支出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机关事业单位职业年金缴费支出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39.19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ascii="仿宋" w:hAnsi="仿宋" w:eastAsia="仿宋"/>
          <w:bCs/>
          <w:color w:val="auto"/>
          <w:sz w:val="32"/>
          <w:szCs w:val="32"/>
          <w:highlight w:val="none"/>
        </w:rPr>
        <w:t>5.</w:t>
      </w:r>
      <w:r>
        <w:rPr>
          <w:rStyle w:val="19"/>
          <w:rFonts w:hint="eastAsia" w:ascii="仿宋" w:hAnsi="仿宋" w:eastAsia="仿宋"/>
          <w:bCs/>
          <w:color w:val="auto"/>
          <w:sz w:val="32"/>
          <w:szCs w:val="32"/>
          <w:highlight w:val="none"/>
        </w:rPr>
        <w:t>社会保障和就业</w:t>
      </w:r>
      <w:r>
        <w:rPr>
          <w:rStyle w:val="19"/>
          <w:rFonts w:hint="eastAsia" w:ascii="仿宋" w:hAnsi="仿宋" w:eastAsia="仿宋"/>
          <w:bCs/>
          <w:color w:val="auto"/>
          <w:sz w:val="32"/>
          <w:szCs w:val="32"/>
          <w:highlight w:val="none"/>
          <w:lang w:val="en-US" w:eastAsia="zh-CN"/>
        </w:rPr>
        <w:t>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抚恤</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死亡抚恤</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43.49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6.</w:t>
      </w:r>
      <w:r>
        <w:rPr>
          <w:rStyle w:val="19"/>
          <w:rFonts w:hint="eastAsia" w:ascii="仿宋" w:hAnsi="仿宋" w:eastAsia="仿宋"/>
          <w:bCs/>
          <w:color w:val="auto"/>
          <w:sz w:val="32"/>
          <w:szCs w:val="32"/>
          <w:highlight w:val="none"/>
        </w:rPr>
        <w:t>社会保障和就业</w:t>
      </w:r>
      <w:r>
        <w:rPr>
          <w:rStyle w:val="19"/>
          <w:rFonts w:hint="eastAsia" w:ascii="仿宋" w:hAnsi="仿宋" w:eastAsia="仿宋"/>
          <w:bCs/>
          <w:color w:val="auto"/>
          <w:sz w:val="32"/>
          <w:szCs w:val="32"/>
          <w:highlight w:val="none"/>
          <w:lang w:val="en-US" w:eastAsia="zh-CN"/>
        </w:rPr>
        <w:t>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其他社会保障和就业支出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其他社会保障和就业支出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8.27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7</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卫生健康支出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行政单位医疗</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50.56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8.卫生健康支出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事业单位医疗</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45.69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9.自然资源海洋气象等支出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行政运行</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1513.91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10.自然资源海洋气象等支出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自然资源规划及管理</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9.75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11.自然资源海洋气象等支出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自然资源利用与保护</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217.16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99.92</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12.自然资源海洋气象等支出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自然资源调查与确权登记</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13.自然资源海洋气象等支出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地质勘察与矿产资源管理</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12.6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3" w:firstLineChars="200"/>
        <w:jc w:val="both"/>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14.自然资源海洋气象等支出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Cs/>
          <w:color w:val="auto"/>
          <w:sz w:val="32"/>
          <w:szCs w:val="32"/>
          <w:highlight w:val="none"/>
          <w:lang w:val="en-US" w:eastAsia="zh-CN"/>
        </w:rPr>
        <w:t>事业运行</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1114.64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3" w:firstLineChars="200"/>
        <w:jc w:val="both"/>
        <w:textAlignment w:val="auto"/>
        <w:outlineLvl w:val="1"/>
        <w:rPr>
          <w:rStyle w:val="19"/>
          <w:rFonts w:hint="eastAsia" w:ascii="仿宋" w:hAnsi="仿宋" w:eastAsia="仿宋"/>
          <w:b w:val="0"/>
          <w:bCs/>
          <w:color w:val="auto"/>
          <w:sz w:val="32"/>
          <w:szCs w:val="32"/>
          <w:highlight w:val="none"/>
          <w:lang w:eastAsia="zh-CN"/>
        </w:rPr>
      </w:pPr>
      <w:bookmarkStart w:id="51" w:name="_Toc14391"/>
      <w:r>
        <w:rPr>
          <w:rStyle w:val="19"/>
          <w:rFonts w:hint="eastAsia" w:ascii="仿宋" w:hAnsi="仿宋" w:eastAsia="仿宋"/>
          <w:bCs/>
          <w:color w:val="auto"/>
          <w:sz w:val="32"/>
          <w:szCs w:val="32"/>
          <w:highlight w:val="none"/>
          <w:lang w:val="en-US" w:eastAsia="zh-CN"/>
        </w:rPr>
        <w:t>15.自然资源海洋气象等支出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自然资源事务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Cs/>
          <w:color w:val="auto"/>
          <w:sz w:val="32"/>
          <w:szCs w:val="32"/>
          <w:highlight w:val="none"/>
          <w:lang w:val="en-US" w:eastAsia="zh-CN"/>
        </w:rPr>
        <w:t>其他自然资源事务支出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3278.48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bookmarkEnd w:id="51"/>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3" w:firstLineChars="200"/>
        <w:jc w:val="both"/>
        <w:textAlignment w:val="auto"/>
        <w:outlineLvl w:val="1"/>
        <w:rPr>
          <w:rStyle w:val="19"/>
          <w:rFonts w:hint="eastAsia" w:ascii="仿宋" w:hAnsi="仿宋" w:eastAsia="仿宋"/>
          <w:b w:val="0"/>
          <w:bCs/>
          <w:color w:val="auto"/>
          <w:sz w:val="32"/>
          <w:szCs w:val="32"/>
          <w:highlight w:val="none"/>
          <w:lang w:eastAsia="zh-CN"/>
        </w:rPr>
      </w:pPr>
      <w:bookmarkStart w:id="52" w:name="_Toc1550"/>
      <w:r>
        <w:rPr>
          <w:rStyle w:val="19"/>
          <w:rFonts w:hint="eastAsia" w:ascii="仿宋" w:hAnsi="仿宋" w:eastAsia="仿宋"/>
          <w:bCs/>
          <w:color w:val="auto"/>
          <w:sz w:val="32"/>
          <w:szCs w:val="32"/>
          <w:highlight w:val="none"/>
          <w:lang w:val="en-US" w:eastAsia="zh-CN"/>
        </w:rPr>
        <w:t>16.住房保障支出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住房改革支出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Cs/>
          <w:color w:val="auto"/>
          <w:sz w:val="32"/>
          <w:szCs w:val="32"/>
          <w:highlight w:val="none"/>
          <w:lang w:val="en-US" w:eastAsia="zh-CN"/>
        </w:rPr>
        <w:t>住房公积金</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213.26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bookmarkEnd w:id="52"/>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3" w:firstLineChars="200"/>
        <w:jc w:val="both"/>
        <w:textAlignment w:val="auto"/>
        <w:outlineLvl w:val="1"/>
        <w:rPr>
          <w:rStyle w:val="19"/>
          <w:rFonts w:hint="eastAsia" w:ascii="仿宋" w:hAnsi="仿宋" w:eastAsia="仿宋"/>
          <w:b w:val="0"/>
          <w:bCs/>
          <w:color w:val="auto"/>
          <w:sz w:val="32"/>
          <w:szCs w:val="32"/>
          <w:highlight w:val="none"/>
          <w:lang w:eastAsia="zh-CN"/>
        </w:rPr>
      </w:pPr>
      <w:bookmarkStart w:id="53" w:name="_Toc32610"/>
      <w:r>
        <w:rPr>
          <w:rStyle w:val="19"/>
          <w:rFonts w:hint="eastAsia" w:ascii="仿宋" w:hAnsi="仿宋" w:eastAsia="仿宋"/>
          <w:bCs/>
          <w:color w:val="auto"/>
          <w:sz w:val="32"/>
          <w:szCs w:val="32"/>
          <w:highlight w:val="none"/>
          <w:lang w:val="en-US" w:eastAsia="zh-CN"/>
        </w:rPr>
        <w:t>17.灾害防治及应急管理支出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自然灾害防治</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Cs/>
          <w:color w:val="auto"/>
          <w:sz w:val="32"/>
          <w:szCs w:val="32"/>
          <w:highlight w:val="none"/>
          <w:lang w:val="en-US" w:eastAsia="zh-CN"/>
        </w:rPr>
        <w:t>地质灾害防治</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73.34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bookmarkEnd w:id="53"/>
      <w:bookmarkStart w:id="54" w:name="_Toc15377214"/>
      <w:bookmarkStart w:id="55" w:name="_Toc15396608"/>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3" w:firstLineChars="200"/>
        <w:jc w:val="both"/>
        <w:textAlignment w:val="auto"/>
        <w:outlineLvl w:val="1"/>
        <w:rPr>
          <w:rStyle w:val="19"/>
          <w:rFonts w:hint="default" w:ascii="仿宋" w:hAnsi="仿宋" w:eastAsia="仿宋"/>
          <w:b w:val="0"/>
          <w:bCs/>
          <w:color w:val="auto"/>
          <w:sz w:val="32"/>
          <w:szCs w:val="32"/>
          <w:highlight w:val="none"/>
          <w:lang w:val="en-US" w:eastAsia="zh-CN"/>
        </w:rPr>
      </w:pPr>
      <w:bookmarkStart w:id="56" w:name="_Toc23181"/>
      <w:r>
        <w:rPr>
          <w:rStyle w:val="19"/>
          <w:rFonts w:hint="eastAsia" w:ascii="仿宋" w:hAnsi="仿宋" w:eastAsia="仿宋"/>
          <w:bCs/>
          <w:color w:val="auto"/>
          <w:sz w:val="32"/>
          <w:szCs w:val="32"/>
          <w:highlight w:val="none"/>
          <w:lang w:val="en-US" w:eastAsia="zh-CN"/>
        </w:rPr>
        <w:t>18.一般公共服务支出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商贸事务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Cs/>
          <w:color w:val="auto"/>
          <w:sz w:val="32"/>
          <w:szCs w:val="32"/>
          <w:highlight w:val="none"/>
          <w:lang w:val="en-US" w:eastAsia="zh-CN"/>
        </w:rPr>
        <w:t>招商引资</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r>
        <w:rPr>
          <w:rStyle w:val="19"/>
          <w:rFonts w:hint="eastAsia" w:ascii="仿宋" w:hAnsi="仿宋" w:eastAsia="仿宋"/>
          <w:b w:val="0"/>
          <w:bCs/>
          <w:color w:val="auto"/>
          <w:sz w:val="32"/>
          <w:szCs w:val="32"/>
          <w:highlight w:val="none"/>
          <w:lang w:val="en-US" w:eastAsia="zh-CN"/>
        </w:rPr>
        <w:t>财政下达的招商引资项目经费，来年继续支付。</w:t>
      </w:r>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0" w:firstLineChars="200"/>
        <w:jc w:val="both"/>
        <w:textAlignment w:val="auto"/>
        <w:outlineLvl w:val="1"/>
        <w:rPr>
          <w:rStyle w:val="22"/>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般公共预算财政拨款基本支出决算情况说明</w:t>
      </w:r>
      <w:bookmarkEnd w:id="54"/>
      <w:bookmarkEnd w:id="55"/>
      <w:bookmarkEnd w:id="56"/>
      <w:r>
        <w:rPr>
          <w:rStyle w:val="22"/>
          <w:rFonts w:ascii="黑体" w:hAnsi="黑体" w:eastAsia="黑体"/>
          <w:b w:val="0"/>
          <w:color w:val="auto"/>
          <w:highlight w:val="none"/>
        </w:rPr>
        <w:tab/>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3512.03</w:t>
      </w:r>
      <w:r>
        <w:rPr>
          <w:rFonts w:hint="eastAsia" w:ascii="仿宋" w:hAnsi="仿宋" w:eastAsia="仿宋"/>
          <w:color w:val="auto"/>
          <w:sz w:val="32"/>
          <w:szCs w:val="32"/>
          <w:highlight w:val="none"/>
        </w:rPr>
        <w:t>万元，其中：</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3076.95</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抚恤金、生活补助、</w:t>
      </w:r>
      <w:r>
        <w:rPr>
          <w:rFonts w:hint="eastAsia" w:ascii="仿宋" w:hAnsi="仿宋" w:eastAsia="仿宋"/>
          <w:color w:val="auto"/>
          <w:sz w:val="32"/>
          <w:szCs w:val="32"/>
          <w:highlight w:val="none"/>
          <w:lang w:val="en-US" w:eastAsia="zh-CN"/>
        </w:rPr>
        <w:t>奖励金、</w:t>
      </w:r>
      <w:r>
        <w:rPr>
          <w:rFonts w:hint="eastAsia" w:ascii="仿宋" w:hAnsi="仿宋" w:eastAsia="仿宋"/>
          <w:color w:val="auto"/>
          <w:sz w:val="32"/>
          <w:szCs w:val="32"/>
          <w:highlight w:val="none"/>
        </w:rPr>
        <w:t>其他对个人和家庭的补助支出等。</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color w:val="auto"/>
          <w:highlight w:val="none"/>
          <w:lang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435.08</w:t>
      </w:r>
      <w:r>
        <w:rPr>
          <w:rFonts w:hint="eastAsia" w:ascii="仿宋" w:hAnsi="仿宋" w:eastAsia="仿宋"/>
          <w:color w:val="auto"/>
          <w:sz w:val="32"/>
          <w:szCs w:val="32"/>
          <w:highlight w:val="none"/>
        </w:rPr>
        <w:t>万元，主要包括：办公费、印刷费、咨询费、手续费、水费、电费、邮电费、物业管理费、差旅费、维修（护）费、租赁费、会议费、培训费、公务接待费、劳务费、委托业务费、工会经费、福利费、公务用车运行维护费、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rPr>
        <w:t>、其他商品和服务支出、办公设备购置、</w:t>
      </w:r>
      <w:r>
        <w:rPr>
          <w:rFonts w:hint="eastAsia" w:ascii="仿宋" w:hAnsi="仿宋" w:eastAsia="仿宋"/>
          <w:color w:val="auto"/>
          <w:sz w:val="32"/>
          <w:szCs w:val="32"/>
          <w:highlight w:val="none"/>
          <w:lang w:val="en-US" w:eastAsia="zh-CN"/>
        </w:rPr>
        <w:t>公务用车购置。</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rStyle w:val="22"/>
          <w:rFonts w:ascii="黑体" w:hAnsi="黑体" w:eastAsia="黑体"/>
          <w:b w:val="0"/>
          <w:color w:val="auto"/>
          <w:highlight w:val="none"/>
        </w:rPr>
      </w:pPr>
      <w:bookmarkStart w:id="57" w:name="_Toc15377215"/>
      <w:bookmarkStart w:id="58" w:name="_Toc25735"/>
      <w:bookmarkStart w:id="59" w:name="_Toc15396609"/>
      <w:r>
        <w:rPr>
          <w:rFonts w:hint="eastAsia" w:ascii="黑体" w:eastAsia="黑体"/>
          <w:color w:val="auto"/>
          <w:sz w:val="32"/>
          <w:szCs w:val="32"/>
          <w:highlight w:val="none"/>
        </w:rPr>
        <w:t>七、</w:t>
      </w:r>
      <w:r>
        <w:rPr>
          <w:rStyle w:val="22"/>
          <w:rFonts w:hint="eastAsia" w:ascii="黑体" w:hAnsi="黑体" w:eastAsia="黑体"/>
          <w:b w:val="0"/>
          <w:color w:val="auto"/>
          <w:highlight w:val="none"/>
        </w:rPr>
        <w:t>财政拨款</w:t>
      </w:r>
      <w:r>
        <w:rPr>
          <w:rStyle w:val="22"/>
          <w:rFonts w:hint="eastAsia" w:ascii="黑体" w:hAnsi="黑体" w:eastAsia="黑体"/>
          <w:color w:val="auto"/>
          <w:highlight w:val="none"/>
        </w:rPr>
        <w:t>“</w:t>
      </w:r>
      <w:r>
        <w:rPr>
          <w:rStyle w:val="22"/>
          <w:rFonts w:hint="eastAsia" w:ascii="黑体" w:hAnsi="黑体" w:eastAsia="黑体"/>
          <w:b w:val="0"/>
          <w:color w:val="auto"/>
          <w:highlight w:val="none"/>
        </w:rPr>
        <w:t>三公”经费支出决算情况说明</w:t>
      </w:r>
      <w:bookmarkEnd w:id="57"/>
      <w:bookmarkEnd w:id="58"/>
      <w:bookmarkEnd w:id="59"/>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bookmarkStart w:id="60" w:name="_Toc15377216"/>
      <w:r>
        <w:rPr>
          <w:rFonts w:hint="eastAsia" w:ascii="楷体_GB2312" w:hAnsi="楷体_GB2312" w:eastAsia="楷体_GB2312" w:cs="楷体_GB2312"/>
          <w:b/>
          <w:color w:val="auto"/>
          <w:sz w:val="32"/>
          <w:szCs w:val="32"/>
          <w:highlight w:val="none"/>
        </w:rPr>
        <w:t>（一）“三公”经费财政拨款支出决算总体情况说明</w:t>
      </w:r>
      <w:bookmarkEnd w:id="60"/>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81.68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85.85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w:t>
      </w:r>
      <w:r>
        <w:rPr>
          <w:rFonts w:hint="eastAsia" w:ascii="仿宋" w:hAnsi="仿宋" w:eastAsia="仿宋"/>
          <w:color w:val="auto"/>
          <w:sz w:val="32"/>
          <w:szCs w:val="32"/>
          <w:highlight w:val="none"/>
          <w:lang w:val="en-US" w:eastAsia="zh-CN"/>
        </w:rPr>
        <w:t>加12.03万元，增长17.27%。</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公务接待费和公务用车运行维护费厉行勤俭节约，压缩开支。</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bookmarkStart w:id="61" w:name="_Toc15377217"/>
      <w:r>
        <w:rPr>
          <w:rFonts w:hint="eastAsia" w:ascii="楷体_GB2312" w:hAnsi="楷体_GB2312" w:eastAsia="楷体_GB2312" w:cs="楷体_GB2312"/>
          <w:b/>
          <w:color w:val="auto"/>
          <w:sz w:val="32"/>
          <w:szCs w:val="32"/>
          <w:highlight w:val="none"/>
        </w:rPr>
        <w:t>（二）“三公”经费财政拨款支出决算具体情况说明</w:t>
      </w:r>
      <w:bookmarkEnd w:id="61"/>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75.28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92.16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6.41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shd w:val="clear"/>
        <w:kinsoku/>
        <w:wordWrap/>
        <w:overflowPunct/>
        <w:topLinePunct w:val="0"/>
        <w:bidi w:val="0"/>
        <w:snapToGrid/>
        <w:spacing w:line="240" w:lineRule="auto"/>
        <w:ind w:right="0"/>
        <w:jc w:val="center"/>
        <w:textAlignment w:val="auto"/>
        <w:rPr>
          <w:rFonts w:hint="eastAsia" w:ascii="仿宋" w:hAnsi="仿宋" w:eastAsia="仿宋"/>
          <w:color w:val="auto"/>
          <w:sz w:val="32"/>
          <w:szCs w:val="32"/>
          <w:highlight w:val="none"/>
        </w:rPr>
      </w:pPr>
      <w:r>
        <w:rPr>
          <w:color w:val="auto"/>
          <w:highlight w:val="none"/>
        </w:rPr>
        <w:drawing>
          <wp:inline distT="0" distB="0" distL="114300" distR="114300">
            <wp:extent cx="4826000" cy="2758440"/>
            <wp:effectExtent l="4445" t="4445" r="15875" b="107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shd w:val="clear"/>
        <w:kinsoku/>
        <w:wordWrap/>
        <w:overflowPunct/>
        <w:topLinePunct w:val="0"/>
        <w:bidi w:val="0"/>
        <w:snapToGrid/>
        <w:spacing w:line="576" w:lineRule="exact"/>
        <w:ind w:right="0"/>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hint="eastAsia" w:ascii="仿宋_GB2312" w:eastAsia="仿宋_GB2312" w:cs="Times New Roman"/>
          <w:color w:val="auto"/>
          <w:sz w:val="32"/>
          <w:szCs w:val="32"/>
          <w:highlight w:val="none"/>
          <w:lang w:eastAsia="zh-CN"/>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s="Times New Roman"/>
          <w:color w:val="auto"/>
          <w:sz w:val="32"/>
          <w:szCs w:val="32"/>
          <w:highlight w:val="none"/>
          <w:lang w:eastAsia="zh-CN"/>
        </w:rPr>
        <w:t>因公出国（境）支出决算较202</w:t>
      </w:r>
      <w:r>
        <w:rPr>
          <w:rFonts w:hint="eastAsia" w:ascii="仿宋_GB2312" w:eastAsia="仿宋_GB2312" w:cs="Times New Roman"/>
          <w:color w:val="auto"/>
          <w:sz w:val="32"/>
          <w:szCs w:val="32"/>
          <w:highlight w:val="none"/>
          <w:lang w:val="en-US" w:eastAsia="zh-CN"/>
        </w:rPr>
        <w:t>1</w:t>
      </w:r>
      <w:r>
        <w:rPr>
          <w:rFonts w:hint="eastAsia" w:ascii="仿宋_GB2312" w:eastAsia="仿宋_GB2312" w:cs="Times New Roman"/>
          <w:color w:val="auto"/>
          <w:sz w:val="32"/>
          <w:szCs w:val="32"/>
          <w:highlight w:val="none"/>
          <w:lang w:eastAsia="zh-CN"/>
        </w:rPr>
        <w:t>年无变化。</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75.28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95.04</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13.61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22.07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一是</w:t>
      </w:r>
      <w:r>
        <w:rPr>
          <w:rFonts w:hint="eastAsia" w:ascii="仿宋_GB2312" w:eastAsia="仿宋_GB2312"/>
          <w:color w:val="auto"/>
          <w:sz w:val="32"/>
          <w:szCs w:val="32"/>
          <w:highlight w:val="none"/>
          <w:lang w:val="en-US" w:eastAsia="zh-CN"/>
        </w:rPr>
        <w:t>我局局属事业单位经批准新购置一辆业务用车。</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eastAsia="仿宋_GB2312"/>
          <w:b/>
          <w:color w:val="auto"/>
          <w:sz w:val="32"/>
          <w:szCs w:val="32"/>
          <w:highlight w:val="none"/>
          <w:lang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43.43</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商务车1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43.43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局属事业单位市自然资源储备交易中心土地储备方面的支出。</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商务车1辆</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hint="eastAsia" w:eastAsia="仿宋_GB2312"/>
          <w:color w:val="auto"/>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31.85</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rPr>
        <w:t>开展自然资源管理工作、</w:t>
      </w:r>
      <w:r>
        <w:rPr>
          <w:rFonts w:hint="eastAsia" w:ascii="仿宋_GB2312" w:hAnsi="仿宋_GB2312" w:eastAsia="仿宋_GB2312" w:cs="仿宋_GB2312"/>
          <w:color w:val="auto"/>
          <w:sz w:val="32"/>
          <w:szCs w:val="32"/>
          <w:highlight w:val="none"/>
          <w:lang w:val="en-US" w:eastAsia="zh-CN"/>
        </w:rPr>
        <w:t>地质灾害防治、耕地保护、矿业权管理、地籍测绘、土地整理、土地储备、乡村振兴</w:t>
      </w:r>
      <w:r>
        <w:rPr>
          <w:rFonts w:hint="eastAsia" w:ascii="仿宋_GB2312" w:hAnsi="仿宋_GB2312" w:eastAsia="仿宋_GB2312" w:cs="仿宋_GB2312"/>
          <w:color w:val="auto"/>
          <w:sz w:val="32"/>
          <w:szCs w:val="32"/>
          <w:highlight w:val="none"/>
        </w:rPr>
        <w:t>、下乡帮扶等所需的公务用车燃料费、维修费、过路过桥费、保险费等支出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6.41</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40.24</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1.57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19.67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厉行勤俭节约。</w:t>
      </w:r>
      <w:r>
        <w:rPr>
          <w:rFonts w:hint="eastAsia" w:ascii="仿宋_GB2312" w:eastAsia="仿宋_GB2312"/>
          <w:color w:val="auto"/>
          <w:sz w:val="32"/>
          <w:szCs w:val="32"/>
          <w:highlight w:val="none"/>
        </w:rPr>
        <w:t>其中：</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6.41</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rPr>
        <w:t>自然资源</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、上级部门及其他市州的各类检查、督查、调研和县区自然资源局来我局交流汇报等</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79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490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6.41</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自然资源部、省自然资源厅来广督导调研国土空间规划、国土空间生态修复和地质灾害防治、金矿专项整治、普法立法及督察执法等接待费；其他地市州局来广考察交流、县区局来人汇报衔接工作等接待费。</w:t>
      </w:r>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w:t>
      </w:r>
      <w:r>
        <w:rPr>
          <w:rFonts w:hint="eastAsia" w:ascii="仿宋_GB2312" w:eastAsia="仿宋_GB2312"/>
          <w:color w:val="auto"/>
          <w:sz w:val="32"/>
          <w:szCs w:val="32"/>
          <w:highlight w:val="none"/>
          <w:lang w:val="en-US" w:eastAsia="zh-CN"/>
        </w:rPr>
        <w:t>元</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outlineLvl w:val="1"/>
        <w:rPr>
          <w:rStyle w:val="22"/>
          <w:rFonts w:ascii="黑体" w:hAnsi="黑体" w:eastAsia="黑体"/>
          <w:color w:val="auto"/>
          <w:highlight w:val="none"/>
        </w:rPr>
      </w:pPr>
      <w:bookmarkStart w:id="62" w:name="_Toc15377218"/>
      <w:bookmarkStart w:id="63" w:name="_Toc24925"/>
      <w:bookmarkStart w:id="64" w:name="_Toc15396610"/>
      <w:r>
        <w:rPr>
          <w:rFonts w:hint="eastAsia" w:ascii="黑体" w:eastAsia="黑体"/>
          <w:color w:val="auto"/>
          <w:sz w:val="32"/>
          <w:szCs w:val="32"/>
          <w:highlight w:val="none"/>
        </w:rPr>
        <w:t>八、</w:t>
      </w:r>
      <w:r>
        <w:rPr>
          <w:rStyle w:val="22"/>
          <w:rFonts w:hint="eastAsia" w:ascii="黑体" w:hAnsi="黑体" w:eastAsia="黑体"/>
          <w:b w:val="0"/>
          <w:color w:val="auto"/>
          <w:highlight w:val="none"/>
        </w:rPr>
        <w:t>政府性基金预算支出决算情况说明</w:t>
      </w:r>
      <w:bookmarkEnd w:id="62"/>
      <w:bookmarkEnd w:id="63"/>
      <w:bookmarkEnd w:id="64"/>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20720.89</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shd w:val="clear"/>
        <w:kinsoku/>
        <w:wordWrap/>
        <w:overflowPunct/>
        <w:topLinePunct w:val="0"/>
        <w:bidi w:val="0"/>
        <w:snapToGrid/>
        <w:spacing w:line="576" w:lineRule="exact"/>
        <w:ind w:left="0" w:leftChars="0" w:right="0" w:firstLine="640" w:firstLineChars="200"/>
        <w:jc w:val="both"/>
        <w:textAlignment w:val="auto"/>
        <w:outlineLvl w:val="1"/>
        <w:rPr>
          <w:rStyle w:val="22"/>
          <w:rFonts w:ascii="黑体" w:hAnsi="黑体" w:eastAsia="黑体"/>
          <w:b w:val="0"/>
          <w:color w:val="auto"/>
          <w:highlight w:val="none"/>
        </w:rPr>
      </w:pPr>
      <w:bookmarkStart w:id="65" w:name="_Toc15377219"/>
      <w:bookmarkStart w:id="66" w:name="_Toc15396611"/>
      <w:bookmarkStart w:id="67" w:name="_Toc4864"/>
      <w:r>
        <w:rPr>
          <w:rStyle w:val="22"/>
          <w:rFonts w:hint="eastAsia" w:ascii="黑体" w:hAnsi="黑体" w:eastAsia="黑体"/>
          <w:b w:val="0"/>
          <w:color w:val="auto"/>
          <w:highlight w:val="none"/>
        </w:rPr>
        <w:t>国有资本经营预算支出决算情况说明</w:t>
      </w:r>
      <w:bookmarkEnd w:id="65"/>
      <w:bookmarkEnd w:id="66"/>
      <w:bookmarkEnd w:id="67"/>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shd w:val="clear"/>
        <w:kinsoku/>
        <w:wordWrap/>
        <w:overflowPunct/>
        <w:topLinePunct w:val="0"/>
        <w:bidi w:val="0"/>
        <w:snapToGrid/>
        <w:spacing w:line="576" w:lineRule="exact"/>
        <w:ind w:left="0" w:leftChars="0" w:right="0" w:firstLine="640" w:firstLineChars="200"/>
        <w:jc w:val="both"/>
        <w:textAlignment w:val="auto"/>
        <w:outlineLvl w:val="1"/>
        <w:rPr>
          <w:rStyle w:val="22"/>
          <w:rFonts w:hint="eastAsia" w:ascii="黑体" w:hAnsi="黑体" w:eastAsia="黑体"/>
          <w:b w:val="0"/>
          <w:color w:val="auto"/>
          <w:highlight w:val="none"/>
        </w:rPr>
      </w:pPr>
      <w:bookmarkStart w:id="68" w:name="_Toc23636"/>
      <w:bookmarkStart w:id="69" w:name="_Toc15377221"/>
      <w:bookmarkStart w:id="70" w:name="_Toc15396612"/>
      <w:r>
        <w:rPr>
          <w:rStyle w:val="22"/>
          <w:rFonts w:hint="eastAsia" w:ascii="黑体" w:hAnsi="黑体" w:eastAsia="黑体"/>
          <w:b w:val="0"/>
          <w:color w:val="auto"/>
          <w:highlight w:val="none"/>
        </w:rPr>
        <w:t>其他重要事项的情况说明</w:t>
      </w:r>
      <w:bookmarkEnd w:id="68"/>
      <w:bookmarkEnd w:id="69"/>
      <w:bookmarkEnd w:id="70"/>
    </w:p>
    <w:p>
      <w:pPr>
        <w:keepNext w:val="0"/>
        <w:keepLines w:val="0"/>
        <w:pageBreakBefore w:val="0"/>
        <w:widowControl w:val="0"/>
        <w:shd w:val="clear"/>
        <w:kinsoku/>
        <w:wordWrap/>
        <w:overflowPunct/>
        <w:topLinePunct w:val="0"/>
        <w:bidi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color w:val="auto"/>
          <w:sz w:val="32"/>
          <w:szCs w:val="32"/>
          <w:highlight w:val="none"/>
        </w:rPr>
      </w:pPr>
      <w:bookmarkStart w:id="71" w:name="_Toc15377222"/>
      <w:r>
        <w:rPr>
          <w:rFonts w:hint="eastAsia" w:ascii="楷体_GB2312" w:hAnsi="楷体_GB2312" w:eastAsia="楷体_GB2312" w:cs="楷体_GB2312"/>
          <w:b/>
          <w:color w:val="auto"/>
          <w:sz w:val="32"/>
          <w:szCs w:val="32"/>
          <w:highlight w:val="none"/>
        </w:rPr>
        <w:t>（一）机关运行经费支出情况</w:t>
      </w:r>
      <w:bookmarkEnd w:id="71"/>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258.1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4.54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1.79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单位职能职责及人员增加。</w:t>
      </w:r>
    </w:p>
    <w:p>
      <w:pPr>
        <w:keepNext w:val="0"/>
        <w:keepLines w:val="0"/>
        <w:pageBreakBefore w:val="0"/>
        <w:widowControl w:val="0"/>
        <w:shd w:val="clear"/>
        <w:kinsoku/>
        <w:wordWrap/>
        <w:overflowPunct/>
        <w:topLinePunct w:val="0"/>
        <w:autoSpaceDE w:val="0"/>
        <w:autoSpaceDN w:val="0"/>
        <w:bidi w:val="0"/>
        <w:adjustRightInd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bookmarkStart w:id="72" w:name="_Toc15377223"/>
      <w:r>
        <w:rPr>
          <w:rFonts w:hint="eastAsia" w:ascii="楷体_GB2312" w:hAnsi="楷体_GB2312" w:eastAsia="楷体_GB2312" w:cs="楷体_GB2312"/>
          <w:b/>
          <w:color w:val="auto"/>
          <w:sz w:val="32"/>
          <w:szCs w:val="32"/>
          <w:highlight w:val="none"/>
        </w:rPr>
        <w:t>（二）政府采购支出情况</w:t>
      </w:r>
      <w:bookmarkEnd w:id="72"/>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autoSpaceDE w:val="0"/>
        <w:autoSpaceDN w:val="0"/>
        <w:bidi w:val="0"/>
        <w:adjustRightInd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bookmarkStart w:id="73" w:name="_Toc15377224"/>
      <w:r>
        <w:rPr>
          <w:rFonts w:hint="eastAsia" w:ascii="楷体_GB2312" w:hAnsi="楷体_GB2312" w:eastAsia="楷体_GB2312" w:cs="楷体_GB2312"/>
          <w:b/>
          <w:color w:val="auto"/>
          <w:sz w:val="32"/>
          <w:szCs w:val="32"/>
          <w:highlight w:val="none"/>
        </w:rPr>
        <w:t>（三）国有资产占有使用情况</w:t>
      </w:r>
      <w:bookmarkEnd w:id="73"/>
    </w:p>
    <w:p>
      <w:pPr>
        <w:keepNext w:val="0"/>
        <w:keepLines w:val="0"/>
        <w:pageBreakBefore w:val="0"/>
        <w:widowControl w:val="0"/>
        <w:shd w:val="clear"/>
        <w:kinsoku/>
        <w:wordWrap/>
        <w:overflowPunct/>
        <w:topLinePunct w:val="0"/>
        <w:autoSpaceDE w:val="0"/>
        <w:autoSpaceDN w:val="0"/>
        <w:bidi w:val="0"/>
        <w:adjustRightInd w:val="0"/>
        <w:snapToGrid/>
        <w:spacing w:line="576" w:lineRule="exact"/>
        <w:ind w:left="0" w:leftChars="0" w:right="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w:t>
      </w:r>
      <w:r>
        <w:rPr>
          <w:rFonts w:hint="eastAsia" w:ascii="仿宋_GB2312" w:eastAsia="仿宋_GB2312"/>
          <w:color w:val="auto"/>
          <w:sz w:val="32"/>
          <w:szCs w:val="32"/>
          <w:highlight w:val="none"/>
          <w:lang w:eastAsia="zh-CN"/>
        </w:rPr>
        <w:t>用于</w:t>
      </w:r>
      <w:r>
        <w:rPr>
          <w:rFonts w:hint="eastAsia" w:ascii="仿宋_GB2312" w:eastAsia="仿宋_GB2312"/>
          <w:color w:val="auto"/>
          <w:sz w:val="32"/>
          <w:szCs w:val="32"/>
          <w:highlight w:val="none"/>
          <w:lang w:val="en-US" w:eastAsia="zh-CN"/>
        </w:rPr>
        <w:t>一般公务、业务用车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shd w:val="clear"/>
        <w:kinsoku/>
        <w:wordWrap/>
        <w:overflowPunct/>
        <w:topLinePunct w:val="0"/>
        <w:autoSpaceDE w:val="0"/>
        <w:autoSpaceDN w:val="0"/>
        <w:bidi w:val="0"/>
        <w:adjustRightInd w:val="0"/>
        <w:snapToGrid/>
        <w:spacing w:line="576" w:lineRule="exact"/>
        <w:ind w:left="0" w:leftChars="0" w:right="0" w:firstLine="643" w:firstLineChars="200"/>
        <w:jc w:val="both"/>
        <w:textAlignment w:val="auto"/>
        <w:outlineLvl w:val="2"/>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（四）预算绩效管理情况</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地灾防治工作经费”</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组织对2022年度一般公共预算、政府性基金预算等全面开展绩效自评，形成</w:t>
      </w:r>
      <w:r>
        <w:rPr>
          <w:rFonts w:hint="eastAsia" w:ascii="仿宋_GB2312" w:hAnsi="仿宋_GB2312" w:eastAsia="仿宋_GB2312" w:cs="仿宋_GB2312"/>
          <w:color w:val="auto"/>
          <w:sz w:val="32"/>
          <w:szCs w:val="32"/>
          <w:highlight w:val="none"/>
          <w:lang w:val="en-US" w:eastAsia="zh-CN"/>
        </w:rPr>
        <w:t>广元市自然资源局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地灾防治工作经费”</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37个</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val="en-US" w:eastAsia="zh-CN"/>
        </w:rPr>
        <w:t>广元市自然资源局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2022年，广元市自然资源局（含机关和下属单位）制定的目标绩效实现率为98.3%。一是</w:t>
      </w:r>
      <w:r>
        <w:rPr>
          <w:rFonts w:hint="eastAsia" w:ascii="仿宋_GB2312" w:hAnsi="仿宋_GB2312" w:eastAsia="仿宋_GB2312" w:cs="仿宋_GB2312"/>
          <w:color w:val="auto"/>
          <w:sz w:val="32"/>
          <w:szCs w:val="32"/>
          <w:highlight w:val="none"/>
          <w:lang w:eastAsia="zh-CN"/>
        </w:rPr>
        <w:t>人员经费支出</w:t>
      </w:r>
      <w:r>
        <w:rPr>
          <w:rFonts w:hint="eastAsia" w:ascii="仿宋_GB2312" w:hAnsi="仿宋_GB2312" w:eastAsia="仿宋_GB2312" w:cs="仿宋_GB2312"/>
          <w:color w:val="auto"/>
          <w:sz w:val="32"/>
          <w:szCs w:val="32"/>
          <w:highlight w:val="none"/>
          <w:lang w:val="en-US" w:eastAsia="zh-CN"/>
        </w:rPr>
        <w:t>3076.95</w:t>
      </w:r>
      <w:r>
        <w:rPr>
          <w:rFonts w:hint="eastAsia" w:ascii="仿宋_GB2312" w:hAnsi="仿宋_GB2312" w:eastAsia="仿宋_GB2312" w:cs="仿宋_GB2312"/>
          <w:color w:val="auto"/>
          <w:sz w:val="32"/>
          <w:szCs w:val="32"/>
          <w:highlight w:val="none"/>
          <w:lang w:eastAsia="zh-CN"/>
        </w:rPr>
        <w:t>万元，按时发放职工工资、津补贴、奖金等工资福利，人员经费预算执行率为</w:t>
      </w:r>
      <w:r>
        <w:rPr>
          <w:rFonts w:hint="eastAsia" w:ascii="仿宋_GB2312" w:hAnsi="仿宋_GB2312" w:eastAsia="仿宋_GB2312" w:cs="仿宋_GB2312"/>
          <w:color w:val="auto"/>
          <w:sz w:val="32"/>
          <w:szCs w:val="32"/>
          <w:highlight w:val="none"/>
          <w:lang w:val="en-US" w:eastAsia="zh-CN"/>
        </w:rPr>
        <w:t>100%。二是</w:t>
      </w:r>
      <w:r>
        <w:rPr>
          <w:rFonts w:hint="eastAsia" w:ascii="仿宋_GB2312" w:hAnsi="仿宋_GB2312" w:eastAsia="仿宋_GB2312" w:cs="仿宋_GB2312"/>
          <w:color w:val="auto"/>
          <w:sz w:val="32"/>
          <w:szCs w:val="32"/>
          <w:highlight w:val="none"/>
          <w:lang w:eastAsia="zh-CN"/>
        </w:rPr>
        <w:t>日常公用经费支出</w:t>
      </w:r>
      <w:r>
        <w:rPr>
          <w:rFonts w:hint="eastAsia" w:ascii="仿宋_GB2312" w:hAnsi="仿宋_GB2312" w:eastAsia="仿宋_GB2312" w:cs="仿宋_GB2312"/>
          <w:color w:val="auto"/>
          <w:sz w:val="32"/>
          <w:szCs w:val="32"/>
          <w:highlight w:val="none"/>
          <w:lang w:val="en-US" w:eastAsia="zh-CN"/>
        </w:rPr>
        <w:t>435.08</w:t>
      </w:r>
      <w:r>
        <w:rPr>
          <w:rFonts w:hint="eastAsia" w:ascii="仿宋_GB2312" w:hAnsi="仿宋_GB2312" w:eastAsia="仿宋_GB2312" w:cs="仿宋_GB2312"/>
          <w:color w:val="auto"/>
          <w:sz w:val="32"/>
          <w:szCs w:val="32"/>
          <w:highlight w:val="none"/>
          <w:lang w:eastAsia="zh-CN"/>
        </w:rPr>
        <w:t>万元，主要用于支付开展工作所需的办公费、会议费、印刷费、差旅费等，有效保障了机关日常运转，运转保障率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三是特定项目类支出</w:t>
      </w:r>
      <w:r>
        <w:rPr>
          <w:rFonts w:hint="eastAsia" w:ascii="仿宋_GB2312" w:hAnsi="仿宋_GB2312" w:eastAsia="仿宋_GB2312" w:cs="仿宋_GB2312"/>
          <w:color w:val="auto"/>
          <w:sz w:val="32"/>
          <w:szCs w:val="32"/>
          <w:highlight w:val="none"/>
          <w:lang w:val="en-US" w:eastAsia="zh-CN"/>
        </w:rPr>
        <w:t>24615.95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lang w:val="en-US" w:eastAsia="zh-CN"/>
        </w:rPr>
        <w:t>局机关及下属单位地灾防治、耕地保护和土地报征、矿业权管理、信息化建设、空间规划一张图建设、地籍测绘、不动产登记等39个特定项目，包括设置的完成指标、效益指标、满意度指标等三个方面共50个三级绩效目标均已实现，完成率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37个</w:t>
      </w:r>
      <w:r>
        <w:rPr>
          <w:rFonts w:hint="eastAsia" w:ascii="仿宋_GB2312" w:hAnsi="仿宋_GB2312" w:eastAsia="仿宋_GB2312" w:cs="仿宋_GB2312"/>
          <w:color w:val="auto"/>
          <w:sz w:val="32"/>
          <w:szCs w:val="32"/>
          <w:highlight w:val="none"/>
        </w:rPr>
        <w:t>专项预算项目绩效自评得分</w:t>
      </w:r>
      <w:r>
        <w:rPr>
          <w:rFonts w:hint="eastAsia" w:ascii="仿宋_GB2312" w:hAnsi="仿宋_GB2312" w:eastAsia="仿宋_GB2312" w:cs="仿宋_GB2312"/>
          <w:color w:val="auto"/>
          <w:sz w:val="32"/>
          <w:szCs w:val="32"/>
          <w:highlight w:val="none"/>
          <w:lang w:val="en-US" w:eastAsia="zh-CN"/>
        </w:rPr>
        <w:t>平均95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lang w:val="en-US" w:eastAsia="zh-CN"/>
        </w:rPr>
        <w:t>2</w:t>
      </w:r>
      <w:r>
        <w:rPr>
          <w:rFonts w:hint="eastAsia" w:ascii="仿宋_GB2312" w:hAnsi="仿宋" w:eastAsia="仿宋_GB2312" w:cs="仿宋_GB2312"/>
          <w:color w:val="auto"/>
          <w:sz w:val="32"/>
          <w:szCs w:val="32"/>
          <w:highlight w:val="none"/>
        </w:rPr>
        <w:t>年专项预算绩效目标</w:t>
      </w:r>
      <w:r>
        <w:rPr>
          <w:rFonts w:hint="eastAsia" w:ascii="仿宋_GB2312" w:hAnsi="仿宋" w:eastAsia="仿宋_GB2312" w:cs="仿宋_GB2312"/>
          <w:color w:val="auto"/>
          <w:sz w:val="32"/>
          <w:szCs w:val="32"/>
          <w:highlight w:val="none"/>
          <w:lang w:eastAsia="zh-CN"/>
        </w:rPr>
        <w:t>管理工作</w:t>
      </w:r>
      <w:r>
        <w:rPr>
          <w:rFonts w:hint="eastAsia" w:ascii="仿宋_GB2312" w:hAnsi="仿宋" w:eastAsia="仿宋_GB2312" w:cs="仿宋_GB2312"/>
          <w:color w:val="auto"/>
          <w:sz w:val="32"/>
          <w:szCs w:val="32"/>
          <w:highlight w:val="none"/>
        </w:rPr>
        <w:t>程序严密、规划合理、分配科学，按进度实施</w:t>
      </w:r>
      <w:r>
        <w:rPr>
          <w:rFonts w:hint="eastAsia" w:ascii="仿宋_GB2312" w:hAnsi="仿宋" w:eastAsia="仿宋_GB2312" w:cs="仿宋_GB2312"/>
          <w:color w:val="auto"/>
          <w:sz w:val="32"/>
          <w:szCs w:val="32"/>
          <w:highlight w:val="none"/>
          <w:lang w:eastAsia="zh-CN"/>
        </w:rPr>
        <w:t>完成</w:t>
      </w:r>
      <w:r>
        <w:rPr>
          <w:rFonts w:hint="eastAsia" w:ascii="仿宋_GB2312" w:hAnsi="仿宋" w:eastAsia="仿宋_GB2312" w:cs="仿宋_GB2312"/>
          <w:color w:val="auto"/>
          <w:sz w:val="32"/>
          <w:szCs w:val="32"/>
          <w:highlight w:val="none"/>
        </w:rPr>
        <w:t>，执行过程中未发生违规</w:t>
      </w:r>
      <w:r>
        <w:rPr>
          <w:rFonts w:hint="eastAsia" w:ascii="仿宋_GB2312" w:hAnsi="仿宋" w:eastAsia="仿宋_GB2312" w:cs="仿宋_GB2312"/>
          <w:color w:val="auto"/>
          <w:sz w:val="32"/>
          <w:szCs w:val="32"/>
          <w:highlight w:val="none"/>
          <w:lang w:eastAsia="zh-CN"/>
        </w:rPr>
        <w:t>行为</w:t>
      </w:r>
      <w:r>
        <w:rPr>
          <w:rFonts w:hint="eastAsia" w:ascii="仿宋_GB2312" w:hAnsi="仿宋_GB2312" w:eastAsia="仿宋_GB2312" w:cs="仿宋_GB2312"/>
          <w:color w:val="auto"/>
          <w:sz w:val="32"/>
          <w:szCs w:val="32"/>
          <w:highlight w:val="none"/>
        </w:rPr>
        <w:t>。绩效自评报告详见附件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right="0" w:firstLine="643" w:firstLineChars="200"/>
        <w:jc w:val="both"/>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31"/>
        <w:keepNext w:val="0"/>
        <w:keepLines w:val="0"/>
        <w:pageBreakBefore w:val="0"/>
        <w:widowControl w:val="0"/>
        <w:shd w:val="clear"/>
        <w:kinsoku/>
        <w:wordWrap/>
        <w:overflowPunct/>
        <w:topLinePunct w:val="0"/>
        <w:bidi w:val="0"/>
        <w:snapToGrid/>
        <w:spacing w:line="576" w:lineRule="exact"/>
        <w:ind w:right="0"/>
        <w:jc w:val="center"/>
        <w:textAlignment w:val="auto"/>
        <w:outlineLvl w:val="0"/>
        <w:rPr>
          <w:rStyle w:val="21"/>
          <w:rFonts w:hint="eastAsia" w:ascii="黑体" w:hAnsi="黑体" w:eastAsia="黑体"/>
          <w:b w:val="0"/>
          <w:color w:val="auto"/>
          <w:highlight w:val="none"/>
        </w:rPr>
      </w:pPr>
      <w:bookmarkStart w:id="74" w:name="_Toc8591"/>
      <w:bookmarkStart w:id="75" w:name="_Toc15396613"/>
      <w:bookmarkStart w:id="76" w:name="_Toc15377225"/>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rPr>
        <w:t>名</w:t>
      </w:r>
      <w:r>
        <w:rPr>
          <w:rStyle w:val="21"/>
          <w:rFonts w:hint="eastAsia" w:ascii="黑体" w:hAnsi="黑体" w:eastAsia="黑体"/>
          <w:b w:val="0"/>
          <w:color w:val="auto"/>
          <w:highlight w:val="none"/>
        </w:rPr>
        <w:t>词解释</w:t>
      </w:r>
      <w:bookmarkEnd w:id="74"/>
      <w:bookmarkEnd w:id="75"/>
      <w:bookmarkEnd w:id="76"/>
    </w:p>
    <w:p>
      <w:pPr>
        <w:pStyle w:val="31"/>
        <w:keepNext w:val="0"/>
        <w:keepLines w:val="0"/>
        <w:pageBreakBefore w:val="0"/>
        <w:widowControl w:val="0"/>
        <w:shd w:val="clear"/>
        <w:kinsoku/>
        <w:wordWrap/>
        <w:overflowPunct/>
        <w:topLinePunct w:val="0"/>
        <w:bidi w:val="0"/>
        <w:snapToGrid/>
        <w:spacing w:line="576" w:lineRule="exact"/>
        <w:ind w:right="0"/>
        <w:jc w:val="center"/>
        <w:textAlignment w:val="auto"/>
        <w:rPr>
          <w:rStyle w:val="21"/>
          <w:rFonts w:hint="eastAsia" w:ascii="黑体" w:hAnsi="黑体" w:eastAsia="黑体"/>
          <w:b w:val="0"/>
          <w:color w:val="auto"/>
          <w:highlight w:val="none"/>
          <w:lang w:eastAsia="zh-CN"/>
        </w:rPr>
      </w:pP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财政拨款收入：指单位从同级财政部门取得的财政预算资金。</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其他收入：指单位取得的除上述收入以外的各项收入。</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使用非财政拨款结余</w:t>
      </w:r>
      <w:r>
        <w:rPr>
          <w:rFonts w:hint="eastAsia" w:ascii="仿宋_GB2312" w:hAnsi="仿宋_GB2312" w:eastAsia="仿宋_GB2312" w:cs="仿宋_GB2312"/>
          <w:color w:val="auto"/>
          <w:sz w:val="32"/>
          <w:szCs w:val="32"/>
          <w:highlight w:val="none"/>
          <w:lang w:eastAsia="zh-CN"/>
        </w:rPr>
        <w:t>：指事业单位使用以前年度积累的非财政拨款结余弥补当年收支差额的金额。</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年初结转和结余：指以前年度尚未完成、结转到本年按有关规定继续使用的资金。</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年末结转和结余：指单位按有关规定结转到下年或以后年度继续使用的资金。</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人力资源和社会保障管理事务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其他人力资源和社会保障管理事务</w:t>
      </w:r>
      <w:r>
        <w:rPr>
          <w:rFonts w:hint="eastAsia" w:ascii="仿宋_GB2312" w:hAnsi="仿宋_GB2312" w:eastAsia="仿宋_GB2312" w:cs="仿宋_GB2312"/>
          <w:color w:val="auto"/>
          <w:sz w:val="32"/>
          <w:szCs w:val="32"/>
          <w:highlight w:val="none"/>
        </w:rPr>
        <w:t>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指引进人才的安家补助和生活补助。</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行政单位离退休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行政事业单位退休职工生活补助</w:t>
      </w:r>
      <w:r>
        <w:rPr>
          <w:rFonts w:hint="eastAsia" w:ascii="仿宋_GB2312" w:hAnsi="仿宋_GB2312" w:eastAsia="仿宋_GB2312" w:cs="仿宋_GB2312"/>
          <w:color w:val="auto"/>
          <w:sz w:val="32"/>
          <w:szCs w:val="32"/>
          <w:highlight w:val="none"/>
        </w:rPr>
        <w:t>。</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机关事业单位基本养老保险缴费支出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指机关事业单位实施养老保险制度由单位缴纳的基本养老保险费支出</w:t>
      </w:r>
      <w:r>
        <w:rPr>
          <w:rFonts w:hint="eastAsia" w:ascii="仿宋_GB2312" w:hAnsi="仿宋_GB2312" w:eastAsia="仿宋_GB2312" w:cs="仿宋_GB2312"/>
          <w:color w:val="auto"/>
          <w:sz w:val="32"/>
          <w:szCs w:val="32"/>
          <w:highlight w:val="none"/>
          <w:lang w:eastAsia="zh-CN"/>
        </w:rPr>
        <w:t>。</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（款）机关事业单位职业年金缴费支出（项）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指机关事业单位实施养老保险制度由单位实际缴纳的职业年金支出。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（类）抚恤（款）死亡抚恤（项）：指反映按规定用于烈士牺牲、病故人员家属的一次性和定期抚恤金以及丧葬补助费。</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支出（类）其他</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支出（款）其他</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支出（项）：指退休“中人”一次性补助支出。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（类）行政事业单位医疗（款）行政单位医疗（项）：指局机关用于缴纳单位基本医疗保险支出。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（类）行政事业单位医疗（款）事业单位医疗（项）：指事业单位用于缴纳单位基本医疗保险支出。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城区社区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征地和拆迁补偿</w:t>
      </w:r>
      <w:r>
        <w:rPr>
          <w:rFonts w:hint="eastAsia" w:ascii="仿宋_GB2312" w:hAnsi="仿宋_GB2312" w:eastAsia="仿宋_GB2312" w:cs="仿宋_GB2312"/>
          <w:color w:val="auto"/>
          <w:sz w:val="32"/>
          <w:szCs w:val="32"/>
          <w:highlight w:val="none"/>
        </w:rPr>
        <w:t>支出（项）：</w:t>
      </w:r>
      <w:r>
        <w:rPr>
          <w:rFonts w:hint="eastAsia" w:ascii="仿宋_GB2312" w:hAnsi="仿宋_GB2312" w:eastAsia="仿宋_GB2312" w:cs="仿宋_GB2312"/>
          <w:color w:val="auto"/>
          <w:sz w:val="32"/>
          <w:szCs w:val="32"/>
          <w:highlight w:val="none"/>
          <w:lang w:val="en-US" w:eastAsia="zh-CN"/>
        </w:rPr>
        <w:t>指地方政府在征地和收购土地过程中支付的土地补偿费、安置补助费、地上附着物和青苗补偿费、拆迁补偿费支出。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城区社区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城市建设支出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指出让人用于完善国有土地使用功能的配套设施建设和城市基础设施建设支出。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城区社区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农村基础设施建设支出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指土地出让收入用于农村供水保障、村庄公共设施建设和管护以及与农业农村直接相关的以工代赈等方面的支出。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城区社区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土地出让支出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指土地出让收入用于土地</w:t>
      </w:r>
      <w:r>
        <w:rPr>
          <w:rFonts w:hint="eastAsia" w:ascii="仿宋_GB2312" w:hAnsi="仿宋_GB2312" w:eastAsia="仿宋_GB2312" w:cs="仿宋_GB2312"/>
          <w:color w:val="auto"/>
          <w:sz w:val="32"/>
          <w:szCs w:val="32"/>
          <w:highlight w:val="none"/>
        </w:rPr>
        <w:t>出让</w:t>
      </w:r>
      <w:r>
        <w:rPr>
          <w:rFonts w:hint="eastAsia" w:ascii="仿宋_GB2312" w:hAnsi="仿宋_GB2312" w:eastAsia="仿宋_GB2312" w:cs="仿宋_GB2312"/>
          <w:color w:val="auto"/>
          <w:sz w:val="32"/>
          <w:szCs w:val="32"/>
          <w:highlight w:val="none"/>
          <w:lang w:val="en-US" w:eastAsia="zh-CN"/>
        </w:rPr>
        <w:t>业务费用的开支。</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城区社区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其他国有土地使用权出让收入安排的支出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指土地出让收入用于其他方面的支出</w:t>
      </w:r>
      <w:r>
        <w:rPr>
          <w:rFonts w:hint="eastAsia" w:ascii="仿宋_GB2312" w:hAnsi="仿宋_GB2312" w:eastAsia="仿宋_GB2312" w:cs="仿宋_GB2312"/>
          <w:color w:val="auto"/>
          <w:sz w:val="32"/>
          <w:szCs w:val="32"/>
          <w:highlight w:val="none"/>
        </w:rPr>
        <w:t>。</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自然资源海洋气象等（类）自然资源事务（款）行政运行（项）：指局</w:t>
      </w:r>
      <w:r>
        <w:rPr>
          <w:rFonts w:hint="eastAsia" w:ascii="仿宋_GB2312" w:hAnsi="仿宋_GB2312" w:eastAsia="仿宋_GB2312" w:cs="仿宋_GB2312"/>
          <w:color w:val="auto"/>
          <w:sz w:val="32"/>
          <w:szCs w:val="32"/>
          <w:highlight w:val="none"/>
          <w:lang w:val="en-US" w:eastAsia="zh-CN"/>
        </w:rPr>
        <w:t>机关及局属参公管理的事业单位</w:t>
      </w:r>
      <w:r>
        <w:rPr>
          <w:rFonts w:hint="eastAsia" w:ascii="仿宋_GB2312" w:hAnsi="仿宋_GB2312" w:eastAsia="仿宋_GB2312" w:cs="仿宋_GB2312"/>
          <w:color w:val="auto"/>
          <w:sz w:val="32"/>
          <w:szCs w:val="32"/>
          <w:highlight w:val="none"/>
        </w:rPr>
        <w:t>用于保障机构正常运行、开展日常工作的基本支出。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自然资源海洋气象等（类）自然资源事务（款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一般行政管理事务行（项）：指局事业单位开展自然资源综合业务专门性自然资源管理工作的项目支出。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自然资源海洋气象等（类）自然资源事务（款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自然资源规划及管理</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指用于国土空间规划、国土空间开发适宜性评价等方面的支出。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自然资源海洋气象等支出（类）自然资源事务（款）自然资源利用与保护（项）：指</w:t>
      </w:r>
      <w:r>
        <w:rPr>
          <w:rFonts w:hint="eastAsia" w:ascii="仿宋_GB2312" w:hAnsi="仿宋_GB2312" w:eastAsia="仿宋_GB2312" w:cs="仿宋_GB2312"/>
          <w:color w:val="auto"/>
          <w:sz w:val="32"/>
          <w:szCs w:val="32"/>
          <w:highlight w:val="none"/>
          <w:lang w:val="en-US" w:eastAsia="zh-CN"/>
        </w:rPr>
        <w:t>用于自然资源有偿使用与合理开发利用、国土空间生态修复、国土整治，耕地保护等方面的支出。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自然资源海洋气象等支出（类）自然资源事务（款）</w:t>
      </w:r>
      <w:r>
        <w:rPr>
          <w:rFonts w:hint="eastAsia" w:ascii="仿宋_GB2312" w:hAnsi="仿宋_GB2312" w:eastAsia="仿宋_GB2312" w:cs="仿宋_GB2312"/>
          <w:color w:val="auto"/>
          <w:sz w:val="32"/>
          <w:szCs w:val="32"/>
          <w:highlight w:val="none"/>
          <w:lang w:val="en-US" w:eastAsia="zh-CN"/>
        </w:rPr>
        <w:t>自然资源调查与确权登记</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val="en-US" w:eastAsia="zh-CN"/>
        </w:rPr>
        <w:t>自然资源部门用于自然资源调查监测评价，自然资源统一确权登记等方面的支出。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自然资源海洋气象等支出（类）自然资源事务（款）地质勘察与矿产资源管理（项）：指矿业权管理、矿产资源合理利用和保护方面的支出。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自然资源海洋气象等（类）自然资源事务（款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事业运行（项）：指局事业单位用于保障机构正常运行、开展日常工作的基本支出。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自然资源海洋气象等支出（类）自然资源事务（款）其他自然资源事务（项）：指除</w:t>
      </w:r>
      <w:r>
        <w:rPr>
          <w:rFonts w:hint="eastAsia" w:ascii="仿宋_GB2312" w:hAnsi="仿宋_GB2312" w:eastAsia="仿宋_GB2312" w:cs="仿宋_GB2312"/>
          <w:color w:val="auto"/>
          <w:sz w:val="32"/>
          <w:szCs w:val="32"/>
          <w:highlight w:val="none"/>
          <w:lang w:val="en-US" w:eastAsia="zh-CN"/>
        </w:rPr>
        <w:t>上述项目以外其他用于自然资源海洋气象等方面的支出。</w:t>
      </w:r>
      <w:bookmarkStart w:id="109" w:name="_GoBack"/>
      <w:bookmarkEnd w:id="109"/>
      <w:r>
        <w:rPr>
          <w:rFonts w:hint="eastAsia" w:ascii="仿宋_GB2312" w:hAnsi="仿宋_GB2312" w:eastAsia="仿宋_GB2312" w:cs="仿宋_GB2312"/>
          <w:color w:val="auto"/>
          <w:sz w:val="32"/>
          <w:szCs w:val="32"/>
          <w:highlight w:val="none"/>
        </w:rPr>
        <w:t>。</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住房保障（类）住房改革支出（款）住房公积金（项）：指按行政事业单位按人力资源部和社会保障部、财政部规定的基本工资和津贴补贴以及规定比例为职工缴纳的住房公积金。</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灾害防治及应急管理（类）自然灾害防治（款）地质灾害防治（项）：指用于地质灾害防治方面的支出。</w:t>
      </w:r>
    </w:p>
    <w:p>
      <w:pPr>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p>
    <w:p>
      <w:pPr>
        <w:pStyle w:val="31"/>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2"/>
        </w:numPr>
        <w:shd w:val="clear"/>
        <w:kinsoku/>
        <w:wordWrap/>
        <w:overflowPunct/>
        <w:topLinePunct w:val="0"/>
        <w:bidi w:val="0"/>
        <w:snapToGrid/>
        <w:spacing w:line="576" w:lineRule="exact"/>
        <w:ind w:left="0" w:leftChars="0" w:right="0" w:firstLine="400" w:firstLineChars="0"/>
        <w:jc w:val="both"/>
        <w:textAlignment w:val="auto"/>
        <w:outlineLvl w:val="0"/>
        <w:rPr>
          <w:rFonts w:hint="eastAsia" w:ascii="仿宋_GB2312" w:eastAsia="仿宋_GB2312"/>
          <w:color w:val="auto"/>
          <w:sz w:val="32"/>
          <w:szCs w:val="32"/>
          <w:highlight w:val="none"/>
          <w:lang w:eastAsia="zh-CN"/>
        </w:rPr>
      </w:pPr>
      <w:bookmarkStart w:id="77" w:name="_Toc31341"/>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7"/>
      <w:bookmarkStart w:id="78" w:name="_Toc15377226"/>
    </w:p>
    <w:p>
      <w:pPr>
        <w:pStyle w:val="2"/>
        <w:rPr>
          <w:rFonts w:hint="default" w:eastAsia="仿宋_GB2312"/>
          <w:lang w:val="en-US" w:eastAsia="zh-CN"/>
        </w:rPr>
      </w:pPr>
      <w:r>
        <w:rPr>
          <w:rFonts w:hint="eastAsia" w:ascii="仿宋_GB2312" w:eastAsia="仿宋_GB2312"/>
          <w:color w:val="auto"/>
          <w:sz w:val="32"/>
          <w:szCs w:val="32"/>
          <w:highlight w:val="none"/>
          <w:lang w:val="en-US" w:eastAsia="zh-CN"/>
        </w:rPr>
        <w:t>33.一般公共服务支出（类）商贸事务（款）招商引资（项）：指用于招商引资工作经费。</w:t>
      </w:r>
    </w:p>
    <w:p>
      <w:pPr>
        <w:pStyle w:val="2"/>
        <w:keepNext w:val="0"/>
        <w:keepLines w:val="0"/>
        <w:pageBreakBefore w:val="0"/>
        <w:widowControl w:val="0"/>
        <w:shd w:val="clear"/>
        <w:kinsoku/>
        <w:wordWrap/>
        <w:overflowPunct/>
        <w:topLinePunct w:val="0"/>
        <w:bidi w:val="0"/>
        <w:snapToGrid/>
        <w:spacing w:line="576" w:lineRule="exact"/>
        <w:ind w:leftChars="0" w:firstLine="420" w:firstLineChars="200"/>
        <w:jc w:val="both"/>
        <w:textAlignment w:val="auto"/>
        <w:rPr>
          <w:rFonts w:hint="eastAsia"/>
          <w:color w:val="auto"/>
          <w:highlight w:val="none"/>
          <w:lang w:eastAsia="zh-CN"/>
        </w:rPr>
      </w:pPr>
    </w:p>
    <w:p>
      <w:pPr>
        <w:pageBreakBefore w:val="0"/>
        <w:widowControl w:val="0"/>
        <w:shd w:val="clear"/>
        <w:kinsoku/>
        <w:wordWrap/>
        <w:overflowPunct/>
        <w:topLinePunct w:val="0"/>
        <w:bidi w:val="0"/>
        <w:spacing w:line="576" w:lineRule="exact"/>
        <w:ind w:right="0"/>
        <w:jc w:val="center"/>
        <w:textAlignment w:val="auto"/>
        <w:outlineLvl w:val="0"/>
        <w:rPr>
          <w:rStyle w:val="21"/>
          <w:rFonts w:hint="eastAsia" w:ascii="黑体" w:hAnsi="黑体" w:eastAsia="黑体"/>
          <w:b w:val="0"/>
          <w:color w:val="auto"/>
          <w:highlight w:val="none"/>
          <w:lang w:eastAsia="zh-CN"/>
        </w:rPr>
      </w:pPr>
      <w:r>
        <w:rPr>
          <w:rFonts w:ascii="宋体"/>
          <w:b/>
          <w:color w:val="auto"/>
          <w:sz w:val="44"/>
          <w:szCs w:val="44"/>
          <w:highlight w:val="none"/>
        </w:rPr>
        <w:br w:type="page"/>
      </w:r>
      <w:bookmarkStart w:id="79" w:name="_Toc4498"/>
      <w:bookmarkStart w:id="80" w:name="_Toc15396614"/>
      <w:r>
        <w:rPr>
          <w:rFonts w:hint="eastAsia" w:ascii="黑体" w:hAnsi="黑体" w:eastAsia="黑体"/>
          <w:color w:val="auto"/>
          <w:sz w:val="44"/>
          <w:szCs w:val="44"/>
          <w:highlight w:val="none"/>
        </w:rPr>
        <w:t>第</w:t>
      </w:r>
      <w:r>
        <w:rPr>
          <w:rStyle w:val="21"/>
          <w:rFonts w:hint="eastAsia" w:ascii="黑体" w:hAnsi="黑体" w:eastAsia="黑体"/>
          <w:b w:val="0"/>
          <w:color w:val="auto"/>
          <w:highlight w:val="none"/>
        </w:rPr>
        <w:t>四部分附件</w:t>
      </w:r>
      <w:bookmarkEnd w:id="79"/>
      <w:bookmarkEnd w:id="80"/>
    </w:p>
    <w:p>
      <w:pPr>
        <w:pageBreakBefore w:val="0"/>
        <w:widowControl w:val="0"/>
        <w:shd w:val="clear"/>
        <w:kinsoku/>
        <w:wordWrap/>
        <w:overflowPunct/>
        <w:topLinePunct w:val="0"/>
        <w:bidi w:val="0"/>
        <w:spacing w:line="576" w:lineRule="exact"/>
        <w:ind w:left="0" w:leftChars="0" w:right="0" w:firstLine="880" w:firstLineChars="200"/>
        <w:jc w:val="both"/>
        <w:textAlignment w:val="auto"/>
        <w:rPr>
          <w:rStyle w:val="21"/>
          <w:rFonts w:ascii="黑体" w:hAnsi="黑体" w:eastAsia="黑体"/>
          <w:b w:val="0"/>
          <w:color w:val="auto"/>
          <w:highlight w:val="none"/>
        </w:rPr>
      </w:pPr>
      <w:r>
        <w:rPr>
          <w:rStyle w:val="21"/>
          <w:rFonts w:ascii="黑体" w:hAnsi="黑体" w:eastAsia="黑体"/>
          <w:b w:val="0"/>
          <w:color w:val="auto"/>
          <w:highlight w:val="none"/>
        </w:rPr>
        <w:br w:type="page"/>
      </w:r>
    </w:p>
    <w:p>
      <w:pPr>
        <w:pageBreakBefore w:val="0"/>
        <w:widowControl w:val="0"/>
        <w:shd w:val="clear"/>
        <w:kinsoku/>
        <w:wordWrap/>
        <w:overflowPunct/>
        <w:topLinePunct w:val="0"/>
        <w:bidi w:val="0"/>
        <w:spacing w:line="576" w:lineRule="exact"/>
        <w:ind w:right="0"/>
        <w:jc w:val="center"/>
        <w:textAlignment w:val="auto"/>
        <w:outlineLvl w:val="0"/>
        <w:rPr>
          <w:rStyle w:val="21"/>
          <w:rFonts w:hint="eastAsia" w:ascii="黑体" w:hAnsi="黑体" w:eastAsia="黑体"/>
          <w:b w:val="0"/>
          <w:color w:val="auto"/>
          <w:highlight w:val="none"/>
        </w:rPr>
      </w:pPr>
      <w:bookmarkStart w:id="81" w:name="_Toc15396618"/>
      <w:bookmarkStart w:id="82" w:name="_Toc21652"/>
      <w:r>
        <w:rPr>
          <w:rFonts w:hint="eastAsia" w:ascii="黑体" w:hAnsi="黑体" w:eastAsia="黑体"/>
          <w:color w:val="auto"/>
          <w:sz w:val="44"/>
          <w:szCs w:val="44"/>
          <w:highlight w:val="none"/>
        </w:rPr>
        <w:t>第</w:t>
      </w:r>
      <w:r>
        <w:rPr>
          <w:rStyle w:val="21"/>
          <w:rFonts w:hint="eastAsia" w:ascii="黑体" w:hAnsi="黑体" w:eastAsia="黑体"/>
          <w:b w:val="0"/>
          <w:color w:val="auto"/>
          <w:highlight w:val="none"/>
        </w:rPr>
        <w:t>五部分附表</w:t>
      </w:r>
      <w:bookmarkEnd w:id="78"/>
      <w:bookmarkEnd w:id="81"/>
      <w:bookmarkEnd w:id="82"/>
      <w:bookmarkStart w:id="83" w:name="_Toc15396619"/>
    </w:p>
    <w:p>
      <w:pPr>
        <w:pStyle w:val="2"/>
        <w:shd w:val="clear"/>
        <w:rPr>
          <w:rFonts w:hint="eastAsia"/>
          <w:color w:val="auto"/>
          <w:highlight w:val="none"/>
        </w:rPr>
      </w:pPr>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84" w:name="_Toc26924"/>
      <w:r>
        <w:rPr>
          <w:rFonts w:hint="eastAsia" w:ascii="仿宋_GB2312" w:hAnsi="仿宋_GB2312" w:eastAsia="仿宋_GB2312" w:cs="仿宋_GB2312"/>
          <w:b w:val="0"/>
          <w:color w:val="auto"/>
          <w:highlight w:val="none"/>
        </w:rPr>
        <w:t>一、收</w:t>
      </w:r>
      <w:r>
        <w:rPr>
          <w:rStyle w:val="22"/>
          <w:rFonts w:hint="eastAsia" w:ascii="仿宋_GB2312" w:hAnsi="仿宋_GB2312" w:eastAsia="仿宋_GB2312" w:cs="仿宋_GB2312"/>
          <w:b w:val="0"/>
          <w:bCs w:val="0"/>
          <w:color w:val="auto"/>
          <w:highlight w:val="none"/>
        </w:rPr>
        <w:t>入支出决算总表</w:t>
      </w:r>
      <w:bookmarkEnd w:id="83"/>
      <w:bookmarkEnd w:id="84"/>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85" w:name="_Toc15396620"/>
      <w:bookmarkStart w:id="86" w:name="_Toc28094"/>
      <w:r>
        <w:rPr>
          <w:rFonts w:hint="eastAsia" w:ascii="仿宋_GB2312" w:hAnsi="仿宋_GB2312" w:eastAsia="仿宋_GB2312" w:cs="仿宋_GB2312"/>
          <w:b w:val="0"/>
          <w:color w:val="auto"/>
          <w:highlight w:val="none"/>
        </w:rPr>
        <w:t>二、收</w:t>
      </w:r>
      <w:r>
        <w:rPr>
          <w:rStyle w:val="22"/>
          <w:rFonts w:hint="eastAsia" w:ascii="仿宋_GB2312" w:hAnsi="仿宋_GB2312" w:eastAsia="仿宋_GB2312" w:cs="仿宋_GB2312"/>
          <w:b w:val="0"/>
          <w:bCs w:val="0"/>
          <w:color w:val="auto"/>
          <w:highlight w:val="none"/>
        </w:rPr>
        <w:t>入决算表</w:t>
      </w:r>
      <w:bookmarkEnd w:id="85"/>
      <w:bookmarkEnd w:id="86"/>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87" w:name="_Toc15396621"/>
      <w:bookmarkStart w:id="88" w:name="_Toc18285"/>
      <w:r>
        <w:rPr>
          <w:rStyle w:val="22"/>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22"/>
          <w:rFonts w:hint="eastAsia" w:ascii="仿宋_GB2312" w:hAnsi="仿宋_GB2312" w:eastAsia="仿宋_GB2312" w:cs="仿宋_GB2312"/>
          <w:b w:val="0"/>
          <w:bCs w:val="0"/>
          <w:color w:val="auto"/>
          <w:highlight w:val="none"/>
        </w:rPr>
        <w:t>出决算表</w:t>
      </w:r>
      <w:bookmarkEnd w:id="87"/>
      <w:bookmarkEnd w:id="88"/>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b w:val="0"/>
          <w:color w:val="auto"/>
          <w:highlight w:val="none"/>
        </w:rPr>
      </w:pPr>
      <w:bookmarkStart w:id="89" w:name="_Toc15396622"/>
      <w:bookmarkStart w:id="90" w:name="_Toc14558"/>
      <w:r>
        <w:rPr>
          <w:rStyle w:val="22"/>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22"/>
          <w:rFonts w:hint="eastAsia" w:ascii="仿宋_GB2312" w:hAnsi="仿宋_GB2312" w:eastAsia="仿宋_GB2312" w:cs="仿宋_GB2312"/>
          <w:b w:val="0"/>
          <w:bCs w:val="0"/>
          <w:color w:val="auto"/>
          <w:highlight w:val="none"/>
        </w:rPr>
        <w:t>政拨款收入支出决算总表</w:t>
      </w:r>
      <w:bookmarkEnd w:id="89"/>
      <w:bookmarkEnd w:id="90"/>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Style w:val="22"/>
          <w:rFonts w:hint="eastAsia" w:ascii="仿宋_GB2312" w:hAnsi="仿宋_GB2312" w:eastAsia="仿宋_GB2312" w:cs="仿宋_GB2312"/>
          <w:b w:val="0"/>
          <w:bCs w:val="0"/>
          <w:color w:val="auto"/>
          <w:highlight w:val="none"/>
        </w:rPr>
      </w:pPr>
      <w:bookmarkStart w:id="91" w:name="_Toc15396623"/>
      <w:bookmarkStart w:id="92" w:name="_Toc2813"/>
      <w:r>
        <w:rPr>
          <w:rStyle w:val="22"/>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22"/>
          <w:rFonts w:hint="eastAsia" w:ascii="仿宋_GB2312" w:hAnsi="仿宋_GB2312" w:eastAsia="仿宋_GB2312" w:cs="仿宋_GB2312"/>
          <w:b w:val="0"/>
          <w:bCs w:val="0"/>
          <w:color w:val="auto"/>
          <w:highlight w:val="none"/>
        </w:rPr>
        <w:t>政拨款支出决算明细表</w:t>
      </w:r>
      <w:bookmarkEnd w:id="91"/>
      <w:bookmarkEnd w:id="92"/>
      <w:bookmarkStart w:id="93" w:name="_Toc15396624"/>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94" w:name="_Toc31612"/>
      <w:r>
        <w:rPr>
          <w:rStyle w:val="22"/>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22"/>
          <w:rFonts w:hint="eastAsia" w:ascii="仿宋_GB2312" w:hAnsi="仿宋_GB2312" w:eastAsia="仿宋_GB2312" w:cs="仿宋_GB2312"/>
          <w:b w:val="0"/>
          <w:bCs w:val="0"/>
          <w:color w:val="auto"/>
          <w:highlight w:val="none"/>
        </w:rPr>
        <w:t>般公共预算财政拨款支出决算表</w:t>
      </w:r>
      <w:bookmarkEnd w:id="93"/>
      <w:bookmarkEnd w:id="94"/>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95" w:name="_Toc15396625"/>
      <w:bookmarkStart w:id="96" w:name="_Toc9942"/>
      <w:r>
        <w:rPr>
          <w:rStyle w:val="22"/>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22"/>
          <w:rFonts w:hint="eastAsia" w:ascii="仿宋_GB2312" w:hAnsi="仿宋_GB2312" w:eastAsia="仿宋_GB2312" w:cs="仿宋_GB2312"/>
          <w:b w:val="0"/>
          <w:bCs w:val="0"/>
          <w:color w:val="auto"/>
          <w:highlight w:val="none"/>
        </w:rPr>
        <w:t>般公共预算财政拨款支出决算明细表</w:t>
      </w:r>
      <w:bookmarkEnd w:id="95"/>
      <w:bookmarkEnd w:id="96"/>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97" w:name="_Toc15396626"/>
      <w:bookmarkStart w:id="98" w:name="_Toc23027"/>
      <w:r>
        <w:rPr>
          <w:rStyle w:val="22"/>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22"/>
          <w:rFonts w:hint="eastAsia" w:ascii="仿宋_GB2312" w:hAnsi="仿宋_GB2312" w:eastAsia="仿宋_GB2312" w:cs="仿宋_GB2312"/>
          <w:b w:val="0"/>
          <w:bCs w:val="0"/>
          <w:color w:val="auto"/>
          <w:highlight w:val="none"/>
        </w:rPr>
        <w:t>般公共预算财政拨款基本支出决算表</w:t>
      </w:r>
      <w:bookmarkEnd w:id="97"/>
      <w:bookmarkEnd w:id="98"/>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99" w:name="_Toc15396627"/>
      <w:bookmarkStart w:id="100" w:name="_Toc24077"/>
      <w:r>
        <w:rPr>
          <w:rStyle w:val="22"/>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22"/>
          <w:rFonts w:hint="eastAsia" w:ascii="仿宋_GB2312" w:hAnsi="仿宋_GB2312" w:eastAsia="仿宋_GB2312" w:cs="仿宋_GB2312"/>
          <w:b w:val="0"/>
          <w:bCs w:val="0"/>
          <w:color w:val="auto"/>
          <w:highlight w:val="none"/>
        </w:rPr>
        <w:t>般公共预算财政拨款项目支出决算表</w:t>
      </w:r>
      <w:bookmarkEnd w:id="99"/>
      <w:bookmarkEnd w:id="100"/>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101" w:name="_Toc15396628"/>
      <w:bookmarkStart w:id="102" w:name="_Toc668"/>
      <w:r>
        <w:rPr>
          <w:rStyle w:val="22"/>
          <w:rFonts w:hint="eastAsia" w:ascii="仿宋_GB2312" w:hAnsi="仿宋_GB2312" w:eastAsia="仿宋_GB2312" w:cs="仿宋_GB2312"/>
          <w:b w:val="0"/>
          <w:bCs w:val="0"/>
          <w:color w:val="auto"/>
          <w:highlight w:val="none"/>
        </w:rPr>
        <w:t>十、</w:t>
      </w:r>
      <w:bookmarkEnd w:id="101"/>
      <w:r>
        <w:rPr>
          <w:rFonts w:hint="eastAsia" w:ascii="仿宋_GB2312" w:hAnsi="仿宋_GB2312" w:eastAsia="仿宋_GB2312" w:cs="仿宋_GB2312"/>
          <w:b w:val="0"/>
          <w:color w:val="auto"/>
          <w:highlight w:val="none"/>
        </w:rPr>
        <w:t>政</w:t>
      </w:r>
      <w:r>
        <w:rPr>
          <w:rStyle w:val="22"/>
          <w:rFonts w:hint="eastAsia" w:ascii="仿宋_GB2312" w:hAnsi="仿宋_GB2312" w:eastAsia="仿宋_GB2312" w:cs="仿宋_GB2312"/>
          <w:b w:val="0"/>
          <w:bCs w:val="0"/>
          <w:color w:val="auto"/>
          <w:highlight w:val="none"/>
        </w:rPr>
        <w:t>府性基金预算财政拨款收入支出决算表</w:t>
      </w:r>
      <w:bookmarkEnd w:id="102"/>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103" w:name="_Toc15396629"/>
      <w:bookmarkStart w:id="104" w:name="_Toc9925"/>
      <w:r>
        <w:rPr>
          <w:rStyle w:val="22"/>
          <w:rFonts w:hint="eastAsia" w:ascii="仿宋_GB2312" w:hAnsi="仿宋_GB2312" w:eastAsia="仿宋_GB2312" w:cs="仿宋_GB2312"/>
          <w:b w:val="0"/>
          <w:bCs w:val="0"/>
          <w:color w:val="auto"/>
          <w:highlight w:val="none"/>
        </w:rPr>
        <w:t>十一、</w:t>
      </w:r>
      <w:bookmarkEnd w:id="103"/>
      <w:r>
        <w:rPr>
          <w:rFonts w:hint="eastAsia" w:ascii="仿宋_GB2312" w:hAnsi="仿宋_GB2312" w:eastAsia="仿宋_GB2312" w:cs="仿宋_GB2312"/>
          <w:b w:val="0"/>
          <w:color w:val="auto"/>
          <w:highlight w:val="none"/>
        </w:rPr>
        <w:t>国</w:t>
      </w:r>
      <w:r>
        <w:rPr>
          <w:rStyle w:val="22"/>
          <w:rFonts w:hint="eastAsia" w:ascii="仿宋_GB2312" w:hAnsi="仿宋_GB2312" w:eastAsia="仿宋_GB2312" w:cs="仿宋_GB2312"/>
          <w:b w:val="0"/>
          <w:bCs w:val="0"/>
          <w:color w:val="auto"/>
          <w:highlight w:val="none"/>
        </w:rPr>
        <w:t>有资本经营预算</w:t>
      </w:r>
      <w:r>
        <w:rPr>
          <w:rStyle w:val="22"/>
          <w:rFonts w:hint="eastAsia" w:ascii="仿宋_GB2312" w:hAnsi="仿宋_GB2312" w:eastAsia="仿宋_GB2312" w:cs="仿宋_GB2312"/>
          <w:b w:val="0"/>
          <w:bCs w:val="0"/>
          <w:color w:val="auto"/>
          <w:highlight w:val="none"/>
          <w:lang w:eastAsia="zh-CN"/>
        </w:rPr>
        <w:t>财政拨款收入</w:t>
      </w:r>
      <w:r>
        <w:rPr>
          <w:rStyle w:val="22"/>
          <w:rFonts w:hint="eastAsia" w:ascii="仿宋_GB2312" w:hAnsi="仿宋_GB2312" w:eastAsia="仿宋_GB2312" w:cs="仿宋_GB2312"/>
          <w:b w:val="0"/>
          <w:bCs w:val="0"/>
          <w:color w:val="auto"/>
          <w:highlight w:val="none"/>
        </w:rPr>
        <w:t>支出决算表</w:t>
      </w:r>
      <w:bookmarkEnd w:id="104"/>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rPr>
      </w:pPr>
      <w:bookmarkStart w:id="105" w:name="_Toc15396630"/>
      <w:bookmarkStart w:id="106" w:name="_Toc22396"/>
      <w:r>
        <w:rPr>
          <w:rStyle w:val="22"/>
          <w:rFonts w:hint="eastAsia" w:ascii="仿宋_GB2312" w:hAnsi="仿宋_GB2312" w:eastAsia="仿宋_GB2312" w:cs="仿宋_GB2312"/>
          <w:b w:val="0"/>
          <w:bCs w:val="0"/>
          <w:color w:val="auto"/>
          <w:highlight w:val="none"/>
        </w:rPr>
        <w:t>十二、</w:t>
      </w:r>
      <w:bookmarkEnd w:id="105"/>
      <w:r>
        <w:rPr>
          <w:rStyle w:val="22"/>
          <w:rFonts w:hint="eastAsia" w:ascii="仿宋_GB2312" w:hAnsi="仿宋_GB2312" w:eastAsia="仿宋_GB2312" w:cs="仿宋_GB2312"/>
          <w:b w:val="0"/>
          <w:bCs w:val="0"/>
          <w:color w:val="auto"/>
          <w:highlight w:val="none"/>
          <w:lang w:eastAsia="zh-CN"/>
        </w:rPr>
        <w:t>国有资本经营预算财政拨款支出决算表</w:t>
      </w:r>
      <w:bookmarkEnd w:id="106"/>
    </w:p>
    <w:p>
      <w:pPr>
        <w:pStyle w:val="4"/>
        <w:keepNext/>
        <w:keepLines/>
        <w:pageBreakBefore w:val="0"/>
        <w:widowControl w:val="0"/>
        <w:shd w:val="clea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仿宋_GB2312" w:hAnsi="仿宋_GB2312" w:eastAsia="仿宋_GB2312" w:cs="仿宋_GB2312"/>
          <w:color w:val="auto"/>
          <w:highlight w:val="none"/>
          <w:lang w:eastAsia="zh-CN"/>
        </w:rPr>
      </w:pPr>
      <w:bookmarkStart w:id="107" w:name="_Toc15396631"/>
      <w:bookmarkStart w:id="108" w:name="_Toc13747"/>
      <w:r>
        <w:rPr>
          <w:rStyle w:val="22"/>
          <w:rFonts w:hint="eastAsia" w:ascii="仿宋_GB2312" w:hAnsi="仿宋_GB2312" w:eastAsia="仿宋_GB2312" w:cs="仿宋_GB2312"/>
          <w:b w:val="0"/>
          <w:bCs w:val="0"/>
          <w:color w:val="auto"/>
          <w:highlight w:val="none"/>
        </w:rPr>
        <w:t>十三、</w:t>
      </w:r>
      <w:bookmarkEnd w:id="107"/>
      <w:r>
        <w:rPr>
          <w:rStyle w:val="22"/>
          <w:rFonts w:hint="eastAsia" w:ascii="仿宋_GB2312" w:hAnsi="仿宋_GB2312" w:eastAsia="仿宋_GB2312" w:cs="仿宋_GB2312"/>
          <w:b w:val="0"/>
          <w:bCs w:val="0"/>
          <w:color w:val="auto"/>
          <w:highlight w:val="none"/>
          <w:lang w:eastAsia="zh-CN"/>
        </w:rPr>
        <w:t>财政拨款“三公”经费支出决算表</w:t>
      </w:r>
      <w:bookmarkEnd w:id="108"/>
    </w:p>
    <w:sectPr>
      <w:footerReference r:id="rId4" w:type="first"/>
      <w:footerReference r:id="rId3" w:type="default"/>
      <w:pgSz w:w="11906" w:h="16838"/>
      <w:pgMar w:top="2098" w:right="1474" w:bottom="1984" w:left="1587"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54B531-C0DB-41BD-BD08-EB0F2DEDB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80757C-FE4E-4568-87C5-90FF0DEA8D6A}"/>
  </w:font>
  <w:font w:name="Cambria">
    <w:panose1 w:val="02040503050406030204"/>
    <w:charset w:val="00"/>
    <w:family w:val="roman"/>
    <w:pitch w:val="default"/>
    <w:sig w:usb0="E00006FF" w:usb1="420024FF" w:usb2="02000000" w:usb3="00000000" w:csb0="2000019F" w:csb1="00000000"/>
    <w:embedRegular r:id="rId3" w:fontKey="{E8D74B62-79A5-4BAC-B662-3BC5DEDD0BE3}"/>
  </w:font>
  <w:font w:name="仿宋_GB2312">
    <w:altName w:val="仿宋"/>
    <w:panose1 w:val="02010609030101010101"/>
    <w:charset w:val="86"/>
    <w:family w:val="modern"/>
    <w:pitch w:val="default"/>
    <w:sig w:usb0="00000000" w:usb1="00000000" w:usb2="00000010" w:usb3="00000000" w:csb0="00040000" w:csb1="00000000"/>
    <w:embedRegular r:id="rId4" w:fontKey="{DADCD8EE-83C3-47EB-99AE-7884F85DBB01}"/>
  </w:font>
  <w:font w:name="仿宋">
    <w:panose1 w:val="02010609060101010101"/>
    <w:charset w:val="86"/>
    <w:family w:val="auto"/>
    <w:pitch w:val="default"/>
    <w:sig w:usb0="800002BF" w:usb1="38CF7CFA" w:usb2="00000016" w:usb3="00000000" w:csb0="00040001" w:csb1="00000000"/>
    <w:embedRegular r:id="rId5" w:fontKey="{E3F4C71D-84EC-44EC-8D04-82B9605386D2}"/>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00" w:usb3="00000000" w:csb0="00040000" w:csb1="00000000"/>
    <w:embedRegular r:id="rId6" w:fontKey="{1D1E2D50-2EA0-4677-9CDD-D50D65E7228E}"/>
  </w:font>
  <w:font w:name="方正小标宋_GBK">
    <w:altName w:val="华文中宋"/>
    <w:panose1 w:val="03000509000000000000"/>
    <w:charset w:val="86"/>
    <w:family w:val="script"/>
    <w:pitch w:val="default"/>
    <w:sig w:usb0="00000000" w:usb1="00000000" w:usb2="00000010" w:usb3="00000000" w:csb0="00040000" w:csb1="00000000"/>
    <w:embedRegular r:id="rId7" w:fontKey="{5BB1F458-4B34-4AB6-A86A-486BD45D48FA}"/>
  </w:font>
  <w:font w:name="楷体_GB2312">
    <w:altName w:val="楷体"/>
    <w:panose1 w:val="02010609030101010101"/>
    <w:charset w:val="86"/>
    <w:family w:val="auto"/>
    <w:pitch w:val="default"/>
    <w:sig w:usb0="00000000" w:usb1="00000000" w:usb2="00000000" w:usb3="00000000" w:csb0="00040000" w:csb1="00000000"/>
    <w:embedRegular r:id="rId8" w:fontKey="{460406F8-DAAE-471C-8EB6-71A8F1D3D909}"/>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791FB83A"/>
    <w:multiLevelType w:val="singleLevel"/>
    <w:tmpl w:val="791FB83A"/>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WZiMGQ3NTg1YmJjMGY1MmZlMmYwNjQ0Nzk3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9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5E1E"/>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C2953"/>
    <w:rsid w:val="012E0E67"/>
    <w:rsid w:val="015975B8"/>
    <w:rsid w:val="016B6FCE"/>
    <w:rsid w:val="019B651B"/>
    <w:rsid w:val="02143E91"/>
    <w:rsid w:val="028D7421"/>
    <w:rsid w:val="02CB619B"/>
    <w:rsid w:val="02F2666D"/>
    <w:rsid w:val="0341645D"/>
    <w:rsid w:val="03C5162B"/>
    <w:rsid w:val="04194CE4"/>
    <w:rsid w:val="054933A7"/>
    <w:rsid w:val="05EF03F3"/>
    <w:rsid w:val="064D59E4"/>
    <w:rsid w:val="066E0107"/>
    <w:rsid w:val="066E1317"/>
    <w:rsid w:val="06F35CC1"/>
    <w:rsid w:val="07996F6E"/>
    <w:rsid w:val="07D63264"/>
    <w:rsid w:val="07F817E1"/>
    <w:rsid w:val="080812F8"/>
    <w:rsid w:val="08AD1803"/>
    <w:rsid w:val="08D23AAF"/>
    <w:rsid w:val="09220301"/>
    <w:rsid w:val="093B55D8"/>
    <w:rsid w:val="094E7C4E"/>
    <w:rsid w:val="09CB4CD3"/>
    <w:rsid w:val="0A2032A3"/>
    <w:rsid w:val="0A2C5771"/>
    <w:rsid w:val="0A9D21CB"/>
    <w:rsid w:val="0B61144B"/>
    <w:rsid w:val="0B923CFA"/>
    <w:rsid w:val="0C450D6C"/>
    <w:rsid w:val="0E1C78AB"/>
    <w:rsid w:val="0E9D1C3F"/>
    <w:rsid w:val="0EAF3BDB"/>
    <w:rsid w:val="0ECE0E49"/>
    <w:rsid w:val="0F98263C"/>
    <w:rsid w:val="101860EC"/>
    <w:rsid w:val="10246EEB"/>
    <w:rsid w:val="108F5D13"/>
    <w:rsid w:val="10C055FF"/>
    <w:rsid w:val="11531836"/>
    <w:rsid w:val="118107EC"/>
    <w:rsid w:val="11F306BE"/>
    <w:rsid w:val="12335430"/>
    <w:rsid w:val="123C0897"/>
    <w:rsid w:val="12696E37"/>
    <w:rsid w:val="129427F1"/>
    <w:rsid w:val="12A367ED"/>
    <w:rsid w:val="12EA69DD"/>
    <w:rsid w:val="12FE511D"/>
    <w:rsid w:val="13C56DD1"/>
    <w:rsid w:val="13D50BC4"/>
    <w:rsid w:val="144C79BF"/>
    <w:rsid w:val="15363948"/>
    <w:rsid w:val="153951E6"/>
    <w:rsid w:val="16BB723D"/>
    <w:rsid w:val="16E3540A"/>
    <w:rsid w:val="17C84600"/>
    <w:rsid w:val="17CD1C16"/>
    <w:rsid w:val="17F04282"/>
    <w:rsid w:val="181141F9"/>
    <w:rsid w:val="18520C2A"/>
    <w:rsid w:val="188D19A7"/>
    <w:rsid w:val="189C7F66"/>
    <w:rsid w:val="19344C26"/>
    <w:rsid w:val="19490C01"/>
    <w:rsid w:val="19D90D46"/>
    <w:rsid w:val="1B0B13D3"/>
    <w:rsid w:val="1B446693"/>
    <w:rsid w:val="1B903686"/>
    <w:rsid w:val="1BD34424"/>
    <w:rsid w:val="1BDA6A19"/>
    <w:rsid w:val="1BE8440E"/>
    <w:rsid w:val="1BF9122C"/>
    <w:rsid w:val="1C240397"/>
    <w:rsid w:val="1C4E680E"/>
    <w:rsid w:val="1C745B2B"/>
    <w:rsid w:val="1C7B4336"/>
    <w:rsid w:val="1C896A53"/>
    <w:rsid w:val="1CC01D49"/>
    <w:rsid w:val="1D1327C1"/>
    <w:rsid w:val="1D155CEE"/>
    <w:rsid w:val="1D7E40DE"/>
    <w:rsid w:val="1DA376A1"/>
    <w:rsid w:val="1DC1221D"/>
    <w:rsid w:val="1E1C7453"/>
    <w:rsid w:val="1E234C86"/>
    <w:rsid w:val="1E8E1A9F"/>
    <w:rsid w:val="1E91399D"/>
    <w:rsid w:val="1F954F59"/>
    <w:rsid w:val="1FC876F0"/>
    <w:rsid w:val="1FCA74DA"/>
    <w:rsid w:val="1FF35744"/>
    <w:rsid w:val="20564E9E"/>
    <w:rsid w:val="20BB73F7"/>
    <w:rsid w:val="2180661A"/>
    <w:rsid w:val="21AB746C"/>
    <w:rsid w:val="22AE0442"/>
    <w:rsid w:val="22B45EAC"/>
    <w:rsid w:val="230C3F3A"/>
    <w:rsid w:val="23362D65"/>
    <w:rsid w:val="234D3B4C"/>
    <w:rsid w:val="2384170E"/>
    <w:rsid w:val="23860B96"/>
    <w:rsid w:val="23906919"/>
    <w:rsid w:val="239F6B5C"/>
    <w:rsid w:val="23C967FE"/>
    <w:rsid w:val="23F9517F"/>
    <w:rsid w:val="23FA0237"/>
    <w:rsid w:val="240371BF"/>
    <w:rsid w:val="24443260"/>
    <w:rsid w:val="24480FA2"/>
    <w:rsid w:val="244F2331"/>
    <w:rsid w:val="246833F2"/>
    <w:rsid w:val="247A182C"/>
    <w:rsid w:val="2480698E"/>
    <w:rsid w:val="24B1461E"/>
    <w:rsid w:val="24C36326"/>
    <w:rsid w:val="24EA3E07"/>
    <w:rsid w:val="25050C41"/>
    <w:rsid w:val="25592D3B"/>
    <w:rsid w:val="266B3D09"/>
    <w:rsid w:val="26C26CF7"/>
    <w:rsid w:val="27421CD9"/>
    <w:rsid w:val="27547C5E"/>
    <w:rsid w:val="27802801"/>
    <w:rsid w:val="28041684"/>
    <w:rsid w:val="284B2D09"/>
    <w:rsid w:val="28F263D7"/>
    <w:rsid w:val="2967011C"/>
    <w:rsid w:val="29842A7C"/>
    <w:rsid w:val="29ED20D0"/>
    <w:rsid w:val="29FD04D3"/>
    <w:rsid w:val="2A1829E9"/>
    <w:rsid w:val="2A8D5961"/>
    <w:rsid w:val="2AB0456A"/>
    <w:rsid w:val="2AD215C5"/>
    <w:rsid w:val="2B1B1E80"/>
    <w:rsid w:val="2B824D9A"/>
    <w:rsid w:val="2C8A61B5"/>
    <w:rsid w:val="2C994A91"/>
    <w:rsid w:val="2CDF7FCA"/>
    <w:rsid w:val="2D3D4257"/>
    <w:rsid w:val="2DAC37B8"/>
    <w:rsid w:val="2DF04E50"/>
    <w:rsid w:val="2E154931"/>
    <w:rsid w:val="2E2F0BED"/>
    <w:rsid w:val="2EFA3161"/>
    <w:rsid w:val="2F040D46"/>
    <w:rsid w:val="2F326AD7"/>
    <w:rsid w:val="2F757C4D"/>
    <w:rsid w:val="2F9F5104"/>
    <w:rsid w:val="2FB83480"/>
    <w:rsid w:val="2FC06745"/>
    <w:rsid w:val="302F23F1"/>
    <w:rsid w:val="306D4B10"/>
    <w:rsid w:val="309A4933"/>
    <w:rsid w:val="310258EB"/>
    <w:rsid w:val="3103739A"/>
    <w:rsid w:val="31921AAF"/>
    <w:rsid w:val="319F7F4E"/>
    <w:rsid w:val="31D976DD"/>
    <w:rsid w:val="31EB0DC6"/>
    <w:rsid w:val="31FC5965"/>
    <w:rsid w:val="32A9493D"/>
    <w:rsid w:val="32E7038D"/>
    <w:rsid w:val="3304709D"/>
    <w:rsid w:val="333170A5"/>
    <w:rsid w:val="335334BF"/>
    <w:rsid w:val="33D60378"/>
    <w:rsid w:val="33DC16B1"/>
    <w:rsid w:val="35011425"/>
    <w:rsid w:val="35616327"/>
    <w:rsid w:val="35C46889"/>
    <w:rsid w:val="35C51E40"/>
    <w:rsid w:val="35D8123B"/>
    <w:rsid w:val="36AA5135"/>
    <w:rsid w:val="36BF1BB3"/>
    <w:rsid w:val="36C070BE"/>
    <w:rsid w:val="36D2322F"/>
    <w:rsid w:val="370E607B"/>
    <w:rsid w:val="375717D0"/>
    <w:rsid w:val="37623CD1"/>
    <w:rsid w:val="37634043"/>
    <w:rsid w:val="376D39B2"/>
    <w:rsid w:val="37C25085"/>
    <w:rsid w:val="37E16F03"/>
    <w:rsid w:val="38A00F55"/>
    <w:rsid w:val="38D469F0"/>
    <w:rsid w:val="38FE7A29"/>
    <w:rsid w:val="393A4F06"/>
    <w:rsid w:val="399C796E"/>
    <w:rsid w:val="39C112FD"/>
    <w:rsid w:val="3B267DF9"/>
    <w:rsid w:val="3B3836C7"/>
    <w:rsid w:val="3B6F5C66"/>
    <w:rsid w:val="3B7C147E"/>
    <w:rsid w:val="3B8B38BD"/>
    <w:rsid w:val="3BDF5AF0"/>
    <w:rsid w:val="3BF13876"/>
    <w:rsid w:val="3C5C1637"/>
    <w:rsid w:val="3D0025DB"/>
    <w:rsid w:val="3D0A2E41"/>
    <w:rsid w:val="3D98207C"/>
    <w:rsid w:val="3D995F73"/>
    <w:rsid w:val="3E2D4EAB"/>
    <w:rsid w:val="3E2E2EE1"/>
    <w:rsid w:val="3E78745D"/>
    <w:rsid w:val="3EA232A1"/>
    <w:rsid w:val="3EB26382"/>
    <w:rsid w:val="3F60554B"/>
    <w:rsid w:val="3F636838"/>
    <w:rsid w:val="3F7C276E"/>
    <w:rsid w:val="40154078"/>
    <w:rsid w:val="402D7572"/>
    <w:rsid w:val="40416B7A"/>
    <w:rsid w:val="405E0B0B"/>
    <w:rsid w:val="40953369"/>
    <w:rsid w:val="412C5A7C"/>
    <w:rsid w:val="416E7CC2"/>
    <w:rsid w:val="41DB2FFE"/>
    <w:rsid w:val="425D1C65"/>
    <w:rsid w:val="42A87384"/>
    <w:rsid w:val="43AF2554"/>
    <w:rsid w:val="440968EA"/>
    <w:rsid w:val="441C6A36"/>
    <w:rsid w:val="44764321"/>
    <w:rsid w:val="44E268DA"/>
    <w:rsid w:val="46E543AC"/>
    <w:rsid w:val="47356D0C"/>
    <w:rsid w:val="47B61E19"/>
    <w:rsid w:val="47BE31A6"/>
    <w:rsid w:val="48C03DAA"/>
    <w:rsid w:val="495871F1"/>
    <w:rsid w:val="49AF6C96"/>
    <w:rsid w:val="49BA5907"/>
    <w:rsid w:val="49BD3F99"/>
    <w:rsid w:val="4A0F5F3A"/>
    <w:rsid w:val="4A266DE0"/>
    <w:rsid w:val="4A627F82"/>
    <w:rsid w:val="4A994138"/>
    <w:rsid w:val="4B0E749A"/>
    <w:rsid w:val="4B4F25DA"/>
    <w:rsid w:val="4B9E2A0A"/>
    <w:rsid w:val="4BD05255"/>
    <w:rsid w:val="4BD202F5"/>
    <w:rsid w:val="4BE068DB"/>
    <w:rsid w:val="4BE937DC"/>
    <w:rsid w:val="4C621B1B"/>
    <w:rsid w:val="4CDB2104"/>
    <w:rsid w:val="4CF65190"/>
    <w:rsid w:val="4D16313C"/>
    <w:rsid w:val="4D577224"/>
    <w:rsid w:val="4D956757"/>
    <w:rsid w:val="4E1B457E"/>
    <w:rsid w:val="4E9B5FEF"/>
    <w:rsid w:val="4EAB630A"/>
    <w:rsid w:val="4ECE2238"/>
    <w:rsid w:val="4F35399B"/>
    <w:rsid w:val="4F8413E5"/>
    <w:rsid w:val="502D711A"/>
    <w:rsid w:val="51256043"/>
    <w:rsid w:val="514F14C2"/>
    <w:rsid w:val="515D3A2F"/>
    <w:rsid w:val="51962A9D"/>
    <w:rsid w:val="51CB2747"/>
    <w:rsid w:val="51DB16D8"/>
    <w:rsid w:val="524E5126"/>
    <w:rsid w:val="525564B4"/>
    <w:rsid w:val="52DA6B9E"/>
    <w:rsid w:val="52E8557B"/>
    <w:rsid w:val="52ED0DE3"/>
    <w:rsid w:val="537E6D0A"/>
    <w:rsid w:val="53FF492A"/>
    <w:rsid w:val="54177EC5"/>
    <w:rsid w:val="54C811C0"/>
    <w:rsid w:val="54CF69F2"/>
    <w:rsid w:val="54E378CA"/>
    <w:rsid w:val="54E63D3C"/>
    <w:rsid w:val="558512B9"/>
    <w:rsid w:val="568B58AF"/>
    <w:rsid w:val="56C34335"/>
    <w:rsid w:val="56DA1598"/>
    <w:rsid w:val="577473DD"/>
    <w:rsid w:val="577E46FF"/>
    <w:rsid w:val="57FE1475"/>
    <w:rsid w:val="580E1A42"/>
    <w:rsid w:val="58136BF6"/>
    <w:rsid w:val="584E53E8"/>
    <w:rsid w:val="5889335C"/>
    <w:rsid w:val="58FF717A"/>
    <w:rsid w:val="5923730C"/>
    <w:rsid w:val="5948028E"/>
    <w:rsid w:val="596C50C9"/>
    <w:rsid w:val="599B6EA3"/>
    <w:rsid w:val="5A2A0227"/>
    <w:rsid w:val="5AF92295"/>
    <w:rsid w:val="5C0D1BAE"/>
    <w:rsid w:val="5CA00C74"/>
    <w:rsid w:val="5CD71FC4"/>
    <w:rsid w:val="5DC015CE"/>
    <w:rsid w:val="5E7303EE"/>
    <w:rsid w:val="5EB56C59"/>
    <w:rsid w:val="5ED76D7A"/>
    <w:rsid w:val="5F4E6765"/>
    <w:rsid w:val="5FB27D96"/>
    <w:rsid w:val="5FF11F12"/>
    <w:rsid w:val="60002155"/>
    <w:rsid w:val="607A288B"/>
    <w:rsid w:val="609D1752"/>
    <w:rsid w:val="60DD290C"/>
    <w:rsid w:val="60F33A68"/>
    <w:rsid w:val="61A92842"/>
    <w:rsid w:val="61B56F70"/>
    <w:rsid w:val="625F03AB"/>
    <w:rsid w:val="62AF29BE"/>
    <w:rsid w:val="637864A7"/>
    <w:rsid w:val="63C65464"/>
    <w:rsid w:val="63E15DFA"/>
    <w:rsid w:val="658904F7"/>
    <w:rsid w:val="65F20792"/>
    <w:rsid w:val="66021C4C"/>
    <w:rsid w:val="66240220"/>
    <w:rsid w:val="66551C00"/>
    <w:rsid w:val="66770C98"/>
    <w:rsid w:val="668934B1"/>
    <w:rsid w:val="66D7323E"/>
    <w:rsid w:val="66E75E1D"/>
    <w:rsid w:val="671727D4"/>
    <w:rsid w:val="675F3C06"/>
    <w:rsid w:val="67C107F4"/>
    <w:rsid w:val="68B27D65"/>
    <w:rsid w:val="6A744327"/>
    <w:rsid w:val="6A9E4A45"/>
    <w:rsid w:val="6AE368FC"/>
    <w:rsid w:val="6AEB3A02"/>
    <w:rsid w:val="6B182A49"/>
    <w:rsid w:val="6B1B7E43"/>
    <w:rsid w:val="6C2E4FFA"/>
    <w:rsid w:val="6C3670F4"/>
    <w:rsid w:val="6C4A05C8"/>
    <w:rsid w:val="6C4C4378"/>
    <w:rsid w:val="6C535E80"/>
    <w:rsid w:val="6C81017A"/>
    <w:rsid w:val="6C9F2CF6"/>
    <w:rsid w:val="6CDE737B"/>
    <w:rsid w:val="6D286848"/>
    <w:rsid w:val="6DC72505"/>
    <w:rsid w:val="6DD14348"/>
    <w:rsid w:val="6DF606F4"/>
    <w:rsid w:val="6E6C0804"/>
    <w:rsid w:val="6E7E3605"/>
    <w:rsid w:val="6EA63EC8"/>
    <w:rsid w:val="6EBA1E30"/>
    <w:rsid w:val="6EC10D02"/>
    <w:rsid w:val="6EFD5AB2"/>
    <w:rsid w:val="6F1277AF"/>
    <w:rsid w:val="6F55769C"/>
    <w:rsid w:val="6FB603BC"/>
    <w:rsid w:val="6FC02665"/>
    <w:rsid w:val="6FC52A53"/>
    <w:rsid w:val="6FCC3E02"/>
    <w:rsid w:val="6FEE1FCA"/>
    <w:rsid w:val="6FF5CC65"/>
    <w:rsid w:val="70187047"/>
    <w:rsid w:val="70207CAA"/>
    <w:rsid w:val="70CE51A5"/>
    <w:rsid w:val="71116D4F"/>
    <w:rsid w:val="71153587"/>
    <w:rsid w:val="714B51FB"/>
    <w:rsid w:val="715C0E4B"/>
    <w:rsid w:val="71A36DE5"/>
    <w:rsid w:val="71EF5B86"/>
    <w:rsid w:val="72734D90"/>
    <w:rsid w:val="7276796A"/>
    <w:rsid w:val="72B3408A"/>
    <w:rsid w:val="72C232B3"/>
    <w:rsid w:val="73012015"/>
    <w:rsid w:val="730F0517"/>
    <w:rsid w:val="738B5D82"/>
    <w:rsid w:val="73AD73D5"/>
    <w:rsid w:val="73B6EB34"/>
    <w:rsid w:val="73CD0DC6"/>
    <w:rsid w:val="74387CB8"/>
    <w:rsid w:val="744731E5"/>
    <w:rsid w:val="74B82BA7"/>
    <w:rsid w:val="758E56B6"/>
    <w:rsid w:val="75B5383F"/>
    <w:rsid w:val="75D71455"/>
    <w:rsid w:val="76164DA4"/>
    <w:rsid w:val="76182B83"/>
    <w:rsid w:val="76E3355F"/>
    <w:rsid w:val="76EC44D1"/>
    <w:rsid w:val="772269FE"/>
    <w:rsid w:val="778769C8"/>
    <w:rsid w:val="780E0561"/>
    <w:rsid w:val="78342545"/>
    <w:rsid w:val="78485FF0"/>
    <w:rsid w:val="791505C8"/>
    <w:rsid w:val="794178B0"/>
    <w:rsid w:val="796C2221"/>
    <w:rsid w:val="798D4602"/>
    <w:rsid w:val="79907C4E"/>
    <w:rsid w:val="79EE5BA4"/>
    <w:rsid w:val="7A894339"/>
    <w:rsid w:val="7AFB559C"/>
    <w:rsid w:val="7BA75723"/>
    <w:rsid w:val="7C232FFC"/>
    <w:rsid w:val="7C961A20"/>
    <w:rsid w:val="7CE742CC"/>
    <w:rsid w:val="7D0C4F28"/>
    <w:rsid w:val="7D10125B"/>
    <w:rsid w:val="7D1943FF"/>
    <w:rsid w:val="7D380D29"/>
    <w:rsid w:val="7E1075B0"/>
    <w:rsid w:val="7E5E656D"/>
    <w:rsid w:val="7E696CC0"/>
    <w:rsid w:val="7E996182"/>
    <w:rsid w:val="7E9C52E7"/>
    <w:rsid w:val="7EB16AF4"/>
    <w:rsid w:val="7ECB2A5E"/>
    <w:rsid w:val="7EEC797C"/>
    <w:rsid w:val="7EEF11D3"/>
    <w:rsid w:val="7EFC1014"/>
    <w:rsid w:val="7F392F26"/>
    <w:rsid w:val="7FA30C79"/>
    <w:rsid w:val="7FB7269E"/>
    <w:rsid w:val="7FC96657"/>
    <w:rsid w:val="7FFF6DE6"/>
    <w:rsid w:val="D8D6DB89"/>
    <w:rsid w:val="DB6F4CAB"/>
    <w:rsid w:val="DF6F9789"/>
    <w:rsid w:val="EB75812F"/>
    <w:rsid w:val="FF7B6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Salutation"/>
    <w:basedOn w:val="1"/>
    <w:next w:val="1"/>
    <w:unhideWhenUsed/>
    <w:qFormat/>
    <w:uiPriority w:val="99"/>
  </w:style>
  <w:style w:type="paragraph" w:styleId="7">
    <w:name w:val="Body Text"/>
    <w:basedOn w:val="1"/>
    <w:next w:val="8"/>
    <w:link w:val="30"/>
    <w:qFormat/>
    <w:uiPriority w:val="99"/>
    <w:pPr>
      <w:spacing w:beforeLines="30"/>
    </w:pPr>
    <w:rPr>
      <w:rFonts w:ascii="仿宋_GB2312" w:eastAsia="仿宋_GB2312"/>
      <w:kern w:val="0"/>
      <w:sz w:val="30"/>
    </w:rPr>
  </w:style>
  <w:style w:type="paragraph" w:styleId="8">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9">
    <w:name w:val="Body Text Indent"/>
    <w:basedOn w:val="1"/>
    <w:qFormat/>
    <w:uiPriority w:val="0"/>
    <w:pPr>
      <w:spacing w:after="120"/>
      <w:ind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2"/>
    <w:basedOn w:val="9"/>
    <w:next w:val="1"/>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3"/>
    <w:qFormat/>
    <w:uiPriority w:val="9"/>
    <w:rPr>
      <w:rFonts w:ascii="Times New Roman" w:hAnsi="Times New Roman"/>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kern w:val="2"/>
      <w:sz w:val="32"/>
      <w:szCs w:val="32"/>
    </w:rPr>
  </w:style>
  <w:style w:type="character" w:customStyle="1" w:styleId="23">
    <w:name w:val="标题 3 Char"/>
    <w:basedOn w:val="18"/>
    <w:link w:val="5"/>
    <w:qFormat/>
    <w:uiPriority w:val="9"/>
    <w:rPr>
      <w:rFonts w:ascii="Times New Roman" w:hAnsi="Times New Roman"/>
      <w:b/>
      <w:bCs/>
      <w:kern w:val="2"/>
      <w:sz w:val="32"/>
      <w:szCs w:val="32"/>
    </w:rPr>
  </w:style>
  <w:style w:type="paragraph" w:customStyle="1" w:styleId="24">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5">
    <w:name w:val="Header Char"/>
    <w:basedOn w:val="18"/>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18"/>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18"/>
    <w:semiHidden/>
    <w:qFormat/>
    <w:uiPriority w:val="99"/>
    <w:rPr>
      <w:rFonts w:ascii="Times New Roman" w:hAnsi="Times New Roman"/>
      <w:szCs w:val="24"/>
    </w:rPr>
  </w:style>
  <w:style w:type="character" w:customStyle="1" w:styleId="30">
    <w:name w:val="正文文本 Char"/>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1"/>
    <w:semiHidden/>
    <w:qFormat/>
    <w:uiPriority w:val="99"/>
    <w:rPr>
      <w:rFonts w:ascii="Times New Roman" w:hAnsi="Times New Roman"/>
      <w:kern w:val="2"/>
      <w:sz w:val="18"/>
      <w:szCs w:val="18"/>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2022年度收、支总计</c:v>
                </c:pt>
                <c:pt idx="1">
                  <c:v>2021年度收、支总计</c:v>
                </c:pt>
              </c:strCache>
            </c:strRef>
          </c:cat>
          <c:val>
            <c:numRef>
              <c:f>[工作簿1]Sheet1!$A$2:$B$2</c:f>
              <c:numCache>
                <c:formatCode>General</c:formatCode>
                <c:ptCount val="2"/>
                <c:pt idx="0">
                  <c:v>28348.17</c:v>
                </c:pt>
                <c:pt idx="1">
                  <c:v>13742.23</c:v>
                </c:pt>
              </c:numCache>
            </c:numRef>
          </c:val>
        </c:ser>
        <c:dLbls>
          <c:showLegendKey val="0"/>
          <c:showVal val="1"/>
          <c:showCatName val="0"/>
          <c:showSerName val="0"/>
          <c:showPercent val="0"/>
          <c:showBubbleSize val="0"/>
        </c:dLbls>
        <c:gapWidth val="246"/>
        <c:overlap val="-28"/>
        <c:axId val="472304372"/>
        <c:axId val="851638775"/>
      </c:barChart>
      <c:catAx>
        <c:axId val="4723043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638775"/>
        <c:crosses val="autoZero"/>
        <c:auto val="1"/>
        <c:lblAlgn val="ctr"/>
        <c:lblOffset val="100"/>
        <c:noMultiLvlLbl val="0"/>
      </c:catAx>
      <c:valAx>
        <c:axId val="85163877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3043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24</a:t>
                    </a:r>
                    <a:r>
                      <a:rPr lang="en-US" altLang="zh-CN"/>
                      <a:t>.05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一般公共预算财政拨款收入6597.75万元</c:v>
                </c:pt>
                <c:pt idx="1">
                  <c:v>政府性基金预算财政拨款收入20303.60万元</c:v>
                </c:pt>
                <c:pt idx="2">
                  <c:v>其他收入535.88万元</c:v>
                </c:pt>
              </c:strCache>
            </c:strRef>
          </c:cat>
          <c:val>
            <c:numRef>
              <c:f>[工作簿1]Sheet1!$A$2:$C$2</c:f>
              <c:numCache>
                <c:formatCode>0.00%</c:formatCode>
                <c:ptCount val="3"/>
                <c:pt idx="0">
                  <c:v>0.2405</c:v>
                </c:pt>
                <c:pt idx="1" c:formatCode="0%">
                  <c:v>0.74</c:v>
                </c:pt>
                <c:pt idx="2">
                  <c:v>0.0195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a:t>
                    </a:r>
                    <a:r>
                      <a:rPr lang="en-US" altLang="zh-CN"/>
                      <a:t>2.89</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87</a:t>
                    </a:r>
                    <a:r>
                      <a:rPr lang="en-US" altLang="zh-CN"/>
                      <a:t>.11</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2022年本年支出合计28259.50万元</c:v>
                </c:pt>
                <c:pt idx="1">
                  <c:v>基本支出3643.55万元</c:v>
                </c:pt>
                <c:pt idx="2">
                  <c:v>项目支出24615.95万元</c:v>
                </c:pt>
              </c:strCache>
            </c:strRef>
          </c:cat>
          <c:val>
            <c:numRef>
              <c:f>[工作簿1]Sheet1!$A$2:$C$2</c:f>
              <c:numCache>
                <c:formatCode>General</c:formatCode>
                <c:ptCount val="3"/>
                <c:pt idx="1" c:formatCode="0.00%">
                  <c:v>0.1289</c:v>
                </c:pt>
                <c:pt idx="2" c:formatCode="0.00%">
                  <c:v>0.8711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2022年财政拨款收、支总计</c:v>
                </c:pt>
                <c:pt idx="1">
                  <c:v>2021年财政拨款收、支总计</c:v>
                </c:pt>
              </c:strCache>
            </c:strRef>
          </c:cat>
          <c:val>
            <c:numRef>
              <c:f>[工作簿1]Sheet1!$A$2:$B$2</c:f>
              <c:numCache>
                <c:formatCode>General</c:formatCode>
                <c:ptCount val="2"/>
                <c:pt idx="0">
                  <c:v>27677.61</c:v>
                </c:pt>
                <c:pt idx="1">
                  <c:v>12646.1</c:v>
                </c:pt>
              </c:numCache>
            </c:numRef>
          </c:val>
        </c:ser>
        <c:dLbls>
          <c:showLegendKey val="0"/>
          <c:showVal val="1"/>
          <c:showCatName val="0"/>
          <c:showSerName val="0"/>
          <c:showPercent val="0"/>
          <c:showBubbleSize val="0"/>
        </c:dLbls>
        <c:gapWidth val="150"/>
        <c:overlap val="0"/>
        <c:axId val="369821310"/>
        <c:axId val="588481957"/>
      </c:barChart>
      <c:catAx>
        <c:axId val="3698213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481957"/>
        <c:crosses val="autoZero"/>
        <c:auto val="1"/>
        <c:lblAlgn val="ctr"/>
        <c:lblOffset val="100"/>
        <c:noMultiLvlLbl val="0"/>
      </c:catAx>
      <c:valAx>
        <c:axId val="58848195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8213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a:p>
            <a:pPr defTabSz="914400">
              <a:defRPr lang="zh-CN" sz="1400" b="1" i="0" u="none" strike="noStrike" kern="1200" baseline="0">
                <a:solidFill>
                  <a:schemeClr val="dk1">
                    <a:lumMod val="75000"/>
                    <a:lumOff val="2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2022年一般公共预算财政拨款支出</c:v>
                </c:pt>
                <c:pt idx="1">
                  <c:v>2021一般公共预算财政拨款支出增加</c:v>
                </c:pt>
              </c:strCache>
            </c:strRef>
          </c:cat>
          <c:val>
            <c:numRef>
              <c:f>[工作簿1]Sheet1!$A$2:$B$2</c:f>
              <c:numCache>
                <c:formatCode>General</c:formatCode>
                <c:ptCount val="2"/>
                <c:pt idx="0">
                  <c:v>6900.17</c:v>
                </c:pt>
                <c:pt idx="1">
                  <c:v>4506.61</c:v>
                </c:pt>
              </c:numCache>
            </c:numRef>
          </c:val>
        </c:ser>
        <c:dLbls>
          <c:showLegendKey val="0"/>
          <c:showVal val="1"/>
          <c:showCatName val="0"/>
          <c:showSerName val="0"/>
          <c:showPercent val="0"/>
          <c:showBubbleSize val="0"/>
        </c:dLbls>
        <c:gapWidth val="150"/>
        <c:overlap val="0"/>
        <c:axId val="369821310"/>
        <c:axId val="588481957"/>
      </c:barChart>
      <c:catAx>
        <c:axId val="3698213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481957"/>
        <c:crosses val="autoZero"/>
        <c:auto val="1"/>
        <c:lblAlgn val="ctr"/>
        <c:lblOffset val="100"/>
        <c:noMultiLvlLbl val="0"/>
      </c:catAx>
      <c:valAx>
        <c:axId val="58848195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8213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1"/>
              <c:layout>
                <c:manualLayout>
                  <c:x val="-0.00892783016458859"/>
                  <c:y val="0.1148107257783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latin typeface="宋体" panose="02010600030101010101" charset="-122"/>
                        <a:ea typeface="宋体" panose="02010600030101010101" charset="-122"/>
                      </a:rPr>
                      <a:t>5</a:t>
                    </a:r>
                    <a:r>
                      <a:rPr lang="en-US" altLang="zh-CN">
                        <a:latin typeface="宋体" panose="02010600030101010101" charset="-122"/>
                        <a:ea typeface="宋体" panose="02010600030101010101" charset="-122"/>
                      </a:rPr>
                      <a:t>.20</a:t>
                    </a:r>
                    <a:r>
                      <a:rPr>
                        <a:latin typeface="宋体" panose="02010600030101010101" charset="-122"/>
                        <a:ea typeface="宋体" panose="02010600030101010101" charset="-122"/>
                      </a:rPr>
                      <a:t>%</a:t>
                    </a:r>
                    <a:endParaRPr>
                      <a:latin typeface="宋体" panose="02010600030101010101" charset="-122"/>
                      <a:ea typeface="宋体" panose="02010600030101010101" charset="-122"/>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266723122635366"/>
                  <c:y val="0.0436374460161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1.40</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89</a:t>
                    </a:r>
                    <a:r>
                      <a:rPr lang="en-US" altLang="zh-CN"/>
                      <a:t>.25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layout>
                <c:manualLayout>
                  <c:x val="-0.00548188024486137"/>
                  <c:y val="0.11203853659682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a:t>
                    </a:r>
                    <a:r>
                      <a:rPr lang="en-US" altLang="zh-CN"/>
                      <a:t>.09</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181627303010651"/>
                  <c:y val="0.03347421536389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a:t>
                    </a:r>
                    <a:r>
                      <a:rPr lang="en-US" altLang="zh-CN"/>
                      <a:t>.06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[工作簿1]Sheet1!$A$1:$F$1</c:f>
              <c:strCache>
                <c:ptCount val="6"/>
                <c:pt idx="0">
                  <c:v>2022年一般公共预算财政拨款支出6900.17万元</c:v>
                </c:pt>
                <c:pt idx="1">
                  <c:v>社会保障和就业支出358.78万元</c:v>
                </c:pt>
                <c:pt idx="2">
                  <c:v>卫生健康支出96.25万元</c:v>
                </c:pt>
                <c:pt idx="3">
                  <c:v>自然资源海洋气象等支出6158.54万元</c:v>
                </c:pt>
                <c:pt idx="4">
                  <c:v>住房保障支出213.26万元</c:v>
                </c:pt>
                <c:pt idx="5">
                  <c:v>灾害防治及应急管理支出73.34万元</c:v>
                </c:pt>
              </c:strCache>
            </c:strRef>
          </c:cat>
          <c:val>
            <c:numRef>
              <c:f>[工作簿1]Sheet1!$A$2:$F$2</c:f>
              <c:numCache>
                <c:formatCode>General</c:formatCode>
                <c:ptCount val="6"/>
                <c:pt idx="1" c:formatCode="0.00%">
                  <c:v>0.052</c:v>
                </c:pt>
                <c:pt idx="2" c:formatCode="0.00%">
                  <c:v>0.014</c:v>
                </c:pt>
                <c:pt idx="3" c:formatCode="0.00%">
                  <c:v>0.8925</c:v>
                </c:pt>
                <c:pt idx="4" c:formatCode="0.00%">
                  <c:v>0.0309</c:v>
                </c:pt>
                <c:pt idx="5" c:formatCode="0.00%">
                  <c:v>0.0106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92</a:t>
                    </a:r>
                    <a:r>
                      <a:rPr lang="en-US" altLang="zh-CN"/>
                      <a:t>.16</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7.84</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因公出国（境）费支出决算0万元</c:v>
                </c:pt>
                <c:pt idx="1">
                  <c:v>公务用车购置及运行维护费支出决算75.28万元</c:v>
                </c:pt>
                <c:pt idx="2">
                  <c:v>公务接待费支出决算6.41万元</c:v>
                </c:pt>
              </c:strCache>
            </c:strRef>
          </c:cat>
          <c:val>
            <c:numRef>
              <c:f>[工作簿1]Sheet1!$A$2:$C$2</c:f>
              <c:numCache>
                <c:formatCode>General</c:formatCode>
                <c:ptCount val="3"/>
                <c:pt idx="1" c:formatCode="0.00%">
                  <c:v>0.9216</c:v>
                </c:pt>
                <c:pt idx="2" c:formatCode="0.00%">
                  <c:v>0.0784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59</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Administrator</cp:lastModifiedBy>
  <cp:lastPrinted>2023-09-22T12:00:00Z</cp:lastPrinted>
  <dcterms:modified xsi:type="dcterms:W3CDTF">2023-10-20T01:13:10Z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935826C960BC45B195D80A65D903EF9B_13</vt:lpwstr>
  </property>
</Properties>
</file>