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spacing w:beforeLines="0" w:afterLines="0" w:line="660" w:lineRule="exact"/>
        <w:jc w:val="center"/>
        <w:textAlignment w:val="auto"/>
        <w:rPr>
          <w:rFonts w:hint="eastAsia" w:ascii="方正小标宋简体" w:hAnsi="方正小标宋简体" w:eastAsia="方正小标宋简体"/>
          <w:kern w:val="2"/>
          <w:sz w:val="44"/>
          <w:szCs w:val="44"/>
          <w:highlight w:val="none"/>
          <w:lang w:val="zh-CN"/>
        </w:rPr>
      </w:pPr>
      <w:r>
        <w:rPr>
          <w:rFonts w:hint="eastAsia" w:ascii="方正小标宋简体" w:hAnsi="方正小标宋简体" w:eastAsia="方正小标宋简体"/>
          <w:kern w:val="2"/>
          <w:sz w:val="44"/>
          <w:szCs w:val="44"/>
          <w:highlight w:val="none"/>
          <w:lang w:val="zh-CN"/>
        </w:rPr>
        <w:t>2022年度</w:t>
      </w:r>
    </w:p>
    <w:p>
      <w:pPr>
        <w:keepNext w:val="0"/>
        <w:keepLines w:val="0"/>
        <w:pageBreakBefore w:val="0"/>
        <w:widowControl w:val="0"/>
        <w:kinsoku/>
        <w:wordWrap/>
        <w:overflowPunct/>
        <w:topLinePunct w:val="0"/>
        <w:autoSpaceDE w:val="0"/>
        <w:autoSpaceDN w:val="0"/>
        <w:bidi w:val="0"/>
        <w:adjustRightInd w:val="0"/>
        <w:snapToGrid/>
        <w:spacing w:beforeLines="0" w:afterLines="0" w:line="660" w:lineRule="exact"/>
        <w:jc w:val="center"/>
        <w:textAlignment w:val="auto"/>
        <w:outlineLvl w:val="0"/>
        <w:rPr>
          <w:rFonts w:hint="eastAsia" w:ascii="方正小标宋简体" w:hAnsi="方正小标宋简体" w:eastAsia="方正小标宋简体"/>
          <w:kern w:val="2"/>
          <w:sz w:val="72"/>
          <w:szCs w:val="24"/>
          <w:highlight w:val="none"/>
          <w:lang w:val="zh-CN"/>
        </w:rPr>
      </w:pPr>
      <w:bookmarkStart w:id="0" w:name="_Toc869"/>
      <w:r>
        <w:rPr>
          <w:rFonts w:hint="eastAsia" w:ascii="方正小标宋简体" w:hAnsi="方正小标宋简体" w:eastAsia="方正小标宋简体"/>
          <w:kern w:val="2"/>
          <w:sz w:val="44"/>
          <w:szCs w:val="44"/>
          <w:highlight w:val="none"/>
          <w:lang w:val="zh-CN"/>
        </w:rPr>
        <w:t>四川省广元市自然资源局经济开发区事务中心单位决算</w:t>
      </w:r>
      <w:bookmarkEnd w:id="0"/>
    </w:p>
    <w:p>
      <w:pPr>
        <w:keepNext w:val="0"/>
        <w:keepLines w:val="0"/>
        <w:pageBreakBefore w:val="0"/>
        <w:widowControl w:val="0"/>
        <w:kinsoku/>
        <w:wordWrap/>
        <w:overflowPunct/>
        <w:topLinePunct w:val="0"/>
        <w:autoSpaceDE w:val="0"/>
        <w:autoSpaceDN w:val="0"/>
        <w:bidi w:val="0"/>
        <w:adjustRightInd w:val="0"/>
        <w:snapToGrid/>
        <w:spacing w:beforeLines="0" w:afterLines="0" w:line="660" w:lineRule="exact"/>
        <w:jc w:val="center"/>
        <w:textAlignment w:val="auto"/>
        <w:rPr>
          <w:rFonts w:hint="eastAsia" w:ascii="方正小标宋简体" w:hAnsi="方正小标宋简体" w:eastAsia="方正小标宋简体"/>
          <w:kern w:val="2"/>
          <w:sz w:val="52"/>
          <w:szCs w:val="24"/>
          <w:highlight w:val="none"/>
          <w:lang w:val="zh-CN"/>
        </w:rPr>
      </w:pPr>
    </w:p>
    <w:p>
      <w:pPr>
        <w:keepNext/>
        <w:keepLines/>
        <w:tabs>
          <w:tab w:val="right" w:leader="dot" w:pos="8296"/>
        </w:tabs>
        <w:spacing w:beforeLines="0" w:afterLines="0" w:line="576" w:lineRule="exact"/>
        <w:rPr>
          <w:rFonts w:hint="eastAsia" w:ascii="黑体" w:hAnsi="黑体" w:eastAsia="黑体"/>
          <w:b/>
          <w:color w:val="FF0000"/>
          <w:kern w:val="2"/>
          <w:sz w:val="48"/>
          <w:szCs w:val="24"/>
          <w:highlight w:val="none"/>
          <w:lang w:val="zh-CN"/>
        </w:rPr>
      </w:pPr>
    </w:p>
    <w:p>
      <w:pPr>
        <w:rPr>
          <w:rFonts w:hint="eastAsia" w:ascii="方正小标宋简体" w:hAnsi="方正小标宋简体" w:eastAsia="方正小标宋简体" w:cs="方正小标宋简体"/>
          <w:color w:val="auto"/>
          <w:kern w:val="2"/>
          <w:sz w:val="44"/>
          <w:szCs w:val="44"/>
          <w:highlight w:val="none"/>
          <w:lang w:val="zh-CN"/>
        </w:rPr>
      </w:pPr>
      <w:r>
        <w:rPr>
          <w:rFonts w:hint="eastAsia" w:ascii="方正小标宋简体" w:hAnsi="方正小标宋简体" w:eastAsia="方正小标宋简体" w:cs="方正小标宋简体"/>
          <w:color w:val="auto"/>
          <w:kern w:val="2"/>
          <w:sz w:val="44"/>
          <w:szCs w:val="44"/>
          <w:highlight w:val="none"/>
          <w:lang w:val="zh-CN"/>
        </w:rPr>
        <w:br w:type="page"/>
      </w:r>
    </w:p>
    <w:p>
      <w:pPr>
        <w:spacing w:beforeLines="0" w:afterLines="0"/>
        <w:jc w:val="center"/>
        <w:rPr>
          <w:rFonts w:hint="eastAsia" w:ascii="黑体" w:hAnsi="黑体" w:eastAsia="黑体"/>
          <w:color w:val="auto"/>
          <w:kern w:val="2"/>
          <w:sz w:val="28"/>
          <w:szCs w:val="24"/>
          <w:highlight w:val="none"/>
          <w:lang w:val="zh-CN"/>
        </w:rPr>
      </w:pPr>
      <w:r>
        <w:rPr>
          <w:rFonts w:hint="eastAsia" w:ascii="方正小标宋简体" w:hAnsi="方正小标宋简体" w:eastAsia="方正小标宋简体" w:cs="方正小标宋简体"/>
          <w:color w:val="auto"/>
          <w:kern w:val="2"/>
          <w:sz w:val="44"/>
          <w:szCs w:val="44"/>
          <w:highlight w:val="none"/>
          <w:lang w:val="zh-CN"/>
        </w:rPr>
        <w:t>目录</w:t>
      </w:r>
    </w:p>
    <w:p>
      <w:pPr>
        <w:tabs>
          <w:tab w:val="right" w:leader="dot" w:pos="8296"/>
        </w:tabs>
        <w:spacing w:before="93" w:beforeLines="0" w:afterLines="0"/>
        <w:jc w:val="center"/>
        <w:rPr>
          <w:rFonts w:hint="eastAsia" w:ascii="仿宋" w:hAnsi="仿宋" w:eastAsia="仿宋"/>
          <w:color w:val="auto"/>
          <w:kern w:val="2"/>
          <w:sz w:val="28"/>
          <w:szCs w:val="24"/>
          <w:highlight w:val="none"/>
          <w:lang w:val="zh-CN"/>
        </w:rPr>
      </w:pPr>
      <w:r>
        <w:rPr>
          <w:rFonts w:hint="eastAsia" w:ascii="仿宋" w:hAnsi="仿宋" w:eastAsia="仿宋"/>
          <w:color w:val="auto"/>
          <w:kern w:val="2"/>
          <w:sz w:val="28"/>
          <w:szCs w:val="24"/>
          <w:highlight w:val="none"/>
          <w:lang w:val="zh-CN"/>
        </w:rPr>
        <w:t>公开时间：2023年</w:t>
      </w:r>
      <w:r>
        <w:rPr>
          <w:rFonts w:hint="eastAsia" w:ascii="仿宋" w:hAnsi="仿宋" w:eastAsia="仿宋"/>
          <w:color w:val="auto"/>
          <w:kern w:val="2"/>
          <w:sz w:val="28"/>
          <w:szCs w:val="24"/>
          <w:highlight w:val="none"/>
          <w:lang w:val="en-US" w:eastAsia="zh-CN"/>
        </w:rPr>
        <w:t>10</w:t>
      </w:r>
      <w:r>
        <w:rPr>
          <w:rFonts w:hint="eastAsia" w:ascii="仿宋" w:hAnsi="仿宋" w:eastAsia="仿宋"/>
          <w:color w:val="auto"/>
          <w:kern w:val="2"/>
          <w:sz w:val="28"/>
          <w:szCs w:val="24"/>
          <w:highlight w:val="none"/>
          <w:lang w:val="zh-CN"/>
        </w:rPr>
        <w:t>月1</w:t>
      </w:r>
      <w:r>
        <w:rPr>
          <w:rFonts w:hint="eastAsia" w:ascii="仿宋" w:hAnsi="仿宋" w:eastAsia="仿宋"/>
          <w:color w:val="auto"/>
          <w:kern w:val="2"/>
          <w:sz w:val="28"/>
          <w:szCs w:val="24"/>
          <w:highlight w:val="none"/>
          <w:lang w:val="en-US" w:eastAsia="zh-CN"/>
        </w:rPr>
        <w:t>5</w:t>
      </w:r>
      <w:r>
        <w:rPr>
          <w:rFonts w:hint="eastAsia" w:ascii="仿宋" w:hAnsi="仿宋" w:eastAsia="仿宋"/>
          <w:color w:val="auto"/>
          <w:kern w:val="2"/>
          <w:sz w:val="28"/>
          <w:szCs w:val="24"/>
          <w:highlight w:val="none"/>
          <w:lang w:val="zh-CN"/>
        </w:rPr>
        <w:t>日</w:t>
      </w:r>
    </w:p>
    <w:p>
      <w:pPr>
        <w:spacing w:beforeLines="0" w:afterLines="0"/>
        <w:jc w:val="both"/>
        <w:rPr>
          <w:rFonts w:hint="eastAsia" w:ascii="Times New Roman" w:hAnsi="Times New Roman" w:eastAsia="Times New Roman"/>
          <w:color w:val="auto"/>
          <w:kern w:val="2"/>
          <w:sz w:val="21"/>
          <w:szCs w:val="24"/>
          <w:highlight w:val="none"/>
          <w:lang w:val="zh-CN"/>
        </w:rPr>
      </w:pPr>
    </w:p>
    <w:sdt>
      <w:sdtPr>
        <w:rPr>
          <w:rFonts w:hint="default" w:ascii="宋体" w:hAnsi="宋体" w:eastAsia="宋体" w:cs="Times New Roman"/>
          <w:sz w:val="21"/>
          <w:szCs w:val="24"/>
          <w:highlight w:val="none"/>
        </w:rPr>
        <w:id w:val="147471605"/>
        <w15:color w:val="DBDBDB"/>
        <w:docPartObj>
          <w:docPartGallery w:val="Table of Contents"/>
          <w:docPartUnique/>
        </w:docPartObj>
      </w:sdtPr>
      <w:sdtEndPr>
        <w:rPr>
          <w:rFonts w:hint="default" w:ascii="宋体" w:hAnsi="宋体" w:eastAsia="宋体" w:cs="Times New Roman"/>
          <w:b/>
          <w:sz w:val="21"/>
          <w:szCs w:val="24"/>
          <w:highlight w:val="none"/>
        </w:rPr>
      </w:sdtEndPr>
      <w:sdtContent>
        <w:p>
          <w:pPr>
            <w:spacing w:before="0" w:beforeLines="0" w:after="0" w:afterLines="0" w:line="240" w:lineRule="auto"/>
            <w:ind w:left="0" w:leftChars="0" w:right="0" w:rightChars="0" w:firstLine="0" w:firstLineChars="0"/>
            <w:jc w:val="center"/>
            <w:rPr>
              <w:highlight w:val="none"/>
            </w:rPr>
          </w:pP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highlight w:val="none"/>
            </w:rPr>
            <w:fldChar w:fldCharType="begin"/>
          </w:r>
          <w:r>
            <w:rPr>
              <w:highlight w:val="none"/>
            </w:rPr>
            <w:instrText xml:space="preserve">TOC \o "1-2" \h \u </w:instrText>
          </w:r>
          <w:r>
            <w:rPr>
              <w:highlight w:val="none"/>
            </w:rPr>
            <w:fldChar w:fldCharType="separate"/>
          </w:r>
          <w:r>
            <w:rPr>
              <w:b/>
              <w:highlight w:val="none"/>
            </w:rPr>
            <w:fldChar w:fldCharType="begin"/>
          </w:r>
          <w:r>
            <w:rPr>
              <w:b/>
              <w:highlight w:val="none"/>
            </w:rPr>
            <w:instrText xml:space="preserve"> HYPERLINK \l _Toc21156 </w:instrText>
          </w:r>
          <w:r>
            <w:rPr>
              <w:b/>
              <w:highlight w:val="none"/>
            </w:rPr>
            <w:fldChar w:fldCharType="separate"/>
          </w:r>
          <w:r>
            <w:rPr>
              <w:rFonts w:hint="eastAsia" w:ascii="黑体" w:hAnsi="黑体" w:eastAsia="黑体"/>
              <w:b/>
              <w:kern w:val="44"/>
              <w:szCs w:val="24"/>
              <w:highlight w:val="none"/>
              <w:lang w:val="zh-CN"/>
            </w:rPr>
            <w:t>第一部分单位概况</w:t>
          </w:r>
          <w:r>
            <w:rPr>
              <w:b/>
              <w:highlight w:val="none"/>
            </w:rPr>
            <w:tab/>
          </w:r>
          <w:r>
            <w:rPr>
              <w:b/>
              <w:highlight w:val="none"/>
            </w:rPr>
            <w:fldChar w:fldCharType="begin"/>
          </w:r>
          <w:r>
            <w:rPr>
              <w:b/>
              <w:highlight w:val="none"/>
            </w:rPr>
            <w:instrText xml:space="preserve"> PAGEREF _Toc21156 \h </w:instrText>
          </w:r>
          <w:r>
            <w:rPr>
              <w:b/>
              <w:highlight w:val="none"/>
            </w:rPr>
            <w:fldChar w:fldCharType="separate"/>
          </w:r>
          <w:r>
            <w:rPr>
              <w:b/>
              <w:highlight w:val="none"/>
            </w:rPr>
            <w:t>1</w:t>
          </w:r>
          <w:r>
            <w:rPr>
              <w:b/>
              <w:highlight w:val="none"/>
            </w:rPr>
            <w:fldChar w:fldCharType="end"/>
          </w:r>
          <w:r>
            <w:rPr>
              <w:b/>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_Toc25310 </w:instrText>
          </w:r>
          <w:r>
            <w:rPr>
              <w:highlight w:val="none"/>
            </w:rPr>
            <w:fldChar w:fldCharType="separate"/>
          </w:r>
          <w:r>
            <w:rPr>
              <w:rFonts w:hint="eastAsia" w:ascii="黑体" w:hAnsi="黑体" w:eastAsia="黑体"/>
              <w:kern w:val="2"/>
              <w:szCs w:val="24"/>
              <w:highlight w:val="none"/>
              <w:lang w:val="zh-CN"/>
            </w:rPr>
            <w:t>一、主要职责</w:t>
          </w:r>
          <w:r>
            <w:rPr>
              <w:highlight w:val="none"/>
            </w:rPr>
            <w:tab/>
          </w:r>
          <w:r>
            <w:rPr>
              <w:highlight w:val="none"/>
            </w:rPr>
            <w:fldChar w:fldCharType="begin"/>
          </w:r>
          <w:r>
            <w:rPr>
              <w:highlight w:val="none"/>
            </w:rPr>
            <w:instrText xml:space="preserve"> PAGEREF _Toc25310 \h </w:instrText>
          </w:r>
          <w:r>
            <w:rPr>
              <w:highlight w:val="none"/>
            </w:rPr>
            <w:fldChar w:fldCharType="separate"/>
          </w:r>
          <w:r>
            <w:rPr>
              <w:highlight w:val="none"/>
            </w:rPr>
            <w:t>1</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_Toc22910 </w:instrText>
          </w:r>
          <w:r>
            <w:rPr>
              <w:highlight w:val="none"/>
            </w:rPr>
            <w:fldChar w:fldCharType="separate"/>
          </w:r>
          <w:r>
            <w:rPr>
              <w:rFonts w:hint="eastAsia" w:ascii="黑体" w:hAnsi="黑体" w:eastAsia="黑体"/>
              <w:kern w:val="2"/>
              <w:szCs w:val="24"/>
              <w:highlight w:val="none"/>
              <w:lang w:val="zh-CN"/>
            </w:rPr>
            <w:t>二、机构设置</w:t>
          </w:r>
          <w:r>
            <w:rPr>
              <w:highlight w:val="none"/>
            </w:rPr>
            <w:tab/>
          </w:r>
          <w:r>
            <w:rPr>
              <w:highlight w:val="none"/>
            </w:rPr>
            <w:fldChar w:fldCharType="begin"/>
          </w:r>
          <w:r>
            <w:rPr>
              <w:highlight w:val="none"/>
            </w:rPr>
            <w:instrText xml:space="preserve"> PAGEREF _Toc22910 \h </w:instrText>
          </w:r>
          <w:r>
            <w:rPr>
              <w:highlight w:val="none"/>
            </w:rPr>
            <w:fldChar w:fldCharType="separate"/>
          </w:r>
          <w:r>
            <w:rPr>
              <w:highlight w:val="none"/>
            </w:rPr>
            <w:t>2</w:t>
          </w:r>
          <w:r>
            <w:rPr>
              <w:highlight w:val="none"/>
            </w:rPr>
            <w:fldChar w:fldCharType="end"/>
          </w:r>
          <w:r>
            <w:rPr>
              <w:highlight w:val="none"/>
            </w:rPr>
            <w:fldChar w:fldCharType="end"/>
          </w: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b/>
              <w:highlight w:val="none"/>
            </w:rPr>
            <w:fldChar w:fldCharType="begin"/>
          </w:r>
          <w:r>
            <w:rPr>
              <w:b/>
              <w:highlight w:val="none"/>
            </w:rPr>
            <w:instrText xml:space="preserve"> HYPERLINK \l _Toc19258 </w:instrText>
          </w:r>
          <w:r>
            <w:rPr>
              <w:b/>
              <w:highlight w:val="none"/>
            </w:rPr>
            <w:fldChar w:fldCharType="separate"/>
          </w:r>
          <w:r>
            <w:rPr>
              <w:rFonts w:hint="eastAsia" w:ascii="黑体" w:hAnsi="黑体" w:eastAsia="黑体"/>
              <w:b/>
              <w:kern w:val="44"/>
              <w:szCs w:val="24"/>
              <w:highlight w:val="none"/>
              <w:lang w:val="zh-CN"/>
            </w:rPr>
            <w:t>第二部分2022年度单位决算情况说明</w:t>
          </w:r>
          <w:r>
            <w:rPr>
              <w:b/>
              <w:highlight w:val="none"/>
            </w:rPr>
            <w:tab/>
          </w:r>
          <w:r>
            <w:rPr>
              <w:b/>
              <w:highlight w:val="none"/>
            </w:rPr>
            <w:fldChar w:fldCharType="begin"/>
          </w:r>
          <w:r>
            <w:rPr>
              <w:b/>
              <w:highlight w:val="none"/>
            </w:rPr>
            <w:instrText xml:space="preserve"> PAGEREF _Toc19258 \h </w:instrText>
          </w:r>
          <w:r>
            <w:rPr>
              <w:b/>
              <w:highlight w:val="none"/>
            </w:rPr>
            <w:fldChar w:fldCharType="separate"/>
          </w:r>
          <w:r>
            <w:rPr>
              <w:b/>
              <w:highlight w:val="none"/>
            </w:rPr>
            <w:t>3</w:t>
          </w:r>
          <w:r>
            <w:rPr>
              <w:b/>
              <w:highlight w:val="none"/>
            </w:rPr>
            <w:fldChar w:fldCharType="end"/>
          </w:r>
          <w:r>
            <w:rPr>
              <w:b/>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_Toc22725 </w:instrText>
          </w:r>
          <w:r>
            <w:rPr>
              <w:highlight w:val="none"/>
            </w:rPr>
            <w:fldChar w:fldCharType="separate"/>
          </w:r>
          <w:r>
            <w:rPr>
              <w:rFonts w:hint="eastAsia" w:ascii="黑体" w:hAnsi="黑体" w:eastAsia="黑体"/>
              <w:kern w:val="2"/>
              <w:szCs w:val="24"/>
              <w:highlight w:val="none"/>
              <w:lang w:val="zh-CN"/>
            </w:rPr>
            <w:t>一、收入支出决算总体情况说明</w:t>
          </w:r>
          <w:r>
            <w:rPr>
              <w:highlight w:val="none"/>
            </w:rPr>
            <w:tab/>
          </w:r>
          <w:r>
            <w:rPr>
              <w:highlight w:val="none"/>
            </w:rPr>
            <w:fldChar w:fldCharType="begin"/>
          </w:r>
          <w:r>
            <w:rPr>
              <w:highlight w:val="none"/>
            </w:rPr>
            <w:instrText xml:space="preserve"> PAGEREF _Toc22725 \h </w:instrText>
          </w:r>
          <w:r>
            <w:rPr>
              <w:highlight w:val="none"/>
            </w:rPr>
            <w:fldChar w:fldCharType="separate"/>
          </w:r>
          <w:r>
            <w:rPr>
              <w:highlight w:val="none"/>
            </w:rPr>
            <w:t>3</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_Toc8205 </w:instrText>
          </w:r>
          <w:r>
            <w:rPr>
              <w:highlight w:val="none"/>
            </w:rPr>
            <w:fldChar w:fldCharType="separate"/>
          </w:r>
          <w:r>
            <w:rPr>
              <w:rFonts w:hint="eastAsia" w:ascii="黑体" w:hAnsi="黑体" w:eastAsia="黑体"/>
              <w:kern w:val="2"/>
              <w:szCs w:val="24"/>
              <w:highlight w:val="none"/>
              <w:lang w:val="zh-CN"/>
            </w:rPr>
            <w:t>二、收入决算情况说明</w:t>
          </w:r>
          <w:r>
            <w:rPr>
              <w:highlight w:val="none"/>
            </w:rPr>
            <w:tab/>
          </w:r>
          <w:r>
            <w:rPr>
              <w:highlight w:val="none"/>
            </w:rPr>
            <w:fldChar w:fldCharType="begin"/>
          </w:r>
          <w:r>
            <w:rPr>
              <w:highlight w:val="none"/>
            </w:rPr>
            <w:instrText xml:space="preserve"> PAGEREF _Toc8205 \h </w:instrText>
          </w:r>
          <w:r>
            <w:rPr>
              <w:highlight w:val="none"/>
            </w:rPr>
            <w:fldChar w:fldCharType="separate"/>
          </w:r>
          <w:r>
            <w:rPr>
              <w:highlight w:val="none"/>
            </w:rPr>
            <w:t>3</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_Toc14828 </w:instrText>
          </w:r>
          <w:r>
            <w:rPr>
              <w:highlight w:val="none"/>
            </w:rPr>
            <w:fldChar w:fldCharType="separate"/>
          </w:r>
          <w:r>
            <w:rPr>
              <w:rFonts w:hint="eastAsia" w:ascii="黑体" w:hAnsi="黑体" w:eastAsia="黑体"/>
              <w:kern w:val="2"/>
              <w:szCs w:val="24"/>
              <w:highlight w:val="none"/>
              <w:lang w:val="zh-CN"/>
            </w:rPr>
            <w:t>三、支出决算情况说明</w:t>
          </w:r>
          <w:r>
            <w:rPr>
              <w:highlight w:val="none"/>
            </w:rPr>
            <w:tab/>
          </w:r>
          <w:r>
            <w:rPr>
              <w:highlight w:val="none"/>
            </w:rPr>
            <w:fldChar w:fldCharType="begin"/>
          </w:r>
          <w:r>
            <w:rPr>
              <w:highlight w:val="none"/>
            </w:rPr>
            <w:instrText xml:space="preserve"> PAGEREF _Toc14828 \h </w:instrText>
          </w:r>
          <w:r>
            <w:rPr>
              <w:highlight w:val="none"/>
            </w:rPr>
            <w:fldChar w:fldCharType="separate"/>
          </w:r>
          <w:r>
            <w:rPr>
              <w:highlight w:val="none"/>
            </w:rPr>
            <w:t>4</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_Toc7904 </w:instrText>
          </w:r>
          <w:r>
            <w:rPr>
              <w:highlight w:val="none"/>
            </w:rPr>
            <w:fldChar w:fldCharType="separate"/>
          </w:r>
          <w:r>
            <w:rPr>
              <w:rFonts w:hint="eastAsia" w:ascii="黑体" w:hAnsi="黑体" w:eastAsia="黑体"/>
              <w:kern w:val="2"/>
              <w:szCs w:val="24"/>
              <w:highlight w:val="none"/>
              <w:lang w:val="zh-CN"/>
            </w:rPr>
            <w:t>四、财政拨款收入支出决算总体情况说明</w:t>
          </w:r>
          <w:r>
            <w:rPr>
              <w:highlight w:val="none"/>
            </w:rPr>
            <w:tab/>
          </w:r>
          <w:r>
            <w:rPr>
              <w:highlight w:val="none"/>
            </w:rPr>
            <w:fldChar w:fldCharType="begin"/>
          </w:r>
          <w:r>
            <w:rPr>
              <w:highlight w:val="none"/>
            </w:rPr>
            <w:instrText xml:space="preserve"> PAGEREF _Toc7904 \h </w:instrText>
          </w:r>
          <w:r>
            <w:rPr>
              <w:highlight w:val="none"/>
            </w:rPr>
            <w:fldChar w:fldCharType="separate"/>
          </w:r>
          <w:r>
            <w:rPr>
              <w:highlight w:val="none"/>
            </w:rPr>
            <w:t>4</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_Toc4925 </w:instrText>
          </w:r>
          <w:r>
            <w:rPr>
              <w:highlight w:val="none"/>
            </w:rPr>
            <w:fldChar w:fldCharType="separate"/>
          </w:r>
          <w:r>
            <w:rPr>
              <w:rFonts w:hint="eastAsia" w:ascii="黑体" w:hAnsi="黑体" w:eastAsia="黑体"/>
              <w:kern w:val="2"/>
              <w:szCs w:val="24"/>
              <w:highlight w:val="none"/>
              <w:lang w:val="zh-CN"/>
            </w:rPr>
            <w:t>五、一般公共预算财政拨款支出决算情况说明</w:t>
          </w:r>
          <w:r>
            <w:rPr>
              <w:highlight w:val="none"/>
            </w:rPr>
            <w:tab/>
          </w:r>
          <w:r>
            <w:rPr>
              <w:highlight w:val="none"/>
            </w:rPr>
            <w:fldChar w:fldCharType="begin"/>
          </w:r>
          <w:r>
            <w:rPr>
              <w:highlight w:val="none"/>
            </w:rPr>
            <w:instrText xml:space="preserve"> PAGEREF _Toc4925 \h </w:instrText>
          </w:r>
          <w:r>
            <w:rPr>
              <w:highlight w:val="none"/>
            </w:rPr>
            <w:fldChar w:fldCharType="separate"/>
          </w:r>
          <w:r>
            <w:rPr>
              <w:highlight w:val="none"/>
            </w:rPr>
            <w:t>5</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_Toc23465 </w:instrText>
          </w:r>
          <w:r>
            <w:rPr>
              <w:highlight w:val="none"/>
            </w:rPr>
            <w:fldChar w:fldCharType="separate"/>
          </w:r>
          <w:r>
            <w:rPr>
              <w:rFonts w:hint="eastAsia" w:ascii="黑体" w:hAnsi="黑体" w:eastAsia="黑体"/>
              <w:kern w:val="2"/>
              <w:szCs w:val="24"/>
              <w:highlight w:val="none"/>
              <w:lang w:val="zh-CN"/>
            </w:rPr>
            <w:t>六、一般公共预算财政拨款基本支出决算情况说明</w:t>
          </w:r>
          <w:r>
            <w:rPr>
              <w:highlight w:val="none"/>
            </w:rPr>
            <w:tab/>
          </w:r>
          <w:r>
            <w:rPr>
              <w:highlight w:val="none"/>
            </w:rPr>
            <w:fldChar w:fldCharType="begin"/>
          </w:r>
          <w:r>
            <w:rPr>
              <w:highlight w:val="none"/>
            </w:rPr>
            <w:instrText xml:space="preserve"> PAGEREF _Toc23465 \h </w:instrText>
          </w:r>
          <w:r>
            <w:rPr>
              <w:highlight w:val="none"/>
            </w:rPr>
            <w:fldChar w:fldCharType="separate"/>
          </w:r>
          <w:r>
            <w:rPr>
              <w:highlight w:val="none"/>
            </w:rPr>
            <w:t>8</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_Toc9294 </w:instrText>
          </w:r>
          <w:r>
            <w:rPr>
              <w:highlight w:val="none"/>
            </w:rPr>
            <w:fldChar w:fldCharType="separate"/>
          </w:r>
          <w:r>
            <w:rPr>
              <w:rFonts w:hint="eastAsia" w:ascii="黑体" w:hAnsi="黑体" w:eastAsia="黑体"/>
              <w:kern w:val="2"/>
              <w:szCs w:val="24"/>
              <w:highlight w:val="none"/>
              <w:lang w:val="zh-CN"/>
            </w:rPr>
            <w:t>七、“三公”经费财政拨款支出决算情况说明</w:t>
          </w:r>
          <w:r>
            <w:rPr>
              <w:highlight w:val="none"/>
            </w:rPr>
            <w:tab/>
          </w:r>
          <w:r>
            <w:rPr>
              <w:highlight w:val="none"/>
            </w:rPr>
            <w:fldChar w:fldCharType="begin"/>
          </w:r>
          <w:r>
            <w:rPr>
              <w:highlight w:val="none"/>
            </w:rPr>
            <w:instrText xml:space="preserve"> PAGEREF _Toc9294 \h </w:instrText>
          </w:r>
          <w:r>
            <w:rPr>
              <w:highlight w:val="none"/>
            </w:rPr>
            <w:fldChar w:fldCharType="separate"/>
          </w:r>
          <w:r>
            <w:rPr>
              <w:highlight w:val="none"/>
            </w:rPr>
            <w:t>8</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_Toc27986 </w:instrText>
          </w:r>
          <w:r>
            <w:rPr>
              <w:highlight w:val="none"/>
            </w:rPr>
            <w:fldChar w:fldCharType="separate"/>
          </w:r>
          <w:r>
            <w:rPr>
              <w:rFonts w:hint="eastAsia" w:ascii="黑体" w:hAnsi="黑体" w:eastAsia="黑体"/>
              <w:kern w:val="2"/>
              <w:szCs w:val="24"/>
              <w:highlight w:val="none"/>
              <w:lang w:val="zh-CN"/>
            </w:rPr>
            <w:t>八、政府性基金预算支出决算情况说明</w:t>
          </w:r>
          <w:r>
            <w:rPr>
              <w:highlight w:val="none"/>
            </w:rPr>
            <w:tab/>
          </w:r>
          <w:r>
            <w:rPr>
              <w:highlight w:val="none"/>
            </w:rPr>
            <w:fldChar w:fldCharType="begin"/>
          </w:r>
          <w:r>
            <w:rPr>
              <w:highlight w:val="none"/>
            </w:rPr>
            <w:instrText xml:space="preserve"> PAGEREF _Toc27986 \h </w:instrText>
          </w:r>
          <w:r>
            <w:rPr>
              <w:highlight w:val="none"/>
            </w:rPr>
            <w:fldChar w:fldCharType="separate"/>
          </w:r>
          <w:r>
            <w:rPr>
              <w:highlight w:val="none"/>
            </w:rPr>
            <w:t>10</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_Toc20323 </w:instrText>
          </w:r>
          <w:r>
            <w:rPr>
              <w:highlight w:val="none"/>
            </w:rPr>
            <w:fldChar w:fldCharType="separate"/>
          </w:r>
          <w:r>
            <w:rPr>
              <w:rFonts w:hint="eastAsia" w:ascii="黑体" w:hAnsi="黑体" w:eastAsia="黑体"/>
              <w:kern w:val="2"/>
              <w:szCs w:val="24"/>
              <w:highlight w:val="none"/>
              <w:lang w:val="zh-CN"/>
            </w:rPr>
            <w:t>九、国有资本经营预算支出决算情况说明</w:t>
          </w:r>
          <w:r>
            <w:rPr>
              <w:highlight w:val="none"/>
            </w:rPr>
            <w:tab/>
          </w:r>
          <w:r>
            <w:rPr>
              <w:highlight w:val="none"/>
            </w:rPr>
            <w:fldChar w:fldCharType="begin"/>
          </w:r>
          <w:r>
            <w:rPr>
              <w:highlight w:val="none"/>
            </w:rPr>
            <w:instrText xml:space="preserve"> PAGEREF _Toc20323 \h </w:instrText>
          </w:r>
          <w:r>
            <w:rPr>
              <w:highlight w:val="none"/>
            </w:rPr>
            <w:fldChar w:fldCharType="separate"/>
          </w:r>
          <w:r>
            <w:rPr>
              <w:highlight w:val="none"/>
            </w:rPr>
            <w:t>10</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_Toc16390 </w:instrText>
          </w:r>
          <w:r>
            <w:rPr>
              <w:highlight w:val="none"/>
            </w:rPr>
            <w:fldChar w:fldCharType="separate"/>
          </w:r>
          <w:r>
            <w:rPr>
              <w:rFonts w:hint="eastAsia" w:ascii="黑体" w:hAnsi="黑体" w:eastAsia="黑体"/>
              <w:kern w:val="2"/>
              <w:szCs w:val="24"/>
              <w:highlight w:val="none"/>
              <w:lang w:val="zh-CN"/>
            </w:rPr>
            <w:t>十、其他重要事项的情况说明</w:t>
          </w:r>
          <w:r>
            <w:rPr>
              <w:highlight w:val="none"/>
            </w:rPr>
            <w:tab/>
          </w:r>
          <w:r>
            <w:rPr>
              <w:highlight w:val="none"/>
            </w:rPr>
            <w:fldChar w:fldCharType="begin"/>
          </w:r>
          <w:r>
            <w:rPr>
              <w:highlight w:val="none"/>
            </w:rPr>
            <w:instrText xml:space="preserve"> PAGEREF _Toc16390 \h </w:instrText>
          </w:r>
          <w:r>
            <w:rPr>
              <w:highlight w:val="none"/>
            </w:rPr>
            <w:fldChar w:fldCharType="separate"/>
          </w:r>
          <w:r>
            <w:rPr>
              <w:highlight w:val="none"/>
            </w:rPr>
            <w:t>10</w:t>
          </w:r>
          <w:r>
            <w:rPr>
              <w:highlight w:val="none"/>
            </w:rPr>
            <w:fldChar w:fldCharType="end"/>
          </w:r>
          <w:r>
            <w:rPr>
              <w:highlight w:val="none"/>
            </w:rPr>
            <w:fldChar w:fldCharType="end"/>
          </w: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b/>
              <w:highlight w:val="none"/>
            </w:rPr>
            <w:fldChar w:fldCharType="begin"/>
          </w:r>
          <w:r>
            <w:rPr>
              <w:b/>
              <w:highlight w:val="none"/>
            </w:rPr>
            <w:instrText xml:space="preserve"> HYPERLINK \l _Toc32521 </w:instrText>
          </w:r>
          <w:r>
            <w:rPr>
              <w:b/>
              <w:highlight w:val="none"/>
            </w:rPr>
            <w:fldChar w:fldCharType="separate"/>
          </w:r>
          <w:r>
            <w:rPr>
              <w:rFonts w:hint="eastAsia" w:ascii="黑体" w:hAnsi="黑体" w:eastAsia="黑体"/>
              <w:b/>
              <w:kern w:val="2"/>
              <w:szCs w:val="24"/>
              <w:highlight w:val="none"/>
              <w:lang w:val="zh-CN"/>
            </w:rPr>
            <w:t>第三部分名</w:t>
          </w:r>
          <w:r>
            <w:rPr>
              <w:rFonts w:hint="eastAsia" w:ascii="黑体" w:hAnsi="黑体" w:eastAsia="黑体"/>
              <w:b/>
              <w:kern w:val="44"/>
              <w:szCs w:val="24"/>
              <w:highlight w:val="none"/>
              <w:lang w:val="zh-CN"/>
            </w:rPr>
            <w:t>词解释</w:t>
          </w:r>
          <w:r>
            <w:rPr>
              <w:b/>
              <w:highlight w:val="none"/>
            </w:rPr>
            <w:tab/>
          </w:r>
          <w:r>
            <w:rPr>
              <w:b/>
              <w:highlight w:val="none"/>
            </w:rPr>
            <w:fldChar w:fldCharType="begin"/>
          </w:r>
          <w:r>
            <w:rPr>
              <w:b/>
              <w:highlight w:val="none"/>
            </w:rPr>
            <w:instrText xml:space="preserve"> PAGEREF _Toc32521 \h </w:instrText>
          </w:r>
          <w:r>
            <w:rPr>
              <w:b/>
              <w:highlight w:val="none"/>
            </w:rPr>
            <w:fldChar w:fldCharType="separate"/>
          </w:r>
          <w:r>
            <w:rPr>
              <w:b/>
              <w:highlight w:val="none"/>
            </w:rPr>
            <w:t>11</w:t>
          </w:r>
          <w:r>
            <w:rPr>
              <w:b/>
              <w:highlight w:val="none"/>
            </w:rPr>
            <w:fldChar w:fldCharType="end"/>
          </w:r>
          <w:r>
            <w:rPr>
              <w:b/>
              <w:highlight w:val="none"/>
            </w:rPr>
            <w:fldChar w:fldCharType="end"/>
          </w: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b/>
              <w:highlight w:val="none"/>
            </w:rPr>
            <w:fldChar w:fldCharType="begin"/>
          </w:r>
          <w:r>
            <w:rPr>
              <w:b/>
              <w:highlight w:val="none"/>
            </w:rPr>
            <w:instrText xml:space="preserve"> HYPERLINK \l _Toc20204 </w:instrText>
          </w:r>
          <w:r>
            <w:rPr>
              <w:b/>
              <w:highlight w:val="none"/>
            </w:rPr>
            <w:fldChar w:fldCharType="separate"/>
          </w:r>
          <w:r>
            <w:rPr>
              <w:rFonts w:hint="eastAsia" w:ascii="黑体" w:hAnsi="黑体" w:eastAsia="黑体"/>
              <w:b/>
              <w:kern w:val="2"/>
              <w:szCs w:val="24"/>
              <w:highlight w:val="none"/>
              <w:lang w:val="en-US"/>
            </w:rPr>
            <w:t>第</w:t>
          </w:r>
          <w:r>
            <w:rPr>
              <w:rFonts w:hint="eastAsia" w:ascii="黑体" w:hAnsi="黑体" w:eastAsia="黑体"/>
              <w:b/>
              <w:kern w:val="44"/>
              <w:szCs w:val="24"/>
              <w:highlight w:val="none"/>
              <w:lang w:val="en-US"/>
            </w:rPr>
            <w:t>四部分附件</w:t>
          </w:r>
          <w:r>
            <w:rPr>
              <w:b/>
              <w:highlight w:val="none"/>
            </w:rPr>
            <w:tab/>
          </w:r>
          <w:r>
            <w:rPr>
              <w:b/>
              <w:highlight w:val="none"/>
            </w:rPr>
            <w:fldChar w:fldCharType="begin"/>
          </w:r>
          <w:r>
            <w:rPr>
              <w:b/>
              <w:highlight w:val="none"/>
            </w:rPr>
            <w:instrText xml:space="preserve"> PAGEREF _Toc20204 \h </w:instrText>
          </w:r>
          <w:r>
            <w:rPr>
              <w:b/>
              <w:highlight w:val="none"/>
            </w:rPr>
            <w:fldChar w:fldCharType="separate"/>
          </w:r>
          <w:r>
            <w:rPr>
              <w:b/>
              <w:highlight w:val="none"/>
            </w:rPr>
            <w:t>14</w:t>
          </w:r>
          <w:r>
            <w:rPr>
              <w:b/>
              <w:highlight w:val="none"/>
            </w:rPr>
            <w:fldChar w:fldCharType="end"/>
          </w:r>
          <w:r>
            <w:rPr>
              <w:b/>
              <w:highlight w:val="none"/>
            </w:rPr>
            <w:fldChar w:fldCharType="end"/>
          </w: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b/>
              <w:highlight w:val="none"/>
            </w:rPr>
            <w:fldChar w:fldCharType="begin"/>
          </w:r>
          <w:r>
            <w:rPr>
              <w:b/>
              <w:highlight w:val="none"/>
            </w:rPr>
            <w:instrText xml:space="preserve"> HYPERLINK \l _Toc22461 </w:instrText>
          </w:r>
          <w:r>
            <w:rPr>
              <w:b/>
              <w:highlight w:val="none"/>
            </w:rPr>
            <w:fldChar w:fldCharType="separate"/>
          </w:r>
          <w:r>
            <w:rPr>
              <w:rFonts w:hint="eastAsia" w:ascii="黑体" w:hAnsi="黑体" w:eastAsia="黑体"/>
              <w:b/>
              <w:kern w:val="44"/>
              <w:szCs w:val="24"/>
              <w:highlight w:val="none"/>
              <w:lang w:val="en-US"/>
            </w:rPr>
            <w:t>第五部分附表</w:t>
          </w:r>
          <w:r>
            <w:rPr>
              <w:b/>
              <w:highlight w:val="none"/>
            </w:rPr>
            <w:tab/>
          </w:r>
          <w:r>
            <w:rPr>
              <w:b/>
              <w:highlight w:val="none"/>
            </w:rPr>
            <w:fldChar w:fldCharType="begin"/>
          </w:r>
          <w:r>
            <w:rPr>
              <w:b/>
              <w:highlight w:val="none"/>
            </w:rPr>
            <w:instrText xml:space="preserve"> PAGEREF _Toc22461 \h </w:instrText>
          </w:r>
          <w:r>
            <w:rPr>
              <w:b/>
              <w:highlight w:val="none"/>
            </w:rPr>
            <w:fldChar w:fldCharType="separate"/>
          </w:r>
          <w:r>
            <w:rPr>
              <w:b/>
              <w:highlight w:val="none"/>
            </w:rPr>
            <w:t>37</w:t>
          </w:r>
          <w:r>
            <w:rPr>
              <w:b/>
              <w:highlight w:val="none"/>
            </w:rPr>
            <w:fldChar w:fldCharType="end"/>
          </w:r>
          <w:r>
            <w:rPr>
              <w:b/>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_Toc31585 </w:instrText>
          </w:r>
          <w:r>
            <w:rPr>
              <w:highlight w:val="none"/>
            </w:rPr>
            <w:fldChar w:fldCharType="separate"/>
          </w:r>
          <w:r>
            <w:rPr>
              <w:rFonts w:hint="eastAsia" w:ascii="仿宋" w:hAnsi="仿宋" w:eastAsia="仿宋"/>
              <w:kern w:val="2"/>
              <w:szCs w:val="24"/>
              <w:highlight w:val="none"/>
              <w:lang w:val="en-US"/>
            </w:rPr>
            <w:t>二、收入决算表</w:t>
          </w:r>
          <w:r>
            <w:rPr>
              <w:highlight w:val="none"/>
            </w:rPr>
            <w:tab/>
          </w:r>
          <w:r>
            <w:rPr>
              <w:highlight w:val="none"/>
            </w:rPr>
            <w:fldChar w:fldCharType="begin"/>
          </w:r>
          <w:r>
            <w:rPr>
              <w:highlight w:val="none"/>
            </w:rPr>
            <w:instrText xml:space="preserve"> PAGEREF _Toc31585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_Toc18589 </w:instrText>
          </w:r>
          <w:r>
            <w:rPr>
              <w:highlight w:val="none"/>
            </w:rPr>
            <w:fldChar w:fldCharType="separate"/>
          </w:r>
          <w:r>
            <w:rPr>
              <w:rFonts w:hint="eastAsia" w:ascii="仿宋" w:hAnsi="仿宋" w:eastAsia="仿宋"/>
              <w:kern w:val="2"/>
              <w:szCs w:val="24"/>
              <w:highlight w:val="none"/>
              <w:lang w:val="en-US"/>
            </w:rPr>
            <w:t>三、支出决算表</w:t>
          </w:r>
          <w:r>
            <w:rPr>
              <w:highlight w:val="none"/>
            </w:rPr>
            <w:tab/>
          </w:r>
          <w:r>
            <w:rPr>
              <w:highlight w:val="none"/>
            </w:rPr>
            <w:fldChar w:fldCharType="begin"/>
          </w:r>
          <w:r>
            <w:rPr>
              <w:highlight w:val="none"/>
            </w:rPr>
            <w:instrText xml:space="preserve"> PAGEREF _Toc18589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_Toc5278 </w:instrText>
          </w:r>
          <w:r>
            <w:rPr>
              <w:highlight w:val="none"/>
            </w:rPr>
            <w:fldChar w:fldCharType="separate"/>
          </w:r>
          <w:r>
            <w:rPr>
              <w:rFonts w:hint="eastAsia" w:ascii="仿宋" w:hAnsi="仿宋" w:eastAsia="仿宋"/>
              <w:kern w:val="2"/>
              <w:szCs w:val="24"/>
              <w:highlight w:val="none"/>
              <w:lang w:val="en-US"/>
            </w:rPr>
            <w:t>四、财政拨款收入支出决算总表</w:t>
          </w:r>
          <w:r>
            <w:rPr>
              <w:highlight w:val="none"/>
            </w:rPr>
            <w:tab/>
          </w:r>
          <w:r>
            <w:rPr>
              <w:highlight w:val="none"/>
            </w:rPr>
            <w:fldChar w:fldCharType="begin"/>
          </w:r>
          <w:r>
            <w:rPr>
              <w:highlight w:val="none"/>
            </w:rPr>
            <w:instrText xml:space="preserve"> PAGEREF _Toc5278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_Toc16623 </w:instrText>
          </w:r>
          <w:r>
            <w:rPr>
              <w:highlight w:val="none"/>
            </w:rPr>
            <w:fldChar w:fldCharType="separate"/>
          </w:r>
          <w:r>
            <w:rPr>
              <w:rFonts w:hint="eastAsia" w:ascii="仿宋" w:hAnsi="仿宋" w:eastAsia="仿宋"/>
              <w:kern w:val="2"/>
              <w:szCs w:val="24"/>
              <w:highlight w:val="none"/>
              <w:lang w:val="en-US"/>
            </w:rPr>
            <w:t>五、财政拨款支出决算明细表</w:t>
          </w:r>
          <w:r>
            <w:rPr>
              <w:highlight w:val="none"/>
            </w:rPr>
            <w:tab/>
          </w:r>
          <w:r>
            <w:rPr>
              <w:highlight w:val="none"/>
            </w:rPr>
            <w:fldChar w:fldCharType="begin"/>
          </w:r>
          <w:r>
            <w:rPr>
              <w:highlight w:val="none"/>
            </w:rPr>
            <w:instrText xml:space="preserve"> PAGEREF _Toc16623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_Toc18608 </w:instrText>
          </w:r>
          <w:r>
            <w:rPr>
              <w:highlight w:val="none"/>
            </w:rPr>
            <w:fldChar w:fldCharType="separate"/>
          </w:r>
          <w:r>
            <w:rPr>
              <w:rFonts w:hint="eastAsia" w:ascii="仿宋" w:hAnsi="仿宋" w:eastAsia="仿宋"/>
              <w:kern w:val="2"/>
              <w:szCs w:val="24"/>
              <w:highlight w:val="none"/>
              <w:lang w:val="en-US"/>
            </w:rPr>
            <w:t>六、一般公共预算财政拨款支出决算表</w:t>
          </w:r>
          <w:r>
            <w:rPr>
              <w:highlight w:val="none"/>
            </w:rPr>
            <w:tab/>
          </w:r>
          <w:r>
            <w:rPr>
              <w:highlight w:val="none"/>
            </w:rPr>
            <w:fldChar w:fldCharType="begin"/>
          </w:r>
          <w:r>
            <w:rPr>
              <w:highlight w:val="none"/>
            </w:rPr>
            <w:instrText xml:space="preserve"> PAGEREF _Toc18608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_Toc4670 </w:instrText>
          </w:r>
          <w:r>
            <w:rPr>
              <w:highlight w:val="none"/>
            </w:rPr>
            <w:fldChar w:fldCharType="separate"/>
          </w:r>
          <w:r>
            <w:rPr>
              <w:rFonts w:hint="eastAsia" w:ascii="仿宋" w:hAnsi="仿宋" w:eastAsia="仿宋"/>
              <w:kern w:val="2"/>
              <w:szCs w:val="24"/>
              <w:highlight w:val="none"/>
              <w:lang w:val="en-US"/>
            </w:rPr>
            <w:t>七、一般公共预算财政拨款支出决算明细表</w:t>
          </w:r>
          <w:r>
            <w:rPr>
              <w:highlight w:val="none"/>
            </w:rPr>
            <w:tab/>
          </w:r>
          <w:r>
            <w:rPr>
              <w:highlight w:val="none"/>
            </w:rPr>
            <w:fldChar w:fldCharType="begin"/>
          </w:r>
          <w:r>
            <w:rPr>
              <w:highlight w:val="none"/>
            </w:rPr>
            <w:instrText xml:space="preserve"> PAGEREF _Toc4670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_Toc15953 </w:instrText>
          </w:r>
          <w:r>
            <w:rPr>
              <w:highlight w:val="none"/>
            </w:rPr>
            <w:fldChar w:fldCharType="separate"/>
          </w:r>
          <w:r>
            <w:rPr>
              <w:rFonts w:hint="eastAsia" w:ascii="仿宋" w:hAnsi="仿宋" w:eastAsia="仿宋"/>
              <w:kern w:val="2"/>
              <w:szCs w:val="24"/>
              <w:highlight w:val="none"/>
              <w:lang w:val="en-US"/>
            </w:rPr>
            <w:t>八、一般公共预算财政拨款基本支出决算表</w:t>
          </w:r>
          <w:r>
            <w:rPr>
              <w:highlight w:val="none"/>
            </w:rPr>
            <w:tab/>
          </w:r>
          <w:r>
            <w:rPr>
              <w:highlight w:val="none"/>
            </w:rPr>
            <w:fldChar w:fldCharType="begin"/>
          </w:r>
          <w:r>
            <w:rPr>
              <w:highlight w:val="none"/>
            </w:rPr>
            <w:instrText xml:space="preserve"> PAGEREF _Toc15953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_Toc24145 </w:instrText>
          </w:r>
          <w:r>
            <w:rPr>
              <w:highlight w:val="none"/>
            </w:rPr>
            <w:fldChar w:fldCharType="separate"/>
          </w:r>
          <w:r>
            <w:rPr>
              <w:rFonts w:hint="eastAsia" w:ascii="仿宋" w:hAnsi="仿宋" w:eastAsia="仿宋"/>
              <w:kern w:val="2"/>
              <w:szCs w:val="24"/>
              <w:highlight w:val="none"/>
              <w:lang w:val="en-US"/>
            </w:rPr>
            <w:t>九、一般公共预算财政拨款项目支出决算表</w:t>
          </w:r>
          <w:r>
            <w:rPr>
              <w:highlight w:val="none"/>
            </w:rPr>
            <w:tab/>
          </w:r>
          <w:r>
            <w:rPr>
              <w:highlight w:val="none"/>
            </w:rPr>
            <w:fldChar w:fldCharType="begin"/>
          </w:r>
          <w:r>
            <w:rPr>
              <w:highlight w:val="none"/>
            </w:rPr>
            <w:instrText xml:space="preserve"> PAGEREF _Toc24145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_Toc5716 </w:instrText>
          </w:r>
          <w:r>
            <w:rPr>
              <w:highlight w:val="none"/>
            </w:rPr>
            <w:fldChar w:fldCharType="separate"/>
          </w:r>
          <w:r>
            <w:rPr>
              <w:rFonts w:hint="eastAsia" w:ascii="仿宋" w:hAnsi="仿宋" w:eastAsia="仿宋"/>
              <w:kern w:val="2"/>
              <w:szCs w:val="24"/>
              <w:highlight w:val="none"/>
              <w:lang w:val="en-US"/>
            </w:rPr>
            <w:t>十、政府性基金预算财政拨款收入支出决算表</w:t>
          </w:r>
          <w:r>
            <w:rPr>
              <w:highlight w:val="none"/>
            </w:rPr>
            <w:tab/>
          </w:r>
          <w:r>
            <w:rPr>
              <w:highlight w:val="none"/>
            </w:rPr>
            <w:fldChar w:fldCharType="begin"/>
          </w:r>
          <w:r>
            <w:rPr>
              <w:highlight w:val="none"/>
            </w:rPr>
            <w:instrText xml:space="preserve"> PAGEREF _Toc5716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_Toc22577 </w:instrText>
          </w:r>
          <w:r>
            <w:rPr>
              <w:highlight w:val="none"/>
            </w:rPr>
            <w:fldChar w:fldCharType="separate"/>
          </w:r>
          <w:r>
            <w:rPr>
              <w:rFonts w:hint="eastAsia" w:ascii="仿宋" w:hAnsi="仿宋" w:eastAsia="仿宋"/>
              <w:kern w:val="2"/>
              <w:szCs w:val="24"/>
              <w:highlight w:val="none"/>
              <w:lang w:val="en-US"/>
            </w:rPr>
            <w:t>十一、国有资本经营预算财政拨款收入支出决算表</w:t>
          </w:r>
          <w:r>
            <w:rPr>
              <w:highlight w:val="none"/>
            </w:rPr>
            <w:tab/>
          </w:r>
          <w:r>
            <w:rPr>
              <w:highlight w:val="none"/>
            </w:rPr>
            <w:fldChar w:fldCharType="begin"/>
          </w:r>
          <w:r>
            <w:rPr>
              <w:highlight w:val="none"/>
            </w:rPr>
            <w:instrText xml:space="preserve"> PAGEREF _Toc22577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_Toc32541 </w:instrText>
          </w:r>
          <w:r>
            <w:rPr>
              <w:highlight w:val="none"/>
            </w:rPr>
            <w:fldChar w:fldCharType="separate"/>
          </w:r>
          <w:r>
            <w:rPr>
              <w:rFonts w:hint="eastAsia" w:ascii="仿宋" w:hAnsi="仿宋" w:eastAsia="仿宋"/>
              <w:kern w:val="2"/>
              <w:szCs w:val="24"/>
              <w:highlight w:val="none"/>
              <w:lang w:val="en-US"/>
            </w:rPr>
            <w:t>十二、国有资本经营预算财政拨款支出决算表</w:t>
          </w:r>
          <w:r>
            <w:rPr>
              <w:highlight w:val="none"/>
            </w:rPr>
            <w:tab/>
          </w:r>
          <w:r>
            <w:rPr>
              <w:highlight w:val="none"/>
            </w:rPr>
            <w:fldChar w:fldCharType="begin"/>
          </w:r>
          <w:r>
            <w:rPr>
              <w:highlight w:val="none"/>
            </w:rPr>
            <w:instrText xml:space="preserve"> PAGEREF _Toc32541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_Toc1604 </w:instrText>
          </w:r>
          <w:r>
            <w:rPr>
              <w:highlight w:val="none"/>
            </w:rPr>
            <w:fldChar w:fldCharType="separate"/>
          </w:r>
          <w:r>
            <w:rPr>
              <w:rFonts w:hint="eastAsia" w:ascii="仿宋" w:hAnsi="仿宋" w:eastAsia="仿宋"/>
              <w:kern w:val="2"/>
              <w:szCs w:val="24"/>
              <w:highlight w:val="none"/>
              <w:lang w:val="en-US"/>
            </w:rPr>
            <w:t>十三、财政拨款“三公”经费支出决算表</w:t>
          </w:r>
          <w:r>
            <w:rPr>
              <w:highlight w:val="none"/>
            </w:rPr>
            <w:tab/>
          </w:r>
          <w:r>
            <w:rPr>
              <w:highlight w:val="none"/>
            </w:rPr>
            <w:fldChar w:fldCharType="begin"/>
          </w:r>
          <w:r>
            <w:rPr>
              <w:highlight w:val="none"/>
            </w:rPr>
            <w:instrText xml:space="preserve"> PAGEREF _Toc1604 \h </w:instrText>
          </w:r>
          <w:r>
            <w:rPr>
              <w:highlight w:val="none"/>
            </w:rPr>
            <w:fldChar w:fldCharType="separate"/>
          </w:r>
          <w:r>
            <w:rPr>
              <w:highlight w:val="none"/>
            </w:rPr>
            <w:t>37</w:t>
          </w:r>
          <w:r>
            <w:rPr>
              <w:highlight w:val="none"/>
            </w:rPr>
            <w:fldChar w:fldCharType="end"/>
          </w:r>
          <w:r>
            <w:rPr>
              <w:highlight w:val="none"/>
            </w:rPr>
            <w:fldChar w:fldCharType="end"/>
          </w:r>
        </w:p>
        <w:p>
          <w:pPr>
            <w:keepNext w:val="0"/>
            <w:keepLines w:val="0"/>
            <w:pageBreakBefore w:val="0"/>
            <w:widowControl/>
            <w:kinsoku/>
            <w:wordWrap/>
            <w:overflowPunct/>
            <w:topLinePunct w:val="0"/>
            <w:autoSpaceDE/>
            <w:autoSpaceDN/>
            <w:bidi w:val="0"/>
            <w:adjustRightInd/>
            <w:snapToGrid/>
            <w:spacing w:line="360" w:lineRule="exact"/>
            <w:textAlignment w:val="auto"/>
            <w:rPr>
              <w:highlight w:val="none"/>
            </w:rPr>
          </w:pPr>
          <w:r>
            <w:rPr>
              <w:b/>
              <w:highlight w:val="none"/>
            </w:rPr>
            <w:fldChar w:fldCharType="end"/>
          </w:r>
        </w:p>
      </w:sdtContent>
    </w:sdt>
    <w:p>
      <w:pPr>
        <w:pStyle w:val="3"/>
        <w:keepNext/>
        <w:keepLines/>
        <w:spacing w:before="340" w:beforeLines="0" w:after="330" w:afterLines="0" w:line="576" w:lineRule="auto"/>
        <w:jc w:val="center"/>
        <w:rPr>
          <w:rFonts w:hint="eastAsia" w:ascii="黑体" w:hAnsi="黑体" w:eastAsia="黑体"/>
          <w:color w:val="auto"/>
          <w:kern w:val="44"/>
          <w:sz w:val="44"/>
          <w:szCs w:val="24"/>
          <w:highlight w:val="none"/>
          <w:lang w:val="zh-CN"/>
        </w:rPr>
        <w:sectPr>
          <w:headerReference r:id="rId4" w:type="default"/>
          <w:pgSz w:w="12240" w:h="15840"/>
          <w:pgMar w:top="1440" w:right="1800" w:bottom="1440" w:left="1800" w:header="720" w:footer="720" w:gutter="0"/>
          <w:lnNumType w:countBy="0" w:distance="360"/>
          <w:pgNumType w:fmt="decimal" w:start="1"/>
          <w:cols w:space="720" w:num="1"/>
        </w:sectPr>
      </w:pPr>
      <w:bookmarkStart w:id="1" w:name="_Toc21156"/>
    </w:p>
    <w:p>
      <w:pPr>
        <w:pStyle w:val="3"/>
        <w:keepNext/>
        <w:keepLines/>
        <w:spacing w:before="340" w:beforeLines="0" w:after="330" w:afterLines="0" w:line="576" w:lineRule="auto"/>
        <w:jc w:val="center"/>
        <w:rPr>
          <w:rFonts w:hint="eastAsia" w:ascii="黑体" w:hAnsi="黑体" w:eastAsia="黑体"/>
          <w:b/>
          <w:color w:val="auto"/>
          <w:kern w:val="44"/>
          <w:sz w:val="44"/>
          <w:szCs w:val="24"/>
          <w:highlight w:val="none"/>
          <w:lang w:val="zh-CN"/>
        </w:rPr>
      </w:pPr>
      <w:r>
        <w:rPr>
          <w:rFonts w:hint="eastAsia" w:ascii="黑体" w:hAnsi="黑体" w:eastAsia="黑体"/>
          <w:color w:val="auto"/>
          <w:kern w:val="44"/>
          <w:sz w:val="44"/>
          <w:szCs w:val="24"/>
          <w:highlight w:val="none"/>
          <w:lang w:val="zh-CN"/>
        </w:rPr>
        <w:t>第一部分单位概况</w:t>
      </w:r>
      <w:bookmarkEnd w:id="1"/>
    </w:p>
    <w:p>
      <w:pPr>
        <w:pStyle w:val="4"/>
        <w:keepNext/>
        <w:keepLines/>
        <w:spacing w:before="260" w:beforeLines="0" w:after="260" w:afterLines="0" w:line="576" w:lineRule="exact"/>
        <w:ind w:firstLine="640"/>
        <w:jc w:val="both"/>
        <w:rPr>
          <w:rFonts w:hint="eastAsia" w:ascii="黑体" w:hAnsi="黑体" w:eastAsia="黑体"/>
          <w:color w:val="auto"/>
          <w:kern w:val="2"/>
          <w:sz w:val="32"/>
          <w:szCs w:val="24"/>
          <w:highlight w:val="none"/>
          <w:lang w:val="zh-CN"/>
        </w:rPr>
      </w:pPr>
      <w:bookmarkStart w:id="2" w:name="_Toc25310"/>
      <w:r>
        <w:rPr>
          <w:rFonts w:hint="eastAsia" w:ascii="黑体" w:hAnsi="黑体" w:eastAsia="黑体"/>
          <w:color w:val="000000"/>
          <w:kern w:val="2"/>
          <w:sz w:val="32"/>
          <w:szCs w:val="24"/>
          <w:highlight w:val="none"/>
          <w:lang w:val="zh-CN"/>
        </w:rPr>
        <w:t>一、主要</w:t>
      </w:r>
      <w:r>
        <w:rPr>
          <w:rFonts w:hint="eastAsia" w:ascii="黑体" w:hAnsi="黑体" w:eastAsia="黑体"/>
          <w:color w:val="auto"/>
          <w:kern w:val="2"/>
          <w:sz w:val="32"/>
          <w:szCs w:val="24"/>
          <w:highlight w:val="none"/>
          <w:lang w:val="zh-CN"/>
        </w:rPr>
        <w:t>职责</w:t>
      </w:r>
      <w:bookmarkEnd w:id="2"/>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根据市编办机构设置和市自然资源局对我中心工作安排和业务审批事项的授权，我中心在国家级广元经济开发区管辖区域内主要承担以下职责：</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贯彻执行国家有关自然资源的调控政策、措施和法律、法规、规章。承担保护与合理利用土地资源、矿产资源的责任。依规参加编制国土空间规划编制工作，组织实施自然资源领域资源节约集约利用和产城一体化发展，实施土地用途管制，切实保护耕地和基本农田。</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加强建设用地管理，承担节约集约利用土地资源，规范自然资源市场秩序的责任。承办建设用地供应、节约集约利用工作，执行基准地价、标定地价等政府公示地价制度，加强经开区项目用地保障工作，办理改制企业的国有土地资产处置相关工作。</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3.承办经开区土地报征工作，为开发区园区建设和项目建设提供用地要素保障。按政策要求加强农村农转用手续审批办理。</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4.负责</w:t>
      </w:r>
      <w:r>
        <w:rPr>
          <w:rFonts w:hint="eastAsia" w:ascii="仿宋_GB2312" w:hAnsi="仿宋_GB2312" w:eastAsia="仿宋_GB2312" w:cs="仿宋_GB2312"/>
          <w:sz w:val="32"/>
          <w:szCs w:val="32"/>
          <w:highlight w:val="none"/>
          <w:lang w:eastAsia="zh-CN"/>
        </w:rPr>
        <w:t>地质</w:t>
      </w:r>
      <w:r>
        <w:rPr>
          <w:rFonts w:hint="eastAsia" w:ascii="仿宋_GB2312" w:hAnsi="仿宋_GB2312" w:eastAsia="仿宋_GB2312" w:cs="仿宋_GB2312"/>
          <w:sz w:val="32"/>
          <w:szCs w:val="32"/>
          <w:highlight w:val="none"/>
        </w:rPr>
        <w:t>环境保护，承担地质灾害防治工作。编制、实施地质灾害防御预案和地质灾害应急预案，依法组织建设用地地质灾害危险性评估和地质灾害治理工作。</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5.受市自然资源局委托承担开发区范围内自然资源执法监察工作，调查处理自然资源纠纷和违法案件，承办卫片执法和自然资源信访工作。</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6.承担自然资源基础性工作。做好临时用地管理和年度土地变更调查等基础性工作。</w:t>
      </w:r>
    </w:p>
    <w:p>
      <w:pPr>
        <w:pStyle w:val="4"/>
        <w:keepNext/>
        <w:keepLines/>
        <w:pageBreakBefore w:val="0"/>
        <w:widowControl w:val="0"/>
        <w:kinsoku/>
        <w:wordWrap/>
        <w:overflowPunct/>
        <w:topLinePunct w:val="0"/>
        <w:autoSpaceDE w:val="0"/>
        <w:autoSpaceDN w:val="0"/>
        <w:bidi w:val="0"/>
        <w:adjustRightInd w:val="0"/>
        <w:snapToGrid/>
        <w:spacing w:before="260" w:beforeLines="0" w:after="260" w:afterLines="0" w:line="576" w:lineRule="exact"/>
        <w:ind w:left="0" w:firstLine="640" w:firstLineChars="200"/>
        <w:jc w:val="both"/>
        <w:textAlignment w:val="auto"/>
        <w:rPr>
          <w:rFonts w:hint="eastAsia" w:ascii="仿宋_GB2312" w:hAnsi="仿宋_GB2312" w:eastAsia="仿宋_GB2312" w:cs="仿宋_GB2312"/>
          <w:sz w:val="32"/>
          <w:szCs w:val="32"/>
          <w:highlight w:val="none"/>
        </w:rPr>
      </w:pPr>
      <w:bookmarkStart w:id="3" w:name="_Toc22910"/>
      <w:r>
        <w:rPr>
          <w:rFonts w:hint="eastAsia" w:ascii="仿宋_GB2312" w:hAnsi="仿宋_GB2312" w:eastAsia="仿宋_GB2312" w:cs="仿宋_GB2312"/>
          <w:sz w:val="32"/>
          <w:szCs w:val="32"/>
          <w:highlight w:val="none"/>
        </w:rPr>
        <w:t>7.承办市自然资源局和区党工委、区管委会交办的其他事项。</w:t>
      </w:r>
    </w:p>
    <w:p>
      <w:pPr>
        <w:pStyle w:val="4"/>
        <w:keepNext/>
        <w:keepLines/>
        <w:pageBreakBefore w:val="0"/>
        <w:widowControl w:val="0"/>
        <w:kinsoku/>
        <w:wordWrap/>
        <w:overflowPunct/>
        <w:topLinePunct w:val="0"/>
        <w:autoSpaceDE w:val="0"/>
        <w:autoSpaceDN w:val="0"/>
        <w:bidi w:val="0"/>
        <w:adjustRightInd w:val="0"/>
        <w:snapToGrid/>
        <w:spacing w:before="260" w:beforeLines="0" w:after="260" w:afterLines="0" w:line="576" w:lineRule="exact"/>
        <w:ind w:left="0" w:firstLine="640" w:firstLineChars="200"/>
        <w:jc w:val="both"/>
        <w:textAlignment w:val="auto"/>
        <w:rPr>
          <w:rFonts w:hint="eastAsia" w:ascii="黑体" w:hAnsi="黑体" w:eastAsia="黑体"/>
          <w:color w:val="auto"/>
          <w:kern w:val="2"/>
          <w:sz w:val="32"/>
          <w:szCs w:val="24"/>
          <w:highlight w:val="none"/>
          <w:lang w:val="zh-CN"/>
        </w:rPr>
      </w:pPr>
      <w:r>
        <w:rPr>
          <w:rFonts w:hint="eastAsia" w:ascii="黑体" w:hAnsi="黑体" w:eastAsia="黑体"/>
          <w:color w:val="000000"/>
          <w:kern w:val="2"/>
          <w:sz w:val="32"/>
          <w:szCs w:val="24"/>
          <w:highlight w:val="none"/>
          <w:lang w:val="zh-CN"/>
        </w:rPr>
        <w:t>二、机</w:t>
      </w:r>
      <w:r>
        <w:rPr>
          <w:rFonts w:hint="eastAsia" w:ascii="黑体" w:hAnsi="黑体" w:eastAsia="黑体"/>
          <w:color w:val="auto"/>
          <w:kern w:val="2"/>
          <w:sz w:val="32"/>
          <w:szCs w:val="24"/>
          <w:highlight w:val="none"/>
          <w:lang w:val="zh-CN"/>
        </w:rPr>
        <w:t>构设置</w:t>
      </w:r>
      <w:bookmarkEnd w:id="3"/>
    </w:p>
    <w:p>
      <w:pPr>
        <w:pStyle w:val="4"/>
        <w:keepNext/>
        <w:keepLines/>
        <w:spacing w:before="260" w:beforeLines="0" w:after="260" w:afterLines="0" w:line="576" w:lineRule="exact"/>
        <w:ind w:firstLine="640"/>
        <w:jc w:val="both"/>
        <w:rPr>
          <w:rFonts w:hint="eastAsia" w:ascii="黑体" w:hAnsi="黑体" w:eastAsia="仿宋_GB2312"/>
          <w:color w:val="auto"/>
          <w:kern w:val="2"/>
          <w:sz w:val="32"/>
          <w:szCs w:val="24"/>
          <w:highlight w:val="none"/>
          <w:lang w:val="en-US" w:eastAsia="zh-CN"/>
        </w:rPr>
      </w:pPr>
      <w:bookmarkStart w:id="4" w:name="_Toc23592"/>
      <w:r>
        <w:rPr>
          <w:rFonts w:hint="eastAsia" w:ascii="仿宋_GB2312" w:hAnsi="仿宋_GB2312" w:eastAsia="仿宋_GB2312" w:cs="仿宋_GB2312"/>
          <w:color w:val="auto"/>
          <w:kern w:val="2"/>
          <w:sz w:val="32"/>
          <w:szCs w:val="24"/>
          <w:highlight w:val="none"/>
          <w:lang w:val="en-US" w:eastAsia="zh-CN"/>
        </w:rPr>
        <w:t>广元市自然资源局经济开发区事务中心为独立核算单位，</w:t>
      </w:r>
      <w:r>
        <w:rPr>
          <w:rFonts w:hint="default" w:ascii="仿宋_GB2312" w:hAnsi="仿宋_GB2312" w:eastAsia="仿宋_GB2312" w:cs="仿宋_GB2312"/>
          <w:color w:val="auto"/>
          <w:kern w:val="2"/>
          <w:sz w:val="32"/>
          <w:szCs w:val="24"/>
          <w:highlight w:val="none"/>
          <w:lang w:eastAsia="zh-CN"/>
        </w:rPr>
        <w:t>属于是自然资源局二级预算单位，</w:t>
      </w:r>
      <w:r>
        <w:rPr>
          <w:rFonts w:hint="eastAsia" w:ascii="仿宋_GB2312" w:hAnsi="仿宋_GB2312" w:eastAsia="仿宋_GB2312" w:cs="仿宋_GB2312"/>
          <w:color w:val="auto"/>
          <w:kern w:val="2"/>
          <w:sz w:val="32"/>
          <w:szCs w:val="24"/>
          <w:highlight w:val="none"/>
          <w:lang w:val="en-US" w:eastAsia="zh-CN"/>
        </w:rPr>
        <w:t>单位基本性质为参照公务员法管理的事业单位，含非独立核算事业单位广元市经济开发区地质环境监测站。</w:t>
      </w:r>
      <w:bookmarkEnd w:id="4"/>
    </w:p>
    <w:p>
      <w:pPr>
        <w:rPr>
          <w:rFonts w:hint="eastAsia" w:ascii="黑体" w:hAnsi="黑体" w:eastAsia="黑体"/>
          <w:color w:val="000000"/>
          <w:kern w:val="44"/>
          <w:sz w:val="44"/>
          <w:szCs w:val="24"/>
          <w:highlight w:val="none"/>
          <w:lang w:val="zh-CN"/>
        </w:rPr>
      </w:pPr>
      <w:r>
        <w:rPr>
          <w:rFonts w:hint="eastAsia" w:ascii="黑体" w:hAnsi="黑体" w:eastAsia="黑体"/>
          <w:color w:val="000000"/>
          <w:kern w:val="44"/>
          <w:sz w:val="44"/>
          <w:szCs w:val="24"/>
          <w:highlight w:val="none"/>
          <w:lang w:val="zh-CN"/>
        </w:rPr>
        <w:br w:type="page"/>
      </w:r>
    </w:p>
    <w:p>
      <w:pPr>
        <w:pStyle w:val="3"/>
        <w:keepNext/>
        <w:keepLines/>
        <w:spacing w:before="340" w:beforeLines="0" w:after="330" w:afterLines="0" w:line="576" w:lineRule="exact"/>
        <w:ind w:right="442" w:firstLine="880"/>
        <w:jc w:val="center"/>
        <w:rPr>
          <w:rFonts w:hint="eastAsia" w:ascii="Times New Roman" w:hAnsi="Times New Roman" w:eastAsia="Times New Roman"/>
          <w:b/>
          <w:color w:val="auto"/>
          <w:kern w:val="44"/>
          <w:sz w:val="44"/>
          <w:szCs w:val="24"/>
          <w:highlight w:val="none"/>
          <w:lang w:val="zh-CN"/>
        </w:rPr>
      </w:pPr>
      <w:bookmarkStart w:id="5" w:name="_Toc19258"/>
      <w:r>
        <w:rPr>
          <w:rFonts w:hint="eastAsia" w:ascii="黑体" w:hAnsi="黑体" w:eastAsia="黑体"/>
          <w:color w:val="000000"/>
          <w:kern w:val="44"/>
          <w:sz w:val="44"/>
          <w:szCs w:val="24"/>
          <w:highlight w:val="none"/>
          <w:lang w:val="zh-CN"/>
        </w:rPr>
        <w:t>第二部分</w:t>
      </w:r>
      <w:r>
        <w:rPr>
          <w:rFonts w:hint="eastAsia" w:ascii="黑体" w:hAnsi="黑体" w:eastAsia="黑体"/>
          <w:color w:val="auto"/>
          <w:kern w:val="44"/>
          <w:sz w:val="44"/>
          <w:szCs w:val="24"/>
          <w:highlight w:val="none"/>
          <w:lang w:val="zh-CN"/>
        </w:rPr>
        <w:t>2022年度单位决算情况说明</w:t>
      </w:r>
      <w:bookmarkEnd w:id="5"/>
    </w:p>
    <w:p>
      <w:pPr>
        <w:keepNext/>
        <w:keepLines/>
        <w:spacing w:beforeLines="0" w:afterLines="0" w:line="576" w:lineRule="exact"/>
        <w:jc w:val="both"/>
        <w:outlineLvl w:val="1"/>
        <w:rPr>
          <w:rFonts w:hint="eastAsia" w:ascii="黑体" w:hAnsi="黑体" w:eastAsia="黑体"/>
          <w:color w:val="auto"/>
          <w:kern w:val="2"/>
          <w:sz w:val="32"/>
          <w:szCs w:val="24"/>
          <w:highlight w:val="none"/>
          <w:lang w:val="zh-CN"/>
        </w:rPr>
      </w:pPr>
      <w:bookmarkStart w:id="6" w:name="_Toc22725"/>
      <w:r>
        <w:rPr>
          <w:rFonts w:hint="eastAsia" w:ascii="黑体" w:hAnsi="黑体" w:eastAsia="黑体"/>
          <w:color w:val="000000"/>
          <w:kern w:val="2"/>
          <w:sz w:val="32"/>
          <w:szCs w:val="24"/>
          <w:highlight w:val="none"/>
          <w:lang w:val="zh-CN"/>
        </w:rPr>
        <w:t>一、收</w:t>
      </w:r>
      <w:r>
        <w:rPr>
          <w:rFonts w:hint="eastAsia" w:ascii="黑体" w:hAnsi="黑体" w:eastAsia="黑体"/>
          <w:color w:val="auto"/>
          <w:kern w:val="2"/>
          <w:sz w:val="32"/>
          <w:szCs w:val="24"/>
          <w:highlight w:val="none"/>
          <w:lang w:val="zh-CN"/>
        </w:rPr>
        <w:t>入支出决算总体情况说明</w:t>
      </w:r>
      <w:bookmarkEnd w:id="6"/>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2022年度收、支总计747.62万元。与2021年相比，收、支总计各减少1</w:t>
      </w:r>
      <w:r>
        <w:rPr>
          <w:rFonts w:hint="eastAsia" w:ascii="仿宋_GB2312" w:hAnsi="仿宋_GB2312" w:eastAsia="仿宋_GB2312"/>
          <w:color w:val="000000"/>
          <w:kern w:val="2"/>
          <w:sz w:val="32"/>
          <w:szCs w:val="24"/>
          <w:highlight w:val="none"/>
          <w:lang w:val="en-US" w:eastAsia="zh-CN"/>
        </w:rPr>
        <w:t>52.84</w:t>
      </w:r>
      <w:r>
        <w:rPr>
          <w:rFonts w:hint="eastAsia" w:ascii="仿宋_GB2312" w:hAnsi="仿宋_GB2312" w:eastAsia="仿宋_GB2312"/>
          <w:color w:val="000000"/>
          <w:kern w:val="2"/>
          <w:sz w:val="32"/>
          <w:szCs w:val="24"/>
          <w:highlight w:val="none"/>
          <w:lang w:val="zh-CN"/>
        </w:rPr>
        <w:t>万元，下降1</w:t>
      </w:r>
      <w:r>
        <w:rPr>
          <w:rFonts w:hint="eastAsia" w:ascii="仿宋_GB2312" w:hAnsi="仿宋_GB2312" w:eastAsia="仿宋_GB2312"/>
          <w:color w:val="000000"/>
          <w:kern w:val="2"/>
          <w:sz w:val="32"/>
          <w:szCs w:val="24"/>
          <w:highlight w:val="none"/>
          <w:lang w:val="en-US" w:eastAsia="zh-CN"/>
        </w:rPr>
        <w:t>6.97</w:t>
      </w:r>
      <w:r>
        <w:rPr>
          <w:rFonts w:hint="eastAsia" w:ascii="仿宋_GB2312" w:hAnsi="仿宋_GB2312" w:eastAsia="仿宋_GB2312"/>
          <w:color w:val="000000"/>
          <w:kern w:val="2"/>
          <w:sz w:val="32"/>
          <w:szCs w:val="24"/>
          <w:highlight w:val="none"/>
          <w:lang w:val="zh-CN"/>
        </w:rPr>
        <w:t>%。主要变动原因是项目减少，项目资金使用减少。</w:t>
      </w:r>
    </w:p>
    <w:p>
      <w:pPr>
        <w:spacing w:beforeLines="0" w:afterLines="0" w:line="600" w:lineRule="exact"/>
        <w:ind w:firstLine="640"/>
        <w:jc w:val="both"/>
        <w:rPr>
          <w:rFonts w:hint="default"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（图1：收、支决算总计变动情况图）</w:t>
      </w:r>
    </w:p>
    <w:p>
      <w:pPr>
        <w:pStyle w:val="5"/>
        <w:rPr>
          <w:rFonts w:hint="default"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eastAsia="zh-CN"/>
        </w:rPr>
        <w:drawing>
          <wp:anchor distT="0" distB="0" distL="114300" distR="114300" simplePos="0" relativeHeight="251661312" behindDoc="0" locked="0" layoutInCell="1" allowOverlap="1">
            <wp:simplePos x="0" y="0"/>
            <wp:positionH relativeFrom="column">
              <wp:posOffset>163830</wp:posOffset>
            </wp:positionH>
            <wp:positionV relativeFrom="paragraph">
              <wp:posOffset>191770</wp:posOffset>
            </wp:positionV>
            <wp:extent cx="5227955" cy="3227070"/>
            <wp:effectExtent l="4445" t="4445" r="6350" b="698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5"/>
        <w:rPr>
          <w:rFonts w:hint="eastAsia" w:ascii="仿宋" w:hAnsi="仿宋" w:eastAsia="仿宋"/>
          <w:color w:val="auto"/>
          <w:kern w:val="2"/>
          <w:sz w:val="32"/>
          <w:szCs w:val="24"/>
          <w:highlight w:val="none"/>
          <w:lang w:val="en-US" w:eastAsia="zh-CN"/>
        </w:rPr>
      </w:pPr>
    </w:p>
    <w:p>
      <w:pPr>
        <w:pStyle w:val="5"/>
        <w:rPr>
          <w:rFonts w:hint="default"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spacing w:afterLines="0"/>
        <w:rPr>
          <w:rFonts w:hint="eastAsia" w:ascii="仿宋" w:hAnsi="仿宋" w:eastAsia="仿宋"/>
          <w:color w:val="auto"/>
          <w:kern w:val="2"/>
          <w:sz w:val="32"/>
          <w:szCs w:val="24"/>
          <w:highlight w:val="none"/>
          <w:lang w:val="en-US"/>
        </w:rPr>
      </w:pPr>
    </w:p>
    <w:p>
      <w:pPr>
        <w:pStyle w:val="5"/>
        <w:spacing w:afterLines="0"/>
        <w:rPr>
          <w:rFonts w:hint="eastAsia" w:ascii="仿宋" w:hAnsi="仿宋" w:eastAsia="仿宋"/>
          <w:color w:val="auto"/>
          <w:kern w:val="2"/>
          <w:sz w:val="32"/>
          <w:szCs w:val="24"/>
          <w:highlight w:val="none"/>
          <w:lang w:val="en-US" w:eastAsia="zh-CN"/>
        </w:rPr>
      </w:pPr>
      <w:r>
        <w:rPr>
          <w:rFonts w:hint="default" w:ascii="仿宋" w:hAnsi="仿宋" w:eastAsia="仿宋"/>
          <w:color w:val="auto"/>
          <w:kern w:val="2"/>
          <w:sz w:val="32"/>
          <w:szCs w:val="24"/>
          <w:highlight w:val="none"/>
          <w:lang w:val="en-US" w:eastAsia="zh-CN"/>
        </w:rPr>
        <mc:AlternateContent>
          <mc:Choice Requires="wps">
            <w:drawing>
              <wp:inline distT="0" distB="0" distL="114300" distR="114300">
                <wp:extent cx="635" cy="0"/>
                <wp:effectExtent l="0" t="0" r="0" b="0"/>
                <wp:docPr id="3" name="Objec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Object 3"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Q4gdeqAEAAGcDAAAOAAAA&#10;AAAAAAEAIAAAAB4BAABkcnMvZTJvRG9jLnhtbFBLBQYAAAAABgAGAFkBAAA4BQAAAAA=&#10;">
                <v:fill on="f" focussize="0,0"/>
                <v:stroke on="f"/>
                <v:imagedata o:title=""/>
                <o:lock v:ext="edit" aspectratio="t"/>
                <w10:wrap type="none"/>
                <w10:anchorlock/>
              </v:rect>
            </w:pict>
          </mc:Fallback>
        </mc:AlternateContent>
      </w:r>
      <w:r>
        <w:rPr>
          <w:rFonts w:hint="default" w:ascii="仿宋" w:hAnsi="仿宋" w:eastAsia="仿宋"/>
          <w:color w:val="auto"/>
          <w:kern w:val="2"/>
          <w:sz w:val="32"/>
          <w:szCs w:val="24"/>
          <w:highlight w:val="none"/>
          <w:lang w:val="en-US" w:eastAsia="zh-CN"/>
        </w:rPr>
        <mc:AlternateContent>
          <mc:Choice Requires="wps">
            <w:drawing>
              <wp:inline distT="0" distB="0" distL="114300" distR="114300">
                <wp:extent cx="635" cy="0"/>
                <wp:effectExtent l="0" t="0" r="0" b="0"/>
                <wp:docPr id="4" name="Objec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Object 4"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BZHF4fqAEAAGcDAAAOAAAA&#10;AAAAAAEAIAAAAB4BAABkcnMvZTJvRG9jLnhtbFBLBQYAAAAABgAGAFkBAAA4BQAAAAA=&#10;">
                <v:fill on="f" focussize="0,0"/>
                <v:stroke on="f"/>
                <v:imagedata o:title=""/>
                <o:lock v:ext="edit" aspectratio="t"/>
                <w10:wrap type="none"/>
                <w10:anchorlock/>
              </v:rect>
            </w:pict>
          </mc:Fallback>
        </mc:AlternateContent>
      </w:r>
      <w:r>
        <w:rPr>
          <w:rFonts w:hint="default" w:ascii="仿宋" w:hAnsi="仿宋" w:eastAsia="仿宋"/>
          <w:color w:val="auto"/>
          <w:kern w:val="2"/>
          <w:sz w:val="32"/>
          <w:szCs w:val="24"/>
          <w:highlight w:val="none"/>
          <w:lang w:val="en-US" w:eastAsia="zh-CN"/>
        </w:rPr>
        <mc:AlternateContent>
          <mc:Choice Requires="wps">
            <w:drawing>
              <wp:inline distT="0" distB="0" distL="114300" distR="114300">
                <wp:extent cx="635" cy="0"/>
                <wp:effectExtent l="0" t="0" r="0" b="0"/>
                <wp:docPr id="5" name="Objec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Object 5"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hwl/c8AAAD/AAAADwAAAAAAAAAB&#10;ACAAAAAiAAAAZHJzL2Rvd25yZXYueG1sUEsBAhQAFAAAAAgAh07iQOxXYI6nAQAAZwMAAA4AAAAA&#10;AAAAAQAgAAAAHgEAAGRycy9lMm9Eb2MueG1sUEsFBgAAAAAGAAYAWQEAADcFAAAAAA==&#10;">
                <v:fill on="f" focussize="0,0"/>
                <v:stroke on="f"/>
                <v:imagedata o:title=""/>
                <o:lock v:ext="edit" aspectratio="t"/>
                <w10:wrap type="none"/>
                <w10:anchorlock/>
              </v:rect>
            </w:pict>
          </mc:Fallback>
        </mc:AlternateContent>
      </w:r>
      <w:r>
        <w:rPr>
          <w:rFonts w:hint="default" w:ascii="仿宋" w:hAnsi="仿宋" w:eastAsia="仿宋"/>
          <w:color w:val="auto"/>
          <w:kern w:val="2"/>
          <w:sz w:val="32"/>
          <w:szCs w:val="24"/>
          <w:highlight w:val="none"/>
          <w:lang w:val="en-US" w:eastAsia="zh-CN"/>
        </w:rPr>
        <mc:AlternateContent>
          <mc:Choice Requires="wps">
            <w:drawing>
              <wp:inline distT="0" distB="0" distL="114300" distR="114300">
                <wp:extent cx="635" cy="0"/>
                <wp:effectExtent l="0" t="0" r="0" b="0"/>
                <wp:docPr id="6" name="Objec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Object 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hwl/c8AAAD/AAAADwAAAAAAAAAB&#10;ACAAAAAiAAAAZHJzL2Rvd25yZXYueG1sUEsBAhQAFAAAAAgAh07iQHKNU+anAQAAZwMAAA4AAAAA&#10;AAAAAQAgAAAAHgEAAGRycy9lMm9Eb2MueG1sUEsFBgAAAAAGAAYAWQEAADcFAAAAAA==&#10;">
                <v:fill on="f" focussize="0,0"/>
                <v:stroke on="f"/>
                <v:imagedata o:title=""/>
                <o:lock v:ext="edit" aspectratio="t"/>
                <w10:wrap type="none"/>
                <w10:anchorlock/>
              </v:rect>
            </w:pict>
          </mc:Fallback>
        </mc:AlternateContent>
      </w:r>
    </w:p>
    <w:p>
      <w:pPr>
        <w:keepNext/>
        <w:keepLines/>
        <w:spacing w:beforeLines="0" w:afterLines="0" w:line="576" w:lineRule="exact"/>
        <w:ind w:firstLine="640"/>
        <w:jc w:val="both"/>
        <w:rPr>
          <w:rFonts w:hint="eastAsia" w:ascii="黑体" w:hAnsi="黑体" w:eastAsia="黑体"/>
          <w:color w:val="000000"/>
          <w:kern w:val="2"/>
          <w:sz w:val="32"/>
          <w:szCs w:val="24"/>
          <w:highlight w:val="none"/>
          <w:lang w:val="zh-CN"/>
        </w:rPr>
      </w:pPr>
    </w:p>
    <w:p>
      <w:pPr>
        <w:keepNext/>
        <w:keepLines/>
        <w:spacing w:beforeLines="0" w:afterLines="0" w:line="576" w:lineRule="exact"/>
        <w:ind w:firstLine="640"/>
        <w:jc w:val="both"/>
        <w:rPr>
          <w:rFonts w:hint="eastAsia" w:ascii="黑体" w:hAnsi="黑体" w:eastAsia="黑体"/>
          <w:color w:val="000000"/>
          <w:kern w:val="2"/>
          <w:sz w:val="32"/>
          <w:szCs w:val="24"/>
          <w:highlight w:val="none"/>
          <w:lang w:val="zh-CN"/>
        </w:rPr>
      </w:pPr>
    </w:p>
    <w:p>
      <w:pPr>
        <w:keepNext/>
        <w:keepLines/>
        <w:spacing w:beforeLines="0" w:afterLines="0" w:line="576" w:lineRule="exact"/>
        <w:jc w:val="both"/>
        <w:rPr>
          <w:rFonts w:hint="eastAsia" w:ascii="黑体" w:hAnsi="黑体" w:eastAsia="黑体"/>
          <w:color w:val="000000"/>
          <w:kern w:val="2"/>
          <w:sz w:val="32"/>
          <w:szCs w:val="24"/>
          <w:highlight w:val="none"/>
          <w:lang w:val="zh-CN"/>
        </w:rPr>
      </w:pPr>
    </w:p>
    <w:p>
      <w:pPr>
        <w:pStyle w:val="2"/>
        <w:rPr>
          <w:rFonts w:hint="eastAsia" w:ascii="黑体" w:hAnsi="黑体" w:eastAsia="黑体"/>
          <w:color w:val="000000"/>
          <w:kern w:val="2"/>
          <w:sz w:val="32"/>
          <w:szCs w:val="24"/>
          <w:highlight w:val="none"/>
          <w:lang w:val="zh-CN"/>
        </w:rPr>
      </w:pPr>
    </w:p>
    <w:p>
      <w:pPr>
        <w:pStyle w:val="2"/>
        <w:rPr>
          <w:rFonts w:hint="eastAsia" w:ascii="黑体" w:hAnsi="黑体" w:eastAsia="黑体"/>
          <w:color w:val="000000"/>
          <w:kern w:val="2"/>
          <w:sz w:val="32"/>
          <w:szCs w:val="24"/>
          <w:highlight w:val="none"/>
          <w:lang w:val="zh-CN"/>
        </w:rPr>
      </w:pP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jc w:val="both"/>
        <w:textAlignment w:val="auto"/>
        <w:outlineLvl w:val="1"/>
        <w:rPr>
          <w:rFonts w:hint="eastAsia" w:ascii="仿宋_GB2312" w:hAnsi="仿宋_GB2312" w:eastAsia="仿宋_GB2312"/>
          <w:color w:val="000000"/>
          <w:kern w:val="2"/>
          <w:sz w:val="32"/>
          <w:szCs w:val="24"/>
          <w:highlight w:val="none"/>
          <w:lang w:val="zh-CN"/>
        </w:rPr>
      </w:pPr>
      <w:bookmarkStart w:id="7" w:name="_Toc8205"/>
      <w:r>
        <w:rPr>
          <w:rFonts w:hint="eastAsia" w:ascii="黑体" w:hAnsi="黑体" w:eastAsia="黑体"/>
          <w:color w:val="000000"/>
          <w:kern w:val="2"/>
          <w:sz w:val="32"/>
          <w:szCs w:val="24"/>
          <w:highlight w:val="none"/>
          <w:lang w:val="zh-CN"/>
        </w:rPr>
        <w:t>二、收</w:t>
      </w:r>
      <w:r>
        <w:rPr>
          <w:rFonts w:hint="eastAsia" w:ascii="黑体" w:hAnsi="黑体" w:eastAsia="黑体"/>
          <w:color w:val="auto"/>
          <w:kern w:val="2"/>
          <w:sz w:val="32"/>
          <w:szCs w:val="24"/>
          <w:highlight w:val="none"/>
          <w:lang w:val="zh-CN"/>
        </w:rPr>
        <w:t>入决算情况说明</w:t>
      </w:r>
      <w:bookmarkEnd w:id="7"/>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2022年本年收入合计747.62万元，其中：一般公共预算财政拨款收入343.43万元，占45.9%；政府性基金预算财政拨款收入0万元，占0%；国有资本经营预算财政拨款收入0万元，占0%；其他收入404.19万元，占54.1%。</w:t>
      </w:r>
    </w:p>
    <w:p>
      <w:pPr>
        <w:spacing w:beforeLines="0" w:afterLines="0" w:line="600" w:lineRule="exact"/>
        <w:ind w:firstLine="640"/>
        <w:jc w:val="both"/>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（图2：</w:t>
      </w:r>
      <w:r>
        <w:rPr>
          <w:rFonts w:hint="eastAsia" w:ascii="仿宋" w:hAnsi="仿宋" w:eastAsia="仿宋"/>
          <w:color w:val="auto"/>
          <w:kern w:val="2"/>
          <w:sz w:val="32"/>
          <w:szCs w:val="24"/>
          <w:highlight w:val="none"/>
          <w:lang w:val="en-US" w:eastAsia="zh-CN"/>
        </w:rPr>
        <w:t>2022年</w:t>
      </w:r>
      <w:r>
        <w:rPr>
          <w:rFonts w:hint="default" w:ascii="仿宋" w:hAnsi="仿宋" w:eastAsia="仿宋"/>
          <w:color w:val="auto"/>
          <w:kern w:val="2"/>
          <w:sz w:val="32"/>
          <w:szCs w:val="24"/>
          <w:highlight w:val="none"/>
          <w:lang w:val="en-US"/>
        </w:rPr>
        <w:t>收入决算结构图</w:t>
      </w:r>
      <w:r>
        <w:rPr>
          <w:rFonts w:hint="eastAsia" w:ascii="仿宋" w:hAnsi="仿宋" w:eastAsia="仿宋"/>
          <w:color w:val="auto"/>
          <w:kern w:val="2"/>
          <w:sz w:val="32"/>
          <w:szCs w:val="24"/>
          <w:highlight w:val="none"/>
          <w:lang w:val="en-US"/>
        </w:rPr>
        <w:t>）</w:t>
      </w:r>
    </w:p>
    <w:p>
      <w:pPr>
        <w:pStyle w:val="5"/>
        <w:rPr>
          <w:rFonts w:hint="eastAsia" w:eastAsia="仿宋"/>
          <w:highlight w:val="none"/>
          <w:lang w:val="en-US" w:eastAsia="zh-CN"/>
        </w:rPr>
      </w:pPr>
      <w:r>
        <w:rPr>
          <w:rFonts w:hint="eastAsia" w:eastAsia="仿宋"/>
          <w:highlight w:val="none"/>
          <w:lang w:val="en-US" w:eastAsia="zh-CN"/>
        </w:rPr>
        <w:drawing>
          <wp:anchor distT="0" distB="0" distL="114300" distR="114300" simplePos="0" relativeHeight="251662336" behindDoc="0" locked="0" layoutInCell="1" allowOverlap="1">
            <wp:simplePos x="0" y="0"/>
            <wp:positionH relativeFrom="column">
              <wp:posOffset>248285</wp:posOffset>
            </wp:positionH>
            <wp:positionV relativeFrom="paragraph">
              <wp:posOffset>167640</wp:posOffset>
            </wp:positionV>
            <wp:extent cx="4845685" cy="2815590"/>
            <wp:effectExtent l="4445" t="4445" r="7620" b="1841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keepNext/>
        <w:keepLines/>
        <w:spacing w:beforeLines="0" w:afterLines="0" w:line="576" w:lineRule="exact"/>
        <w:ind w:firstLine="640"/>
        <w:jc w:val="both"/>
        <w:outlineLvl w:val="1"/>
        <w:rPr>
          <w:rFonts w:hint="eastAsia" w:ascii="黑体" w:hAnsi="黑体" w:eastAsia="黑体"/>
          <w:color w:val="auto"/>
          <w:kern w:val="2"/>
          <w:sz w:val="32"/>
          <w:szCs w:val="24"/>
          <w:highlight w:val="none"/>
          <w:lang w:val="zh-CN"/>
        </w:rPr>
      </w:pPr>
      <w:bookmarkStart w:id="8" w:name="_Toc14828"/>
      <w:r>
        <w:rPr>
          <w:rFonts w:hint="eastAsia" w:ascii="黑体" w:hAnsi="黑体" w:eastAsia="黑体"/>
          <w:color w:val="000000"/>
          <w:kern w:val="2"/>
          <w:sz w:val="32"/>
          <w:szCs w:val="24"/>
          <w:highlight w:val="none"/>
          <w:lang w:val="zh-CN"/>
        </w:rPr>
        <w:t>三、支</w:t>
      </w:r>
      <w:r>
        <w:rPr>
          <w:rFonts w:hint="eastAsia" w:ascii="黑体" w:hAnsi="黑体" w:eastAsia="黑体"/>
          <w:color w:val="auto"/>
          <w:kern w:val="2"/>
          <w:sz w:val="32"/>
          <w:szCs w:val="24"/>
          <w:highlight w:val="none"/>
          <w:lang w:val="zh-CN"/>
        </w:rPr>
        <w:t>出决算情况说明</w:t>
      </w:r>
      <w:bookmarkEnd w:id="8"/>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2022年本年支出合计747.62万元，其中：基本支出339.45万元，占45.4%；项目支出408.17万元，占54.6%。</w:t>
      </w:r>
    </w:p>
    <w:p>
      <w:pPr>
        <w:spacing w:beforeLines="0" w:afterLines="0" w:line="600" w:lineRule="exact"/>
        <w:ind w:firstLine="640"/>
        <w:jc w:val="both"/>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（图3：支出决算结构图）</w:t>
      </w:r>
    </w:p>
    <w:p>
      <w:pPr>
        <w:pStyle w:val="5"/>
        <w:rPr>
          <w:rFonts w:hint="eastAsia" w:ascii="仿宋" w:hAnsi="仿宋" w:eastAsia="仿宋"/>
          <w:color w:val="auto"/>
          <w:kern w:val="2"/>
          <w:sz w:val="32"/>
          <w:szCs w:val="24"/>
          <w:highlight w:val="none"/>
          <w:lang w:val="en-US" w:eastAsia="zh-CN"/>
        </w:rPr>
      </w:pPr>
      <w:r>
        <w:rPr>
          <w:rFonts w:hint="eastAsia" w:ascii="仿宋" w:hAnsi="仿宋" w:eastAsia="仿宋"/>
          <w:color w:val="auto"/>
          <w:kern w:val="2"/>
          <w:sz w:val="32"/>
          <w:szCs w:val="24"/>
          <w:highlight w:val="none"/>
          <w:lang w:val="en-US" w:eastAsia="zh-CN"/>
        </w:rPr>
        <w:drawing>
          <wp:anchor distT="0" distB="0" distL="114300" distR="114300" simplePos="0" relativeHeight="251663360" behindDoc="0" locked="0" layoutInCell="1" allowOverlap="1">
            <wp:simplePos x="0" y="0"/>
            <wp:positionH relativeFrom="column">
              <wp:posOffset>154305</wp:posOffset>
            </wp:positionH>
            <wp:positionV relativeFrom="paragraph">
              <wp:posOffset>119380</wp:posOffset>
            </wp:positionV>
            <wp:extent cx="5106035" cy="2729865"/>
            <wp:effectExtent l="4445" t="4445" r="13970" b="889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keepNext/>
        <w:keepLines/>
        <w:spacing w:beforeLines="0" w:afterLines="0" w:line="576" w:lineRule="exact"/>
        <w:jc w:val="both"/>
        <w:outlineLvl w:val="1"/>
        <w:rPr>
          <w:rFonts w:hint="eastAsia" w:ascii="黑体" w:hAnsi="黑体" w:eastAsia="黑体"/>
          <w:color w:val="000000"/>
          <w:kern w:val="2"/>
          <w:sz w:val="32"/>
          <w:szCs w:val="24"/>
          <w:highlight w:val="none"/>
          <w:lang w:val="zh-CN"/>
        </w:rPr>
      </w:pPr>
      <w:bookmarkStart w:id="9" w:name="_Toc7904"/>
    </w:p>
    <w:p>
      <w:pPr>
        <w:keepNext/>
        <w:keepLines/>
        <w:spacing w:beforeLines="0" w:afterLines="0" w:line="576" w:lineRule="exact"/>
        <w:ind w:firstLine="640"/>
        <w:jc w:val="both"/>
        <w:outlineLvl w:val="1"/>
        <w:rPr>
          <w:rFonts w:hint="eastAsia" w:ascii="黑体" w:hAnsi="黑体" w:eastAsia="黑体"/>
          <w:color w:val="auto"/>
          <w:kern w:val="2"/>
          <w:sz w:val="32"/>
          <w:szCs w:val="24"/>
          <w:highlight w:val="none"/>
          <w:lang w:val="zh-CN"/>
        </w:rPr>
      </w:pPr>
      <w:r>
        <w:rPr>
          <w:rFonts w:hint="eastAsia" w:ascii="黑体" w:hAnsi="黑体" w:eastAsia="黑体"/>
          <w:color w:val="000000"/>
          <w:kern w:val="2"/>
          <w:sz w:val="32"/>
          <w:szCs w:val="24"/>
          <w:highlight w:val="none"/>
          <w:lang w:val="zh-CN"/>
        </w:rPr>
        <w:t>四、财</w:t>
      </w:r>
      <w:r>
        <w:rPr>
          <w:rFonts w:hint="eastAsia" w:ascii="黑体" w:hAnsi="黑体" w:eastAsia="黑体"/>
          <w:color w:val="auto"/>
          <w:kern w:val="2"/>
          <w:sz w:val="32"/>
          <w:szCs w:val="24"/>
          <w:highlight w:val="none"/>
          <w:lang w:val="zh-CN"/>
        </w:rPr>
        <w:t>政拨款收入支出决算总体情况说明</w:t>
      </w:r>
      <w:bookmarkEnd w:id="9"/>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2022年财政拨款收、支总计343.43万元。与2021年相比，财政拨款收、支总计各增加4</w:t>
      </w:r>
      <w:r>
        <w:rPr>
          <w:rFonts w:hint="eastAsia" w:ascii="仿宋_GB2312" w:hAnsi="仿宋_GB2312" w:eastAsia="仿宋_GB2312"/>
          <w:color w:val="000000"/>
          <w:kern w:val="2"/>
          <w:sz w:val="32"/>
          <w:szCs w:val="24"/>
          <w:highlight w:val="none"/>
          <w:lang w:val="en-US" w:eastAsia="zh-CN"/>
        </w:rPr>
        <w:t>0.74</w:t>
      </w:r>
      <w:r>
        <w:rPr>
          <w:rFonts w:hint="eastAsia" w:ascii="仿宋_GB2312" w:hAnsi="仿宋_GB2312" w:eastAsia="仿宋_GB2312"/>
          <w:color w:val="000000"/>
          <w:kern w:val="2"/>
          <w:sz w:val="32"/>
          <w:szCs w:val="24"/>
          <w:highlight w:val="none"/>
          <w:lang w:val="zh-CN"/>
        </w:rPr>
        <w:t>万元，增长</w:t>
      </w:r>
      <w:r>
        <w:rPr>
          <w:rFonts w:hint="eastAsia" w:ascii="仿宋_GB2312" w:hAnsi="仿宋_GB2312" w:eastAsia="仿宋_GB2312"/>
          <w:color w:val="000000"/>
          <w:kern w:val="2"/>
          <w:sz w:val="32"/>
          <w:szCs w:val="24"/>
          <w:highlight w:val="none"/>
          <w:lang w:val="en-US" w:eastAsia="zh-CN"/>
        </w:rPr>
        <w:t>13.45</w:t>
      </w:r>
      <w:r>
        <w:rPr>
          <w:rFonts w:hint="eastAsia" w:ascii="仿宋_GB2312" w:hAnsi="仿宋_GB2312" w:eastAsia="仿宋_GB2312"/>
          <w:color w:val="000000"/>
          <w:kern w:val="2"/>
          <w:sz w:val="32"/>
          <w:szCs w:val="24"/>
          <w:highlight w:val="none"/>
          <w:lang w:val="zh-CN"/>
        </w:rPr>
        <w:t>%。主要变动原因是单位人员变动，人员经费及公用经费增加。</w:t>
      </w:r>
    </w:p>
    <w:p>
      <w:pPr>
        <w:spacing w:beforeLines="0" w:afterLines="0" w:line="600" w:lineRule="exact"/>
        <w:ind w:firstLine="640"/>
        <w:jc w:val="both"/>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（图4：财政拨款收、支决算总计变动情况）</w:t>
      </w:r>
    </w:p>
    <w:p>
      <w:pPr>
        <w:pStyle w:val="2"/>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eastAsia="zh-CN"/>
        </w:rPr>
        <w:drawing>
          <wp:anchor distT="0" distB="0" distL="114300" distR="114300" simplePos="0" relativeHeight="251664384" behindDoc="0" locked="0" layoutInCell="1" allowOverlap="1">
            <wp:simplePos x="0" y="0"/>
            <wp:positionH relativeFrom="column">
              <wp:posOffset>140970</wp:posOffset>
            </wp:positionH>
            <wp:positionV relativeFrom="paragraph">
              <wp:posOffset>200025</wp:posOffset>
            </wp:positionV>
            <wp:extent cx="5202555" cy="2961005"/>
            <wp:effectExtent l="4445" t="4445" r="12700" b="635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eastAsia="zh-CN"/>
        </w:rPr>
      </w:pPr>
    </w:p>
    <w:p>
      <w:pPr>
        <w:keepNext/>
        <w:keepLines/>
        <w:spacing w:beforeLines="0" w:afterLines="0" w:line="576" w:lineRule="exact"/>
        <w:ind w:firstLine="640"/>
        <w:jc w:val="both"/>
        <w:outlineLvl w:val="1"/>
        <w:rPr>
          <w:rFonts w:hint="eastAsia" w:ascii="黑体" w:hAnsi="黑体" w:eastAsia="黑体"/>
          <w:color w:val="auto"/>
          <w:kern w:val="2"/>
          <w:sz w:val="32"/>
          <w:szCs w:val="24"/>
          <w:highlight w:val="none"/>
          <w:lang w:val="zh-CN"/>
        </w:rPr>
      </w:pPr>
      <w:bookmarkStart w:id="10" w:name="_Toc4925"/>
      <w:r>
        <w:rPr>
          <w:rFonts w:hint="eastAsia" w:ascii="黑体" w:hAnsi="黑体" w:eastAsia="黑体"/>
          <w:color w:val="000000"/>
          <w:kern w:val="2"/>
          <w:sz w:val="32"/>
          <w:szCs w:val="24"/>
          <w:highlight w:val="none"/>
          <w:lang w:val="zh-CN"/>
        </w:rPr>
        <w:t>五、</w:t>
      </w:r>
      <w:r>
        <w:rPr>
          <w:rFonts w:hint="eastAsia" w:ascii="黑体" w:hAnsi="黑体" w:eastAsia="黑体"/>
          <w:b/>
          <w:color w:val="000000"/>
          <w:kern w:val="2"/>
          <w:sz w:val="32"/>
          <w:szCs w:val="24"/>
          <w:highlight w:val="none"/>
          <w:lang w:val="zh-CN"/>
        </w:rPr>
        <w:t>一</w:t>
      </w:r>
      <w:r>
        <w:rPr>
          <w:rFonts w:hint="eastAsia" w:ascii="黑体" w:hAnsi="黑体" w:eastAsia="黑体"/>
          <w:color w:val="auto"/>
          <w:kern w:val="2"/>
          <w:sz w:val="32"/>
          <w:szCs w:val="24"/>
          <w:highlight w:val="none"/>
          <w:lang w:val="zh-CN"/>
        </w:rPr>
        <w:t>般公共预算财政拨款支出决算情况说明</w:t>
      </w:r>
      <w:bookmarkEnd w:id="10"/>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2022年一般公共预算财政拨款支出343.43万元，占本年支出合计的45.9%。与2021年相比，一般公共预算财政拨款支出增加4</w:t>
      </w:r>
      <w:r>
        <w:rPr>
          <w:rFonts w:hint="eastAsia" w:ascii="仿宋_GB2312" w:hAnsi="仿宋_GB2312" w:eastAsia="仿宋_GB2312"/>
          <w:color w:val="000000"/>
          <w:kern w:val="2"/>
          <w:sz w:val="32"/>
          <w:szCs w:val="24"/>
          <w:highlight w:val="none"/>
          <w:lang w:val="en-US" w:eastAsia="zh-CN"/>
        </w:rPr>
        <w:t>0.74</w:t>
      </w:r>
      <w:r>
        <w:rPr>
          <w:rFonts w:hint="eastAsia" w:ascii="仿宋_GB2312" w:hAnsi="仿宋_GB2312" w:eastAsia="仿宋_GB2312"/>
          <w:color w:val="000000"/>
          <w:kern w:val="2"/>
          <w:sz w:val="32"/>
          <w:szCs w:val="24"/>
          <w:highlight w:val="none"/>
          <w:lang w:val="zh-CN"/>
        </w:rPr>
        <w:t>万元，增长</w:t>
      </w:r>
      <w:r>
        <w:rPr>
          <w:rFonts w:hint="eastAsia" w:ascii="仿宋_GB2312" w:hAnsi="仿宋_GB2312" w:eastAsia="仿宋_GB2312"/>
          <w:color w:val="000000"/>
          <w:kern w:val="2"/>
          <w:sz w:val="32"/>
          <w:szCs w:val="24"/>
          <w:highlight w:val="none"/>
          <w:lang w:val="en-US" w:eastAsia="zh-CN"/>
        </w:rPr>
        <w:t>13.45</w:t>
      </w:r>
      <w:r>
        <w:rPr>
          <w:rFonts w:hint="eastAsia" w:ascii="仿宋_GB2312" w:hAnsi="仿宋_GB2312" w:eastAsia="仿宋_GB2312"/>
          <w:color w:val="000000"/>
          <w:kern w:val="2"/>
          <w:sz w:val="32"/>
          <w:szCs w:val="24"/>
          <w:highlight w:val="none"/>
          <w:lang w:val="zh-CN"/>
        </w:rPr>
        <w:t>%。主要变动原因是单位人员变动，人员经费及公用经费增加。</w:t>
      </w:r>
    </w:p>
    <w:p>
      <w:pPr>
        <w:spacing w:beforeLines="0" w:afterLines="0" w:line="600" w:lineRule="exact"/>
        <w:ind w:firstLine="640"/>
        <w:jc w:val="both"/>
        <w:rPr>
          <w:rFonts w:hint="default" w:ascii="仿宋" w:hAnsi="仿宋" w:eastAsia="仿宋"/>
          <w:color w:val="auto"/>
          <w:kern w:val="2"/>
          <w:sz w:val="32"/>
          <w:szCs w:val="24"/>
          <w:highlight w:val="none"/>
          <w:lang w:val="en-US" w:eastAsia="zh-CN"/>
        </w:rPr>
      </w:pPr>
      <w:r>
        <w:rPr>
          <w:rFonts w:hint="eastAsia" w:ascii="仿宋" w:hAnsi="仿宋" w:eastAsia="仿宋"/>
          <w:color w:val="000000" w:themeColor="text1"/>
          <w:kern w:val="2"/>
          <w:sz w:val="32"/>
          <w:szCs w:val="24"/>
          <w:highlight w:val="none"/>
          <w:shd w:val="clear" w:color="auto" w:fill="auto"/>
          <w:lang w:val="en-US"/>
          <w14:textFill>
            <w14:solidFill>
              <w14:schemeClr w14:val="tx1"/>
            </w14:solidFill>
          </w14:textFill>
        </w:rPr>
        <w:t>（图5：一般公共预算财政拨款支出决算变动情况）</w:t>
      </w:r>
      <w:r>
        <w:rPr>
          <w:rFonts w:hint="eastAsia" w:ascii="仿宋" w:hAnsi="仿宋" w:eastAsia="仿宋"/>
          <w:color w:val="000000" w:themeColor="text1"/>
          <w:kern w:val="2"/>
          <w:sz w:val="32"/>
          <w:szCs w:val="24"/>
          <w:highlight w:val="none"/>
          <w:shd w:val="clear" w:color="auto" w:fill="auto"/>
          <w:lang w:val="en-US" w:eastAsia="zh-CN"/>
          <w14:textFill>
            <w14:solidFill>
              <w14:schemeClr w14:val="tx1"/>
            </w14:solidFill>
          </w14:textFill>
        </w:rPr>
        <w:t>(柱状图）</w:t>
      </w: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eastAsia="zh-CN"/>
        </w:rPr>
        <w:drawing>
          <wp:anchor distT="0" distB="0" distL="114300" distR="114300" simplePos="0" relativeHeight="251665408" behindDoc="0" locked="0" layoutInCell="1" allowOverlap="1">
            <wp:simplePos x="0" y="0"/>
            <wp:positionH relativeFrom="column">
              <wp:posOffset>223520</wp:posOffset>
            </wp:positionH>
            <wp:positionV relativeFrom="paragraph">
              <wp:posOffset>-688975</wp:posOffset>
            </wp:positionV>
            <wp:extent cx="5191760" cy="3140710"/>
            <wp:effectExtent l="4445" t="4445" r="23495" b="17145"/>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keepNext/>
        <w:keepLines/>
        <w:spacing w:beforeLines="0" w:afterLines="0" w:line="576" w:lineRule="exact"/>
        <w:jc w:val="both"/>
        <w:rPr>
          <w:rFonts w:hint="eastAsia" w:ascii="仿宋_GB2312" w:hAnsi="仿宋_GB2312" w:eastAsia="仿宋_GB2312"/>
          <w:b/>
          <w:color w:val="000000"/>
          <w:kern w:val="2"/>
          <w:sz w:val="32"/>
          <w:szCs w:val="24"/>
          <w:highlight w:val="none"/>
          <w:lang w:val="zh-CN"/>
        </w:rPr>
      </w:pPr>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（二）一般公共预算财政拨款支出决算结构情况。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2022年一般公共预算财政拨款支出343.43万元，主要用于以下方面：社会保障和就业支出54.48万元，占15.9%；卫生健康支出10.78万元，占3.1%；自然资源海洋气象等支出251.3万元，占73.2%；住房保障支出26.86万元，占7.8%。</w:t>
      </w: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r>
        <w:rPr>
          <w:rFonts w:hint="eastAsia" w:ascii="仿宋" w:hAnsi="仿宋" w:eastAsia="仿宋"/>
          <w:color w:val="auto"/>
          <w:kern w:val="2"/>
          <w:sz w:val="32"/>
          <w:szCs w:val="24"/>
          <w:highlight w:val="none"/>
          <w:lang w:val="en-US"/>
        </w:rPr>
        <w:t>（图6：一般公共预算财政拨款支出决算结构）（饼状图</w:t>
      </w:r>
      <w:r>
        <w:rPr>
          <w:rFonts w:hint="eastAsia" w:ascii="仿宋" w:hAnsi="仿宋" w:eastAsia="仿宋"/>
          <w:color w:val="auto"/>
          <w:kern w:val="2"/>
          <w:sz w:val="32"/>
          <w:szCs w:val="24"/>
          <w:highlight w:val="none"/>
          <w:lang w:val="en-US" w:eastAsia="zh-CN"/>
        </w:rPr>
        <w:t>）</w:t>
      </w:r>
    </w:p>
    <w:p>
      <w:pPr>
        <w:pStyle w:val="5"/>
        <w:rPr>
          <w:rFonts w:hint="eastAsia" w:ascii="仿宋" w:hAnsi="仿宋" w:eastAsia="仿宋"/>
          <w:color w:val="auto"/>
          <w:kern w:val="2"/>
          <w:sz w:val="32"/>
          <w:szCs w:val="24"/>
          <w:highlight w:val="none"/>
          <w:lang w:val="en-US" w:eastAsia="zh-CN"/>
        </w:rPr>
      </w:pPr>
      <w:r>
        <w:rPr>
          <w:rFonts w:hint="eastAsia" w:ascii="仿宋_GB2312" w:hAnsi="仿宋_GB2312" w:eastAsia="仿宋_GB2312"/>
          <w:b/>
          <w:color w:val="000000"/>
          <w:kern w:val="2"/>
          <w:sz w:val="32"/>
          <w:szCs w:val="24"/>
          <w:highlight w:val="none"/>
          <w:lang w:val="zh-CN"/>
        </w:rPr>
        <w:drawing>
          <wp:anchor distT="0" distB="0" distL="114300" distR="114300" simplePos="0" relativeHeight="251662336" behindDoc="0" locked="0" layoutInCell="1" allowOverlap="1">
            <wp:simplePos x="0" y="0"/>
            <wp:positionH relativeFrom="column">
              <wp:posOffset>31750</wp:posOffset>
            </wp:positionH>
            <wp:positionV relativeFrom="paragraph">
              <wp:posOffset>235585</wp:posOffset>
            </wp:positionV>
            <wp:extent cx="5379720" cy="2240915"/>
            <wp:effectExtent l="4445" t="4445" r="6985" b="2159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（三）一般公共预算财政拨款支出决算具体情况。</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s="仿宋_GB2312"/>
          <w:b w:val="0"/>
          <w:bCs/>
          <w:color w:val="000000"/>
          <w:kern w:val="2"/>
          <w:sz w:val="32"/>
          <w:szCs w:val="24"/>
          <w:highlight w:val="none"/>
          <w:lang w:val="zh-CN"/>
        </w:rPr>
      </w:pPr>
      <w:r>
        <w:rPr>
          <w:rFonts w:hint="eastAsia" w:ascii="仿宋_GB2312" w:hAnsi="仿宋_GB2312" w:eastAsia="仿宋_GB2312" w:cs="仿宋_GB2312"/>
          <w:b w:val="0"/>
          <w:bCs/>
          <w:color w:val="000000"/>
          <w:kern w:val="2"/>
          <w:sz w:val="32"/>
          <w:szCs w:val="24"/>
          <w:highlight w:val="none"/>
          <w:lang w:val="zh-CN"/>
        </w:rPr>
        <w:t>2022年一般公共预算支出决算数为343.43万元，完成预算100%。其中：</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s="仿宋_GB2312"/>
          <w:b w:val="0"/>
          <w:bCs/>
          <w:color w:val="000000"/>
          <w:kern w:val="2"/>
          <w:sz w:val="32"/>
          <w:szCs w:val="24"/>
          <w:highlight w:val="none"/>
          <w:lang w:val="en-US"/>
        </w:rPr>
      </w:pPr>
      <w:r>
        <w:rPr>
          <w:rFonts w:hint="eastAsia" w:ascii="仿宋_GB2312" w:hAnsi="仿宋_GB2312" w:eastAsia="仿宋_GB2312" w:cs="仿宋_GB2312"/>
          <w:b w:val="0"/>
          <w:bCs/>
          <w:color w:val="000000"/>
          <w:kern w:val="2"/>
          <w:sz w:val="32"/>
          <w:szCs w:val="24"/>
          <w:highlight w:val="none"/>
          <w:lang w:val="en-US" w:eastAsia="zh-CN"/>
        </w:rPr>
        <w:t>1</w:t>
      </w: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行政单位离退休</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w:t>
      </w:r>
      <w:r>
        <w:rPr>
          <w:rFonts w:hint="eastAsia" w:ascii="仿宋_GB2312" w:hAnsi="仿宋_GB2312" w:eastAsia="仿宋_GB2312" w:cs="仿宋_GB2312"/>
          <w:b w:val="0"/>
          <w:bCs/>
          <w:color w:val="auto"/>
          <w:kern w:val="2"/>
          <w:sz w:val="32"/>
          <w:szCs w:val="24"/>
          <w:highlight w:val="none"/>
          <w:lang w:val="en-US"/>
        </w:rPr>
        <w:t>支出决算为</w:t>
      </w:r>
      <w:r>
        <w:rPr>
          <w:rFonts w:hint="eastAsia" w:ascii="仿宋_GB2312" w:hAnsi="仿宋_GB2312" w:eastAsia="仿宋_GB2312" w:cs="仿宋_GB2312"/>
          <w:b w:val="0"/>
          <w:bCs/>
          <w:color w:val="auto"/>
          <w:kern w:val="2"/>
          <w:sz w:val="32"/>
          <w:szCs w:val="24"/>
          <w:highlight w:val="none"/>
          <w:lang w:val="en-US" w:eastAsia="zh-CN"/>
        </w:rPr>
        <w:t>22.89</w:t>
      </w:r>
      <w:r>
        <w:rPr>
          <w:rFonts w:hint="eastAsia" w:ascii="仿宋_GB2312" w:hAnsi="仿宋_GB2312" w:eastAsia="仿宋_GB2312" w:cs="仿宋_GB2312"/>
          <w:b w:val="0"/>
          <w:bCs/>
          <w:color w:val="auto"/>
          <w:kern w:val="2"/>
          <w:sz w:val="32"/>
          <w:szCs w:val="24"/>
          <w:highlight w:val="none"/>
          <w:lang w:val="en-US"/>
        </w:rPr>
        <w:t>万元，完成预算</w:t>
      </w:r>
      <w:r>
        <w:rPr>
          <w:rFonts w:hint="eastAsia" w:ascii="仿宋_GB2312" w:hAnsi="仿宋_GB2312" w:eastAsia="仿宋_GB2312" w:cs="仿宋_GB2312"/>
          <w:b w:val="0"/>
          <w:bCs/>
          <w:color w:val="auto"/>
          <w:kern w:val="2"/>
          <w:sz w:val="32"/>
          <w:szCs w:val="24"/>
          <w:highlight w:val="none"/>
          <w:lang w:val="en-US" w:eastAsia="zh-CN"/>
        </w:rPr>
        <w:t>100</w:t>
      </w:r>
      <w:r>
        <w:rPr>
          <w:rFonts w:hint="eastAsia" w:ascii="仿宋_GB2312" w:hAnsi="仿宋_GB2312" w:eastAsia="仿宋_GB2312" w:cs="仿宋_GB2312"/>
          <w:b w:val="0"/>
          <w:bCs/>
          <w:color w:val="auto"/>
          <w:kern w:val="2"/>
          <w:sz w:val="32"/>
          <w:szCs w:val="24"/>
          <w:highlight w:val="none"/>
          <w:lang w:val="en-US"/>
        </w:rPr>
        <w:t>%。</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 w:hAnsi="仿宋" w:eastAsia="仿宋"/>
          <w:color w:val="auto"/>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2</w:t>
      </w: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机关事业单位基本养老保险缴费支出</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w:t>
      </w:r>
      <w:r>
        <w:rPr>
          <w:rFonts w:hint="eastAsia" w:ascii="仿宋_GB2312" w:hAnsi="仿宋_GB2312" w:eastAsia="仿宋_GB2312" w:cs="仿宋_GB2312"/>
          <w:b w:val="0"/>
          <w:bCs/>
          <w:color w:val="auto"/>
          <w:kern w:val="2"/>
          <w:sz w:val="32"/>
          <w:szCs w:val="24"/>
          <w:highlight w:val="none"/>
          <w:lang w:val="en-US"/>
        </w:rPr>
        <w:t>支出决算为</w:t>
      </w:r>
      <w:r>
        <w:rPr>
          <w:rFonts w:hint="eastAsia" w:ascii="仿宋_GB2312" w:hAnsi="仿宋_GB2312" w:eastAsia="仿宋_GB2312" w:cs="仿宋_GB2312"/>
          <w:b w:val="0"/>
          <w:bCs/>
          <w:color w:val="auto"/>
          <w:kern w:val="2"/>
          <w:sz w:val="32"/>
          <w:szCs w:val="24"/>
          <w:highlight w:val="none"/>
          <w:lang w:val="en-US" w:eastAsia="zh-CN"/>
        </w:rPr>
        <w:t>18.74</w:t>
      </w:r>
      <w:r>
        <w:rPr>
          <w:rFonts w:hint="eastAsia" w:ascii="仿宋_GB2312" w:hAnsi="仿宋_GB2312" w:eastAsia="仿宋_GB2312" w:cs="仿宋_GB2312"/>
          <w:color w:val="auto"/>
          <w:kern w:val="2"/>
          <w:sz w:val="32"/>
          <w:szCs w:val="24"/>
          <w:highlight w:val="none"/>
          <w:lang w:val="en-US" w:eastAsia="zh-CN"/>
        </w:rPr>
        <w:t>万元，</w:t>
      </w:r>
      <w:r>
        <w:rPr>
          <w:rFonts w:hint="eastAsia" w:ascii="仿宋_GB2312" w:hAnsi="仿宋_GB2312" w:eastAsia="仿宋_GB2312" w:cs="仿宋_GB2312"/>
          <w:color w:val="auto"/>
          <w:kern w:val="2"/>
          <w:sz w:val="32"/>
          <w:szCs w:val="24"/>
          <w:highlight w:val="none"/>
          <w:lang w:val="en-US"/>
        </w:rPr>
        <w:t>完成预算</w:t>
      </w:r>
      <w:r>
        <w:rPr>
          <w:rFonts w:hint="eastAsia" w:ascii="仿宋_GB2312" w:hAnsi="仿宋_GB2312" w:eastAsia="仿宋_GB2312" w:cs="仿宋_GB2312"/>
          <w:color w:val="auto"/>
          <w:kern w:val="2"/>
          <w:sz w:val="32"/>
          <w:szCs w:val="24"/>
          <w:highlight w:val="none"/>
          <w:lang w:val="en-US" w:eastAsia="zh-CN"/>
        </w:rPr>
        <w:t>10</w:t>
      </w:r>
      <w:r>
        <w:rPr>
          <w:rFonts w:hint="eastAsia" w:ascii="仿宋" w:hAnsi="仿宋" w:eastAsia="仿宋"/>
          <w:color w:val="auto"/>
          <w:kern w:val="2"/>
          <w:sz w:val="32"/>
          <w:szCs w:val="24"/>
          <w:highlight w:val="none"/>
          <w:lang w:val="en-US" w:eastAsia="zh-CN"/>
        </w:rPr>
        <w:t>0</w:t>
      </w:r>
      <w:r>
        <w:rPr>
          <w:rFonts w:hint="eastAsia" w:ascii="仿宋" w:hAnsi="仿宋" w:eastAsia="仿宋"/>
          <w:color w:val="auto"/>
          <w:kern w:val="2"/>
          <w:sz w:val="32"/>
          <w:szCs w:val="24"/>
          <w:highlight w:val="none"/>
          <w:lang w:val="en-US"/>
        </w:rPr>
        <w:t>%</w:t>
      </w:r>
      <w:r>
        <w:rPr>
          <w:rFonts w:hint="eastAsia" w:ascii="仿宋" w:hAnsi="仿宋" w:eastAsia="仿宋"/>
          <w:color w:val="auto"/>
          <w:kern w:val="2"/>
          <w:sz w:val="32"/>
          <w:szCs w:val="24"/>
          <w:highlight w:val="none"/>
          <w:lang w:val="en-US" w:eastAsia="zh-CN"/>
        </w:rPr>
        <w:t>。</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s="仿宋_GB2312"/>
          <w:color w:val="auto"/>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3</w:t>
      </w: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机关事业职业年金缴费支出</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w:t>
      </w:r>
      <w:r>
        <w:rPr>
          <w:rFonts w:hint="eastAsia" w:ascii="仿宋_GB2312" w:hAnsi="仿宋_GB2312" w:eastAsia="仿宋_GB2312" w:cs="仿宋_GB2312"/>
          <w:b w:val="0"/>
          <w:bCs/>
          <w:color w:val="auto"/>
          <w:kern w:val="2"/>
          <w:sz w:val="32"/>
          <w:szCs w:val="24"/>
          <w:highlight w:val="none"/>
          <w:lang w:val="en-US"/>
        </w:rPr>
        <w:t>支出决算为</w:t>
      </w:r>
      <w:r>
        <w:rPr>
          <w:rFonts w:hint="eastAsia" w:ascii="仿宋_GB2312" w:hAnsi="仿宋_GB2312" w:eastAsia="仿宋_GB2312" w:cs="仿宋_GB2312"/>
          <w:b w:val="0"/>
          <w:bCs/>
          <w:color w:val="auto"/>
          <w:kern w:val="2"/>
          <w:sz w:val="32"/>
          <w:szCs w:val="24"/>
          <w:highlight w:val="none"/>
          <w:lang w:val="en-US" w:eastAsia="zh-CN"/>
        </w:rPr>
        <w:t>4.57</w:t>
      </w:r>
      <w:r>
        <w:rPr>
          <w:rFonts w:hint="eastAsia" w:ascii="仿宋_GB2312" w:hAnsi="仿宋_GB2312" w:eastAsia="仿宋_GB2312" w:cs="仿宋_GB2312"/>
          <w:color w:val="auto"/>
          <w:kern w:val="2"/>
          <w:sz w:val="32"/>
          <w:szCs w:val="24"/>
          <w:highlight w:val="none"/>
          <w:lang w:val="en-US" w:eastAsia="zh-CN"/>
        </w:rPr>
        <w:t>万元，</w:t>
      </w:r>
      <w:r>
        <w:rPr>
          <w:rFonts w:hint="eastAsia" w:ascii="仿宋_GB2312" w:hAnsi="仿宋_GB2312" w:eastAsia="仿宋_GB2312" w:cs="仿宋_GB2312"/>
          <w:color w:val="auto"/>
          <w:kern w:val="2"/>
          <w:sz w:val="32"/>
          <w:szCs w:val="24"/>
          <w:highlight w:val="none"/>
          <w:lang w:val="en-US"/>
        </w:rPr>
        <w:t>完成预算</w:t>
      </w:r>
      <w:r>
        <w:rPr>
          <w:rFonts w:hint="eastAsia" w:ascii="仿宋_GB2312" w:hAnsi="仿宋_GB2312" w:eastAsia="仿宋_GB2312" w:cs="仿宋_GB2312"/>
          <w:color w:val="auto"/>
          <w:kern w:val="2"/>
          <w:sz w:val="32"/>
          <w:szCs w:val="24"/>
          <w:highlight w:val="none"/>
          <w:lang w:val="en-US" w:eastAsia="zh-CN"/>
        </w:rPr>
        <w:t>100</w:t>
      </w:r>
      <w:r>
        <w:rPr>
          <w:rFonts w:hint="eastAsia" w:ascii="仿宋_GB2312" w:hAnsi="仿宋_GB2312" w:eastAsia="仿宋_GB2312" w:cs="仿宋_GB2312"/>
          <w:color w:val="auto"/>
          <w:kern w:val="2"/>
          <w:sz w:val="32"/>
          <w:szCs w:val="24"/>
          <w:highlight w:val="none"/>
          <w:lang w:val="en-US"/>
        </w:rPr>
        <w:t>%</w:t>
      </w:r>
      <w:r>
        <w:rPr>
          <w:rFonts w:hint="eastAsia" w:ascii="仿宋_GB2312" w:hAnsi="仿宋_GB2312" w:eastAsia="仿宋_GB2312" w:cs="仿宋_GB2312"/>
          <w:color w:val="auto"/>
          <w:kern w:val="2"/>
          <w:sz w:val="32"/>
          <w:szCs w:val="24"/>
          <w:highlight w:val="none"/>
          <w:lang w:val="en-US" w:eastAsia="zh-CN"/>
        </w:rPr>
        <w:t>。</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社会保障和就</w:t>
      </w:r>
      <w:r>
        <w:rPr>
          <w:rFonts w:hint="eastAsia" w:ascii="仿宋_GB2312" w:hAnsi="仿宋_GB2312" w:eastAsia="仿宋_GB2312" w:cs="仿宋_GB2312"/>
          <w:b w:val="0"/>
          <w:bCs/>
          <w:color w:val="000000"/>
          <w:kern w:val="2"/>
          <w:sz w:val="32"/>
          <w:szCs w:val="24"/>
          <w:highlight w:val="none"/>
          <w:lang w:val="en-US" w:eastAsia="zh-CN"/>
        </w:rPr>
        <w:t>业支出（类）其他社会保障和就业支出（款）其他社会保障和就业支出（项）：支出决算为8.27万元，完成预算100%。</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eastAsia="zh-CN"/>
        </w:rPr>
      </w:pPr>
      <w:r>
        <w:rPr>
          <w:rFonts w:hint="eastAsia" w:ascii="仿宋" w:hAnsi="仿宋" w:eastAsia="仿宋"/>
          <w:color w:val="auto"/>
          <w:kern w:val="2"/>
          <w:sz w:val="32"/>
          <w:szCs w:val="24"/>
          <w:highlight w:val="none"/>
          <w:lang w:val="en-US" w:eastAsia="zh-CN"/>
        </w:rPr>
        <w:t>5.</w:t>
      </w:r>
      <w:r>
        <w:rPr>
          <w:rFonts w:hint="eastAsia" w:ascii="仿宋_GB2312" w:hAnsi="仿宋_GB2312" w:eastAsia="仿宋_GB2312" w:cs="仿宋_GB2312"/>
          <w:color w:val="auto"/>
          <w:sz w:val="32"/>
          <w:szCs w:val="32"/>
          <w:highlight w:val="none"/>
        </w:rPr>
        <w:t>卫生健康</w:t>
      </w:r>
      <w:r>
        <w:rPr>
          <w:rFonts w:hint="eastAsia" w:hAnsi="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（类）行政事业单位医疗（款）行政单位医疗（项）</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w:t>
      </w:r>
      <w:r>
        <w:rPr>
          <w:rFonts w:hint="eastAsia" w:ascii="仿宋_GB2312" w:hAnsi="仿宋_GB2312" w:eastAsia="仿宋_GB2312" w:cs="仿宋_GB2312"/>
          <w:color w:val="auto"/>
          <w:sz w:val="32"/>
          <w:szCs w:val="32"/>
          <w:highlight w:val="none"/>
          <w:lang w:val="en-US" w:eastAsia="zh-CN"/>
        </w:rPr>
        <w:t>数为</w:t>
      </w:r>
      <w:r>
        <w:rPr>
          <w:rFonts w:hint="eastAsia" w:hAnsi="仿宋_GB2312" w:cs="仿宋_GB2312"/>
          <w:color w:val="auto"/>
          <w:sz w:val="32"/>
          <w:szCs w:val="32"/>
          <w:highlight w:val="none"/>
          <w:lang w:val="en-US" w:eastAsia="zh-CN"/>
        </w:rPr>
        <w:t>10.78</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r>
        <w:rPr>
          <w:rFonts w:hint="eastAsia" w:hAnsi="仿宋_GB2312" w:cs="仿宋_GB2312"/>
          <w:color w:val="auto"/>
          <w:sz w:val="32"/>
          <w:szCs w:val="32"/>
          <w:highlight w:val="none"/>
          <w:lang w:eastAsia="zh-CN"/>
        </w:rPr>
        <w:t>。</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自然资源海洋气象等支出（类）自然资源事务（款）行政运行</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项）：支出决算数</w:t>
      </w:r>
      <w:r>
        <w:rPr>
          <w:rFonts w:hint="eastAsia" w:ascii="仿宋_GB2312" w:hAnsi="仿宋_GB2312" w:eastAsia="仿宋_GB2312" w:cs="仿宋_GB2312"/>
          <w:color w:val="auto"/>
          <w:sz w:val="32"/>
          <w:szCs w:val="32"/>
          <w:highlight w:val="none"/>
          <w:lang w:val="en-US" w:eastAsia="zh-CN"/>
        </w:rPr>
        <w:t>为</w:t>
      </w:r>
      <w:r>
        <w:rPr>
          <w:rFonts w:hint="eastAsia" w:hAnsi="仿宋_GB2312" w:cs="仿宋_GB2312"/>
          <w:color w:val="auto"/>
          <w:sz w:val="32"/>
          <w:szCs w:val="32"/>
          <w:highlight w:val="none"/>
          <w:lang w:val="en-US" w:eastAsia="zh-CN"/>
        </w:rPr>
        <w:t>198.29</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hAnsi="仿宋_GB2312" w:cs="仿宋_GB2312"/>
          <w:color w:val="auto"/>
          <w:sz w:val="32"/>
          <w:szCs w:val="32"/>
          <w:highlight w:val="none"/>
          <w:lang w:eastAsia="zh-CN"/>
        </w:rPr>
        <w:t>。</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自然资源海洋气象等支出（类）自然资源事务（款）自然资源利用与保护（项）</w:t>
      </w:r>
      <w:r>
        <w:rPr>
          <w:rFonts w:hint="eastAsia" w:hAnsi="仿宋_GB2312" w:cs="仿宋_GB2312"/>
          <w:color w:val="auto"/>
          <w:sz w:val="32"/>
          <w:szCs w:val="32"/>
          <w:highlight w:val="none"/>
          <w:lang w:eastAsia="zh-CN"/>
        </w:rPr>
        <w:t>：支出决算数</w:t>
      </w:r>
      <w:r>
        <w:rPr>
          <w:rFonts w:hint="eastAsia" w:hAnsi="仿宋_GB2312" w:cs="仿宋_GB2312"/>
          <w:color w:val="auto"/>
          <w:sz w:val="32"/>
          <w:szCs w:val="32"/>
          <w:highlight w:val="none"/>
          <w:lang w:val="en-US" w:eastAsia="zh-CN"/>
        </w:rPr>
        <w:t>1.98万元，完成预算数的100%。</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自然资源海洋气象等支出（类）自然资源事务（款）</w:t>
      </w:r>
      <w:r>
        <w:rPr>
          <w:rFonts w:hint="eastAsia" w:hAnsi="仿宋_GB2312" w:cs="仿宋_GB2312"/>
          <w:color w:val="auto"/>
          <w:sz w:val="32"/>
          <w:szCs w:val="32"/>
          <w:highlight w:val="none"/>
          <w:lang w:eastAsia="zh-CN"/>
        </w:rPr>
        <w:t>事业运行</w:t>
      </w:r>
      <w:r>
        <w:rPr>
          <w:rFonts w:hint="eastAsia" w:ascii="仿宋_GB2312" w:hAnsi="仿宋_GB2312" w:eastAsia="仿宋_GB2312" w:cs="仿宋_GB2312"/>
          <w:color w:val="auto"/>
          <w:sz w:val="32"/>
          <w:szCs w:val="32"/>
          <w:highlight w:val="none"/>
        </w:rPr>
        <w:t>（项）</w:t>
      </w:r>
      <w:r>
        <w:rPr>
          <w:rFonts w:hint="eastAsia" w:hAnsi="仿宋_GB2312" w:cs="仿宋_GB2312"/>
          <w:color w:val="auto"/>
          <w:sz w:val="32"/>
          <w:szCs w:val="32"/>
          <w:highlight w:val="none"/>
          <w:lang w:eastAsia="zh-CN"/>
        </w:rPr>
        <w:t>：支出决算数4</w:t>
      </w:r>
      <w:r>
        <w:rPr>
          <w:rFonts w:hint="eastAsia" w:hAnsi="仿宋_GB2312" w:cs="仿宋_GB2312"/>
          <w:color w:val="auto"/>
          <w:sz w:val="32"/>
          <w:szCs w:val="32"/>
          <w:highlight w:val="none"/>
          <w:lang w:val="en-US" w:eastAsia="zh-CN"/>
        </w:rPr>
        <w:t>9.03万元，完成预算数的100%。</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自然资源海洋气象等支出（类）自然资源事务（款）</w:t>
      </w:r>
      <w:r>
        <w:rPr>
          <w:rFonts w:hint="eastAsia" w:hAnsi="仿宋_GB2312" w:cs="仿宋_GB2312"/>
          <w:color w:val="auto"/>
          <w:sz w:val="32"/>
          <w:szCs w:val="32"/>
          <w:highlight w:val="none"/>
          <w:lang w:eastAsia="zh-CN"/>
        </w:rPr>
        <w:t>其他自然资源事务支出</w:t>
      </w:r>
      <w:r>
        <w:rPr>
          <w:rFonts w:hint="eastAsia" w:ascii="仿宋_GB2312" w:hAnsi="仿宋_GB2312" w:eastAsia="仿宋_GB2312" w:cs="仿宋_GB2312"/>
          <w:color w:val="auto"/>
          <w:sz w:val="32"/>
          <w:szCs w:val="32"/>
          <w:highlight w:val="none"/>
        </w:rPr>
        <w:t>（项）</w:t>
      </w:r>
      <w:r>
        <w:rPr>
          <w:rFonts w:hint="eastAsia" w:hAnsi="仿宋_GB2312" w:cs="仿宋_GB2312"/>
          <w:color w:val="auto"/>
          <w:sz w:val="32"/>
          <w:szCs w:val="32"/>
          <w:highlight w:val="none"/>
          <w:lang w:eastAsia="zh-CN"/>
        </w:rPr>
        <w:t>：支出决算数2</w:t>
      </w:r>
      <w:r>
        <w:rPr>
          <w:rFonts w:hint="eastAsia" w:hAnsi="仿宋_GB2312" w:cs="仿宋_GB2312"/>
          <w:color w:val="auto"/>
          <w:sz w:val="32"/>
          <w:szCs w:val="32"/>
          <w:highlight w:val="none"/>
          <w:lang w:val="en-US" w:eastAsia="zh-CN"/>
        </w:rPr>
        <w:t>万元，完成预算数的100%。</w:t>
      </w:r>
    </w:p>
    <w:p>
      <w:pPr>
        <w:pStyle w:val="5"/>
        <w:pageBreakBefore w:val="0"/>
        <w:widowControl w:val="0"/>
        <w:kinsoku/>
        <w:wordWrap/>
        <w:overflowPunct/>
        <w:topLinePunct w:val="0"/>
        <w:autoSpaceDE w:val="0"/>
        <w:autoSpaceDN w:val="0"/>
        <w:bidi w:val="0"/>
        <w:adjustRightInd w:val="0"/>
        <w:snapToGrid/>
        <w:spacing w:beforeLines="0" w:line="576" w:lineRule="exact"/>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住房保障</w:t>
      </w:r>
      <w:r>
        <w:rPr>
          <w:rFonts w:hint="eastAsia" w:hAnsi="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（类）住房改革（款）住房公积金（项）</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支出决算为</w:t>
      </w:r>
      <w:r>
        <w:rPr>
          <w:rFonts w:hint="eastAsia" w:hAnsi="仿宋_GB2312" w:cs="仿宋_GB2312"/>
          <w:color w:val="auto"/>
          <w:sz w:val="32"/>
          <w:szCs w:val="32"/>
          <w:highlight w:val="none"/>
          <w:lang w:eastAsia="zh-CN"/>
        </w:rPr>
        <w:t>2</w:t>
      </w:r>
      <w:r>
        <w:rPr>
          <w:rFonts w:hint="eastAsia" w:hAnsi="仿宋_GB2312" w:cs="仿宋_GB2312"/>
          <w:color w:val="auto"/>
          <w:sz w:val="32"/>
          <w:szCs w:val="32"/>
          <w:highlight w:val="none"/>
          <w:lang w:val="en-US" w:eastAsia="zh-CN"/>
        </w:rPr>
        <w:t>6.86</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的100</w:t>
      </w:r>
      <w:r>
        <w:rPr>
          <w:rFonts w:hint="eastAsia" w:ascii="仿宋_GB2312" w:hAnsi="仿宋_GB2312" w:eastAsia="仿宋_GB2312" w:cs="仿宋_GB2312"/>
          <w:color w:val="auto"/>
          <w:sz w:val="32"/>
          <w:szCs w:val="32"/>
          <w:highlight w:val="none"/>
        </w:rPr>
        <w:t>%</w:t>
      </w:r>
    </w:p>
    <w:p>
      <w:pPr>
        <w:keepNext/>
        <w:keepLines/>
        <w:pageBreakBefore w:val="0"/>
        <w:widowControl w:val="0"/>
        <w:tabs>
          <w:tab w:val="right" w:pos="8306"/>
        </w:tabs>
        <w:kinsoku/>
        <w:wordWrap/>
        <w:overflowPunct/>
        <w:topLinePunct w:val="0"/>
        <w:autoSpaceDE w:val="0"/>
        <w:autoSpaceDN w:val="0"/>
        <w:bidi w:val="0"/>
        <w:adjustRightInd w:val="0"/>
        <w:snapToGrid/>
        <w:spacing w:beforeLines="0" w:afterLines="0" w:line="576" w:lineRule="exact"/>
        <w:ind w:firstLine="640"/>
        <w:jc w:val="both"/>
        <w:textAlignment w:val="auto"/>
        <w:outlineLvl w:val="1"/>
        <w:rPr>
          <w:rFonts w:hint="default" w:ascii="Cambria" w:hAnsi="Cambria" w:eastAsia="Cambria"/>
          <w:b/>
          <w:color w:val="auto"/>
          <w:kern w:val="2"/>
          <w:sz w:val="32"/>
          <w:szCs w:val="24"/>
          <w:highlight w:val="none"/>
          <w:lang w:val="zh-CN"/>
        </w:rPr>
      </w:pPr>
      <w:bookmarkStart w:id="11" w:name="_Toc23465"/>
      <w:r>
        <w:rPr>
          <w:rFonts w:hint="eastAsia" w:ascii="黑体" w:hAnsi="黑体" w:eastAsia="黑体"/>
          <w:color w:val="000000"/>
          <w:kern w:val="2"/>
          <w:sz w:val="32"/>
          <w:szCs w:val="24"/>
          <w:highlight w:val="none"/>
          <w:lang w:val="zh-CN"/>
        </w:rPr>
        <w:t>六</w:t>
      </w:r>
      <w:r>
        <w:rPr>
          <w:rFonts w:hint="eastAsia" w:ascii="黑体" w:hAnsi="黑体" w:eastAsia="黑体"/>
          <w:b/>
          <w:color w:val="000000"/>
          <w:kern w:val="2"/>
          <w:sz w:val="32"/>
          <w:szCs w:val="24"/>
          <w:highlight w:val="none"/>
          <w:lang w:val="zh-CN"/>
        </w:rPr>
        <w:t>、一</w:t>
      </w:r>
      <w:r>
        <w:rPr>
          <w:rFonts w:hint="eastAsia" w:ascii="黑体" w:hAnsi="黑体" w:eastAsia="黑体"/>
          <w:color w:val="auto"/>
          <w:kern w:val="2"/>
          <w:sz w:val="32"/>
          <w:szCs w:val="24"/>
          <w:highlight w:val="none"/>
          <w:lang w:val="zh-CN"/>
        </w:rPr>
        <w:t>般公共预算财政拨款基本支出决算情况说明</w:t>
      </w:r>
      <w:bookmarkEnd w:id="11"/>
      <w:r>
        <w:rPr>
          <w:rFonts w:hint="eastAsia" w:ascii="黑体" w:hAnsi="黑体" w:eastAsia="黑体"/>
          <w:color w:val="auto"/>
          <w:kern w:val="2"/>
          <w:sz w:val="32"/>
          <w:szCs w:val="24"/>
          <w:highlight w:val="none"/>
          <w:lang w:val="zh-CN"/>
        </w:rPr>
        <w:tab/>
      </w:r>
    </w:p>
    <w:p>
      <w:pPr>
        <w:pageBreakBefore w:val="0"/>
        <w:widowControl w:val="0"/>
        <w:kinsoku/>
        <w:wordWrap/>
        <w:overflowPunct/>
        <w:topLinePunct w:val="0"/>
        <w:autoSpaceDE w:val="0"/>
        <w:autoSpaceDN w:val="0"/>
        <w:bidi w:val="0"/>
        <w:adjustRightInd w:val="0"/>
        <w:snapToGrid/>
        <w:spacing w:beforeLines="0" w:afterLines="0" w:line="576" w:lineRule="exact"/>
        <w:ind w:firstLine="640"/>
        <w:jc w:val="both"/>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2022年一般公共预算财政拨款基本支出339.45万元，其中：</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人员经费</w:t>
      </w:r>
      <w:r>
        <w:rPr>
          <w:rFonts w:hint="eastAsia" w:ascii="仿宋_GB2312" w:hAnsi="仿宋_GB2312" w:eastAsia="仿宋_GB2312"/>
          <w:color w:val="000000"/>
          <w:kern w:val="2"/>
          <w:sz w:val="32"/>
          <w:szCs w:val="24"/>
          <w:highlight w:val="none"/>
          <w:lang w:val="zh-CN"/>
        </w:rPr>
        <w:t>303.12万元，主要包括：</w:t>
      </w:r>
      <w:r>
        <w:rPr>
          <w:rFonts w:hint="eastAsia" w:ascii="仿宋" w:hAnsi="仿宋" w:eastAsia="仿宋"/>
          <w:color w:val="auto"/>
          <w:kern w:val="2"/>
          <w:sz w:val="32"/>
          <w:szCs w:val="24"/>
          <w:highlight w:val="none"/>
          <w:lang w:val="en-US"/>
        </w:rPr>
        <w:t>基本工资、津贴补贴、奖金、绩效工资、机关事业单位基本养老保险缴费、职业年金缴费、</w:t>
      </w:r>
      <w:r>
        <w:rPr>
          <w:rFonts w:hint="eastAsia" w:ascii="仿宋" w:hAnsi="仿宋" w:eastAsia="仿宋"/>
          <w:color w:val="auto"/>
          <w:kern w:val="2"/>
          <w:sz w:val="32"/>
          <w:szCs w:val="24"/>
          <w:highlight w:val="none"/>
          <w:lang w:val="en-US" w:eastAsia="zh-CN"/>
        </w:rPr>
        <w:t>职工基本医疗保险、</w:t>
      </w:r>
      <w:r>
        <w:rPr>
          <w:rFonts w:hint="eastAsia" w:ascii="仿宋" w:hAnsi="仿宋" w:eastAsia="仿宋"/>
          <w:color w:val="auto"/>
          <w:kern w:val="2"/>
          <w:sz w:val="32"/>
          <w:szCs w:val="24"/>
          <w:highlight w:val="none"/>
          <w:lang w:val="en-US"/>
        </w:rPr>
        <w:t>其他社会保障缴费、住房公积金</w:t>
      </w:r>
      <w:r>
        <w:rPr>
          <w:rFonts w:hint="eastAsia" w:ascii="仿宋" w:hAnsi="仿宋" w:eastAsia="仿宋"/>
          <w:color w:val="auto"/>
          <w:kern w:val="2"/>
          <w:sz w:val="32"/>
          <w:szCs w:val="24"/>
          <w:highlight w:val="none"/>
          <w:lang w:val="en-US" w:eastAsia="zh-CN"/>
        </w:rPr>
        <w:t>、</w:t>
      </w:r>
      <w:r>
        <w:rPr>
          <w:rFonts w:hint="eastAsia" w:ascii="仿宋" w:hAnsi="仿宋" w:eastAsia="仿宋"/>
          <w:color w:val="auto"/>
          <w:kern w:val="2"/>
          <w:sz w:val="32"/>
          <w:szCs w:val="24"/>
          <w:highlight w:val="none"/>
          <w:lang w:val="en-US"/>
        </w:rPr>
        <w:t>生活补助、其他对个人和家庭的补助支出</w:t>
      </w:r>
      <w:r>
        <w:rPr>
          <w:rFonts w:hint="eastAsia" w:ascii="仿宋_GB2312" w:hAnsi="仿宋_GB2312" w:eastAsia="仿宋_GB2312"/>
          <w:color w:val="000000"/>
          <w:kern w:val="2"/>
          <w:sz w:val="32"/>
          <w:szCs w:val="24"/>
          <w:highlight w:val="none"/>
          <w:lang w:val="zh-CN"/>
        </w:rPr>
        <w:t>。</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公用经费</w:t>
      </w:r>
      <w:r>
        <w:rPr>
          <w:rFonts w:hint="eastAsia" w:ascii="仿宋_GB2312" w:hAnsi="仿宋_GB2312" w:eastAsia="仿宋_GB2312"/>
          <w:color w:val="000000"/>
          <w:kern w:val="2"/>
          <w:sz w:val="32"/>
          <w:szCs w:val="24"/>
          <w:highlight w:val="none"/>
          <w:lang w:val="zh-CN"/>
        </w:rPr>
        <w:t>36.33万元，主要包括：</w:t>
      </w:r>
      <w:r>
        <w:rPr>
          <w:rFonts w:hint="eastAsia" w:ascii="仿宋" w:hAnsi="仿宋" w:eastAsia="仿宋"/>
          <w:color w:val="auto"/>
          <w:kern w:val="2"/>
          <w:sz w:val="32"/>
          <w:szCs w:val="24"/>
          <w:highlight w:val="none"/>
          <w:lang w:val="en-US"/>
        </w:rPr>
        <w:t>办公费、印刷费、手续费、水费、邮电费、差旅费、培训费、公务接待费、工会经费、福利费、其他交通费</w:t>
      </w:r>
      <w:r>
        <w:rPr>
          <w:rFonts w:hint="eastAsia" w:ascii="仿宋" w:hAnsi="仿宋" w:eastAsia="仿宋"/>
          <w:color w:val="auto"/>
          <w:kern w:val="2"/>
          <w:sz w:val="32"/>
          <w:szCs w:val="24"/>
          <w:highlight w:val="none"/>
          <w:lang w:val="en-US" w:eastAsia="zh-CN"/>
        </w:rPr>
        <w:t>用</w:t>
      </w:r>
      <w:r>
        <w:rPr>
          <w:rFonts w:hint="eastAsia" w:ascii="仿宋" w:hAnsi="仿宋" w:eastAsia="仿宋"/>
          <w:color w:val="auto"/>
          <w:kern w:val="2"/>
          <w:sz w:val="32"/>
          <w:szCs w:val="24"/>
          <w:highlight w:val="none"/>
          <w:lang w:val="en-US"/>
        </w:rPr>
        <w:t>、其他商品和服务支出</w:t>
      </w:r>
      <w:r>
        <w:rPr>
          <w:rFonts w:hint="eastAsia" w:ascii="仿宋_GB2312" w:hAnsi="仿宋_GB2312" w:eastAsia="仿宋_GB2312"/>
          <w:color w:val="000000"/>
          <w:kern w:val="2"/>
          <w:sz w:val="32"/>
          <w:szCs w:val="24"/>
          <w:highlight w:val="none"/>
          <w:lang w:val="zh-CN"/>
        </w:rPr>
        <w:t>。</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outlineLvl w:val="1"/>
        <w:rPr>
          <w:rFonts w:hint="eastAsia" w:ascii="黑体" w:hAnsi="黑体" w:eastAsia="黑体"/>
          <w:color w:val="auto"/>
          <w:kern w:val="2"/>
          <w:sz w:val="32"/>
          <w:szCs w:val="24"/>
          <w:highlight w:val="none"/>
          <w:lang w:val="zh-CN"/>
        </w:rPr>
      </w:pPr>
      <w:bookmarkStart w:id="12" w:name="_Toc9294"/>
      <w:r>
        <w:rPr>
          <w:rFonts w:hint="eastAsia" w:ascii="黑体" w:hAnsi="黑体" w:eastAsia="黑体"/>
          <w:color w:val="000000"/>
          <w:kern w:val="2"/>
          <w:sz w:val="32"/>
          <w:szCs w:val="24"/>
          <w:highlight w:val="none"/>
          <w:lang w:val="zh-CN"/>
        </w:rPr>
        <w:t>七、</w:t>
      </w:r>
      <w:r>
        <w:rPr>
          <w:rFonts w:hint="eastAsia" w:ascii="黑体" w:hAnsi="黑体" w:eastAsia="黑体"/>
          <w:b/>
          <w:color w:val="auto"/>
          <w:kern w:val="2"/>
          <w:sz w:val="32"/>
          <w:szCs w:val="24"/>
          <w:highlight w:val="none"/>
          <w:lang w:val="zh-CN"/>
        </w:rPr>
        <w:t>“</w:t>
      </w:r>
      <w:r>
        <w:rPr>
          <w:rFonts w:hint="eastAsia" w:ascii="黑体" w:hAnsi="黑体" w:eastAsia="黑体"/>
          <w:color w:val="auto"/>
          <w:kern w:val="2"/>
          <w:sz w:val="32"/>
          <w:szCs w:val="24"/>
          <w:highlight w:val="none"/>
          <w:lang w:val="zh-CN"/>
        </w:rPr>
        <w:t>三公”经费财政拨款支出决算情况说明</w:t>
      </w:r>
      <w:bookmarkEnd w:id="12"/>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（一）“三公”经费财政拨款支出决算总体情况说明</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default" w:ascii="仿宋_GB2312" w:hAnsi="仿宋_GB2312" w:eastAsia="仿宋_GB2312"/>
          <w:color w:val="000000"/>
          <w:kern w:val="2"/>
          <w:sz w:val="32"/>
          <w:szCs w:val="24"/>
          <w:highlight w:val="none"/>
        </w:rPr>
      </w:pPr>
      <w:r>
        <w:rPr>
          <w:rFonts w:hint="eastAsia" w:ascii="仿宋_GB2312" w:hAnsi="仿宋_GB2312" w:eastAsia="仿宋_GB2312"/>
          <w:color w:val="000000"/>
          <w:kern w:val="2"/>
          <w:sz w:val="32"/>
          <w:szCs w:val="24"/>
          <w:highlight w:val="none"/>
          <w:lang w:val="zh-CN"/>
        </w:rPr>
        <w:t>2022年“三公”经费财政拨款支出决算为0.3万元，完成预算100%；较上年减少0.</w:t>
      </w:r>
      <w:r>
        <w:rPr>
          <w:rFonts w:hint="eastAsia" w:ascii="仿宋_GB2312" w:hAnsi="仿宋_GB2312" w:eastAsia="仿宋_GB2312"/>
          <w:color w:val="000000"/>
          <w:kern w:val="2"/>
          <w:sz w:val="32"/>
          <w:szCs w:val="24"/>
          <w:highlight w:val="none"/>
          <w:lang w:val="en-US" w:eastAsia="zh-CN"/>
        </w:rPr>
        <w:t>09</w:t>
      </w:r>
      <w:r>
        <w:rPr>
          <w:rFonts w:hint="eastAsia" w:ascii="仿宋_GB2312" w:hAnsi="仿宋_GB2312" w:eastAsia="仿宋_GB2312"/>
          <w:color w:val="000000"/>
          <w:kern w:val="2"/>
          <w:sz w:val="32"/>
          <w:szCs w:val="24"/>
          <w:highlight w:val="none"/>
          <w:lang w:val="zh-CN"/>
        </w:rPr>
        <w:t>万元，下降2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%。主要原因是</w:t>
      </w:r>
      <w:r>
        <w:rPr>
          <w:rFonts w:hint="eastAsia" w:ascii="仿宋_GB2312" w:eastAsia="仿宋_GB2312"/>
          <w:color w:val="auto"/>
          <w:sz w:val="32"/>
          <w:szCs w:val="32"/>
          <w:highlight w:val="none"/>
          <w:lang w:val="en-US" w:eastAsia="zh-CN"/>
        </w:rPr>
        <w:t>压缩开支</w:t>
      </w:r>
      <w:r>
        <w:rPr>
          <w:rFonts w:hint="eastAsia" w:ascii="仿宋_GB2312" w:hAnsi="仿宋_GB2312" w:eastAsia="仿宋_GB2312"/>
          <w:color w:val="000000"/>
          <w:kern w:val="2"/>
          <w:sz w:val="32"/>
          <w:szCs w:val="24"/>
          <w:highlight w:val="none"/>
          <w:lang w:val="zh-CN"/>
        </w:rPr>
        <w:t>。</w:t>
      </w:r>
      <w:r>
        <w:rPr>
          <w:rFonts w:hint="default" w:ascii="仿宋_GB2312" w:hAnsi="仿宋_GB2312" w:eastAsia="仿宋_GB2312"/>
          <w:color w:val="000000"/>
          <w:kern w:val="2"/>
          <w:sz w:val="32"/>
          <w:szCs w:val="24"/>
          <w:highlight w:val="none"/>
        </w:rPr>
        <w:t>决算数与预算数持平。</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（二）“三公”经费财政拨款支出决算具体情况说明</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2022年“三公”经费财政拨款支出决算中，无因公出国（境）费支出；无公务用车购置及运行维护费支出；公务接待费支出决算0.3万元，占100%。具体情况如下：</w:t>
      </w:r>
    </w:p>
    <w:p>
      <w:pPr>
        <w:pageBreakBefore w:val="0"/>
        <w:widowControl w:val="0"/>
        <w:kinsoku/>
        <w:wordWrap/>
        <w:overflowPunct/>
        <w:topLinePunct w:val="0"/>
        <w:autoSpaceDE w:val="0"/>
        <w:autoSpaceDN w:val="0"/>
        <w:bidi w:val="0"/>
        <w:adjustRightInd w:val="0"/>
        <w:snapToGrid/>
        <w:spacing w:beforeLines="0" w:afterLines="0" w:line="576" w:lineRule="exact"/>
        <w:ind w:firstLine="640"/>
        <w:jc w:val="both"/>
        <w:textAlignment w:val="auto"/>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（图7：“三公”经费财政拨款支出结构）</w:t>
      </w:r>
    </w:p>
    <w:p>
      <w:pPr>
        <w:pStyle w:val="2"/>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eastAsia="zh-CN"/>
        </w:rPr>
        <w:drawing>
          <wp:anchor distT="0" distB="0" distL="114300" distR="114300" simplePos="0" relativeHeight="251662336" behindDoc="0" locked="0" layoutInCell="1" allowOverlap="1">
            <wp:simplePos x="0" y="0"/>
            <wp:positionH relativeFrom="column">
              <wp:posOffset>520700</wp:posOffset>
            </wp:positionH>
            <wp:positionV relativeFrom="paragraph">
              <wp:posOffset>155575</wp:posOffset>
            </wp:positionV>
            <wp:extent cx="4563745" cy="2618105"/>
            <wp:effectExtent l="4445" t="4445" r="22860" b="635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rPr>
          <w:rFonts w:hint="eastAsia" w:ascii="仿宋" w:hAnsi="仿宋" w:eastAsia="仿宋"/>
          <w:color w:val="auto"/>
          <w:kern w:val="2"/>
          <w:sz w:val="32"/>
          <w:szCs w:val="24"/>
          <w:highlight w:val="none"/>
          <w:lang w:val="en-US"/>
        </w:rPr>
      </w:pPr>
    </w:p>
    <w:p>
      <w:pPr>
        <w:pStyle w:val="2"/>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1.因公出国（境）经费</w:t>
      </w:r>
      <w:r>
        <w:rPr>
          <w:rFonts w:hint="eastAsia" w:ascii="仿宋_GB2312" w:hAnsi="仿宋_GB2312" w:eastAsia="仿宋_GB2312"/>
          <w:color w:val="000000"/>
          <w:kern w:val="2"/>
          <w:sz w:val="32"/>
          <w:szCs w:val="24"/>
          <w:highlight w:val="none"/>
          <w:lang w:val="zh-CN"/>
        </w:rPr>
        <w:t>支出0万元。主要原因是本单位</w:t>
      </w:r>
      <w:r>
        <w:rPr>
          <w:rFonts w:hint="eastAsia" w:ascii="仿宋_GB2312" w:hAnsi="仿宋_GB2312" w:eastAsia="仿宋_GB2312"/>
          <w:color w:val="000000"/>
          <w:kern w:val="2"/>
          <w:sz w:val="32"/>
          <w:szCs w:val="24"/>
          <w:highlight w:val="none"/>
          <w:lang w:val="zh-CN" w:eastAsia="zh-CN"/>
        </w:rPr>
        <w:t>年初</w:t>
      </w:r>
      <w:r>
        <w:rPr>
          <w:rFonts w:hint="eastAsia" w:ascii="仿宋_GB2312" w:hAnsi="仿宋_GB2312" w:eastAsia="仿宋_GB2312"/>
          <w:color w:val="000000"/>
          <w:kern w:val="2"/>
          <w:sz w:val="32"/>
          <w:szCs w:val="24"/>
          <w:highlight w:val="none"/>
          <w:lang w:val="zh-CN"/>
        </w:rPr>
        <w:t>无因公出国（境）预算</w:t>
      </w:r>
      <w:r>
        <w:rPr>
          <w:rFonts w:hint="default" w:ascii="仿宋_GB2312" w:hAnsi="仿宋_GB2312" w:eastAsia="仿宋_GB2312"/>
          <w:color w:val="000000"/>
          <w:kern w:val="2"/>
          <w:sz w:val="32"/>
          <w:szCs w:val="24"/>
          <w:highlight w:val="none"/>
        </w:rPr>
        <w:t>，较上年无变化</w:t>
      </w:r>
      <w:r>
        <w:rPr>
          <w:rFonts w:hint="eastAsia" w:ascii="仿宋_GB2312" w:hAnsi="仿宋_GB2312" w:eastAsia="仿宋_GB2312"/>
          <w:color w:val="000000"/>
          <w:kern w:val="2"/>
          <w:sz w:val="32"/>
          <w:szCs w:val="24"/>
          <w:highlight w:val="none"/>
          <w:lang w:val="zh-CN"/>
        </w:rPr>
        <w:t>。</w:t>
      </w:r>
    </w:p>
    <w:p>
      <w:pPr>
        <w:pStyle w:val="2"/>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2.公务用车购置及运行维护费</w:t>
      </w:r>
      <w:r>
        <w:rPr>
          <w:rFonts w:hint="eastAsia" w:ascii="仿宋_GB2312" w:hAnsi="仿宋_GB2312" w:eastAsia="仿宋_GB2312"/>
          <w:color w:val="000000"/>
          <w:kern w:val="2"/>
          <w:sz w:val="32"/>
          <w:szCs w:val="24"/>
          <w:highlight w:val="none"/>
          <w:lang w:val="zh-CN"/>
        </w:rPr>
        <w:t>支出0万元。主要原因是车改后，本单位无公务用车</w:t>
      </w:r>
      <w:r>
        <w:rPr>
          <w:rFonts w:hint="default" w:ascii="仿宋_GB2312" w:hAnsi="仿宋_GB2312" w:eastAsia="仿宋_GB2312"/>
          <w:color w:val="000000"/>
          <w:kern w:val="2"/>
          <w:sz w:val="32"/>
          <w:szCs w:val="24"/>
          <w:highlight w:val="none"/>
        </w:rPr>
        <w:t>，较上年无变化</w:t>
      </w:r>
      <w:r>
        <w:rPr>
          <w:rFonts w:hint="eastAsia" w:ascii="仿宋_GB2312" w:hAnsi="仿宋_GB2312" w:eastAsia="仿宋_GB2312"/>
          <w:color w:val="000000"/>
          <w:kern w:val="2"/>
          <w:sz w:val="32"/>
          <w:szCs w:val="24"/>
          <w:highlight w:val="none"/>
          <w:lang w:val="zh-CN"/>
        </w:rPr>
        <w:t>。</w:t>
      </w:r>
    </w:p>
    <w:p>
      <w:pPr>
        <w:pStyle w:val="2"/>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3.公务接待费</w:t>
      </w:r>
      <w:r>
        <w:rPr>
          <w:rFonts w:hint="eastAsia" w:ascii="仿宋_GB2312" w:hAnsi="仿宋_GB2312" w:eastAsia="仿宋_GB2312"/>
          <w:color w:val="000000"/>
          <w:kern w:val="2"/>
          <w:sz w:val="32"/>
          <w:szCs w:val="24"/>
          <w:highlight w:val="none"/>
          <w:lang w:val="zh-CN"/>
        </w:rPr>
        <w:t>支出0.3万元，完成预算100%。公务接待费支出决算比2021年减少0.09万元，下降2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%。主要原因是压缩开支。其中：</w:t>
      </w:r>
    </w:p>
    <w:p>
      <w:pPr>
        <w:pStyle w:val="2"/>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olor w:val="000000"/>
          <w:kern w:val="2"/>
          <w:sz w:val="32"/>
          <w:szCs w:val="24"/>
          <w:highlight w:val="none"/>
          <w:lang w:val="en-US"/>
        </w:rPr>
      </w:pPr>
      <w:r>
        <w:rPr>
          <w:rFonts w:hint="eastAsia" w:ascii="仿宋_GB2312" w:hAnsi="仿宋_GB2312" w:eastAsia="仿宋_GB2312"/>
          <w:b/>
          <w:color w:val="000000"/>
          <w:kern w:val="2"/>
          <w:sz w:val="32"/>
          <w:szCs w:val="24"/>
          <w:highlight w:val="none"/>
          <w:lang w:val="zh-CN"/>
        </w:rPr>
        <w:t>国内公务接待</w:t>
      </w:r>
      <w:r>
        <w:rPr>
          <w:rFonts w:hint="eastAsia" w:ascii="仿宋_GB2312" w:hAnsi="仿宋_GB2312" w:eastAsia="仿宋_GB2312"/>
          <w:color w:val="000000"/>
          <w:kern w:val="2"/>
          <w:sz w:val="32"/>
          <w:szCs w:val="24"/>
          <w:highlight w:val="none"/>
          <w:lang w:val="zh-CN"/>
        </w:rPr>
        <w:t>支出0.3万元。主要用于其他县区局到我中心业务对接工作交流学习公务接待</w:t>
      </w:r>
      <w:r>
        <w:rPr>
          <w:rFonts w:hint="eastAsia" w:ascii="仿宋_GB2312" w:hAnsi="仿宋_GB2312" w:eastAsia="仿宋_GB2312"/>
          <w:color w:val="000000"/>
          <w:kern w:val="2"/>
          <w:sz w:val="32"/>
          <w:szCs w:val="24"/>
          <w:highlight w:val="none"/>
          <w:lang w:val="en-US"/>
        </w:rPr>
        <w:t>餐费。</w:t>
      </w:r>
      <w:r>
        <w:rPr>
          <w:rFonts w:hint="eastAsia" w:ascii="仿宋_GB2312" w:hAnsi="仿宋_GB2312" w:eastAsia="仿宋_GB2312"/>
          <w:color w:val="000000"/>
          <w:kern w:val="2"/>
          <w:sz w:val="32"/>
          <w:szCs w:val="24"/>
          <w:highlight w:val="none"/>
          <w:lang w:val="zh-CN"/>
        </w:rPr>
        <w:t>国内公务接待6批次，38人次（不含陪同人员），共计支出0.3万元，具体内容包括苍溪</w:t>
      </w:r>
      <w:r>
        <w:rPr>
          <w:rFonts w:hint="eastAsia" w:ascii="仿宋_GB2312" w:hAnsi="仿宋_GB2312" w:eastAsia="仿宋_GB2312"/>
          <w:color w:val="000000"/>
          <w:kern w:val="2"/>
          <w:sz w:val="32"/>
          <w:szCs w:val="24"/>
          <w:highlight w:val="none"/>
          <w:lang w:val="zh-CN" w:eastAsia="zh-CN"/>
        </w:rPr>
        <w:t>县分局到我中心交流学习砖厂退出土地执法方面工作；昭化分局到我中心协调、对接交流矿权设置和用地保障、乱占耕地、批而未供处置、坪雾社区乡村振兴、坪雾、板宴社区房地一体办证等事宜，建阁县分局到我中心交流砖厂退出方案和政策制定等事宜</w:t>
      </w:r>
      <w:r>
        <w:rPr>
          <w:rFonts w:hint="eastAsia" w:ascii="仿宋_GB2312" w:hAnsi="仿宋_GB2312" w:eastAsia="仿宋_GB2312"/>
          <w:color w:val="000000"/>
          <w:kern w:val="2"/>
          <w:sz w:val="32"/>
          <w:szCs w:val="24"/>
          <w:highlight w:val="none"/>
          <w:lang w:val="en-US"/>
        </w:rPr>
        <w:t>。</w:t>
      </w:r>
    </w:p>
    <w:p>
      <w:pPr>
        <w:keepNext/>
        <w:keepLines/>
        <w:spacing w:beforeLines="0" w:afterLines="0" w:line="576" w:lineRule="exact"/>
        <w:ind w:firstLine="640"/>
        <w:jc w:val="both"/>
        <w:outlineLvl w:val="1"/>
        <w:rPr>
          <w:rFonts w:hint="eastAsia" w:ascii="黑体" w:hAnsi="黑体" w:eastAsia="黑体"/>
          <w:b/>
          <w:color w:val="auto"/>
          <w:kern w:val="2"/>
          <w:sz w:val="32"/>
          <w:szCs w:val="24"/>
          <w:highlight w:val="none"/>
          <w:lang w:val="zh-CN"/>
        </w:rPr>
      </w:pPr>
      <w:bookmarkStart w:id="13" w:name="_Toc27986"/>
      <w:r>
        <w:rPr>
          <w:rFonts w:hint="eastAsia" w:ascii="黑体" w:hAnsi="黑体" w:eastAsia="黑体"/>
          <w:color w:val="000000"/>
          <w:kern w:val="2"/>
          <w:sz w:val="32"/>
          <w:szCs w:val="24"/>
          <w:highlight w:val="none"/>
          <w:lang w:val="zh-CN"/>
        </w:rPr>
        <w:t>八、</w:t>
      </w:r>
      <w:r>
        <w:rPr>
          <w:rFonts w:hint="eastAsia" w:ascii="黑体" w:hAnsi="黑体" w:eastAsia="黑体"/>
          <w:color w:val="auto"/>
          <w:kern w:val="2"/>
          <w:sz w:val="32"/>
          <w:szCs w:val="24"/>
          <w:highlight w:val="none"/>
          <w:lang w:val="zh-CN"/>
        </w:rPr>
        <w:t>政府性基金预算支出决算情况说明</w:t>
      </w:r>
      <w:bookmarkEnd w:id="13"/>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2022年政府性基金预算拨款支出0万元。</w:t>
      </w:r>
    </w:p>
    <w:p>
      <w:pPr>
        <w:keepNext/>
        <w:keepLines/>
        <w:spacing w:beforeLines="0" w:afterLines="0" w:line="576" w:lineRule="exact"/>
        <w:ind w:firstLine="640"/>
        <w:jc w:val="both"/>
        <w:outlineLvl w:val="1"/>
        <w:rPr>
          <w:rFonts w:hint="eastAsia" w:ascii="黑体" w:hAnsi="黑体" w:eastAsia="黑体"/>
          <w:color w:val="auto"/>
          <w:kern w:val="2"/>
          <w:sz w:val="32"/>
          <w:szCs w:val="24"/>
          <w:highlight w:val="none"/>
          <w:lang w:val="zh-CN"/>
        </w:rPr>
      </w:pPr>
      <w:bookmarkStart w:id="14" w:name="_Toc20323"/>
      <w:r>
        <w:rPr>
          <w:rFonts w:hint="eastAsia" w:ascii="黑体" w:hAnsi="黑体" w:eastAsia="黑体"/>
          <w:color w:val="auto"/>
          <w:kern w:val="2"/>
          <w:sz w:val="32"/>
          <w:szCs w:val="24"/>
          <w:highlight w:val="none"/>
          <w:lang w:val="zh-CN"/>
        </w:rPr>
        <w:t>九、国有资本经营预算支出决算情况说明</w:t>
      </w:r>
      <w:bookmarkEnd w:id="14"/>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2022年国有资本经营预算拨款支出0万元。</w:t>
      </w:r>
    </w:p>
    <w:p>
      <w:pPr>
        <w:keepNext/>
        <w:keepLines/>
        <w:spacing w:beforeLines="0" w:afterLines="0" w:line="576" w:lineRule="exact"/>
        <w:ind w:firstLine="640"/>
        <w:jc w:val="both"/>
        <w:outlineLvl w:val="1"/>
        <w:rPr>
          <w:rFonts w:hint="eastAsia" w:ascii="黑体" w:hAnsi="黑体" w:eastAsia="黑体"/>
          <w:b/>
          <w:color w:val="auto"/>
          <w:kern w:val="2"/>
          <w:sz w:val="32"/>
          <w:szCs w:val="24"/>
          <w:highlight w:val="none"/>
          <w:lang w:val="zh-CN"/>
        </w:rPr>
      </w:pPr>
      <w:bookmarkStart w:id="15" w:name="_Toc16390"/>
      <w:r>
        <w:rPr>
          <w:rFonts w:hint="eastAsia" w:ascii="黑体" w:hAnsi="黑体" w:eastAsia="黑体"/>
          <w:color w:val="000000"/>
          <w:kern w:val="2"/>
          <w:sz w:val="32"/>
          <w:szCs w:val="24"/>
          <w:highlight w:val="none"/>
          <w:lang w:val="zh-CN"/>
        </w:rPr>
        <w:t>十</w:t>
      </w:r>
      <w:r>
        <w:rPr>
          <w:rFonts w:hint="eastAsia" w:ascii="黑体" w:hAnsi="黑体" w:eastAsia="黑体"/>
          <w:b/>
          <w:color w:val="auto"/>
          <w:kern w:val="2"/>
          <w:sz w:val="32"/>
          <w:szCs w:val="24"/>
          <w:highlight w:val="none"/>
          <w:lang w:val="zh-CN"/>
        </w:rPr>
        <w:t>、</w:t>
      </w:r>
      <w:r>
        <w:rPr>
          <w:rFonts w:hint="eastAsia" w:ascii="黑体" w:hAnsi="黑体" w:eastAsia="黑体"/>
          <w:color w:val="auto"/>
          <w:kern w:val="2"/>
          <w:sz w:val="32"/>
          <w:szCs w:val="24"/>
          <w:highlight w:val="none"/>
          <w:lang w:val="zh-CN"/>
        </w:rPr>
        <w:t>其他重要事项的情况说明</w:t>
      </w:r>
      <w:bookmarkEnd w:id="15"/>
    </w:p>
    <w:p>
      <w:pPr>
        <w:keepNext/>
        <w:keepLines/>
        <w:spacing w:beforeLines="0" w:afterLines="0" w:line="576" w:lineRule="exact"/>
        <w:ind w:firstLine="643"/>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2022年，四川省广元市自然资源局经济开发区事务中心机关运行经费支出36.33万元，比2021年增加0</w:t>
      </w:r>
      <w:r>
        <w:rPr>
          <w:rFonts w:hint="eastAsia" w:ascii="仿宋_GB2312" w:hAnsi="仿宋_GB2312" w:eastAsia="仿宋_GB2312"/>
          <w:color w:val="000000"/>
          <w:kern w:val="2"/>
          <w:sz w:val="32"/>
          <w:szCs w:val="24"/>
          <w:highlight w:val="none"/>
          <w:lang w:val="en-US" w:eastAsia="zh-CN"/>
        </w:rPr>
        <w:t>.24</w:t>
      </w:r>
      <w:r>
        <w:rPr>
          <w:rFonts w:hint="eastAsia" w:ascii="仿宋_GB2312" w:hAnsi="仿宋_GB2312" w:eastAsia="仿宋_GB2312"/>
          <w:color w:val="000000"/>
          <w:kern w:val="2"/>
          <w:sz w:val="32"/>
          <w:szCs w:val="24"/>
          <w:highlight w:val="none"/>
          <w:lang w:val="zh-CN"/>
        </w:rPr>
        <w:t>万元，增长</w:t>
      </w:r>
      <w:r>
        <w:rPr>
          <w:rFonts w:hint="eastAsia" w:ascii="仿宋_GB2312" w:hAnsi="仿宋_GB2312" w:eastAsia="仿宋_GB2312"/>
          <w:color w:val="000000"/>
          <w:kern w:val="2"/>
          <w:sz w:val="32"/>
          <w:szCs w:val="24"/>
          <w:highlight w:val="none"/>
          <w:lang w:val="en-US" w:eastAsia="zh-CN"/>
        </w:rPr>
        <w:t>0.6</w:t>
      </w:r>
      <w:r>
        <w:rPr>
          <w:rFonts w:hint="eastAsia" w:ascii="仿宋_GB2312" w:hAnsi="仿宋_GB2312" w:eastAsia="仿宋_GB2312"/>
          <w:color w:val="000000"/>
          <w:kern w:val="2"/>
          <w:sz w:val="32"/>
          <w:szCs w:val="24"/>
          <w:highlight w:val="none"/>
          <w:lang w:val="zh-CN"/>
        </w:rPr>
        <w:t>%。主要原因是单位人员变动，公用经费增加。</w:t>
      </w:r>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四川省广元市自然资源局经济开发区事务中心政府采购支出总额0万元，其中：政府采购货物支出0万元、政府采购工程支出0万元、政府采购服务支出0万元。授予中小企业合同金额0万元，占政府采购支出总额的0%，其中：授予小微企业合同金额0万元，</w:t>
      </w:r>
      <w:r>
        <w:rPr>
          <w:rFonts w:hint="eastAsia" w:ascii="仿宋_GB2312" w:hAnsi="仿宋_GB2312" w:eastAsia="仿宋_GB2312"/>
          <w:color w:val="auto"/>
          <w:kern w:val="2"/>
          <w:sz w:val="32"/>
          <w:szCs w:val="24"/>
          <w:highlight w:val="none"/>
          <w:lang w:val="en-US"/>
        </w:rPr>
        <w:t>占政府采购支出总额的</w:t>
      </w:r>
      <w:r>
        <w:rPr>
          <w:rFonts w:hint="eastAsia" w:ascii="仿宋_GB2312" w:hAnsi="仿宋_GB2312" w:eastAsia="仿宋_GB2312"/>
          <w:color w:val="000000"/>
          <w:kern w:val="2"/>
          <w:sz w:val="32"/>
          <w:szCs w:val="24"/>
          <w:highlight w:val="none"/>
          <w:lang w:val="zh-CN"/>
        </w:rPr>
        <w:t>0%。</w:t>
      </w:r>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（三）国有资产占有使用情况</w:t>
      </w:r>
    </w:p>
    <w:p>
      <w:pPr>
        <w:spacing w:beforeLines="0" w:afterLines="0" w:line="576" w:lineRule="exact"/>
        <w:ind w:firstLine="640"/>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截至2022年12月31日，四川省广元市自然资源局经济开发区事务中心共有车辆0辆，车改后我单位无公务用车。单价100万元（含）以上设备0台（套）。</w:t>
      </w:r>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（四）预算绩效管理情况。</w:t>
      </w:r>
    </w:p>
    <w:p>
      <w:pPr>
        <w:spacing w:beforeLines="0" w:afterLines="0" w:line="576" w:lineRule="exact"/>
        <w:ind w:firstLine="643"/>
        <w:jc w:val="both"/>
        <w:rPr>
          <w:rFonts w:hint="eastAsia" w:ascii="仿宋_GB2312" w:hAnsi="仿宋_GB2312" w:eastAsia="仿宋_GB2312"/>
          <w:color w:val="auto"/>
          <w:kern w:val="2"/>
          <w:sz w:val="32"/>
          <w:szCs w:val="24"/>
          <w:highlight w:val="none"/>
          <w:lang w:val="en-US"/>
        </w:rPr>
      </w:pPr>
      <w:r>
        <w:rPr>
          <w:rFonts w:hint="eastAsia" w:ascii="仿宋_GB2312" w:hAnsi="仿宋_GB2312" w:eastAsia="仿宋_GB2312"/>
          <w:color w:val="auto"/>
          <w:kern w:val="2"/>
          <w:sz w:val="32"/>
          <w:szCs w:val="24"/>
          <w:highlight w:val="none"/>
          <w:lang w:val="en-US"/>
        </w:rPr>
        <w:t>根据预算绩效管理要求，本单位在202</w:t>
      </w:r>
      <w:r>
        <w:rPr>
          <w:rFonts w:hint="eastAsia" w:ascii="宋体" w:hAnsi="宋体" w:eastAsia="宋体"/>
          <w:color w:val="auto"/>
          <w:kern w:val="2"/>
          <w:sz w:val="32"/>
          <w:szCs w:val="24"/>
          <w:highlight w:val="none"/>
          <w:lang w:val="en-US"/>
        </w:rPr>
        <w:t>2</w:t>
      </w:r>
      <w:r>
        <w:rPr>
          <w:rFonts w:hint="eastAsia" w:ascii="仿宋_GB2312" w:hAnsi="仿宋_GB2312" w:eastAsia="仿宋_GB2312"/>
          <w:color w:val="auto"/>
          <w:kern w:val="2"/>
          <w:sz w:val="32"/>
          <w:szCs w:val="24"/>
          <w:highlight w:val="none"/>
          <w:lang w:val="en-US"/>
        </w:rPr>
        <w:t>年度预算编制阶段，</w:t>
      </w:r>
      <w:r>
        <w:rPr>
          <w:rFonts w:hint="eastAsia" w:ascii="仿宋_GB2312" w:hAnsi="仿宋_GB2312" w:eastAsia="仿宋_GB2312"/>
          <w:color w:val="auto"/>
          <w:kern w:val="2"/>
          <w:sz w:val="32"/>
          <w:szCs w:val="24"/>
          <w:highlight w:val="none"/>
          <w:lang w:val="en-US" w:eastAsia="zh-CN"/>
        </w:rPr>
        <w:t>未</w:t>
      </w:r>
      <w:r>
        <w:rPr>
          <w:rFonts w:hint="eastAsia" w:ascii="仿宋_GB2312" w:hAnsi="仿宋_GB2312" w:eastAsia="仿宋_GB2312"/>
          <w:color w:val="auto"/>
          <w:kern w:val="2"/>
          <w:sz w:val="32"/>
          <w:szCs w:val="24"/>
          <w:highlight w:val="none"/>
          <w:lang w:val="en-US"/>
        </w:rPr>
        <w:t>开展预算事前绩效评估，对</w:t>
      </w:r>
      <w:r>
        <w:rPr>
          <w:rFonts w:hint="eastAsia" w:ascii="仿宋_GB2312" w:hAnsi="仿宋_GB2312" w:eastAsia="仿宋_GB2312"/>
          <w:color w:val="auto"/>
          <w:kern w:val="2"/>
          <w:sz w:val="32"/>
          <w:szCs w:val="24"/>
          <w:highlight w:val="none"/>
          <w:lang w:val="en-US" w:eastAsia="zh-CN"/>
        </w:rPr>
        <w:t>16</w:t>
      </w:r>
      <w:r>
        <w:rPr>
          <w:rFonts w:hint="eastAsia" w:ascii="仿宋_GB2312" w:hAnsi="仿宋_GB2312" w:eastAsia="仿宋_GB2312"/>
          <w:color w:val="auto"/>
          <w:kern w:val="2"/>
          <w:sz w:val="32"/>
          <w:szCs w:val="24"/>
          <w:highlight w:val="none"/>
          <w:lang w:val="en-US"/>
        </w:rPr>
        <w:t>个项目编制了绩效目标，预算执行过程中，选取</w:t>
      </w:r>
      <w:r>
        <w:rPr>
          <w:rFonts w:hint="eastAsia" w:ascii="仿宋_GB2312" w:hAnsi="仿宋_GB2312" w:eastAsia="仿宋_GB2312"/>
          <w:color w:val="auto"/>
          <w:kern w:val="2"/>
          <w:sz w:val="32"/>
          <w:szCs w:val="24"/>
          <w:highlight w:val="none"/>
          <w:lang w:val="en-US" w:eastAsia="zh-CN"/>
        </w:rPr>
        <w:t>16</w:t>
      </w:r>
      <w:r>
        <w:rPr>
          <w:rFonts w:hint="eastAsia" w:ascii="仿宋_GB2312" w:hAnsi="仿宋_GB2312" w:eastAsia="仿宋_GB2312"/>
          <w:color w:val="auto"/>
          <w:kern w:val="2"/>
          <w:sz w:val="32"/>
          <w:szCs w:val="24"/>
          <w:highlight w:val="none"/>
          <w:lang w:val="en-US"/>
        </w:rPr>
        <w:t>个项目开展绩效监控，组织对</w:t>
      </w:r>
      <w:r>
        <w:rPr>
          <w:rFonts w:hint="eastAsia" w:ascii="仿宋_GB2312" w:hAnsi="仿宋_GB2312" w:eastAsia="仿宋_GB2312"/>
          <w:color w:val="auto"/>
          <w:kern w:val="2"/>
          <w:sz w:val="32"/>
          <w:szCs w:val="24"/>
          <w:highlight w:val="none"/>
          <w:lang w:val="en-US" w:eastAsia="zh-CN"/>
        </w:rPr>
        <w:t>16</w:t>
      </w:r>
      <w:r>
        <w:rPr>
          <w:rFonts w:hint="eastAsia" w:ascii="仿宋_GB2312" w:hAnsi="仿宋_GB2312" w:eastAsia="仿宋_GB2312"/>
          <w:color w:val="auto"/>
          <w:kern w:val="2"/>
          <w:sz w:val="32"/>
          <w:szCs w:val="24"/>
          <w:highlight w:val="none"/>
          <w:lang w:val="en-US"/>
        </w:rPr>
        <w:t>个项目开展绩效自评，绩效自评表详见第四部分附件。</w:t>
      </w:r>
    </w:p>
    <w:p>
      <w:pPr>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p>
    <w:p>
      <w:pPr>
        <w:keepNext/>
        <w:keepLines/>
        <w:spacing w:beforeLines="0" w:afterLines="0" w:line="576" w:lineRule="exact"/>
        <w:jc w:val="center"/>
        <w:outlineLvl w:val="0"/>
        <w:rPr>
          <w:rFonts w:hint="eastAsia" w:ascii="黑体" w:hAnsi="黑体" w:eastAsia="黑体"/>
          <w:color w:val="auto"/>
          <w:kern w:val="44"/>
          <w:sz w:val="44"/>
          <w:szCs w:val="24"/>
          <w:highlight w:val="none"/>
          <w:lang w:val="zh-CN"/>
        </w:rPr>
      </w:pPr>
      <w:bookmarkStart w:id="16" w:name="_Toc32521"/>
      <w:r>
        <w:rPr>
          <w:rFonts w:hint="eastAsia" w:ascii="黑体" w:hAnsi="黑体" w:eastAsia="黑体"/>
          <w:color w:val="000000"/>
          <w:kern w:val="2"/>
          <w:sz w:val="44"/>
          <w:szCs w:val="24"/>
          <w:highlight w:val="none"/>
          <w:lang w:val="zh-CN"/>
        </w:rPr>
        <w:t>第三部分名</w:t>
      </w:r>
      <w:r>
        <w:rPr>
          <w:rFonts w:hint="eastAsia" w:ascii="黑体" w:hAnsi="黑体" w:eastAsia="黑体"/>
          <w:color w:val="auto"/>
          <w:kern w:val="44"/>
          <w:sz w:val="44"/>
          <w:szCs w:val="24"/>
          <w:highlight w:val="none"/>
          <w:lang w:val="zh-CN"/>
        </w:rPr>
        <w:t>词解释</w:t>
      </w:r>
      <w:bookmarkEnd w:id="16"/>
    </w:p>
    <w:p>
      <w:pPr>
        <w:numPr>
          <w:ilvl w:val="0"/>
          <w:numId w:val="1"/>
        </w:numPr>
        <w:spacing w:beforeLines="0" w:afterLines="0" w:line="576" w:lineRule="exact"/>
        <w:ind w:left="0" w:leftChars="0" w:firstLine="400" w:firstLineChars="0"/>
        <w:rPr>
          <w:rFonts w:hint="eastAsia" w:ascii="仿宋_GB2312" w:hAnsi="仿宋_GB2312" w:eastAsia="仿宋_GB2312"/>
          <w:color w:val="000000"/>
          <w:sz w:val="32"/>
          <w:szCs w:val="24"/>
          <w:highlight w:val="none"/>
          <w:lang w:val="en-US"/>
        </w:rPr>
      </w:pPr>
      <w:r>
        <w:rPr>
          <w:rFonts w:hint="eastAsia" w:ascii="仿宋_GB2312" w:hAnsi="仿宋_GB2312" w:eastAsia="仿宋_GB2312"/>
          <w:color w:val="000000"/>
          <w:sz w:val="32"/>
          <w:szCs w:val="24"/>
          <w:highlight w:val="none"/>
          <w:lang w:val="en-US"/>
        </w:rPr>
        <w:t>财政拨款收入：指单位从同级财政部门取得的财政预算资金。</w:t>
      </w:r>
    </w:p>
    <w:p>
      <w:pPr>
        <w:numPr>
          <w:ilvl w:val="0"/>
          <w:numId w:val="1"/>
        </w:numPr>
        <w:spacing w:beforeLines="0" w:afterLines="0" w:line="576" w:lineRule="exact"/>
        <w:ind w:left="0" w:leftChars="0" w:firstLine="400" w:firstLineChars="0"/>
        <w:rPr>
          <w:rFonts w:hint="eastAsia" w:ascii="仿宋_GB2312" w:hAnsi="仿宋_GB2312" w:eastAsia="仿宋_GB2312"/>
          <w:color w:val="000000"/>
          <w:sz w:val="32"/>
          <w:szCs w:val="24"/>
          <w:highlight w:val="none"/>
          <w:lang w:val="en-US"/>
        </w:rPr>
      </w:pPr>
      <w:r>
        <w:rPr>
          <w:rFonts w:hint="eastAsia" w:ascii="仿宋_GB2312" w:hAnsi="仿宋_GB2312" w:eastAsia="仿宋_GB2312"/>
          <w:color w:val="000000"/>
          <w:sz w:val="32"/>
          <w:szCs w:val="24"/>
          <w:highlight w:val="none"/>
          <w:lang w:val="en-US"/>
        </w:rPr>
        <w:t>其他收入：指单位取得的除上述收入以外的各项收入。主要是</w:t>
      </w:r>
      <w:r>
        <w:rPr>
          <w:rFonts w:hint="eastAsia" w:ascii="仿宋_GB2312" w:hAnsi="仿宋_GB2312" w:eastAsia="仿宋_GB2312"/>
          <w:color w:val="000000"/>
          <w:sz w:val="32"/>
          <w:szCs w:val="24"/>
          <w:highlight w:val="none"/>
          <w:lang w:val="en-US" w:eastAsia="zh-CN"/>
        </w:rPr>
        <w:t>开发区财政拨款收入</w:t>
      </w:r>
      <w:r>
        <w:rPr>
          <w:rFonts w:hint="eastAsia" w:ascii="仿宋_GB2312" w:hAnsi="仿宋_GB2312" w:eastAsia="仿宋_GB2312"/>
          <w:color w:val="000000"/>
          <w:sz w:val="32"/>
          <w:szCs w:val="24"/>
          <w:highlight w:val="none"/>
          <w:lang w:val="en-US"/>
        </w:rPr>
        <w:t>。</w:t>
      </w:r>
    </w:p>
    <w:p>
      <w:pPr>
        <w:numPr>
          <w:ilvl w:val="0"/>
          <w:numId w:val="1"/>
        </w:numPr>
        <w:spacing w:beforeLines="0" w:afterLines="0" w:line="576" w:lineRule="exact"/>
        <w:ind w:left="0" w:leftChars="0" w:firstLine="400" w:firstLineChars="0"/>
        <w:jc w:val="both"/>
        <w:rPr>
          <w:rFonts w:hint="eastAsia" w:ascii="仿宋_GB2312" w:hAnsi="仿宋_GB2312" w:eastAsia="仿宋_GB2312"/>
          <w:color w:val="000000"/>
          <w:kern w:val="2"/>
          <w:sz w:val="32"/>
          <w:szCs w:val="24"/>
          <w:highlight w:val="none"/>
          <w:lang w:val="en-US"/>
        </w:rPr>
      </w:pP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行政单位离退休</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olor w:val="000000"/>
          <w:kern w:val="2"/>
          <w:sz w:val="32"/>
          <w:szCs w:val="24"/>
          <w:highlight w:val="none"/>
          <w:lang w:val="en-US"/>
        </w:rPr>
        <w:t>：指</w:t>
      </w:r>
      <w:r>
        <w:rPr>
          <w:rFonts w:hint="eastAsia" w:ascii="仿宋_GB2312" w:hAnsi="仿宋_GB2312" w:eastAsia="仿宋_GB2312"/>
          <w:color w:val="000000"/>
          <w:kern w:val="2"/>
          <w:sz w:val="32"/>
          <w:szCs w:val="24"/>
          <w:highlight w:val="none"/>
          <w:lang w:val="en-US" w:eastAsia="zh-CN"/>
        </w:rPr>
        <w:t>行政单位（包括实行公务员管理的事业单位）开支的离退休经费</w:t>
      </w:r>
      <w:r>
        <w:rPr>
          <w:rFonts w:hint="eastAsia" w:ascii="仿宋_GB2312" w:hAnsi="仿宋_GB2312" w:eastAsia="仿宋_GB2312"/>
          <w:color w:val="000000"/>
          <w:kern w:val="2"/>
          <w:sz w:val="32"/>
          <w:szCs w:val="24"/>
          <w:highlight w:val="none"/>
          <w:lang w:val="en-US"/>
        </w:rPr>
        <w:t>。</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机关事业单位基本养老保险缴费支出</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：指机关事业单位实施养老保险制度由单位缴纳的基本养老保险费支出。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机关事业职业年金缴费支出</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：指机关事业单位实施养老保险制度由单位实际缴纳的职业年金支出。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color w:val="auto"/>
          <w:sz w:val="32"/>
          <w:szCs w:val="32"/>
          <w:highlight w:val="none"/>
        </w:rPr>
        <w:t>社会保障</w:t>
      </w:r>
      <w:r>
        <w:rPr>
          <w:rFonts w:hint="eastAsia" w:ascii="仿宋_GB2312" w:hAnsi="仿宋_GB2312" w:eastAsia="仿宋_GB2312" w:cs="仿宋_GB2312"/>
          <w:b w:val="0"/>
          <w:bCs/>
          <w:color w:val="000000"/>
          <w:kern w:val="2"/>
          <w:sz w:val="32"/>
          <w:szCs w:val="24"/>
          <w:highlight w:val="none"/>
          <w:lang w:val="en-US" w:eastAsia="zh-CN"/>
        </w:rPr>
        <w:t>和就业支出（类）其他社会保障和就业支出（款）其他社会保障和就业支出（项）：指其他用于社会保障和就业方面的支出。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卫生健康支出（类）行政事业单位医疗（款）行政单位医疗（项）：指财政部门安排的行政单位（包括实行公务员管理的事业单位）基本医疗保险缴费经费。</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自然资源海洋气象等支出（类）自然资源事务（款）行政运行（项）：指行政单位（包括实行公务员管理的事业单位）的基本支出。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自然资源海洋气象等（类）自然资源事务（款）一般行政管理事务行（项）：指局事业单位开展自然资源综合业务专门性自然资源管理工作的项目支出。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自然资源海洋气象等支出（类）自然资源事务（款）自然资源利用与保护（项）：指用于自然资源有偿使用与合理开发利用，国土空间修复，国土整治，耕地保护等方面的支出。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自然资源海洋气象等支出（类）自然资源事务（款）事业运行（项）：指我单位其他事业人员的基本支出。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自然资源海洋气象等支出（类）自然资源事务（款）其他自然资源事务支出（项）：指用于其他自然资源事务支出。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住房保障支出（类）住房改革（款）住房公积金（项）：指反映行政事业单位按人力资源和社会保障部、财政部规定的基本工资和津贴补贴及规定比例为职工缴纳的住房公积金。</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灾害防治及应急管理（类）自然灾害防治（款）地质灾害防治（项）：指用于地质灾害防治方面的支出。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基本支出：指为保障机构正常运转、完成日常工作任务而发生的人员支出和公用支出。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项目支出：指在基本支出之外为完成特定行政任务和事业发展目标所发生的支出。</w:t>
      </w:r>
    </w:p>
    <w:p>
      <w:pPr>
        <w:numPr>
          <w:ilvl w:val="0"/>
          <w:numId w:val="1"/>
        </w:numPr>
        <w:spacing w:beforeLines="0" w:afterLines="0" w:line="576" w:lineRule="exact"/>
        <w:ind w:left="0" w:leftChars="0" w:firstLine="400" w:firstLineChars="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olor w:val="000000"/>
          <w:sz w:val="32"/>
          <w:szCs w:val="24"/>
          <w:highlight w:val="none"/>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w:t>
      </w:r>
      <w:r>
        <w:rPr>
          <w:rFonts w:hint="eastAsia" w:ascii="仿宋_GB2312" w:hAnsi="仿宋_GB2312" w:eastAsia="仿宋_GB2312" w:cs="仿宋_GB2312"/>
          <w:color w:val="000000"/>
          <w:sz w:val="32"/>
          <w:szCs w:val="24"/>
          <w:highlight w:val="none"/>
          <w:lang w:val="en-US"/>
        </w:rPr>
        <w:t>映单位公务用车车辆购置支出（含车辆购置税）及租用费、燃料费、维修费、过路过桥费、保险费等支出；公务接待费反映单位按规定开支的各类公务接待支出。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s="仿宋_GB2312"/>
          <w:color w:val="000000"/>
          <w:sz w:val="32"/>
          <w:szCs w:val="24"/>
          <w:highlight w:val="none"/>
          <w:lang w:val="en-US"/>
        </w:rPr>
        <w:t>机关运行经费：</w:t>
      </w:r>
      <w:r>
        <w:rPr>
          <w:rFonts w:hint="eastAsia" w:ascii="仿宋_GB2312" w:hAnsi="仿宋_GB2312" w:eastAsia="仿宋_GB2312" w:cs="仿宋_GB2312"/>
          <w:color w:val="auto"/>
          <w:sz w:val="32"/>
          <w:szCs w:val="24"/>
          <w:highlight w:val="none"/>
          <w:lang w:val="en-US"/>
        </w:rPr>
        <w:t>为保障行政单位（含参照公务员法管理的事业单位）运行用于购买货物和服务的各项资金，包括</w:t>
      </w:r>
      <w:r>
        <w:rPr>
          <w:rFonts w:hint="eastAsia" w:ascii="仿宋_GB2312" w:hAnsi="仿宋_GB2312" w:eastAsia="仿宋_GB2312" w:cs="仿宋_GB2312"/>
          <w:color w:val="auto"/>
          <w:kern w:val="2"/>
          <w:sz w:val="32"/>
          <w:szCs w:val="24"/>
          <w:highlight w:val="none"/>
          <w:lang w:val="en-US"/>
        </w:rPr>
        <w:t>办公费、印刷费、手续费、水费、邮电费、差旅费、培训费、公务接待费、工会经费、福利费、</w:t>
      </w:r>
      <w:r>
        <w:rPr>
          <w:rFonts w:hint="eastAsia" w:ascii="仿宋" w:hAnsi="仿宋" w:eastAsia="仿宋"/>
          <w:color w:val="auto"/>
          <w:kern w:val="2"/>
          <w:sz w:val="32"/>
          <w:szCs w:val="24"/>
          <w:highlight w:val="none"/>
          <w:lang w:val="en-US"/>
        </w:rPr>
        <w:t>其他交通费、其他商品和服务支出等</w:t>
      </w:r>
      <w:r>
        <w:rPr>
          <w:rFonts w:hint="eastAsia" w:ascii="仿宋_GB2312" w:hAnsi="仿宋_GB2312" w:eastAsia="仿宋_GB2312"/>
          <w:color w:val="000000"/>
          <w:kern w:val="2"/>
          <w:sz w:val="32"/>
          <w:szCs w:val="24"/>
          <w:highlight w:val="none"/>
          <w:lang w:val="zh-CN"/>
        </w:rPr>
        <w:t>。</w:t>
      </w:r>
    </w:p>
    <w:p>
      <w:pPr>
        <w:spacing w:beforeLines="0" w:afterLines="0" w:line="560" w:lineRule="exact"/>
        <w:ind w:firstLine="640"/>
        <w:rPr>
          <w:rFonts w:hint="eastAsia" w:ascii="仿宋_GB2312" w:hAnsi="仿宋_GB2312" w:eastAsia="仿宋_GB2312"/>
          <w:color w:val="auto"/>
          <w:sz w:val="32"/>
          <w:szCs w:val="24"/>
          <w:highlight w:val="none"/>
          <w:lang w:val="en-US"/>
        </w:rPr>
      </w:pPr>
    </w:p>
    <w:p>
      <w:pPr>
        <w:spacing w:beforeLines="0" w:afterLines="0" w:line="600" w:lineRule="exact"/>
        <w:jc w:val="center"/>
        <w:rPr>
          <w:rFonts w:hint="eastAsia" w:ascii="黑体" w:hAnsi="黑体" w:eastAsia="黑体"/>
          <w:color w:val="auto"/>
          <w:kern w:val="2"/>
          <w:sz w:val="44"/>
          <w:szCs w:val="24"/>
          <w:highlight w:val="none"/>
          <w:lang w:val="en-US"/>
        </w:rPr>
      </w:pPr>
    </w:p>
    <w:p>
      <w:pPr>
        <w:spacing w:beforeLines="0" w:afterLines="0" w:line="600" w:lineRule="exact"/>
        <w:jc w:val="center"/>
        <w:rPr>
          <w:rFonts w:hint="eastAsia" w:ascii="黑体" w:hAnsi="黑体" w:eastAsia="黑体"/>
          <w:color w:val="auto"/>
          <w:kern w:val="2"/>
          <w:sz w:val="44"/>
          <w:szCs w:val="24"/>
          <w:highlight w:val="none"/>
          <w:lang w:val="en-US"/>
        </w:rPr>
      </w:pPr>
    </w:p>
    <w:p>
      <w:pPr>
        <w:rPr>
          <w:rFonts w:hint="eastAsia" w:ascii="黑体" w:hAnsi="黑体" w:eastAsia="黑体"/>
          <w:color w:val="auto"/>
          <w:kern w:val="2"/>
          <w:sz w:val="44"/>
          <w:szCs w:val="24"/>
          <w:highlight w:val="none"/>
          <w:lang w:val="en-US"/>
        </w:rPr>
      </w:pPr>
      <w:r>
        <w:rPr>
          <w:rFonts w:hint="eastAsia" w:ascii="黑体" w:hAnsi="黑体" w:eastAsia="黑体"/>
          <w:color w:val="auto"/>
          <w:kern w:val="2"/>
          <w:sz w:val="44"/>
          <w:szCs w:val="24"/>
          <w:highlight w:val="none"/>
          <w:lang w:val="en-US"/>
        </w:rPr>
        <w:br w:type="page"/>
      </w:r>
    </w:p>
    <w:p>
      <w:pPr>
        <w:spacing w:beforeLines="0" w:afterLines="0" w:line="600" w:lineRule="exact"/>
        <w:jc w:val="center"/>
        <w:outlineLvl w:val="0"/>
        <w:rPr>
          <w:rFonts w:hint="eastAsia" w:ascii="黑体" w:hAnsi="黑体" w:eastAsia="黑体"/>
          <w:color w:val="auto"/>
          <w:kern w:val="44"/>
          <w:sz w:val="44"/>
          <w:szCs w:val="24"/>
          <w:highlight w:val="none"/>
          <w:lang w:val="en-US"/>
        </w:rPr>
      </w:pPr>
      <w:bookmarkStart w:id="17" w:name="_Toc20204"/>
      <w:r>
        <w:rPr>
          <w:rFonts w:hint="eastAsia" w:ascii="黑体" w:hAnsi="黑体" w:eastAsia="黑体"/>
          <w:color w:val="auto"/>
          <w:kern w:val="2"/>
          <w:sz w:val="44"/>
          <w:szCs w:val="24"/>
          <w:highlight w:val="none"/>
          <w:lang w:val="en-US"/>
        </w:rPr>
        <w:t>第</w:t>
      </w:r>
      <w:r>
        <w:rPr>
          <w:rFonts w:hint="eastAsia" w:ascii="黑体" w:hAnsi="黑体" w:eastAsia="黑体"/>
          <w:color w:val="auto"/>
          <w:kern w:val="44"/>
          <w:sz w:val="44"/>
          <w:szCs w:val="24"/>
          <w:highlight w:val="none"/>
          <w:lang w:val="en-US"/>
        </w:rPr>
        <w:t>四部分附件</w:t>
      </w:r>
      <w:bookmarkEnd w:id="17"/>
    </w:p>
    <w:p>
      <w:pPr>
        <w:keepNext/>
        <w:keepLines/>
        <w:spacing w:beforeLines="0" w:afterLines="0" w:line="572" w:lineRule="exact"/>
        <w:rPr>
          <w:rFonts w:hint="eastAsia" w:ascii="仿宋_GB2312" w:hAnsi="仿宋_GB2312" w:eastAsia="仿宋_GB2312"/>
          <w:color w:val="auto"/>
          <w:kern w:val="2"/>
          <w:sz w:val="32"/>
          <w:szCs w:val="24"/>
          <w:highlight w:val="none"/>
          <w:lang w:val="en-US"/>
        </w:rPr>
      </w:pPr>
    </w:p>
    <w:p>
      <w:pPr>
        <w:spacing w:beforeLines="0" w:afterLines="0"/>
        <w:jc w:val="both"/>
        <w:rPr>
          <w:rFonts w:hint="eastAsia" w:ascii="黑体" w:hAnsi="黑体" w:eastAsia="黑体" w:cs="黑体"/>
          <w:color w:val="auto"/>
          <w:sz w:val="32"/>
          <w:szCs w:val="24"/>
          <w:highlight w:val="none"/>
          <w:lang w:val="en-US" w:eastAsia="zh-CN"/>
        </w:rPr>
      </w:pPr>
      <w:r>
        <w:rPr>
          <w:rFonts w:hint="eastAsia" w:ascii="黑体" w:hAnsi="黑体" w:eastAsia="黑体" w:cs="黑体"/>
          <w:color w:val="auto"/>
          <w:sz w:val="32"/>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1"/>
        <w:rPr>
          <w:rFonts w:hint="eastAsia" w:ascii="方正小标宋_GBK" w:eastAsia="方正小标宋_GBK"/>
          <w:bCs/>
          <w:sz w:val="44"/>
          <w:szCs w:val="44"/>
          <w:highlight w:val="none"/>
        </w:rPr>
      </w:pPr>
      <w:bookmarkStart w:id="18" w:name="_Toc14705"/>
      <w:r>
        <w:rPr>
          <w:rFonts w:hint="eastAsia" w:ascii="方正小标宋_GBK" w:eastAsia="方正小标宋_GBK"/>
          <w:bCs/>
          <w:sz w:val="44"/>
          <w:szCs w:val="44"/>
          <w:highlight w:val="none"/>
        </w:rPr>
        <w:t>广元市自然资源局经济开发区事务中心</w:t>
      </w:r>
      <w:bookmarkEnd w:id="18"/>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eastAsia="方正小标宋_GBK"/>
          <w:bCs/>
          <w:sz w:val="44"/>
          <w:szCs w:val="44"/>
          <w:highlight w:val="none"/>
          <w:lang w:eastAsia="zh-CN"/>
        </w:rPr>
        <w:sectPr>
          <w:footerReference r:id="rId5" w:type="default"/>
          <w:pgSz w:w="12240" w:h="15840"/>
          <w:pgMar w:top="1440" w:right="1800" w:bottom="1440" w:left="1800" w:header="720" w:footer="720" w:gutter="0"/>
          <w:lnNumType w:countBy="0" w:distance="360"/>
          <w:pgNumType w:fmt="decimal" w:start="1"/>
          <w:cols w:space="720" w:num="1"/>
        </w:sectPr>
      </w:pPr>
      <w:bookmarkStart w:id="19" w:name="_Toc10376"/>
      <w:r>
        <w:rPr>
          <w:rFonts w:hint="eastAsia" w:ascii="方正小标宋_GBK" w:eastAsia="方正小标宋_GBK"/>
          <w:bCs/>
          <w:sz w:val="44"/>
          <w:szCs w:val="44"/>
          <w:highlight w:val="none"/>
        </w:rPr>
        <w:t>2022年</w:t>
      </w:r>
      <w:r>
        <w:rPr>
          <w:rFonts w:hint="eastAsia" w:ascii="方正小标宋_GBK" w:eastAsia="方正小标宋_GBK"/>
          <w:bCs/>
          <w:sz w:val="44"/>
          <w:szCs w:val="44"/>
          <w:highlight w:val="none"/>
          <w:lang w:eastAsia="zh-CN"/>
        </w:rPr>
        <w:t>单位支出</w:t>
      </w:r>
      <w:r>
        <w:rPr>
          <w:rFonts w:hint="eastAsia" w:ascii="方正小标宋_GBK" w:eastAsia="方正小标宋_GBK"/>
          <w:bCs/>
          <w:sz w:val="44"/>
          <w:szCs w:val="44"/>
          <w:highlight w:val="none"/>
        </w:rPr>
        <w:t>绩效自评</w:t>
      </w:r>
      <w:r>
        <w:rPr>
          <w:rFonts w:hint="eastAsia" w:ascii="方正小标宋_GBK" w:eastAsia="方正小标宋_GBK"/>
          <w:bCs/>
          <w:sz w:val="44"/>
          <w:szCs w:val="44"/>
          <w:highlight w:val="none"/>
          <w:lang w:eastAsia="zh-CN"/>
        </w:rPr>
        <w:t>表</w:t>
      </w:r>
      <w:bookmarkEnd w:id="19"/>
    </w:p>
    <w:tbl>
      <w:tblPr>
        <w:tblStyle w:val="9"/>
        <w:tblW w:w="13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675"/>
        <w:gridCol w:w="987"/>
        <w:gridCol w:w="2275"/>
        <w:gridCol w:w="613"/>
        <w:gridCol w:w="650"/>
        <w:gridCol w:w="687"/>
        <w:gridCol w:w="1200"/>
        <w:gridCol w:w="925"/>
        <w:gridCol w:w="775"/>
        <w:gridCol w:w="2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3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2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4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严格执行相关政策，保障工资及时发放、足额发放，预算编制科学合理，减少结余资金</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严格执行相关政策，保障职工工资及时发放、足额发放，预算执行率100%。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保障人员工资按月足额发放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162.03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190.50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162.03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190.50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足额保障率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科目调整次数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时效指标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按时发放率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经济效益指标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结余率（计算方法为：结余数/预算数）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86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资金无结余，预算执行率100%。自评得分100分。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7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2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4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严格执行相关政策，保障工资及时发放、足额发放，预算编制科学合理，减少结余资金</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严格执行相关政策，保障工资及时发放、足额发放，无结余资金，预算执行率100%。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按月足额发放退休人员生活补助。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12.60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12.60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12.60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12.60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12.60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12.60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科目调整次数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足额保障率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时效指标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按时发放率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经济效益指标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结余率（计算方法为：结余数/预算数）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86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7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51000021Y000000011490-定额公用经费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2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4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保障单位日常运转，提高预算编制质量，严格执行预算</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保障单位日常运转，严格执行预算，严格执行单位财务管理制度完成支付。预算执行100%。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用于确保单位正常运转的办公费、邮电费、打印复印费、差旅费、培训费、其他商品服务等支出，有效推动单位工作高效完成。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14.40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14.32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14.40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14.32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tcBorders>
              <w:top w:val="single" w:color="000000" w:sz="4" w:space="0"/>
              <w:left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tcBorders>
              <w:top w:val="single" w:color="000000" w:sz="4" w:space="0"/>
              <w:left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tcBorders>
              <w:top w:val="single" w:color="000000" w:sz="4" w:space="0"/>
              <w:left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科目调整次数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质量指标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预算编制准确率（计算方法为：∣（执行数-预算数）/预算数∣）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经济效益指标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运转保障率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“三公经费”控制率[计算方法为：（三公经费实际支出数/预算安排数]×100%）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86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7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3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2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4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exac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保障单位日常运转，提高预算编制质量，严格执行预算</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保障单位日常运转，严格执行预算按月按进度支付相关费用，资金无结余，预算执行率100%。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保障单位日常运转，单位参公人员交通补贴按月足额发放，员工福利、工会、党建、退休人员活动经费，按《财务管理制度》报销。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15.25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15.25</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15.25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15.25</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exac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科目调整次数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质量指标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预算编制准确率（计算方法为：∣（执行数-预算数）/预算数∣）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经济效益指标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运转保障率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“三公经费”控制率[计算方法为：（三公经费实际支出数/预算安排数]×100%）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86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7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3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51080022R000000267546-工资性支出（事业）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2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4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严格执行相关政策，保障工资及时发放、足额发放，预算编制科学合理，减少结余资金</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严格执行相关政策，保障工资及时发放、足额发放，无结余资金，预算执行率100%。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按时足额发放事业人员工资。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31.26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61.30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61.30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31.26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61.30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61.30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科目调整次数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足额保障率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时效指标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按时发放率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经济效益指标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结余率（计算方法为：结余数/预算数）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22.5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自评得分100。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7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3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51080022R000006867036-退休“中人”一次性补贴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2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4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按财政预算文件全额支付退休“中人”一次性补贴，预算执行率100%。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退休“中人”一次性补贴，严格执行预算文件，足额发放到位。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6.79</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6.79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6.79</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6.79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足额保障率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时效指标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按时发放率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bookmarkStart w:id="33" w:name="_GoBack"/>
            <w:bookmarkEnd w:id="33"/>
            <w:r>
              <w:rPr>
                <w:rFonts w:hint="default" w:ascii="宋体" w:hAnsi="宋体" w:eastAsia="宋体" w:cs="宋体"/>
                <w:i w:val="0"/>
                <w:iCs w:val="0"/>
                <w:color w:val="000000"/>
                <w:kern w:val="0"/>
                <w:sz w:val="18"/>
                <w:szCs w:val="18"/>
                <w:highlight w:val="none"/>
                <w:u w:val="none"/>
                <w:lang w:val="en-US" w:eastAsia="zh-CN" w:bidi="ar"/>
              </w:rPr>
              <w:t>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经济效益指标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结余率（计算方法为：结余数/预算数）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自评得分100。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7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3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51080022R000006887034-职业年金做实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2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4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按财政预算文件职业年金做实，及时足额支付到位，预算执行率100%。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单位调出人员职业年金做实，及时足额支付职业年金归集账户。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4.57</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4.57</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足额保障率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时效指标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按时发放率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经济效益指标</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结余率（计算方法为：结余数/预算数）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自评得分100。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27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7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highlight w:val="none"/>
          <w:u w:val="none"/>
          <w:lang w:val="en-US" w:eastAsia="zh-CN" w:bidi="ar"/>
        </w:rPr>
      </w:pPr>
      <w:r>
        <w:rPr>
          <w:rFonts w:hint="eastAsia" w:ascii="黑体" w:hAnsi="宋体" w:eastAsia="黑体" w:cs="黑体"/>
          <w:b/>
          <w:bCs/>
          <w:i w:val="0"/>
          <w:iCs w:val="0"/>
          <w:color w:val="000000"/>
          <w:kern w:val="0"/>
          <w:sz w:val="30"/>
          <w:szCs w:val="30"/>
          <w:highlight w:val="none"/>
          <w:u w:val="none"/>
          <w:lang w:val="en-US" w:eastAsia="zh-CN" w:bidi="ar"/>
        </w:rPr>
        <w:br w:type="page"/>
      </w:r>
    </w:p>
    <w:tbl>
      <w:tblPr>
        <w:tblStyle w:val="9"/>
        <w:tblW w:w="14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2065"/>
        <w:gridCol w:w="1385"/>
        <w:gridCol w:w="2453"/>
        <w:gridCol w:w="992"/>
        <w:gridCol w:w="762"/>
        <w:gridCol w:w="1027"/>
        <w:gridCol w:w="1119"/>
        <w:gridCol w:w="785"/>
        <w:gridCol w:w="819"/>
        <w:gridCol w:w="2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143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17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51080022T000004917887-土地报征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6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11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3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6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5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6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通过开展组织听证，组卷土地报征工作，达到开发区项目用地合法化的目标。</w:t>
            </w:r>
          </w:p>
        </w:tc>
        <w:tc>
          <w:tcPr>
            <w:tcW w:w="5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全力保障项目用地。土地报征力度，倒排工期、定期督办，全年组卷上报7个批次，面积为1856亩，同比2021年增加1010亩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17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全力保障项目用地，组织听证协调村组被征收土地的村组人员的社保缴纳情况，组卷上报7个批次，面积为1856亩，同比2021年增加1010亩，协调省厅各部门对组卷报件批次审批通过率达到100%。协调各村组、协调省厅各部门出差次数75次。严格执行预算法，单位《财务管理制度》、《专项资金管理制度》专款专用，年末无结余资金、无挪用资金、无截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2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1.98</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1.98</w:t>
            </w:r>
          </w:p>
        </w:tc>
        <w:tc>
          <w:tcPr>
            <w:tcW w:w="2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1.98</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1.98</w:t>
            </w:r>
          </w:p>
        </w:tc>
        <w:tc>
          <w:tcPr>
            <w:tcW w:w="2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2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报征项目用地数量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公顷</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质量指标</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完成项目用地保征率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时效指标</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360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工作日</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成本指标</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组织听证，协调省厅差旅费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772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元/人·次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社会效益指标</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项目用地合法率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自评得分100分。通过开展组织听证，完成组卷上报7个批次，面积为1856亩，同比2021年增加1010亩。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需要协调村组对报征土地进行社保核算等，协调省厅各部门报征件的通过，工作经费严重不足，导致效率不高。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希望财政能增加土地报征工作经费。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68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highlight w:val="none"/>
          <w:u w:val="none"/>
          <w:lang w:val="en-US" w:eastAsia="zh-CN" w:bidi="ar"/>
        </w:rPr>
      </w:pPr>
      <w:r>
        <w:rPr>
          <w:rFonts w:hint="eastAsia" w:ascii="黑体" w:hAnsi="宋体" w:eastAsia="黑体" w:cs="黑体"/>
          <w:b/>
          <w:bCs/>
          <w:i w:val="0"/>
          <w:iCs w:val="0"/>
          <w:color w:val="000000"/>
          <w:kern w:val="0"/>
          <w:sz w:val="30"/>
          <w:szCs w:val="30"/>
          <w:highlight w:val="none"/>
          <w:u w:val="none"/>
          <w:lang w:val="en-US" w:eastAsia="zh-CN" w:bidi="ar"/>
        </w:rPr>
        <w:br w:type="page"/>
      </w:r>
    </w:p>
    <w:tbl>
      <w:tblPr>
        <w:tblStyle w:val="9"/>
        <w:tblW w:w="14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518"/>
        <w:gridCol w:w="242"/>
        <w:gridCol w:w="1500"/>
        <w:gridCol w:w="2643"/>
        <w:gridCol w:w="992"/>
        <w:gridCol w:w="1200"/>
        <w:gridCol w:w="854"/>
        <w:gridCol w:w="923"/>
        <w:gridCol w:w="92"/>
        <w:gridCol w:w="624"/>
        <w:gridCol w:w="622"/>
        <w:gridCol w:w="197"/>
        <w:gridCol w:w="459"/>
        <w:gridCol w:w="1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1435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5"/>
                <w:szCs w:val="15"/>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项目名称</w:t>
            </w:r>
          </w:p>
        </w:tc>
        <w:tc>
          <w:tcPr>
            <w:tcW w:w="120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51080022T000004937924-片区执法工作经费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主管部门</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广元市自然资源局部门</w:t>
            </w:r>
          </w:p>
        </w:tc>
        <w:tc>
          <w:tcPr>
            <w:tcW w:w="92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实施单位（盖章）</w:t>
            </w:r>
          </w:p>
        </w:tc>
        <w:tc>
          <w:tcPr>
            <w:tcW w:w="3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项目基本情况</w:t>
            </w:r>
          </w:p>
        </w:tc>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1.项目年度目标完成情况</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项目年度目标</w:t>
            </w:r>
          </w:p>
        </w:tc>
        <w:tc>
          <w:tcPr>
            <w:tcW w:w="48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通过开展城市建设规划常规巡视检查，工程建设规划常规检查，全年常规巡查巡视不少于144次；耕地保护卫片图版核实等工作，达到城市干净、整洁、各类工程建设合法化的目标。</w:t>
            </w:r>
          </w:p>
        </w:tc>
        <w:tc>
          <w:tcPr>
            <w:tcW w:w="48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一是坚决执行“早发现、早制止、严查处”的自然资源执法机制，全年开展动态巡查144余人次，依法依规查处违法案件4宗，结案4宗，收缴罚没款147.97万元，有效震慑了违法违规行为。二是按时按质完成2022年1—11月卫片执法17个图斑137.52亩土地的核查判定，审核通过率100%，均无违法用地。完成15宗历年卫片执法挂账问题整改，整改率97.22%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2.项目实施内容及过程概述</w:t>
            </w:r>
          </w:p>
        </w:tc>
        <w:tc>
          <w:tcPr>
            <w:tcW w:w="120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开展城市建设规划常规巡视检查，工程建设规划常规检查，巡查差旅，执法租车。严格执行预算法，单位《财务管理制度》、《专项资金管理制度》专款专用，年末无结余资金、无挪用资金、无截留资金。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预算执行情况（10分）</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年度预算数（万元）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年初预算</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调整后预算数</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预算执行数</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权重</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得分</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总额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23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其中：财政资金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财政专户管理资金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单位资金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绩效指标（90分）</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二级指标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度量单位</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权重</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得分</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产出指标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数量指标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城市规划常规巡视巡查不少于</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144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次</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144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30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30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耕地卫片图版核实</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个</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质量指标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完成率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时效指标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完成时间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2022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年</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2022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成本指标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执法租车费、差旅费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元</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20000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社会效益指标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城市环境美化率，耕地保护率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95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95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可持续影响指标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可持续影响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定性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优良中低差</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优</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05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评价结论</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自评得分100分。开展城市建设规划常规巡视检查，工程建设规划常规检查，全年常规巡查巡视等工作，取得成效：依法依规查处违法案件4宗，结案4宗，收缴罚没款147.97万元，有效震慑了违法违规行为。二是按时按质完成2022年1—11月卫片执法17个图斑137.52亩土地的核查判定，审核通过率100%，均无违法用地。完成15宗历年卫片执法挂账问题整改，整改率97.22%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存在问题</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由于机构调整，规划执法与卫片执法权下放我中心，我中心因无公务用车，执法用车需要租车，财政预算执法工作经费严重不足。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改进措施</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希望财政能根据工作量的增加适当增加工作经费预算。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项目负责人：杨岫奇</w:t>
            </w:r>
          </w:p>
        </w:tc>
        <w:tc>
          <w:tcPr>
            <w:tcW w:w="68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435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5"/>
                <w:szCs w:val="15"/>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20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51080022T000004937927-聘用人员经费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01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48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聘用人员工资、保险发放及时到位。</w:t>
            </w:r>
          </w:p>
        </w:tc>
        <w:tc>
          <w:tcPr>
            <w:tcW w:w="48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主要用于聘用人员工资保险支出。资金结余率0，预算执行率100%。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20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聘用人员工资按月及时发放。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42.00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42.00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42.00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42.00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42.00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42.00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质量指标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足额发放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8"/>
                <w:szCs w:val="18"/>
                <w:highlight w:val="none"/>
                <w:u w:val="none"/>
              </w:rPr>
            </w:pPr>
            <w:r>
              <w:rPr>
                <w:rFonts w:hint="eastAsia" w:ascii="微软雅黑" w:hAnsi="微软雅黑" w:eastAsia="微软雅黑" w:cs="微软雅黑"/>
                <w:i/>
                <w:iCs/>
                <w:color w:val="000000"/>
                <w:kern w:val="0"/>
                <w:sz w:val="18"/>
                <w:szCs w:val="18"/>
                <w:highlight w:val="none"/>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成本指标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人员工资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8"/>
                <w:szCs w:val="18"/>
                <w:highlight w:val="none"/>
                <w:u w:val="none"/>
              </w:rPr>
            </w:pPr>
            <w:r>
              <w:rPr>
                <w:rFonts w:hint="eastAsia" w:ascii="微软雅黑" w:hAnsi="微软雅黑" w:eastAsia="微软雅黑" w:cs="微软雅黑"/>
                <w:i/>
                <w:iCs/>
                <w:color w:val="000000"/>
                <w:kern w:val="0"/>
                <w:sz w:val="18"/>
                <w:szCs w:val="18"/>
                <w:highlight w:val="none"/>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社会效益指标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结余率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8"/>
                <w:szCs w:val="18"/>
                <w:highlight w:val="none"/>
                <w:u w:val="none"/>
              </w:rPr>
            </w:pPr>
            <w:r>
              <w:rPr>
                <w:rFonts w:hint="eastAsia" w:ascii="微软雅黑" w:hAnsi="微软雅黑" w:eastAsia="微软雅黑" w:cs="微软雅黑"/>
                <w:i/>
                <w:iCs/>
                <w:color w:val="000000"/>
                <w:kern w:val="0"/>
                <w:sz w:val="18"/>
                <w:szCs w:val="18"/>
                <w:highlight w:val="none"/>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资金无结余，预算执行率100%。自评得分100分。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68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435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5"/>
                <w:szCs w:val="15"/>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项目名称</w:t>
            </w:r>
          </w:p>
        </w:tc>
        <w:tc>
          <w:tcPr>
            <w:tcW w:w="120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51080022T000004937930-生态修复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主管部门</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广元市自然资源局部门</w:t>
            </w:r>
          </w:p>
        </w:tc>
        <w:tc>
          <w:tcPr>
            <w:tcW w:w="101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实施单位（盖章）</w:t>
            </w:r>
          </w:p>
        </w:tc>
        <w:tc>
          <w:tcPr>
            <w:tcW w:w="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项目基本情况</w:t>
            </w:r>
          </w:p>
        </w:tc>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1.项目年度目标完成情况</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项目年度目标</w:t>
            </w:r>
          </w:p>
        </w:tc>
        <w:tc>
          <w:tcPr>
            <w:tcW w:w="48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通过开展生态修复的工作，达到环境治理，减少地质灾害的发生，人民群众的生命财产不受损失的目标。</w:t>
            </w:r>
          </w:p>
        </w:tc>
        <w:tc>
          <w:tcPr>
            <w:tcW w:w="48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用于盘龙机场终端南山净空开挖区生态修复项目，生态修复项目面积13.89公顷。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2.项目实施内容及过程概述</w:t>
            </w:r>
          </w:p>
        </w:tc>
        <w:tc>
          <w:tcPr>
            <w:tcW w:w="120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用于盘龙机场终端南山净空开挖区生态修复项目，生态修复项目面积13.89公顷。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预算执行情况（10分）</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年度预算数（万元）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年初预算</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调整后预算数</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预算执行数</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权重</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得分</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总额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280.00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280.00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61.22</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21.86%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3</w:t>
            </w:r>
          </w:p>
        </w:tc>
        <w:tc>
          <w:tcPr>
            <w:tcW w:w="23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2021年开发区财政转中央财政补助资金结转金额280.00万元，用于盘龙机场终端南山净空开挖区生态修复项目，生态修复项目面积13.89公顷。该项目已完工，并完成审计，按合同约定支付款项。该项目经费结余资金约50.73万元，已被财政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其中：财政资金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财政专户管理资金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单位资金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280.00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280.00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61.22</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21.86%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gridSpan w:val="2"/>
            <w:tcBorders>
              <w:top w:val="single" w:color="000000" w:sz="4" w:space="0"/>
              <w:left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gridSpan w:val="2"/>
            <w:tcBorders>
              <w:top w:val="single" w:color="000000" w:sz="4" w:space="0"/>
              <w:left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绩效指标（90分）</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二级指标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度量单位</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权重</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得分</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质量指标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验收合格率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时效指标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完成时间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360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天</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成本指标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工程成本</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2800042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元</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生态效益指标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自然生态环境修复率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95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1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93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评价结论</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自评得分93分。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存在问题</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一是项目费用支付进度较慢，二是预算指标需要进一步细化。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改进措施</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一是与业务组室加强沟通，及时完成支付进度；二是加强预算编制学习，加强预算指标细化分解。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项目负责人：刘继光</w:t>
            </w:r>
          </w:p>
        </w:tc>
        <w:tc>
          <w:tcPr>
            <w:tcW w:w="68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435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5"/>
                <w:szCs w:val="15"/>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225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51080022T000004937939-地灾防治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74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01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74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48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4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通过开展汛期地灾隐患点巡查、隐患点群测群防人员培训、隐患点群众应急演练；汛期督导技术服务；3个隐患点工程治理；3个隐患点排查勘测设计等工作达到减少人民生命财产安全损失的目标。</w:t>
            </w:r>
          </w:p>
        </w:tc>
        <w:tc>
          <w:tcPr>
            <w:tcW w:w="48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开展孙家岩等3个地灾隐患点治理工程，开发区范围内6轮隐患排查，对16处隐患点落实监测员17名，开展培训宣传40场次，避险演练32场次，参与人数1000余人，切实提高群众临灾应变能力。极端气象预警期间，中心班子成员分组巡查、督导，全年发布预警信息1000余条，避险转移260人次，实现安全度汛。通过项目的实施，达到连续实现地灾隐患点“零”伤亡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225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开展开发区范围内地灾隐患排查6次，培训宣传40场次，避险演练32场次，发布预警信息1000余条，避险转移人员260人次。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107.09</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107.09</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16.16</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15.09%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5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5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5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107.09</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107.09</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16.16</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15.09%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5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5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17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汛期隐患点巡查</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次</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组织隐患点村组应急演练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场次</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群防群测人员培训</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场次</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质量指标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确保人民群众生命财产安全，零伤亡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成本指标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21个隐患点群测群防人员经费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3600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元/人年</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3个隐患点排查勘测设计费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219100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元</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巡查差旅费、租车费、培训费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元</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汛期督导技术服务费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80000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元</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疫情原因，汛期督导未能履行合同。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3个隐患点治理工程费用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540000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元</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疫情原因，3个隐患点治理工程进度未如期进行。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社会效益指标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减少人民群众财产损失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万元</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满意度指标</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服务对象满意度指标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隐患点周边群众满意度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85</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自评得分85分。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一是预算执行率低，由于疫情原因，三个治理工程项目未及时开展；二是预算指标细化有待加强。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37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一是与业务组室加强沟通，及时完成支付进度；二是加强预算编制学习，加强预算指标细化分解。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项目负责人：刘继光</w:t>
            </w:r>
          </w:p>
        </w:tc>
        <w:tc>
          <w:tcPr>
            <w:tcW w:w="68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6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2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015"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6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1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36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15"/>
          <w:szCs w:val="15"/>
          <w:highlight w:val="none"/>
          <w:u w:val="none"/>
          <w:lang w:val="en-US" w:eastAsia="zh-CN" w:bidi="ar"/>
        </w:rPr>
      </w:pPr>
      <w:r>
        <w:rPr>
          <w:rFonts w:hint="eastAsia" w:ascii="黑体" w:hAnsi="宋体" w:eastAsia="黑体" w:cs="黑体"/>
          <w:b/>
          <w:bCs/>
          <w:i w:val="0"/>
          <w:iCs w:val="0"/>
          <w:color w:val="000000"/>
          <w:kern w:val="0"/>
          <w:sz w:val="15"/>
          <w:szCs w:val="15"/>
          <w:highlight w:val="none"/>
          <w:u w:val="none"/>
          <w:lang w:val="en-US" w:eastAsia="zh-CN" w:bidi="ar"/>
        </w:rPr>
        <w:br w:type="page"/>
      </w:r>
    </w:p>
    <w:tbl>
      <w:tblPr>
        <w:tblStyle w:val="9"/>
        <w:tblW w:w="14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760"/>
        <w:gridCol w:w="1500"/>
        <w:gridCol w:w="2643"/>
        <w:gridCol w:w="992"/>
        <w:gridCol w:w="1200"/>
        <w:gridCol w:w="854"/>
        <w:gridCol w:w="1015"/>
        <w:gridCol w:w="624"/>
        <w:gridCol w:w="819"/>
        <w:gridCol w:w="2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43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5"/>
                <w:szCs w:val="15"/>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20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51080022T000004938232-土地利用与保护工作经费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0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3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4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通过开展规划指标落实、成片开发方案设计、编制规划选址方案，组卷报征；土地出让资料准备，项目用地实地踏勘；农村乱占耕地建房清理，图版上传，组卷归档；违反用地督查，违反用地卫片图版核查；项目用地征收补偿勘界地籍测绘等工作，达到开发区项目用地的合法化为目标。</w:t>
            </w:r>
          </w:p>
        </w:tc>
        <w:tc>
          <w:tcPr>
            <w:tcW w:w="4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一是全年大力推进流出耕地整改恢复，通过省厅审核面积325.7亩，超额60%完成任务，实现耕地净流入。二是土地供应要素保障，全年完成供应土地108宗，面积为3370.76亩，实现土地价款收入5.2亿元。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20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是全年大力推进流出耕地整改恢复，通过省厅审核面积325.7亩，超额60%完成任务，实现耕地净流入。二是土地供应要素保障，全年完成供应土地108宗，面积为3370.76亩，实现土地价款收入5.2亿元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15.50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15.50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14.61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94.26%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9.5</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15.50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15.50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14.61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94.26%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编制规划指标落实、成片开发方案，规划选址方案</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农房清理外业摸排，核查</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地籍测绘面积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14000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亩</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项目用地实地核查</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18000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亩</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质量指标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成本指标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开展上诉业务差旅费租车费、劳务费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95000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组卷归档打印费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聘请常年法律顾问咨询费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社会效益指标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问题落实整改率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可持续影响指标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可持续影响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定性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优良中低差</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99.5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预算执行率94.26%。自评得分99.5分。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预算指标有待完善细化。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加强预算编制学习，加强预算指标细化分解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68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6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2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0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6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3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tc>
        <w:tc>
          <w:tcPr>
            <w:tcW w:w="17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6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2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0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6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3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15"/>
          <w:szCs w:val="15"/>
          <w:highlight w:val="none"/>
          <w:u w:val="none"/>
          <w:lang w:val="en-US" w:eastAsia="zh-CN" w:bidi="ar"/>
        </w:rPr>
      </w:pPr>
      <w:r>
        <w:rPr>
          <w:rFonts w:hint="eastAsia" w:ascii="黑体" w:hAnsi="宋体" w:eastAsia="黑体" w:cs="黑体"/>
          <w:b/>
          <w:bCs/>
          <w:i w:val="0"/>
          <w:iCs w:val="0"/>
          <w:color w:val="000000"/>
          <w:kern w:val="0"/>
          <w:sz w:val="15"/>
          <w:szCs w:val="15"/>
          <w:highlight w:val="none"/>
          <w:u w:val="none"/>
          <w:lang w:val="en-US" w:eastAsia="zh-CN" w:bidi="ar"/>
        </w:rPr>
        <w:br w:type="page"/>
      </w:r>
    </w:p>
    <w:tbl>
      <w:tblPr>
        <w:tblStyle w:val="9"/>
        <w:tblW w:w="14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760"/>
        <w:gridCol w:w="1500"/>
        <w:gridCol w:w="2643"/>
        <w:gridCol w:w="992"/>
        <w:gridCol w:w="1200"/>
        <w:gridCol w:w="854"/>
        <w:gridCol w:w="1015"/>
        <w:gridCol w:w="624"/>
        <w:gridCol w:w="819"/>
        <w:gridCol w:w="2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143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5"/>
                <w:szCs w:val="15"/>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项目名称</w:t>
            </w:r>
          </w:p>
        </w:tc>
        <w:tc>
          <w:tcPr>
            <w:tcW w:w="120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51080022T000007244208-其他自然资源事务支出工作经费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主管部门</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广元市自然资源局部门</w:t>
            </w:r>
          </w:p>
        </w:tc>
        <w:tc>
          <w:tcPr>
            <w:tcW w:w="10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实施单位（盖章）</w:t>
            </w:r>
          </w:p>
        </w:tc>
        <w:tc>
          <w:tcPr>
            <w:tcW w:w="3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项目基本情况</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1.项目年度目标完成情况</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项目年度目标</w:t>
            </w:r>
          </w:p>
        </w:tc>
        <w:tc>
          <w:tcPr>
            <w:tcW w:w="4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通过开展自然资源其他事务工作，完成自然资源领域内政府规定的相关任务。</w:t>
            </w:r>
          </w:p>
        </w:tc>
        <w:tc>
          <w:tcPr>
            <w:tcW w:w="4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开展征地拆迁测绘、土地供后监管、行政审批事项、土地出让合同纠纷、土地价值推广、土地报征系统维护、房地一体登记等工作。完成的主要目标：一是完成13个项目用地，约4000亩的测绘工作；二是全年处置批而未供土地2627.93亩，加快处置供后监管系统认定的闲置土地7宗，面积为796.97亩，处置率77.96%；三是完成开发区范围内农村房地一体登记，完成利州区发证2394户，完成昭化区外业调查及测绘832户；四是不断优化行政审批，不断优化办事流程，推行全程跟进服务，获得办事企业和群众一致好评，全年办理用地许可证15件、工程规划许可证22件、规划核实和土地核验合格证5件；四是完成开发区8个地块的土地出让城市价值推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2.项目实施内容及过程概述</w:t>
            </w:r>
          </w:p>
        </w:tc>
        <w:tc>
          <w:tcPr>
            <w:tcW w:w="120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开展征地拆迁测绘、土地供后监管、行政审批事项、土地出让合同纠纷、土地价值推广、土地报征系统维护、房地一体登记等工作。完成的主要目标：一是完成13个项目用地，约4000亩的测绘工作；二是全年处置批而未供土地2627.93亩，加快处置供后监管系统认定的闲置土地7宗，面积为796.97亩，处置率77.96%；三是完成开发区范围内农村房地一体登记，完成利州区发证2394户，完成昭化区外业调查及测绘832户；四是不断优化行政审批，不断优化办事流程，推行全程跟进服务，获得办事企业和群众一致好评，全年办理用地许可证15件、工程规划许可证22件、规划核实和土地核验合格证5件；四是完成开发区8个地块的土地出让城市价值推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预算执行情况（10分）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年度预算数（万元）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年初预算</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调整后预算数</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总额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19.72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98.59%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9.9</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其中：财政资金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财政专户管理资金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单位资金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20.00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19.72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98.59%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绩效指标（90分）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二级指标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度量单位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数量指标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其他事务完成率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50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经济效益指标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促进地方经济发展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30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服务对象满意度指标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服务开发区各项目园区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99.9</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评价结论</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自评得分99.9分，通过开展征地拆迁、土地供后监管、土地合同出让纠纷、土地价值推广等工作，完成的主要目标任务，一是完成13个项目用地，约4000亩的测绘工作；二是全年处置批而未供土地2627.93亩，加快处置供后监管系统认定的闲置土地7宗，面积为796.97亩，处置率77.96%；三是完成开发区范围内农村房地一体登记，完成利州区发证2394户，完成昭化区外业调查及测绘832户；四是不断优化行政审批，不断优化办事流程，推行全程跟进服务，获得办事企业和群众一致好评，全年办理用地许可证15件、工程规划许可证22件、规划核实和土地核验合格证5件；四是完成开发区8个地块的土地出让城市价值推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存在问题</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预算指标有待完善细化。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改进措施</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highlight w:val="none"/>
                <w:u w:val="none"/>
              </w:rPr>
            </w:pPr>
            <w:r>
              <w:rPr>
                <w:rFonts w:hint="eastAsia" w:ascii="微软雅黑" w:hAnsi="微软雅黑" w:eastAsia="微软雅黑" w:cs="微软雅黑"/>
                <w:i/>
                <w:iCs/>
                <w:color w:val="000000"/>
                <w:kern w:val="0"/>
                <w:sz w:val="18"/>
                <w:szCs w:val="18"/>
                <w:highlight w:val="none"/>
                <w:u w:val="none"/>
                <w:lang w:val="en-US" w:eastAsia="zh-CN" w:bidi="ar"/>
              </w:rPr>
              <w:t>加强预算编制学习，加强预算指标细化分解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项目负责人：杨岫奇</w:t>
            </w:r>
          </w:p>
        </w:tc>
        <w:tc>
          <w:tcPr>
            <w:tcW w:w="68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p>
            <w:pPr>
              <w:pStyle w:val="2"/>
              <w:rPr>
                <w:rFonts w:hint="eastAsia" w:ascii="宋体" w:hAnsi="宋体" w:eastAsia="宋体" w:cs="宋体"/>
                <w:i w:val="0"/>
                <w:iCs w:val="0"/>
                <w:color w:val="000000"/>
                <w:sz w:val="15"/>
                <w:szCs w:val="15"/>
                <w:highlight w:val="none"/>
                <w:u w:val="none"/>
              </w:rPr>
            </w:pPr>
          </w:p>
        </w:tc>
        <w:tc>
          <w:tcPr>
            <w:tcW w:w="17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6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2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0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6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3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15"/>
          <w:szCs w:val="15"/>
          <w:highlight w:val="none"/>
          <w:u w:val="none"/>
          <w:lang w:val="en-US" w:eastAsia="zh-CN" w:bidi="ar"/>
        </w:rPr>
      </w:pPr>
      <w:r>
        <w:rPr>
          <w:rFonts w:hint="eastAsia" w:ascii="黑体" w:hAnsi="宋体" w:eastAsia="黑体" w:cs="黑体"/>
          <w:b/>
          <w:bCs/>
          <w:i w:val="0"/>
          <w:iCs w:val="0"/>
          <w:color w:val="000000"/>
          <w:kern w:val="0"/>
          <w:sz w:val="15"/>
          <w:szCs w:val="15"/>
          <w:highlight w:val="none"/>
          <w:u w:val="none"/>
          <w:lang w:val="en-US" w:eastAsia="zh-CN" w:bidi="ar"/>
        </w:rPr>
        <w:br w:type="page"/>
      </w:r>
    </w:p>
    <w:tbl>
      <w:tblPr>
        <w:tblStyle w:val="9"/>
        <w:tblW w:w="14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760"/>
        <w:gridCol w:w="1500"/>
        <w:gridCol w:w="2643"/>
        <w:gridCol w:w="992"/>
        <w:gridCol w:w="1200"/>
        <w:gridCol w:w="854"/>
        <w:gridCol w:w="1015"/>
        <w:gridCol w:w="624"/>
        <w:gridCol w:w="819"/>
        <w:gridCol w:w="2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43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5"/>
                <w:szCs w:val="15"/>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项目名称</w:t>
            </w:r>
          </w:p>
        </w:tc>
        <w:tc>
          <w:tcPr>
            <w:tcW w:w="120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51080022Y000000267568-定额公用经费（事业）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主管部门</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广元市自然资源局部门</w:t>
            </w:r>
          </w:p>
        </w:tc>
        <w:tc>
          <w:tcPr>
            <w:tcW w:w="10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实施单位（盖章）</w:t>
            </w:r>
          </w:p>
        </w:tc>
        <w:tc>
          <w:tcPr>
            <w:tcW w:w="3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项目基本情况</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1.项目年度目标完成情况</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项目年度目标</w:t>
            </w:r>
          </w:p>
        </w:tc>
        <w:tc>
          <w:tcPr>
            <w:tcW w:w="4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保障单位日常运转，提高预算编制质量，严格执行预算</w:t>
            </w:r>
          </w:p>
        </w:tc>
        <w:tc>
          <w:tcPr>
            <w:tcW w:w="4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保障单位日常运转，严格执行预算，严格执行单位财务管理制度完成支付。预算执行100%。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2.项目实施内容及过程概述</w:t>
            </w:r>
          </w:p>
        </w:tc>
        <w:tc>
          <w:tcPr>
            <w:tcW w:w="120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保障单位日常运转，用于办公费用、邮电费、差旅费、培训费等费用支出，严格执行预算法、单位《财务管理制度》，按规定程序报销。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预算执行情况（10分）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年度预算数（万元）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年初预算</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调整后预算数</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总额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6.00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6.00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6.00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其中：财政资金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6.00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6.00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6.00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财政专户管理资金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单位资金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绩效指标（90分）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二级指标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度量单位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数量指标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科目调整次数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质量指标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预算编制准确率（计算方法为：∣（执行数-预算数）/预算数∣）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效益指标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经济效益指标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运转保障率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“三公经费”控制率[计算方法为：（三公经费实际支出数/预算安排数]×100%）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评价结论</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通过自评，得分100分。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存在问题</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改进措施</w:t>
            </w:r>
          </w:p>
        </w:tc>
        <w:tc>
          <w:tcPr>
            <w:tcW w:w="137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项目负责人：杨岫奇</w:t>
            </w:r>
          </w:p>
        </w:tc>
        <w:tc>
          <w:tcPr>
            <w:tcW w:w="68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43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5"/>
                <w:szCs w:val="15"/>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项目名称</w:t>
            </w:r>
          </w:p>
        </w:tc>
        <w:tc>
          <w:tcPr>
            <w:tcW w:w="120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51080023R000007612345-规范后市级基础绩效奖及生活补助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主管部门</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广元市自然资源局部门</w:t>
            </w:r>
          </w:p>
        </w:tc>
        <w:tc>
          <w:tcPr>
            <w:tcW w:w="10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实施单位（盖章）</w:t>
            </w:r>
          </w:p>
        </w:tc>
        <w:tc>
          <w:tcPr>
            <w:tcW w:w="3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项目基本情况</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1.项目年度目标完成情况</w:t>
            </w: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项目年度目标</w:t>
            </w:r>
          </w:p>
        </w:tc>
        <w:tc>
          <w:tcPr>
            <w:tcW w:w="4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7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4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highlight w:val="none"/>
                <w:u w:val="none"/>
              </w:rPr>
            </w:pPr>
            <w:r>
              <w:rPr>
                <w:rFonts w:hint="eastAsia" w:ascii="黑体" w:hAnsi="黑体" w:eastAsia="黑体" w:cs="黑体"/>
                <w:i w:val="0"/>
                <w:iCs w:val="0"/>
                <w:color w:val="000000"/>
                <w:kern w:val="0"/>
                <w:sz w:val="15"/>
                <w:szCs w:val="15"/>
                <w:highlight w:val="none"/>
                <w:u w:val="none"/>
                <w:lang w:val="en-US" w:eastAsia="zh-CN" w:bidi="ar"/>
              </w:rPr>
              <w:t>按预算文件及时足额发放基础绩效奖励及退休人员生活补助，预算执行率100%。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2.项目实施内容及过程概述</w:t>
            </w:r>
          </w:p>
        </w:tc>
        <w:tc>
          <w:tcPr>
            <w:tcW w:w="120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按预算文件及时足额发放基础绩效奖励及退休人员生活补助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预算执行情况（10分）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年度预算数（万元）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年初预算</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调整后预算数</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总额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28.11</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28.11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其中：财政资金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28.11</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28.11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财政专户管理资金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单位资金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绩效指标（90分）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二级指标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三级指标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度量单位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得分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产出指标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数量指标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足额保障率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科目调整次数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时效指标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按时发放率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经济效益指标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结余率（计算方法为：结余数/预算数）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22.5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95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100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iCs/>
                <w:color w:val="000000"/>
                <w:sz w:val="15"/>
                <w:szCs w:val="15"/>
                <w:highlight w:val="none"/>
                <w:u w:val="none"/>
              </w:rPr>
            </w:pPr>
            <w:r>
              <w:rPr>
                <w:rFonts w:hint="default" w:ascii="宋体" w:hAnsi="宋体" w:eastAsia="宋体" w:cs="宋体"/>
                <w:i/>
                <w:iCs/>
                <w:color w:val="000000"/>
                <w:kern w:val="0"/>
                <w:sz w:val="15"/>
                <w:szCs w:val="15"/>
                <w:highlight w:val="none"/>
                <w:u w:val="none"/>
                <w:lang w:val="en-US" w:eastAsia="zh-CN" w:bidi="ar"/>
              </w:rPr>
              <w:t>评价结论</w:t>
            </w:r>
          </w:p>
        </w:tc>
        <w:tc>
          <w:tcPr>
            <w:tcW w:w="13773"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通过自评，自评得分100分。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iCs/>
                <w:color w:val="000000"/>
                <w:sz w:val="15"/>
                <w:szCs w:val="15"/>
                <w:highlight w:val="none"/>
                <w:u w:val="none"/>
              </w:rPr>
            </w:pPr>
            <w:r>
              <w:rPr>
                <w:rFonts w:hint="default" w:ascii="宋体" w:hAnsi="宋体" w:eastAsia="宋体" w:cs="宋体"/>
                <w:i/>
                <w:iCs/>
                <w:color w:val="000000"/>
                <w:kern w:val="0"/>
                <w:sz w:val="15"/>
                <w:szCs w:val="15"/>
                <w:highlight w:val="none"/>
                <w:u w:val="none"/>
                <w:lang w:val="en-US" w:eastAsia="zh-CN" w:bidi="ar"/>
              </w:rPr>
              <w:t>存在问题</w:t>
            </w:r>
          </w:p>
        </w:tc>
        <w:tc>
          <w:tcPr>
            <w:tcW w:w="13773"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iCs/>
                <w:color w:val="000000"/>
                <w:sz w:val="15"/>
                <w:szCs w:val="15"/>
                <w:highlight w:val="none"/>
                <w:u w:val="none"/>
              </w:rPr>
            </w:pPr>
            <w:r>
              <w:rPr>
                <w:rFonts w:hint="default" w:ascii="宋体" w:hAnsi="宋体" w:eastAsia="宋体" w:cs="宋体"/>
                <w:i/>
                <w:iCs/>
                <w:color w:val="000000"/>
                <w:kern w:val="0"/>
                <w:sz w:val="15"/>
                <w:szCs w:val="15"/>
                <w:highlight w:val="none"/>
                <w:u w:val="none"/>
                <w:lang w:val="en-US" w:eastAsia="zh-CN" w:bidi="ar"/>
              </w:rPr>
              <w:t>改进措施</w:t>
            </w:r>
          </w:p>
        </w:tc>
        <w:tc>
          <w:tcPr>
            <w:tcW w:w="13773"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highlight w:val="none"/>
                <w:u w:val="none"/>
              </w:rPr>
            </w:pPr>
            <w:r>
              <w:rPr>
                <w:rFonts w:hint="eastAsia" w:ascii="微软雅黑" w:hAnsi="微软雅黑" w:eastAsia="微软雅黑" w:cs="微软雅黑"/>
                <w:i w:val="0"/>
                <w:iCs w:val="0"/>
                <w:color w:val="000000"/>
                <w:kern w:val="0"/>
                <w:sz w:val="15"/>
                <w:szCs w:val="15"/>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79"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5"/>
                <w:szCs w:val="15"/>
                <w:highlight w:val="none"/>
                <w:u w:val="none"/>
              </w:rPr>
            </w:pPr>
            <w:r>
              <w:rPr>
                <w:rFonts w:hint="eastAsia" w:ascii="黑体" w:hAnsi="黑体" w:eastAsia="黑体" w:cs="黑体"/>
                <w:i/>
                <w:iCs/>
                <w:color w:val="000000"/>
                <w:kern w:val="0"/>
                <w:sz w:val="15"/>
                <w:szCs w:val="15"/>
                <w:highlight w:val="none"/>
                <w:u w:val="none"/>
                <w:lang w:val="en-US" w:eastAsia="zh-CN" w:bidi="ar"/>
              </w:rPr>
              <w:t>项目负责人：杨岫奇</w:t>
            </w:r>
          </w:p>
        </w:tc>
        <w:tc>
          <w:tcPr>
            <w:tcW w:w="68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5"/>
                <w:szCs w:val="15"/>
                <w:highlight w:val="none"/>
                <w:u w:val="none"/>
              </w:rPr>
            </w:pPr>
            <w:r>
              <w:rPr>
                <w:rFonts w:hint="eastAsia" w:ascii="黑体" w:hAnsi="黑体" w:eastAsia="黑体" w:cs="黑体"/>
                <w:i/>
                <w:iCs/>
                <w:color w:val="000000"/>
                <w:kern w:val="0"/>
                <w:sz w:val="15"/>
                <w:szCs w:val="15"/>
                <w:highlight w:val="none"/>
                <w:u w:val="none"/>
                <w:lang w:val="en-US" w:eastAsia="zh-CN" w:bidi="ar"/>
              </w:rPr>
              <w:t>财务负责人：宋鑫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7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5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6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9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2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10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6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8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3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357"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1、报表说明</w:t>
            </w:r>
            <w:r>
              <w:rPr>
                <w:rFonts w:hint="eastAsia" w:ascii="宋体" w:hAnsi="宋体" w:cs="宋体"/>
                <w:i w:val="0"/>
                <w:iCs w:val="0"/>
                <w:color w:val="000000"/>
                <w:kern w:val="0"/>
                <w:sz w:val="15"/>
                <w:szCs w:val="15"/>
                <w:highlight w:val="none"/>
                <w:u w:val="none"/>
                <w:lang w:val="en-US" w:eastAsia="zh-CN" w:bidi="ar"/>
              </w:rPr>
              <w:t>：</w:t>
            </w:r>
            <w:r>
              <w:rPr>
                <w:rFonts w:hint="default" w:ascii="宋体" w:hAnsi="宋体" w:eastAsia="宋体" w:cs="宋体"/>
                <w:i w:val="0"/>
                <w:iCs w:val="0"/>
                <w:color w:val="000000"/>
                <w:kern w:val="0"/>
                <w:sz w:val="15"/>
                <w:szCs w:val="15"/>
                <w:highlight w:val="none"/>
                <w:u w:val="none"/>
                <w:lang w:val="en-US" w:eastAsia="zh-CN" w:bidi="ar"/>
              </w:rPr>
              <w:t>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357"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357"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357"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highlight w:val="none"/>
                <w:u w:val="none"/>
              </w:rPr>
            </w:pPr>
            <w:r>
              <w:rPr>
                <w:rFonts w:hint="default" w:ascii="宋体" w:hAnsi="宋体" w:eastAsia="宋体" w:cs="宋体"/>
                <w:i w:val="0"/>
                <w:iCs w:val="0"/>
                <w:color w:val="000000"/>
                <w:kern w:val="0"/>
                <w:sz w:val="15"/>
                <w:szCs w:val="15"/>
                <w:highlight w:val="none"/>
                <w:u w:val="none"/>
                <w:lang w:val="en-US" w:eastAsia="zh-CN" w:bidi="ar"/>
              </w:rPr>
              <w:t>适用用户：部门用户、单位用户</w:t>
            </w:r>
          </w:p>
        </w:tc>
      </w:tr>
    </w:tbl>
    <w:p>
      <w:pPr>
        <w:pStyle w:val="2"/>
        <w:rPr>
          <w:rFonts w:hint="eastAsia"/>
          <w:highlight w:val="none"/>
        </w:rPr>
        <w:sectPr>
          <w:pgSz w:w="16838" w:h="11906" w:orient="landscape"/>
          <w:pgMar w:top="1800" w:right="1440" w:bottom="1800" w:left="1440" w:header="720" w:footer="720" w:gutter="0"/>
          <w:lnNumType w:countBy="0" w:distance="360"/>
          <w:pgNumType w:fmt="decimal"/>
          <w:cols w:space="720" w:num="1"/>
        </w:sectPr>
      </w:pPr>
    </w:p>
    <w:p>
      <w:pPr>
        <w:numPr>
          <w:ilvl w:val="0"/>
          <w:numId w:val="2"/>
        </w:numPr>
        <w:spacing w:beforeLines="0" w:afterLines="0" w:line="600" w:lineRule="exact"/>
        <w:jc w:val="center"/>
        <w:outlineLvl w:val="0"/>
        <w:rPr>
          <w:rFonts w:hint="eastAsia" w:ascii="黑体" w:hAnsi="黑体" w:eastAsia="黑体"/>
          <w:color w:val="auto"/>
          <w:kern w:val="44"/>
          <w:sz w:val="44"/>
          <w:szCs w:val="24"/>
          <w:highlight w:val="none"/>
          <w:lang w:val="en-US"/>
        </w:rPr>
      </w:pPr>
      <w:bookmarkStart w:id="20" w:name="_Toc22461"/>
      <w:r>
        <w:rPr>
          <w:rFonts w:hint="eastAsia" w:ascii="黑体" w:hAnsi="黑体" w:eastAsia="黑体"/>
          <w:color w:val="auto"/>
          <w:kern w:val="44"/>
          <w:sz w:val="44"/>
          <w:szCs w:val="24"/>
          <w:highlight w:val="none"/>
          <w:lang w:val="en-US"/>
        </w:rPr>
        <w:t>附表</w:t>
      </w:r>
      <w:bookmarkEnd w:id="20"/>
    </w:p>
    <w:p>
      <w:pPr>
        <w:numPr>
          <w:ilvl w:val="0"/>
          <w:numId w:val="0"/>
        </w:numPr>
        <w:spacing w:beforeLines="0" w:afterLines="0" w:line="600" w:lineRule="exact"/>
        <w:jc w:val="both"/>
        <w:rPr>
          <w:rFonts w:hint="eastAsia" w:ascii="仿宋" w:hAnsi="仿宋" w:eastAsia="仿宋"/>
          <w:b/>
          <w:color w:val="auto"/>
          <w:kern w:val="2"/>
          <w:sz w:val="32"/>
          <w:szCs w:val="24"/>
          <w:highlight w:val="none"/>
          <w:lang w:val="en-US"/>
        </w:rPr>
      </w:pPr>
      <w:r>
        <w:rPr>
          <w:rFonts w:hint="eastAsia" w:ascii="仿宋" w:hAnsi="仿宋" w:eastAsia="仿宋"/>
          <w:color w:val="auto"/>
          <w:kern w:val="2"/>
          <w:sz w:val="32"/>
          <w:szCs w:val="24"/>
          <w:highlight w:val="none"/>
          <w:lang w:val="en-US"/>
        </w:rPr>
        <w:t>一、收入支出决算总表</w:t>
      </w:r>
    </w:p>
    <w:p>
      <w:pPr>
        <w:pStyle w:val="4"/>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1" w:name="_Toc31585"/>
      <w:r>
        <w:rPr>
          <w:rFonts w:hint="eastAsia" w:ascii="仿宋" w:hAnsi="仿宋" w:eastAsia="仿宋"/>
          <w:color w:val="auto"/>
          <w:kern w:val="2"/>
          <w:sz w:val="32"/>
          <w:szCs w:val="24"/>
          <w:highlight w:val="none"/>
          <w:lang w:val="en-US"/>
        </w:rPr>
        <w:t>二、收入决算表</w:t>
      </w:r>
      <w:bookmarkEnd w:id="21"/>
    </w:p>
    <w:p>
      <w:pPr>
        <w:pStyle w:val="4"/>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2" w:name="_Toc18589"/>
      <w:r>
        <w:rPr>
          <w:rFonts w:hint="eastAsia" w:ascii="仿宋" w:hAnsi="仿宋" w:eastAsia="仿宋"/>
          <w:color w:val="auto"/>
          <w:kern w:val="2"/>
          <w:sz w:val="32"/>
          <w:szCs w:val="24"/>
          <w:highlight w:val="none"/>
          <w:lang w:val="en-US"/>
        </w:rPr>
        <w:t>三、支出决算表</w:t>
      </w:r>
      <w:bookmarkEnd w:id="22"/>
    </w:p>
    <w:p>
      <w:pPr>
        <w:pStyle w:val="4"/>
        <w:keepNext/>
        <w:keepLines/>
        <w:spacing w:before="260" w:beforeLines="0" w:after="260" w:afterLines="0" w:line="408" w:lineRule="auto"/>
        <w:jc w:val="both"/>
        <w:rPr>
          <w:rFonts w:hint="eastAsia" w:ascii="仿宋" w:hAnsi="仿宋" w:eastAsia="仿宋"/>
          <w:color w:val="auto"/>
          <w:kern w:val="2"/>
          <w:sz w:val="32"/>
          <w:szCs w:val="24"/>
          <w:highlight w:val="none"/>
          <w:lang w:val="en-US"/>
        </w:rPr>
      </w:pPr>
      <w:bookmarkStart w:id="23" w:name="_Toc5278"/>
      <w:r>
        <w:rPr>
          <w:rFonts w:hint="eastAsia" w:ascii="仿宋" w:hAnsi="仿宋" w:eastAsia="仿宋"/>
          <w:color w:val="auto"/>
          <w:kern w:val="2"/>
          <w:sz w:val="32"/>
          <w:szCs w:val="24"/>
          <w:highlight w:val="none"/>
          <w:lang w:val="en-US"/>
        </w:rPr>
        <w:t>四、财政拨款收入支出决算总表</w:t>
      </w:r>
      <w:bookmarkEnd w:id="23"/>
    </w:p>
    <w:p>
      <w:pPr>
        <w:pStyle w:val="4"/>
        <w:keepNext/>
        <w:keepLines/>
        <w:spacing w:before="260" w:beforeLines="0" w:after="260" w:afterLines="0" w:line="408" w:lineRule="auto"/>
        <w:jc w:val="both"/>
        <w:rPr>
          <w:rFonts w:hint="eastAsia" w:ascii="仿宋" w:hAnsi="仿宋" w:eastAsia="仿宋"/>
          <w:color w:val="auto"/>
          <w:kern w:val="2"/>
          <w:sz w:val="32"/>
          <w:szCs w:val="24"/>
          <w:highlight w:val="none"/>
          <w:lang w:val="en-US"/>
        </w:rPr>
      </w:pPr>
      <w:bookmarkStart w:id="24" w:name="_Toc16623"/>
      <w:r>
        <w:rPr>
          <w:rFonts w:hint="eastAsia" w:ascii="仿宋" w:hAnsi="仿宋" w:eastAsia="仿宋"/>
          <w:color w:val="auto"/>
          <w:kern w:val="2"/>
          <w:sz w:val="32"/>
          <w:szCs w:val="24"/>
          <w:highlight w:val="none"/>
          <w:lang w:val="en-US"/>
        </w:rPr>
        <w:t>五、财政拨款支出决算明细表</w:t>
      </w:r>
      <w:bookmarkEnd w:id="24"/>
    </w:p>
    <w:p>
      <w:pPr>
        <w:pStyle w:val="4"/>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5" w:name="_Toc18608"/>
      <w:r>
        <w:rPr>
          <w:rFonts w:hint="eastAsia" w:ascii="仿宋" w:hAnsi="仿宋" w:eastAsia="仿宋"/>
          <w:color w:val="auto"/>
          <w:kern w:val="2"/>
          <w:sz w:val="32"/>
          <w:szCs w:val="24"/>
          <w:highlight w:val="none"/>
          <w:lang w:val="en-US"/>
        </w:rPr>
        <w:t>六、一般公共预算财政拨款支出决算表</w:t>
      </w:r>
      <w:bookmarkEnd w:id="25"/>
    </w:p>
    <w:p>
      <w:pPr>
        <w:pStyle w:val="4"/>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6" w:name="_Toc4670"/>
      <w:r>
        <w:rPr>
          <w:rFonts w:hint="eastAsia" w:ascii="仿宋" w:hAnsi="仿宋" w:eastAsia="仿宋"/>
          <w:color w:val="auto"/>
          <w:kern w:val="2"/>
          <w:sz w:val="32"/>
          <w:szCs w:val="24"/>
          <w:highlight w:val="none"/>
          <w:lang w:val="en-US"/>
        </w:rPr>
        <w:t>七、一般公共预算财政拨款支出决算明细表</w:t>
      </w:r>
      <w:bookmarkEnd w:id="26"/>
    </w:p>
    <w:p>
      <w:pPr>
        <w:pStyle w:val="4"/>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7" w:name="_Toc15953"/>
      <w:r>
        <w:rPr>
          <w:rFonts w:hint="eastAsia" w:ascii="仿宋" w:hAnsi="仿宋" w:eastAsia="仿宋"/>
          <w:color w:val="auto"/>
          <w:kern w:val="2"/>
          <w:sz w:val="32"/>
          <w:szCs w:val="24"/>
          <w:highlight w:val="none"/>
          <w:lang w:val="en-US"/>
        </w:rPr>
        <w:t>八、一般公共预算财政拨款基本支出决算表</w:t>
      </w:r>
      <w:bookmarkEnd w:id="27"/>
    </w:p>
    <w:p>
      <w:pPr>
        <w:pStyle w:val="4"/>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8" w:name="_Toc24145"/>
      <w:r>
        <w:rPr>
          <w:rFonts w:hint="eastAsia" w:ascii="仿宋" w:hAnsi="仿宋" w:eastAsia="仿宋"/>
          <w:color w:val="auto"/>
          <w:kern w:val="2"/>
          <w:sz w:val="32"/>
          <w:szCs w:val="24"/>
          <w:highlight w:val="none"/>
          <w:lang w:val="en-US"/>
        </w:rPr>
        <w:t>九、一般公共预算财政拨款项目支出决算表</w:t>
      </w:r>
      <w:bookmarkEnd w:id="28"/>
    </w:p>
    <w:p>
      <w:pPr>
        <w:pStyle w:val="4"/>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9" w:name="_Toc5716"/>
      <w:r>
        <w:rPr>
          <w:rFonts w:hint="eastAsia" w:ascii="仿宋" w:hAnsi="仿宋" w:eastAsia="仿宋"/>
          <w:color w:val="auto"/>
          <w:kern w:val="2"/>
          <w:sz w:val="32"/>
          <w:szCs w:val="24"/>
          <w:highlight w:val="none"/>
          <w:lang w:val="en-US"/>
        </w:rPr>
        <w:t>十、政府性基金预算财政拨款收入支出决算表</w:t>
      </w:r>
      <w:bookmarkEnd w:id="29"/>
    </w:p>
    <w:p>
      <w:pPr>
        <w:pStyle w:val="4"/>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30" w:name="_Toc22577"/>
      <w:r>
        <w:rPr>
          <w:rFonts w:hint="eastAsia" w:ascii="仿宋" w:hAnsi="仿宋" w:eastAsia="仿宋"/>
          <w:color w:val="auto"/>
          <w:kern w:val="2"/>
          <w:sz w:val="32"/>
          <w:szCs w:val="24"/>
          <w:highlight w:val="none"/>
          <w:lang w:val="en-US"/>
        </w:rPr>
        <w:t>十一、国有资本经营预算财政拨款收入支出决算表</w:t>
      </w:r>
      <w:bookmarkEnd w:id="30"/>
    </w:p>
    <w:p>
      <w:pPr>
        <w:pStyle w:val="4"/>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31" w:name="_Toc32541"/>
      <w:r>
        <w:rPr>
          <w:rFonts w:hint="eastAsia" w:ascii="仿宋" w:hAnsi="仿宋" w:eastAsia="仿宋"/>
          <w:color w:val="auto"/>
          <w:kern w:val="2"/>
          <w:sz w:val="32"/>
          <w:szCs w:val="24"/>
          <w:highlight w:val="none"/>
          <w:lang w:val="en-US"/>
        </w:rPr>
        <w:t>十二、国有资本经营预算财政拨款支出决算表</w:t>
      </w:r>
      <w:bookmarkEnd w:id="31"/>
    </w:p>
    <w:p>
      <w:pPr>
        <w:pStyle w:val="4"/>
        <w:keepNext/>
        <w:keepLines/>
        <w:spacing w:before="260" w:beforeLines="0" w:after="260" w:afterLines="0" w:line="408" w:lineRule="auto"/>
        <w:jc w:val="both"/>
        <w:rPr>
          <w:rFonts w:hint="eastAsia" w:ascii="华文中宋" w:hAnsi="华文中宋" w:eastAsia="华文中宋"/>
          <w:color w:val="auto"/>
          <w:kern w:val="2"/>
          <w:sz w:val="36"/>
          <w:szCs w:val="24"/>
          <w:highlight w:val="none"/>
          <w:lang w:val="en-US"/>
        </w:rPr>
      </w:pPr>
      <w:bookmarkStart w:id="32" w:name="_Toc1604"/>
      <w:r>
        <w:rPr>
          <w:rFonts w:hint="eastAsia" w:ascii="仿宋" w:hAnsi="仿宋" w:eastAsia="仿宋"/>
          <w:color w:val="auto"/>
          <w:kern w:val="2"/>
          <w:sz w:val="32"/>
          <w:szCs w:val="24"/>
          <w:highlight w:val="none"/>
          <w:lang w:val="en-US"/>
        </w:rPr>
        <w:t>十三、财政拨款“三公”经费支出决算表</w:t>
      </w:r>
      <w:bookmarkEnd w:id="32"/>
    </w:p>
    <w:sectPr>
      <w:pgSz w:w="12240" w:h="15840"/>
      <w:pgMar w:top="1440" w:right="1800" w:bottom="1440" w:left="1800"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F018F"/>
    <w:multiLevelType w:val="singleLevel"/>
    <w:tmpl w:val="293F018F"/>
    <w:lvl w:ilvl="0" w:tentative="0">
      <w:start w:val="5"/>
      <w:numFmt w:val="chineseCounting"/>
      <w:suff w:val="space"/>
      <w:lvlText w:val="第%1部分"/>
      <w:lvlJc w:val="left"/>
      <w:rPr>
        <w:rFonts w:hint="eastAsia"/>
      </w:rPr>
    </w:lvl>
  </w:abstractNum>
  <w:abstractNum w:abstractNumId="1">
    <w:nsid w:val="33A5D187"/>
    <w:multiLevelType w:val="singleLevel"/>
    <w:tmpl w:val="33A5D187"/>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NzNkOTZmMDJiNTJiOTVmMTQ1NDMwODEzZTdhNmUifQ=="/>
  </w:docVars>
  <w:rsids>
    <w:rsidRoot w:val="00172A27"/>
    <w:rsid w:val="00133387"/>
    <w:rsid w:val="018B77BE"/>
    <w:rsid w:val="031767D7"/>
    <w:rsid w:val="04675A50"/>
    <w:rsid w:val="066A7A79"/>
    <w:rsid w:val="08E43B13"/>
    <w:rsid w:val="0A5151D8"/>
    <w:rsid w:val="0CAE1065"/>
    <w:rsid w:val="0FD221C4"/>
    <w:rsid w:val="1031775B"/>
    <w:rsid w:val="131E7BAC"/>
    <w:rsid w:val="1322106F"/>
    <w:rsid w:val="13AA7707"/>
    <w:rsid w:val="15FA088E"/>
    <w:rsid w:val="17BF0ADE"/>
    <w:rsid w:val="1E164317"/>
    <w:rsid w:val="21D40CC9"/>
    <w:rsid w:val="22CE1B47"/>
    <w:rsid w:val="233A2855"/>
    <w:rsid w:val="24771887"/>
    <w:rsid w:val="27027B2E"/>
    <w:rsid w:val="275C189F"/>
    <w:rsid w:val="277A3B68"/>
    <w:rsid w:val="2AE34015"/>
    <w:rsid w:val="2BF13CCD"/>
    <w:rsid w:val="2D144117"/>
    <w:rsid w:val="2DBD030B"/>
    <w:rsid w:val="2F06773C"/>
    <w:rsid w:val="2FDE27BA"/>
    <w:rsid w:val="323837E9"/>
    <w:rsid w:val="3245592E"/>
    <w:rsid w:val="32935DC3"/>
    <w:rsid w:val="37CA01F4"/>
    <w:rsid w:val="3CBD0327"/>
    <w:rsid w:val="3CF77DCF"/>
    <w:rsid w:val="3F3643C1"/>
    <w:rsid w:val="4163055F"/>
    <w:rsid w:val="42DF267A"/>
    <w:rsid w:val="44627A06"/>
    <w:rsid w:val="4DF7189C"/>
    <w:rsid w:val="4E515EA4"/>
    <w:rsid w:val="4F950C90"/>
    <w:rsid w:val="55FA7A9F"/>
    <w:rsid w:val="58150403"/>
    <w:rsid w:val="59B20112"/>
    <w:rsid w:val="5AE91E90"/>
    <w:rsid w:val="5B4A5024"/>
    <w:rsid w:val="5B834092"/>
    <w:rsid w:val="5CFF1D17"/>
    <w:rsid w:val="5D6F2B20"/>
    <w:rsid w:val="5F096FA4"/>
    <w:rsid w:val="5F9918FE"/>
    <w:rsid w:val="60897B85"/>
    <w:rsid w:val="61AF3699"/>
    <w:rsid w:val="63D04A97"/>
    <w:rsid w:val="664D6018"/>
    <w:rsid w:val="66C37A39"/>
    <w:rsid w:val="69F36887"/>
    <w:rsid w:val="6B8C0D41"/>
    <w:rsid w:val="6D1014FE"/>
    <w:rsid w:val="6E423939"/>
    <w:rsid w:val="6FA8452B"/>
    <w:rsid w:val="705067E1"/>
    <w:rsid w:val="71804EA4"/>
    <w:rsid w:val="72DD1E82"/>
    <w:rsid w:val="72FFB631"/>
    <w:rsid w:val="7A2D7B93"/>
    <w:rsid w:val="7E8F4979"/>
    <w:rsid w:val="B7BD3D76"/>
    <w:rsid w:val="FBDF069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1"/>
    <w:next w:val="1"/>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4">
    <w:name w:val="heading 2"/>
    <w:next w:val="1"/>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10">
    <w:name w:val="Default Paragraph Font"/>
    <w:unhideWhenUsed/>
    <w:uiPriority w:val="99"/>
    <w:rPr>
      <w:rFonts w:hint="default"/>
      <w:sz w:val="24"/>
      <w:szCs w:val="24"/>
    </w:rPr>
  </w:style>
  <w:style w:type="table" w:default="1" w:styleId="9">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w:basedOn w:val="1"/>
    <w:unhideWhenUsed/>
    <w:qFormat/>
    <w:uiPriority w:val="99"/>
    <w:pPr>
      <w:spacing w:beforeLines="30" w:afterLines="0"/>
    </w:pPr>
    <w:rPr>
      <w:rFonts w:hint="eastAsia" w:ascii="仿宋_GB2312" w:hAnsi="Times New Roman" w:eastAsia="仿宋_GB2312"/>
      <w:sz w:val="30"/>
      <w:szCs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paragraph" w:customStyle="1" w:styleId="12">
    <w:name w:val="WPSOffice手动目录 1"/>
    <w:uiPriority w:val="0"/>
    <w:pPr>
      <w:ind w:leftChars="0"/>
    </w:pPr>
    <w:rPr>
      <w:rFonts w:ascii="Times New Roman" w:hAnsi="Times New Roman" w:eastAsia="宋体" w:cs="Times New Roman"/>
      <w:sz w:val="20"/>
      <w:szCs w:val="20"/>
    </w:rPr>
  </w:style>
  <w:style w:type="paragraph" w:customStyle="1" w:styleId="13">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a:t>
            </a:r>
            <a:r>
              <a:rPr lang="en-US" altLang="zh-CN"/>
              <a:t>2021</a:t>
            </a:r>
            <a:r>
              <a:rPr altLang="en-US"/>
              <a:t>年收支决算总计变动情况图</a:t>
            </a:r>
            <a:endParaRPr altLang="en-US"/>
          </a:p>
        </c:rich>
      </c:tx>
      <c:layout/>
      <c:overlay val="0"/>
      <c:spPr>
        <a:noFill/>
        <a:ln>
          <a:noFill/>
        </a:ln>
        <a:effectLst/>
      </c:spPr>
    </c:title>
    <c:autoTitleDeleted val="0"/>
    <c:plotArea>
      <c:layout>
        <c:manualLayout>
          <c:layoutTarget val="inner"/>
          <c:xMode val="edge"/>
          <c:yMode val="edge"/>
          <c:x val="0.0647760157425628"/>
          <c:y val="0.159237108712648"/>
          <c:w val="0.879004590480792"/>
          <c:h val="0.63374415639609"/>
        </c:manualLayout>
      </c:layout>
      <c:barChart>
        <c:barDir val="col"/>
        <c:grouping val="clustered"/>
        <c:varyColors val="0"/>
        <c:ser>
          <c:idx val="0"/>
          <c:order val="0"/>
          <c:tx>
            <c:strRef>
              <c:f>Sheet1!$B$1</c:f>
              <c:strCache>
                <c:ptCount val="1"/>
                <c:pt idx="0">
                  <c:v>2021年</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收入、支出总计   单位：万元</c:v>
                </c:pt>
              </c:strCache>
            </c:strRef>
          </c:cat>
          <c:val>
            <c:numRef>
              <c:f>Sheet1!$B$2</c:f>
              <c:numCache>
                <c:formatCode>General</c:formatCode>
                <c:ptCount val="1"/>
                <c:pt idx="0">
                  <c:v>900.46</c:v>
                </c:pt>
              </c:numCache>
            </c:numRef>
          </c:val>
        </c:ser>
        <c:ser>
          <c:idx val="1"/>
          <c:order val="1"/>
          <c:tx>
            <c:strRef>
              <c:f>Sheet1!$C$1</c:f>
              <c:strCache>
                <c:ptCount val="1"/>
                <c:pt idx="0">
                  <c:v>2022年</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收入、支出总计   单位：万元</c:v>
                </c:pt>
              </c:strCache>
            </c:strRef>
          </c:cat>
          <c:val>
            <c:numRef>
              <c:f>Sheet1!$C$2</c:f>
              <c:numCache>
                <c:formatCode>General</c:formatCode>
                <c:ptCount val="1"/>
                <c:pt idx="0">
                  <c:v>747.62</c:v>
                </c:pt>
              </c:numCache>
            </c:numRef>
          </c:val>
        </c:ser>
        <c:dLbls>
          <c:showLegendKey val="0"/>
          <c:showVal val="1"/>
          <c:showCatName val="0"/>
          <c:showSerName val="0"/>
          <c:showPercent val="0"/>
          <c:showBubbleSize val="0"/>
        </c:dLbls>
        <c:gapWidth val="246"/>
        <c:overlap val="-28"/>
        <c:axId val="777086723"/>
        <c:axId val="74248539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invertIfNegative val="0"/>
                <c:dLbls>
                  <c:delete val="1"/>
                </c:dLbls>
                <c:cat>
                  <c:strRef>
                    <c:extLst>
                      <c:ext uri="{02D57815-91ED-43cb-92C2-25804820EDAC}">
                        <c15:fullRef>
                          <c15:sqref/>
                        </c15:fullRef>
                        <c15:formulaRef>
                          <c15:sqref>Sheet1!$A$2</c15:sqref>
                        </c15:formulaRef>
                      </c:ext>
                    </c:extLst>
                    <c:strCache>
                      <c:ptCount val="1"/>
                      <c:pt idx="0">
                        <c:v>收入、支出总计   单位：万元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770867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2485394"/>
        <c:crosses val="autoZero"/>
        <c:auto val="1"/>
        <c:lblAlgn val="ctr"/>
        <c:lblOffset val="100"/>
        <c:noMultiLvlLbl val="0"/>
      </c:catAx>
      <c:valAx>
        <c:axId val="74248539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0867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2022年收入决算结构图</a:t>
            </a:r>
          </a:p>
        </c:rich>
      </c:tx>
      <c:layout/>
      <c:overlay val="0"/>
      <c:spPr>
        <a:noFill/>
        <a:ln>
          <a:noFill/>
        </a:ln>
        <a:effectLst/>
      </c:spPr>
    </c:title>
    <c:autoTitleDeleted val="0"/>
    <c:plotArea>
      <c:layout/>
      <c:pieChart>
        <c:varyColors val="1"/>
        <c:ser>
          <c:idx val="0"/>
          <c:order val="0"/>
          <c:tx>
            <c:strRef>
              <c:f>Sheet1!$B$1</c:f>
              <c:strCache>
                <c:ptCount val="1"/>
                <c:pt idx="0">
                  <c:v>2022年收入来源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173316240680324"/>
                  <c:y val="0.018401262894241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          343.43 </a:t>
                    </a:r>
                    <a:r>
                      <a:t>46%</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54444571559318"/>
                      <c:h val="0.139017608897127"/>
                    </c:manualLayout>
                  </c15:layout>
                </c:ext>
              </c:extLst>
            </c:dLbl>
            <c:dLbl>
              <c:idx val="1"/>
              <c:layout>
                <c:manualLayout>
                  <c:x val="0.160107121351534"/>
                  <c:y val="-0.089360026496891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  404.19 </a:t>
                    </a:r>
                    <a:r>
                      <a:t>54%</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0954124242077565"/>
                      <c:h val="0.207228915662651"/>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其他预算收入</c:v>
                </c:pt>
              </c:strCache>
            </c:strRef>
          </c:cat>
          <c:val>
            <c:numRef>
              <c:f>Sheet1!$B$2:$B$3</c:f>
              <c:numCache>
                <c:formatCode>General</c:formatCode>
                <c:ptCount val="2"/>
                <c:pt idx="0">
                  <c:v>343.43</c:v>
                </c:pt>
                <c:pt idx="1">
                  <c:v>404.19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2022年决算支出分类</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179672491516062"/>
                  <c:y val="0.023527043723312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339.45  </a:t>
                    </a:r>
                    <a:r>
                      <a:t>45%</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200531529354917"/>
                      <c:h val="0.0554611134721632"/>
                    </c:manualLayout>
                  </c15:layout>
                </c:ext>
              </c:extLst>
            </c:dLbl>
            <c:dLbl>
              <c:idx val="1"/>
              <c:layout>
                <c:manualLayout>
                  <c:x val="0.148867952365235"/>
                  <c:y val="-0.08727542335854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 408.17    </a:t>
                    </a:r>
                    <a:r>
                      <a:t>55%</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6748006764919"/>
                      <c:h val="0.136209094772631"/>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339.45</c:v>
                </c:pt>
                <c:pt idx="1">
                  <c:v>408.17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2022年、2021年财政收支总计变动图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2021年财政拨款收入支出</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财政拨款收入、支出</c:v>
                </c:pt>
              </c:strCache>
            </c:strRef>
          </c:cat>
          <c:val>
            <c:numRef>
              <c:f>Sheet1!$B$2</c:f>
              <c:numCache>
                <c:formatCode>General</c:formatCode>
                <c:ptCount val="1"/>
                <c:pt idx="0">
                  <c:v>302.69</c:v>
                </c:pt>
              </c:numCache>
            </c:numRef>
          </c:val>
        </c:ser>
        <c:ser>
          <c:idx val="1"/>
          <c:order val="1"/>
          <c:tx>
            <c:strRef>
              <c:f>Sheet1!$C$1</c:f>
              <c:strCache>
                <c:ptCount val="1"/>
                <c:pt idx="0">
                  <c:v>2022年财政拨款收入支出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财政拨款收入、支出</c:v>
                </c:pt>
              </c:strCache>
            </c:strRef>
          </c:cat>
          <c:val>
            <c:numRef>
              <c:f>Sheet1!$C$2</c:f>
              <c:numCache>
                <c:formatCode>General</c:formatCode>
                <c:ptCount val="1"/>
                <c:pt idx="0">
                  <c:v>343.43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财政拨款收入、支出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23760600"/>
        <c:axId val="185096395"/>
      </c:barChart>
      <c:catAx>
        <c:axId val="523760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096395"/>
        <c:crosses val="autoZero"/>
        <c:auto val="1"/>
        <c:lblAlgn val="ctr"/>
        <c:lblOffset val="100"/>
        <c:noMultiLvlLbl val="0"/>
      </c:catAx>
      <c:valAx>
        <c:axId val="18509639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6060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2022、2021年一般公共预算财政拨款支出决算变动图</a:t>
            </a:r>
          </a:p>
        </c:rich>
      </c:tx>
      <c:layout/>
      <c:overlay val="0"/>
      <c:spPr>
        <a:noFill/>
        <a:ln>
          <a:noFill/>
        </a:ln>
        <a:effectLst/>
      </c:spPr>
    </c:title>
    <c:autoTitleDeleted val="0"/>
    <c:plotArea>
      <c:layout>
        <c:manualLayout>
          <c:layoutTarget val="inner"/>
          <c:xMode val="edge"/>
          <c:yMode val="edge"/>
          <c:x val="0.0658757338551859"/>
          <c:y val="0.181156490093004"/>
          <c:w val="0.907216242661448"/>
          <c:h val="0.629073999191266"/>
        </c:manualLayout>
      </c:layout>
      <c:barChart>
        <c:barDir val="col"/>
        <c:grouping val="clustered"/>
        <c:varyColors val="0"/>
        <c:ser>
          <c:idx val="0"/>
          <c:order val="0"/>
          <c:tx>
            <c:strRef>
              <c:f>Sheet1!$B$1</c:f>
              <c:strCache>
                <c:ptCount val="1"/>
                <c:pt idx="0">
                  <c:v>2021年一般公共预算财政拨款支出</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           单位：万元</c:v>
                </c:pt>
              </c:strCache>
            </c:strRef>
          </c:cat>
          <c:val>
            <c:numRef>
              <c:f>Sheet1!$B$2</c:f>
              <c:numCache>
                <c:formatCode>General</c:formatCode>
                <c:ptCount val="1"/>
                <c:pt idx="0">
                  <c:v>302.69</c:v>
                </c:pt>
              </c:numCache>
            </c:numRef>
          </c:val>
        </c:ser>
        <c:ser>
          <c:idx val="1"/>
          <c:order val="1"/>
          <c:tx>
            <c:strRef>
              <c:f>Sheet1!$C$1</c:f>
              <c:strCache>
                <c:ptCount val="1"/>
                <c:pt idx="0">
                  <c:v>2022年一般公共预算财政拨款支出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           单位：万元</c:v>
                </c:pt>
              </c:strCache>
            </c:strRef>
          </c:cat>
          <c:val>
            <c:numRef>
              <c:f>Sheet1!$C$2</c:f>
              <c:numCache>
                <c:formatCode>General</c:formatCode>
                <c:ptCount val="1"/>
                <c:pt idx="0">
                  <c:v>343.43</c:v>
                </c:pt>
              </c:numCache>
            </c:numRef>
          </c:val>
        </c:ser>
        <c:dLbls>
          <c:showLegendKey val="0"/>
          <c:showVal val="1"/>
          <c:showCatName val="0"/>
          <c:showSerName val="0"/>
          <c:showPercent val="0"/>
          <c:showBubbleSize val="0"/>
        </c:dLbls>
        <c:gapWidth val="246"/>
        <c:overlap val="-28"/>
        <c:axId val="564212342"/>
        <c:axId val="613036544"/>
      </c:barChart>
      <c:catAx>
        <c:axId val="5642123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036544"/>
        <c:crosses val="autoZero"/>
        <c:auto val="1"/>
        <c:lblAlgn val="ctr"/>
        <c:lblOffset val="100"/>
        <c:noMultiLvlLbl val="0"/>
      </c:catAx>
      <c:valAx>
        <c:axId val="61303654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21234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2022年一般公共预算财政拨款支出决算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254216795685074"/>
                  <c:y val="0.1472215013479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54.48   15.9%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50832179055466"/>
                  <c:y val="0.073605256952124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10.78 </a:t>
                    </a:r>
                    <a:r>
                      <a:rPr lang="en-US" altLang="zh-CN"/>
                      <a:t>      </a:t>
                    </a:r>
                    <a:r>
                      <a:t>        3.1%</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48135033050047"/>
                      <c:h val="0.127514876735619"/>
                    </c:manualLayout>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    251.3    73.2%</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26.86   7.8%</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自然资源海洋气象等支出</c:v>
                </c:pt>
                <c:pt idx="3">
                  <c:v>住房保障支出</c:v>
                </c:pt>
              </c:strCache>
            </c:strRef>
          </c:cat>
          <c:val>
            <c:numRef>
              <c:f>Sheet1!$B$2:$B$5</c:f>
              <c:numCache>
                <c:formatCode>General</c:formatCode>
                <c:ptCount val="4"/>
                <c:pt idx="0">
                  <c:v>54.48</c:v>
                </c:pt>
                <c:pt idx="1">
                  <c:v>10.78</c:v>
                </c:pt>
                <c:pt idx="2">
                  <c:v>251.3</c:v>
                </c:pt>
                <c:pt idx="3">
                  <c:v>26.86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无因公出国（境）费支出</c:v>
                </c:pt>
                <c:pt idx="1">
                  <c:v>公务用车购置及运行维护费支出</c:v>
                </c:pt>
                <c:pt idx="2">
                  <c:v>公务接待</c:v>
                </c:pt>
              </c:strCache>
            </c:strRef>
          </c:cat>
          <c:val>
            <c:numRef>
              <c:f>Sheet1!$B$2:$B$4</c:f>
              <c:numCache>
                <c:formatCode>General</c:formatCode>
                <c:ptCount val="3"/>
                <c:pt idx="0">
                  <c:v>0</c:v>
                </c:pt>
                <c:pt idx="1">
                  <c:v>0</c:v>
                </c:pt>
                <c:pt idx="2">
                  <c:v>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2023-10-16T10:32:00Z</dcterms:created>
  <dc:creator>Administrator</dc:creator>
  <cp:lastModifiedBy>张丹</cp:lastModifiedBy>
  <cp:lastPrinted>2023-10-19T07:01:54Z</cp:lastPrinted>
  <dcterms:modified xsi:type="dcterms:W3CDTF">2023-10-19T07:07:15Z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5BA4042D21774B0C84E64158128F0BD9_13</vt:lpwstr>
  </property>
</Properties>
</file>