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7193"/>
      <w:bookmarkStart w:id="4" w:name="_Toc27082"/>
      <w:bookmarkStart w:id="5" w:name="_Toc15377425"/>
      <w:bookmarkStart w:id="6" w:name="_Toc120678870"/>
      <w:bookmarkStart w:id="7" w:name="_Toc15378441"/>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8" w:name="_Toc9632"/>
      <w:bookmarkStart w:id="9" w:name="_Toc15378442"/>
      <w:bookmarkStart w:id="10" w:name="_Toc15306268"/>
      <w:bookmarkStart w:id="11" w:name="_Toc15377194"/>
      <w:bookmarkStart w:id="12" w:name="_Toc15396476"/>
      <w:bookmarkStart w:id="13" w:name="_Toc15396598"/>
      <w:bookmarkStart w:id="14" w:name="_Toc15377426"/>
      <w:bookmarkStart w:id="15" w:name="_Toc120678871"/>
      <w:r>
        <w:rPr>
          <w:rFonts w:hint="eastAsia" w:ascii="方正小标宋简体" w:hAnsi="方正小标宋简体" w:eastAsia="方正小标宋简体" w:cs="方正小标宋简体"/>
          <w:sz w:val="72"/>
          <w:szCs w:val="72"/>
        </w:rPr>
        <w:t>广元市不动产登记中心</w:t>
      </w:r>
      <w:bookmarkEnd w:id="8"/>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30592"/>
      <w:r>
        <w:rPr>
          <w:rFonts w:hint="eastAsia" w:ascii="方正小标宋简体" w:hAnsi="方正小标宋简体" w:eastAsia="方正小标宋简体" w:cs="方正小标宋简体"/>
          <w:sz w:val="72"/>
          <w:szCs w:val="72"/>
        </w:rPr>
        <w:t>单位决算</w:t>
      </w:r>
      <w:bookmarkEnd w:id="9"/>
      <w:bookmarkEnd w:id="10"/>
      <w:bookmarkEnd w:id="11"/>
      <w:bookmarkEnd w:id="12"/>
      <w:bookmarkEnd w:id="13"/>
      <w:bookmarkEnd w:id="14"/>
      <w:r>
        <w:rPr>
          <w:rFonts w:hint="eastAsia" w:ascii="方正小标宋简体" w:hAnsi="方正小标宋简体" w:eastAsia="方正小标宋简体" w:cs="方正小标宋简体"/>
          <w:sz w:val="72"/>
          <w:szCs w:val="72"/>
        </w:rPr>
        <w:t>公开</w:t>
      </w:r>
      <w:bookmarkEnd w:id="15"/>
      <w:bookmarkEnd w:id="16"/>
    </w:p>
    <w:p>
      <w:pPr>
        <w:widowControl/>
        <w:jc w:val="center"/>
        <w:rPr>
          <w:rFonts w:ascii="黑体" w:hAnsi="黑体" w:eastAsia="黑体"/>
          <w:sz w:val="48"/>
          <w:szCs w:val="48"/>
        </w:rPr>
      </w:pPr>
      <w:bookmarkStart w:id="161" w:name="_GoBack"/>
      <w:bookmarkEnd w:id="161"/>
      <w:r>
        <w:rPr>
          <w:rFonts w:ascii="方正小标宋简体" w:hAnsi="宋体" w:eastAsia="方正小标宋简体"/>
          <w:sz w:val="36"/>
          <w:szCs w:val="36"/>
        </w:rPr>
        <w:br w:type="page"/>
      </w:r>
      <w:r>
        <w:rPr>
          <w:rFonts w:hint="eastAsia" w:ascii="黑体" w:hAnsi="黑体" w:eastAsia="黑体"/>
          <w:sz w:val="48"/>
          <w:szCs w:val="48"/>
        </w:rPr>
        <w:t>目录</w:t>
      </w:r>
    </w:p>
    <w:p>
      <w:pPr>
        <w:pStyle w:val="10"/>
      </w:pPr>
      <w:r>
        <w:rPr>
          <w:rFonts w:hint="eastAsia"/>
        </w:rPr>
        <w:t>公开时间：2022年9月30日</w:t>
      </w:r>
    </w:p>
    <w:sdt>
      <w:sdtPr>
        <w:rPr>
          <w:rFonts w:ascii="Times New Roman" w:hAnsi="Times New Roman" w:eastAsia="宋体" w:cs="Times New Roman"/>
          <w:b w:val="0"/>
          <w:bCs w:val="0"/>
          <w:color w:val="auto"/>
          <w:kern w:val="2"/>
          <w:sz w:val="21"/>
          <w:szCs w:val="24"/>
          <w:lang w:val="zh-CN"/>
        </w:rPr>
        <w:id w:val="12665188"/>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2"/>
          </w:pPr>
          <w:bookmarkStart w:id="17" w:name="_Toc15377196"/>
          <w:bookmarkStart w:id="18" w:name="_Toc15396599"/>
        </w:p>
        <w:p>
          <w:pPr>
            <w:pStyle w:val="10"/>
            <w:tabs>
              <w:tab w:val="right" w:leader="dot" w:pos="8845"/>
              <w:tab w:val="clear" w:pos="8296"/>
            </w:tabs>
            <w:spacing w:line="480" w:lineRule="exact"/>
            <w:rPr>
              <w:sz w:val="32"/>
              <w:szCs w:val="32"/>
            </w:rPr>
          </w:pPr>
          <w:r>
            <w:fldChar w:fldCharType="begin"/>
          </w:r>
          <w:r>
            <w:instrText xml:space="preserve"> TOC \o "1-3" \h \z \u </w:instrText>
          </w:r>
          <w:r>
            <w:fldChar w:fldCharType="separate"/>
          </w:r>
          <w:r>
            <w:rPr>
              <w:sz w:val="32"/>
              <w:szCs w:val="32"/>
            </w:rPr>
            <w:fldChar w:fldCharType="begin"/>
          </w:r>
          <w:r>
            <w:rPr>
              <w:sz w:val="32"/>
              <w:szCs w:val="32"/>
            </w:rPr>
            <w:instrText xml:space="preserve"> HYPERLINK \l _Toc21159 </w:instrText>
          </w:r>
          <w:r>
            <w:rPr>
              <w:sz w:val="32"/>
              <w:szCs w:val="32"/>
            </w:rPr>
            <w:fldChar w:fldCharType="separate"/>
          </w:r>
          <w:r>
            <w:rPr>
              <w:rFonts w:hint="eastAsia" w:ascii="黑体" w:hAnsi="黑体" w:eastAsia="黑体"/>
              <w:sz w:val="32"/>
              <w:szCs w:val="32"/>
            </w:rPr>
            <w:t>第一部分 单位</w:t>
          </w:r>
          <w:r>
            <w:rPr>
              <w:rFonts w:hint="eastAsia" w:ascii="黑体" w:hAnsi="黑体" w:eastAsia="黑体"/>
              <w:bCs w:val="0"/>
              <w:sz w:val="32"/>
              <w:szCs w:val="32"/>
            </w:rPr>
            <w:t>概况</w:t>
          </w:r>
          <w:r>
            <w:rPr>
              <w:sz w:val="32"/>
              <w:szCs w:val="32"/>
            </w:rPr>
            <w:tab/>
          </w:r>
          <w:r>
            <w:rPr>
              <w:sz w:val="32"/>
              <w:szCs w:val="32"/>
            </w:rPr>
            <w:fldChar w:fldCharType="begin"/>
          </w:r>
          <w:r>
            <w:rPr>
              <w:sz w:val="32"/>
              <w:szCs w:val="32"/>
            </w:rPr>
            <w:instrText xml:space="preserve"> PAGEREF _Toc21159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_Toc27665 </w:instrText>
          </w:r>
          <w:r>
            <w:rPr>
              <w:sz w:val="32"/>
              <w:szCs w:val="32"/>
            </w:rPr>
            <w:fldChar w:fldCharType="separate"/>
          </w:r>
          <w:r>
            <w:rPr>
              <w:rFonts w:hint="eastAsia" w:ascii="黑体" w:hAnsi="黑体" w:eastAsia="黑体"/>
              <w:bCs w:val="0"/>
              <w:sz w:val="32"/>
              <w:szCs w:val="32"/>
            </w:rPr>
            <w:t>二、2021年重点工作完成情况</w:t>
          </w:r>
          <w:r>
            <w:rPr>
              <w:sz w:val="32"/>
              <w:szCs w:val="32"/>
            </w:rPr>
            <w:tab/>
          </w:r>
          <w:r>
            <w:rPr>
              <w:sz w:val="32"/>
              <w:szCs w:val="32"/>
            </w:rPr>
            <w:fldChar w:fldCharType="begin"/>
          </w:r>
          <w:r>
            <w:rPr>
              <w:sz w:val="32"/>
              <w:szCs w:val="32"/>
            </w:rPr>
            <w:instrText xml:space="preserve"> PAGEREF _Toc27665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0"/>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_Toc1957 </w:instrText>
          </w:r>
          <w:r>
            <w:rPr>
              <w:sz w:val="32"/>
              <w:szCs w:val="32"/>
            </w:rPr>
            <w:fldChar w:fldCharType="separate"/>
          </w:r>
          <w:r>
            <w:rPr>
              <w:rFonts w:hint="eastAsia" w:ascii="黑体" w:hAnsi="黑体" w:eastAsia="黑体"/>
              <w:sz w:val="32"/>
              <w:szCs w:val="32"/>
            </w:rPr>
            <w:t>第二部分 2021年度</w:t>
          </w:r>
          <w:r>
            <w:rPr>
              <w:rFonts w:hint="eastAsia" w:ascii="黑体" w:hAnsi="黑体" w:eastAsia="黑体"/>
              <w:bCs/>
              <w:sz w:val="32"/>
              <w:szCs w:val="32"/>
            </w:rPr>
            <w:t>单位决算情况说明</w:t>
          </w:r>
          <w:r>
            <w:rPr>
              <w:sz w:val="32"/>
              <w:szCs w:val="32"/>
            </w:rPr>
            <w:tab/>
          </w:r>
          <w:r>
            <w:rPr>
              <w:sz w:val="32"/>
              <w:szCs w:val="32"/>
            </w:rPr>
            <w:fldChar w:fldCharType="begin"/>
          </w:r>
          <w:r>
            <w:rPr>
              <w:sz w:val="32"/>
              <w:szCs w:val="32"/>
            </w:rPr>
            <w:instrText xml:space="preserve"> PAGEREF _Toc1957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_Toc1060 </w:instrText>
          </w:r>
          <w:r>
            <w:rPr>
              <w:sz w:val="32"/>
              <w:szCs w:val="32"/>
            </w:rPr>
            <w:fldChar w:fldCharType="separate"/>
          </w:r>
          <w:r>
            <w:rPr>
              <w:rFonts w:hint="default" w:ascii="黑体" w:hAnsi="黑体" w:eastAsia="黑体"/>
              <w:sz w:val="32"/>
              <w:szCs w:val="32"/>
            </w:rPr>
            <w:t xml:space="preserve">一、 </w:t>
          </w:r>
          <w:r>
            <w:rPr>
              <w:rFonts w:hint="eastAsia" w:ascii="黑体" w:hAnsi="黑体" w:eastAsia="黑体"/>
              <w:sz w:val="32"/>
              <w:szCs w:val="32"/>
            </w:rPr>
            <w:t>收入支出决算总体情况说明</w:t>
          </w:r>
          <w:r>
            <w:rPr>
              <w:sz w:val="32"/>
              <w:szCs w:val="32"/>
            </w:rPr>
            <w:tab/>
          </w:r>
          <w:r>
            <w:rPr>
              <w:sz w:val="32"/>
              <w:szCs w:val="32"/>
            </w:rPr>
            <w:fldChar w:fldCharType="begin"/>
          </w:r>
          <w:r>
            <w:rPr>
              <w:sz w:val="32"/>
              <w:szCs w:val="32"/>
            </w:rPr>
            <w:instrText xml:space="preserve"> PAGEREF _Toc1060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_Toc19688 </w:instrText>
          </w:r>
          <w:r>
            <w:rPr>
              <w:sz w:val="32"/>
              <w:szCs w:val="32"/>
            </w:rPr>
            <w:fldChar w:fldCharType="separate"/>
          </w:r>
          <w:r>
            <w:rPr>
              <w:rFonts w:hint="default" w:ascii="黑体" w:hAnsi="黑体" w:eastAsia="黑体"/>
              <w:sz w:val="32"/>
              <w:szCs w:val="32"/>
            </w:rPr>
            <w:t xml:space="preserve">二、 </w:t>
          </w:r>
          <w:r>
            <w:rPr>
              <w:rFonts w:hint="eastAsia" w:ascii="黑体" w:hAnsi="黑体" w:eastAsia="黑体"/>
              <w:sz w:val="32"/>
              <w:szCs w:val="32"/>
            </w:rPr>
            <w:t>收入决算情况说明</w:t>
          </w:r>
          <w:r>
            <w:rPr>
              <w:sz w:val="32"/>
              <w:szCs w:val="32"/>
            </w:rPr>
            <w:tab/>
          </w:r>
          <w:r>
            <w:rPr>
              <w:sz w:val="32"/>
              <w:szCs w:val="32"/>
            </w:rPr>
            <w:fldChar w:fldCharType="begin"/>
          </w:r>
          <w:r>
            <w:rPr>
              <w:sz w:val="32"/>
              <w:szCs w:val="32"/>
            </w:rPr>
            <w:instrText xml:space="preserve"> PAGEREF _Toc19688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_Toc1490 </w:instrText>
          </w:r>
          <w:r>
            <w:rPr>
              <w:sz w:val="32"/>
              <w:szCs w:val="32"/>
            </w:rPr>
            <w:fldChar w:fldCharType="separate"/>
          </w:r>
          <w:r>
            <w:rPr>
              <w:rFonts w:hint="default" w:ascii="黑体" w:hAnsi="黑体" w:eastAsia="黑体"/>
              <w:sz w:val="32"/>
              <w:szCs w:val="32"/>
            </w:rPr>
            <w:t xml:space="preserve">三、 </w:t>
          </w:r>
          <w:r>
            <w:rPr>
              <w:rFonts w:hint="eastAsia" w:ascii="黑体" w:hAnsi="黑体" w:eastAsia="黑体"/>
              <w:sz w:val="32"/>
              <w:szCs w:val="32"/>
            </w:rPr>
            <w:t>支出决算情况说明</w:t>
          </w:r>
          <w:r>
            <w:rPr>
              <w:sz w:val="32"/>
              <w:szCs w:val="32"/>
            </w:rPr>
            <w:tab/>
          </w:r>
          <w:r>
            <w:rPr>
              <w:sz w:val="32"/>
              <w:szCs w:val="32"/>
            </w:rPr>
            <w:fldChar w:fldCharType="begin"/>
          </w:r>
          <w:r>
            <w:rPr>
              <w:sz w:val="32"/>
              <w:szCs w:val="32"/>
            </w:rPr>
            <w:instrText xml:space="preserve"> PAGEREF _Toc1490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_Toc11932 </w:instrText>
          </w:r>
          <w:r>
            <w:rPr>
              <w:sz w:val="32"/>
              <w:szCs w:val="32"/>
            </w:rPr>
            <w:fldChar w:fldCharType="separate"/>
          </w:r>
          <w:r>
            <w:rPr>
              <w:rFonts w:hint="eastAsia" w:ascii="黑体" w:hAnsi="黑体" w:eastAsia="黑体"/>
              <w:sz w:val="32"/>
              <w:szCs w:val="32"/>
            </w:rPr>
            <w:t>四、财政拨款收入支出决算总体情况说明</w:t>
          </w:r>
          <w:r>
            <w:rPr>
              <w:sz w:val="32"/>
              <w:szCs w:val="32"/>
            </w:rPr>
            <w:tab/>
          </w:r>
          <w:r>
            <w:rPr>
              <w:sz w:val="32"/>
              <w:szCs w:val="32"/>
            </w:rPr>
            <w:fldChar w:fldCharType="begin"/>
          </w:r>
          <w:r>
            <w:rPr>
              <w:sz w:val="32"/>
              <w:szCs w:val="32"/>
            </w:rPr>
            <w:instrText xml:space="preserve"> PAGEREF _Toc11932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_Toc19618 </w:instrText>
          </w:r>
          <w:r>
            <w:rPr>
              <w:sz w:val="32"/>
              <w:szCs w:val="32"/>
            </w:rPr>
            <w:fldChar w:fldCharType="separate"/>
          </w:r>
          <w:r>
            <w:rPr>
              <w:rFonts w:hint="eastAsia" w:ascii="黑体" w:hAnsi="黑体" w:eastAsia="黑体"/>
              <w:sz w:val="32"/>
              <w:szCs w:val="32"/>
            </w:rPr>
            <w:t>五、一般公共预算财政拨款支出决算情况说明</w:t>
          </w:r>
          <w:r>
            <w:rPr>
              <w:sz w:val="32"/>
              <w:szCs w:val="32"/>
            </w:rPr>
            <w:tab/>
          </w:r>
          <w:r>
            <w:rPr>
              <w:sz w:val="32"/>
              <w:szCs w:val="32"/>
            </w:rPr>
            <w:fldChar w:fldCharType="begin"/>
          </w:r>
          <w:r>
            <w:rPr>
              <w:sz w:val="32"/>
              <w:szCs w:val="32"/>
            </w:rPr>
            <w:instrText xml:space="preserve"> PAGEREF _Toc19618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_Toc12578 </w:instrText>
          </w:r>
          <w:r>
            <w:rPr>
              <w:sz w:val="32"/>
              <w:szCs w:val="32"/>
            </w:rPr>
            <w:fldChar w:fldCharType="separate"/>
          </w:r>
          <w:r>
            <w:rPr>
              <w:rFonts w:hint="eastAsia" w:ascii="仿宋" w:hAnsi="仿宋" w:eastAsia="仿宋"/>
              <w:sz w:val="32"/>
              <w:szCs w:val="32"/>
            </w:rPr>
            <w:t>（一）一般公共预算财政拨款支出决算总体情况</w:t>
          </w:r>
          <w:r>
            <w:rPr>
              <w:sz w:val="32"/>
              <w:szCs w:val="32"/>
            </w:rPr>
            <w:tab/>
          </w:r>
          <w:r>
            <w:rPr>
              <w:sz w:val="32"/>
              <w:szCs w:val="32"/>
            </w:rPr>
            <w:fldChar w:fldCharType="begin"/>
          </w:r>
          <w:r>
            <w:rPr>
              <w:sz w:val="32"/>
              <w:szCs w:val="32"/>
            </w:rPr>
            <w:instrText xml:space="preserve"> PAGEREF _Toc12578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_Toc11421 </w:instrText>
          </w:r>
          <w:r>
            <w:rPr>
              <w:sz w:val="32"/>
              <w:szCs w:val="32"/>
            </w:rPr>
            <w:fldChar w:fldCharType="separate"/>
          </w:r>
          <w:r>
            <w:rPr>
              <w:rFonts w:hint="eastAsia" w:ascii="仿宋" w:hAnsi="仿宋" w:eastAsia="仿宋"/>
              <w:sz w:val="32"/>
              <w:szCs w:val="32"/>
            </w:rPr>
            <w:t>（二）一般公共预算财政拨款支出决算结构情况</w:t>
          </w:r>
          <w:r>
            <w:rPr>
              <w:sz w:val="32"/>
              <w:szCs w:val="32"/>
            </w:rPr>
            <w:tab/>
          </w:r>
          <w:r>
            <w:rPr>
              <w:sz w:val="32"/>
              <w:szCs w:val="32"/>
            </w:rPr>
            <w:fldChar w:fldCharType="begin"/>
          </w:r>
          <w:r>
            <w:rPr>
              <w:sz w:val="32"/>
              <w:szCs w:val="32"/>
            </w:rPr>
            <w:instrText xml:space="preserve"> PAGEREF _Toc11421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_Toc20776 </w:instrText>
          </w:r>
          <w:r>
            <w:rPr>
              <w:sz w:val="32"/>
              <w:szCs w:val="32"/>
            </w:rPr>
            <w:fldChar w:fldCharType="separate"/>
          </w:r>
          <w:r>
            <w:rPr>
              <w:rFonts w:hint="eastAsia" w:ascii="仿宋" w:hAnsi="仿宋" w:eastAsia="仿宋"/>
              <w:sz w:val="32"/>
              <w:szCs w:val="32"/>
            </w:rPr>
            <w:t>（三）一般公共预算财政拨款支出决算具体情况</w:t>
          </w:r>
          <w:r>
            <w:rPr>
              <w:sz w:val="32"/>
              <w:szCs w:val="32"/>
            </w:rPr>
            <w:tab/>
          </w:r>
          <w:r>
            <w:rPr>
              <w:sz w:val="32"/>
              <w:szCs w:val="32"/>
            </w:rPr>
            <w:fldChar w:fldCharType="begin"/>
          </w:r>
          <w:r>
            <w:rPr>
              <w:sz w:val="32"/>
              <w:szCs w:val="32"/>
            </w:rPr>
            <w:instrText xml:space="preserve"> PAGEREF _Toc20776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_Toc29629 </w:instrText>
          </w:r>
          <w:r>
            <w:rPr>
              <w:sz w:val="32"/>
              <w:szCs w:val="32"/>
            </w:rPr>
            <w:fldChar w:fldCharType="separate"/>
          </w:r>
          <w:r>
            <w:rPr>
              <w:rFonts w:hint="eastAsia" w:ascii="黑体" w:eastAsia="黑体"/>
              <w:sz w:val="32"/>
              <w:szCs w:val="32"/>
            </w:rPr>
            <w:t>六、</w:t>
          </w:r>
          <w:r>
            <w:rPr>
              <w:rFonts w:hint="eastAsia" w:ascii="黑体" w:hAnsi="黑体" w:eastAsia="黑体"/>
              <w:sz w:val="32"/>
              <w:szCs w:val="32"/>
            </w:rPr>
            <w:t>一般公共预算财政拨款基本支出决算情况说明</w:t>
          </w:r>
          <w:r>
            <w:rPr>
              <w:sz w:val="32"/>
              <w:szCs w:val="32"/>
            </w:rPr>
            <w:tab/>
          </w:r>
          <w:r>
            <w:rPr>
              <w:sz w:val="32"/>
              <w:szCs w:val="32"/>
            </w:rPr>
            <w:fldChar w:fldCharType="begin"/>
          </w:r>
          <w:r>
            <w:rPr>
              <w:sz w:val="32"/>
              <w:szCs w:val="32"/>
            </w:rPr>
            <w:instrText xml:space="preserve"> PAGEREF _Toc29629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_Toc31020 </w:instrText>
          </w:r>
          <w:r>
            <w:rPr>
              <w:sz w:val="32"/>
              <w:szCs w:val="32"/>
            </w:rPr>
            <w:fldChar w:fldCharType="separate"/>
          </w:r>
          <w:r>
            <w:rPr>
              <w:rFonts w:hint="eastAsia" w:ascii="黑体" w:eastAsia="黑体"/>
              <w:sz w:val="32"/>
              <w:szCs w:val="32"/>
            </w:rPr>
            <w:t>七、</w:t>
          </w:r>
          <w:r>
            <w:rPr>
              <w:rFonts w:hint="eastAsia" w:ascii="黑体" w:hAnsi="黑体" w:eastAsia="黑体"/>
              <w:sz w:val="32"/>
              <w:szCs w:val="32"/>
            </w:rPr>
            <w:t>“三公”经费财政拨款支出决算情况说明</w:t>
          </w:r>
          <w:r>
            <w:rPr>
              <w:sz w:val="32"/>
              <w:szCs w:val="32"/>
            </w:rPr>
            <w:tab/>
          </w:r>
          <w:r>
            <w:rPr>
              <w:sz w:val="32"/>
              <w:szCs w:val="32"/>
            </w:rPr>
            <w:fldChar w:fldCharType="begin"/>
          </w:r>
          <w:r>
            <w:rPr>
              <w:sz w:val="32"/>
              <w:szCs w:val="32"/>
            </w:rPr>
            <w:instrText xml:space="preserve"> PAGEREF _Toc31020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_Toc25243 </w:instrText>
          </w:r>
          <w:r>
            <w:rPr>
              <w:sz w:val="32"/>
              <w:szCs w:val="32"/>
            </w:rPr>
            <w:fldChar w:fldCharType="separate"/>
          </w:r>
          <w:r>
            <w:rPr>
              <w:rFonts w:hint="eastAsia" w:ascii="仿宋" w:hAnsi="仿宋" w:eastAsia="仿宋"/>
              <w:sz w:val="32"/>
              <w:szCs w:val="32"/>
            </w:rPr>
            <w:t>（一）“三公”经费财政拨款支出决算总体情况说明</w:t>
          </w:r>
          <w:r>
            <w:rPr>
              <w:sz w:val="32"/>
              <w:szCs w:val="32"/>
            </w:rPr>
            <w:tab/>
          </w:r>
          <w:r>
            <w:rPr>
              <w:sz w:val="32"/>
              <w:szCs w:val="32"/>
            </w:rPr>
            <w:fldChar w:fldCharType="begin"/>
          </w:r>
          <w:r>
            <w:rPr>
              <w:sz w:val="32"/>
              <w:szCs w:val="32"/>
            </w:rPr>
            <w:instrText xml:space="preserve"> PAGEREF _Toc25243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_Toc29257 </w:instrText>
          </w:r>
          <w:r>
            <w:rPr>
              <w:sz w:val="32"/>
              <w:szCs w:val="32"/>
            </w:rPr>
            <w:fldChar w:fldCharType="separate"/>
          </w:r>
          <w:r>
            <w:rPr>
              <w:rFonts w:hint="eastAsia" w:ascii="仿宋" w:hAnsi="仿宋" w:eastAsia="仿宋"/>
              <w:sz w:val="32"/>
              <w:szCs w:val="32"/>
            </w:rPr>
            <w:t>（二）“三公”经费财政拨款支出决算具体情况说明</w:t>
          </w:r>
          <w:r>
            <w:rPr>
              <w:sz w:val="32"/>
              <w:szCs w:val="32"/>
            </w:rPr>
            <w:tab/>
          </w:r>
          <w:r>
            <w:rPr>
              <w:sz w:val="32"/>
              <w:szCs w:val="32"/>
            </w:rPr>
            <w:fldChar w:fldCharType="begin"/>
          </w:r>
          <w:r>
            <w:rPr>
              <w:sz w:val="32"/>
              <w:szCs w:val="32"/>
            </w:rPr>
            <w:instrText xml:space="preserve"> PAGEREF _Toc29257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_Toc29631 </w:instrText>
          </w:r>
          <w:r>
            <w:rPr>
              <w:sz w:val="32"/>
              <w:szCs w:val="32"/>
            </w:rPr>
            <w:fldChar w:fldCharType="separate"/>
          </w:r>
          <w:r>
            <w:rPr>
              <w:rFonts w:hint="eastAsia" w:ascii="黑体" w:eastAsia="黑体"/>
              <w:sz w:val="32"/>
              <w:szCs w:val="32"/>
            </w:rPr>
            <w:t>八、</w:t>
          </w:r>
          <w:r>
            <w:rPr>
              <w:rFonts w:hint="eastAsia" w:ascii="黑体" w:hAnsi="黑体" w:eastAsia="黑体"/>
              <w:sz w:val="32"/>
              <w:szCs w:val="32"/>
            </w:rPr>
            <w:t>政府性基金预算支出决算情况说明</w:t>
          </w:r>
          <w:r>
            <w:rPr>
              <w:sz w:val="32"/>
              <w:szCs w:val="32"/>
            </w:rPr>
            <w:tab/>
          </w:r>
          <w:r>
            <w:rPr>
              <w:sz w:val="32"/>
              <w:szCs w:val="32"/>
            </w:rPr>
            <w:fldChar w:fldCharType="begin"/>
          </w:r>
          <w:r>
            <w:rPr>
              <w:sz w:val="32"/>
              <w:szCs w:val="32"/>
            </w:rPr>
            <w:instrText xml:space="preserve"> PAGEREF _Toc29631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_Toc24715 </w:instrText>
          </w:r>
          <w:r>
            <w:rPr>
              <w:sz w:val="32"/>
              <w:szCs w:val="32"/>
            </w:rPr>
            <w:fldChar w:fldCharType="separate"/>
          </w:r>
          <w:r>
            <w:rPr>
              <w:rFonts w:hint="eastAsia" w:ascii="黑体" w:hAnsi="黑体" w:eastAsia="黑体"/>
              <w:sz w:val="32"/>
              <w:szCs w:val="32"/>
            </w:rPr>
            <w:t>九、 国有资本经营预算支出决算情况说明</w:t>
          </w:r>
          <w:r>
            <w:rPr>
              <w:sz w:val="32"/>
              <w:szCs w:val="32"/>
            </w:rPr>
            <w:tab/>
          </w:r>
          <w:r>
            <w:rPr>
              <w:sz w:val="32"/>
              <w:szCs w:val="32"/>
            </w:rPr>
            <w:fldChar w:fldCharType="begin"/>
          </w:r>
          <w:r>
            <w:rPr>
              <w:sz w:val="32"/>
              <w:szCs w:val="32"/>
            </w:rPr>
            <w:instrText xml:space="preserve"> PAGEREF _Toc24715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_Toc32398 </w:instrText>
          </w:r>
          <w:r>
            <w:rPr>
              <w:sz w:val="32"/>
              <w:szCs w:val="32"/>
            </w:rPr>
            <w:fldChar w:fldCharType="separate"/>
          </w:r>
          <w:r>
            <w:rPr>
              <w:rFonts w:hint="eastAsia" w:ascii="黑体" w:hAnsi="黑体" w:eastAsia="黑体"/>
              <w:sz w:val="32"/>
              <w:szCs w:val="32"/>
            </w:rPr>
            <w:t>十、 预算绩效管理情况</w:t>
          </w:r>
          <w:r>
            <w:rPr>
              <w:sz w:val="32"/>
              <w:szCs w:val="32"/>
            </w:rPr>
            <w:tab/>
          </w:r>
          <w:r>
            <w:rPr>
              <w:sz w:val="32"/>
              <w:szCs w:val="32"/>
            </w:rPr>
            <w:fldChar w:fldCharType="begin"/>
          </w:r>
          <w:r>
            <w:rPr>
              <w:sz w:val="32"/>
              <w:szCs w:val="32"/>
            </w:rPr>
            <w:instrText xml:space="preserve"> PAGEREF _Toc32398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_Toc3965 </w:instrText>
          </w:r>
          <w:r>
            <w:rPr>
              <w:sz w:val="32"/>
              <w:szCs w:val="32"/>
            </w:rPr>
            <w:fldChar w:fldCharType="separate"/>
          </w:r>
          <w:r>
            <w:rPr>
              <w:rFonts w:hint="eastAsia" w:ascii="黑体" w:hAnsi="黑体" w:eastAsia="黑体"/>
              <w:sz w:val="32"/>
              <w:szCs w:val="32"/>
            </w:rPr>
            <w:t>十一、 其他重要事项的情况说明</w:t>
          </w:r>
          <w:r>
            <w:rPr>
              <w:sz w:val="32"/>
              <w:szCs w:val="32"/>
            </w:rPr>
            <w:tab/>
          </w:r>
          <w:r>
            <w:rPr>
              <w:sz w:val="32"/>
              <w:szCs w:val="32"/>
            </w:rPr>
            <w:fldChar w:fldCharType="begin"/>
          </w:r>
          <w:r>
            <w:rPr>
              <w:sz w:val="32"/>
              <w:szCs w:val="32"/>
            </w:rPr>
            <w:instrText xml:space="preserve"> PAGEREF _Toc3965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_Toc4923 </w:instrText>
          </w:r>
          <w:r>
            <w:rPr>
              <w:sz w:val="32"/>
              <w:szCs w:val="32"/>
            </w:rPr>
            <w:fldChar w:fldCharType="separate"/>
          </w:r>
          <w:r>
            <w:rPr>
              <w:rFonts w:hint="eastAsia" w:ascii="仿宋" w:hAnsi="仿宋" w:eastAsia="仿宋"/>
              <w:sz w:val="32"/>
              <w:szCs w:val="32"/>
            </w:rPr>
            <w:t>（一）机关运行经费支出情况</w:t>
          </w:r>
          <w:r>
            <w:rPr>
              <w:sz w:val="32"/>
              <w:szCs w:val="32"/>
            </w:rPr>
            <w:tab/>
          </w:r>
          <w:r>
            <w:rPr>
              <w:sz w:val="32"/>
              <w:szCs w:val="32"/>
            </w:rPr>
            <w:fldChar w:fldCharType="begin"/>
          </w:r>
          <w:r>
            <w:rPr>
              <w:sz w:val="32"/>
              <w:szCs w:val="32"/>
            </w:rPr>
            <w:instrText xml:space="preserve"> PAGEREF _Toc4923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_Toc15889 </w:instrText>
          </w:r>
          <w:r>
            <w:rPr>
              <w:sz w:val="32"/>
              <w:szCs w:val="32"/>
            </w:rPr>
            <w:fldChar w:fldCharType="separate"/>
          </w:r>
          <w:r>
            <w:rPr>
              <w:rFonts w:hint="eastAsia" w:ascii="仿宋" w:hAnsi="仿宋" w:eastAsia="仿宋"/>
              <w:sz w:val="32"/>
              <w:szCs w:val="32"/>
            </w:rPr>
            <w:t>（二）政府采购支出情况</w:t>
          </w:r>
          <w:r>
            <w:rPr>
              <w:sz w:val="32"/>
              <w:szCs w:val="32"/>
            </w:rPr>
            <w:tab/>
          </w:r>
          <w:r>
            <w:rPr>
              <w:sz w:val="32"/>
              <w:szCs w:val="32"/>
            </w:rPr>
            <w:fldChar w:fldCharType="begin"/>
          </w:r>
          <w:r>
            <w:rPr>
              <w:sz w:val="32"/>
              <w:szCs w:val="32"/>
            </w:rPr>
            <w:instrText xml:space="preserve"> PAGEREF _Toc15889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_Toc20047 </w:instrText>
          </w:r>
          <w:r>
            <w:rPr>
              <w:sz w:val="32"/>
              <w:szCs w:val="32"/>
            </w:rPr>
            <w:fldChar w:fldCharType="separate"/>
          </w:r>
          <w:r>
            <w:rPr>
              <w:rFonts w:hint="eastAsia" w:ascii="仿宋" w:hAnsi="仿宋" w:eastAsia="仿宋"/>
              <w:sz w:val="32"/>
              <w:szCs w:val="32"/>
            </w:rPr>
            <w:t>（三）国有资产占有使用情况</w:t>
          </w:r>
          <w:r>
            <w:rPr>
              <w:sz w:val="32"/>
              <w:szCs w:val="32"/>
            </w:rPr>
            <w:tab/>
          </w:r>
          <w:r>
            <w:rPr>
              <w:sz w:val="32"/>
              <w:szCs w:val="32"/>
            </w:rPr>
            <w:fldChar w:fldCharType="begin"/>
          </w:r>
          <w:r>
            <w:rPr>
              <w:sz w:val="32"/>
              <w:szCs w:val="32"/>
            </w:rPr>
            <w:instrText xml:space="preserve"> PAGEREF _Toc20047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10"/>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_Toc4742 </w:instrText>
          </w:r>
          <w:r>
            <w:rPr>
              <w:sz w:val="32"/>
              <w:szCs w:val="32"/>
            </w:rPr>
            <w:fldChar w:fldCharType="separate"/>
          </w:r>
          <w:r>
            <w:rPr>
              <w:rFonts w:hint="eastAsia" w:ascii="黑体" w:hAnsi="黑体" w:eastAsia="黑体" w:cs="黑体"/>
              <w:sz w:val="32"/>
              <w:szCs w:val="32"/>
            </w:rPr>
            <w:t xml:space="preserve">第三部分 </w:t>
          </w:r>
          <w:r>
            <w:rPr>
              <w:rFonts w:hint="eastAsia" w:ascii="黑体" w:hAnsi="黑体" w:eastAsia="黑体"/>
              <w:sz w:val="32"/>
              <w:szCs w:val="32"/>
            </w:rPr>
            <w:t>名词解释</w:t>
          </w:r>
          <w:r>
            <w:rPr>
              <w:sz w:val="32"/>
              <w:szCs w:val="32"/>
            </w:rPr>
            <w:tab/>
          </w:r>
          <w:r>
            <w:rPr>
              <w:sz w:val="32"/>
              <w:szCs w:val="32"/>
            </w:rPr>
            <w:fldChar w:fldCharType="begin"/>
          </w:r>
          <w:r>
            <w:rPr>
              <w:sz w:val="32"/>
              <w:szCs w:val="32"/>
            </w:rPr>
            <w:instrText xml:space="preserve"> PAGEREF _Toc4742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0"/>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_Toc12672 </w:instrText>
          </w:r>
          <w:r>
            <w:rPr>
              <w:sz w:val="32"/>
              <w:szCs w:val="32"/>
            </w:rPr>
            <w:fldChar w:fldCharType="separate"/>
          </w:r>
          <w:r>
            <w:rPr>
              <w:rFonts w:hint="eastAsia" w:ascii="黑体" w:hAnsi="黑体" w:eastAsia="黑体"/>
              <w:sz w:val="32"/>
              <w:szCs w:val="32"/>
            </w:rPr>
            <w:t>第四部分 附件</w:t>
          </w:r>
          <w:r>
            <w:rPr>
              <w:sz w:val="32"/>
              <w:szCs w:val="32"/>
            </w:rPr>
            <w:tab/>
          </w:r>
          <w:r>
            <w:rPr>
              <w:sz w:val="32"/>
              <w:szCs w:val="32"/>
            </w:rPr>
            <w:fldChar w:fldCharType="begin"/>
          </w:r>
          <w:r>
            <w:rPr>
              <w:sz w:val="32"/>
              <w:szCs w:val="32"/>
            </w:rPr>
            <w:instrText xml:space="preserve"> PAGEREF _Toc12672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0"/>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_Toc29282 </w:instrText>
          </w:r>
          <w:r>
            <w:rPr>
              <w:sz w:val="32"/>
              <w:szCs w:val="32"/>
            </w:rPr>
            <w:fldChar w:fldCharType="separate"/>
          </w:r>
          <w:r>
            <w:rPr>
              <w:rFonts w:hint="eastAsia" w:ascii="黑体" w:hAnsi="黑体" w:eastAsia="黑体" w:cs="黑体"/>
              <w:sz w:val="32"/>
              <w:szCs w:val="32"/>
            </w:rPr>
            <w:t>附表</w:t>
          </w:r>
          <w:r>
            <w:rPr>
              <w:sz w:val="32"/>
              <w:szCs w:val="32"/>
            </w:rPr>
            <w:tab/>
          </w:r>
          <w:r>
            <w:rPr>
              <w:sz w:val="32"/>
              <w:szCs w:val="32"/>
            </w:rPr>
            <w:fldChar w:fldCharType="begin"/>
          </w:r>
          <w:r>
            <w:rPr>
              <w:sz w:val="32"/>
              <w:szCs w:val="32"/>
            </w:rPr>
            <w:instrText xml:space="preserve"> PAGEREF _Toc29282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0"/>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_Toc29758 </w:instrText>
          </w:r>
          <w:r>
            <w:rPr>
              <w:sz w:val="32"/>
              <w:szCs w:val="32"/>
            </w:rPr>
            <w:fldChar w:fldCharType="separate"/>
          </w:r>
          <w:r>
            <w:rPr>
              <w:rFonts w:hint="eastAsia" w:ascii="方正小标宋_GBK" w:hAnsi="方正小标宋_GBK" w:eastAsia="方正小标宋_GBK" w:cs="方正小标宋_GBK"/>
              <w:bCs w:val="0"/>
              <w:kern w:val="0"/>
              <w:sz w:val="32"/>
              <w:szCs w:val="32"/>
            </w:rPr>
            <w:t>项目支出绩效目标自评表</w:t>
          </w:r>
          <w:r>
            <w:rPr>
              <w:sz w:val="32"/>
              <w:szCs w:val="32"/>
            </w:rPr>
            <w:tab/>
          </w:r>
          <w:r>
            <w:rPr>
              <w:sz w:val="32"/>
              <w:szCs w:val="32"/>
            </w:rPr>
            <w:fldChar w:fldCharType="begin"/>
          </w:r>
          <w:r>
            <w:rPr>
              <w:sz w:val="32"/>
              <w:szCs w:val="32"/>
            </w:rPr>
            <w:instrText xml:space="preserve"> PAGEREF _Toc29758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0"/>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_Toc1872 </w:instrText>
          </w:r>
          <w:r>
            <w:rPr>
              <w:sz w:val="32"/>
              <w:szCs w:val="32"/>
            </w:rPr>
            <w:fldChar w:fldCharType="separate"/>
          </w:r>
          <w:r>
            <w:rPr>
              <w:rFonts w:hint="eastAsia" w:ascii="黑体" w:hAnsi="黑体" w:eastAsia="黑体"/>
              <w:sz w:val="32"/>
              <w:szCs w:val="32"/>
            </w:rPr>
            <w:t>第五部分 附表</w:t>
          </w:r>
          <w:r>
            <w:rPr>
              <w:sz w:val="32"/>
              <w:szCs w:val="32"/>
            </w:rPr>
            <w:tab/>
          </w:r>
          <w:r>
            <w:rPr>
              <w:sz w:val="32"/>
              <w:szCs w:val="32"/>
            </w:rPr>
            <w:fldChar w:fldCharType="begin"/>
          </w:r>
          <w:r>
            <w:rPr>
              <w:sz w:val="32"/>
              <w:szCs w:val="32"/>
            </w:rPr>
            <w:instrText xml:space="preserve"> PAGEREF _Toc1872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_Toc4506 </w:instrText>
          </w:r>
          <w:r>
            <w:rPr>
              <w:sz w:val="32"/>
              <w:szCs w:val="32"/>
            </w:rPr>
            <w:fldChar w:fldCharType="separate"/>
          </w:r>
          <w:r>
            <w:rPr>
              <w:rFonts w:hint="eastAsia" w:ascii="仿宋" w:hAnsi="仿宋" w:eastAsia="仿宋"/>
              <w:sz w:val="32"/>
              <w:szCs w:val="32"/>
            </w:rPr>
            <w:t>一、收</w:t>
          </w:r>
          <w:r>
            <w:rPr>
              <w:rFonts w:hint="eastAsia" w:ascii="仿宋" w:hAnsi="仿宋" w:eastAsia="仿宋"/>
              <w:bCs w:val="0"/>
              <w:sz w:val="32"/>
              <w:szCs w:val="32"/>
            </w:rPr>
            <w:t>入支出决算总表</w:t>
          </w:r>
          <w:r>
            <w:rPr>
              <w:sz w:val="32"/>
              <w:szCs w:val="32"/>
            </w:rPr>
            <w:tab/>
          </w:r>
          <w:r>
            <w:rPr>
              <w:sz w:val="32"/>
              <w:szCs w:val="32"/>
            </w:rPr>
            <w:fldChar w:fldCharType="begin"/>
          </w:r>
          <w:r>
            <w:rPr>
              <w:sz w:val="32"/>
              <w:szCs w:val="32"/>
            </w:rPr>
            <w:instrText xml:space="preserve"> PAGEREF _Toc4506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_Toc16358 </w:instrText>
          </w:r>
          <w:r>
            <w:rPr>
              <w:sz w:val="32"/>
              <w:szCs w:val="32"/>
            </w:rPr>
            <w:fldChar w:fldCharType="separate"/>
          </w:r>
          <w:r>
            <w:rPr>
              <w:rFonts w:hint="eastAsia" w:ascii="仿宋" w:hAnsi="仿宋" w:eastAsia="仿宋"/>
              <w:sz w:val="32"/>
              <w:szCs w:val="32"/>
            </w:rPr>
            <w:t>二、收</w:t>
          </w:r>
          <w:r>
            <w:rPr>
              <w:rFonts w:hint="eastAsia" w:ascii="仿宋" w:hAnsi="仿宋" w:eastAsia="仿宋"/>
              <w:bCs w:val="0"/>
              <w:sz w:val="32"/>
              <w:szCs w:val="32"/>
            </w:rPr>
            <w:t>入决算表</w:t>
          </w:r>
          <w:r>
            <w:rPr>
              <w:sz w:val="32"/>
              <w:szCs w:val="32"/>
            </w:rPr>
            <w:tab/>
          </w:r>
          <w:r>
            <w:rPr>
              <w:sz w:val="32"/>
              <w:szCs w:val="32"/>
            </w:rPr>
            <w:fldChar w:fldCharType="begin"/>
          </w:r>
          <w:r>
            <w:rPr>
              <w:sz w:val="32"/>
              <w:szCs w:val="32"/>
            </w:rPr>
            <w:instrText xml:space="preserve"> PAGEREF _Toc16358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_Toc18038 </w:instrText>
          </w:r>
          <w:r>
            <w:rPr>
              <w:sz w:val="32"/>
              <w:szCs w:val="32"/>
            </w:rPr>
            <w:fldChar w:fldCharType="separate"/>
          </w:r>
          <w:r>
            <w:rPr>
              <w:rFonts w:hint="eastAsia" w:ascii="仿宋" w:hAnsi="仿宋" w:eastAsia="仿宋"/>
              <w:bCs w:val="0"/>
              <w:sz w:val="32"/>
              <w:szCs w:val="32"/>
            </w:rPr>
            <w:t>三、</w:t>
          </w:r>
          <w:r>
            <w:rPr>
              <w:rFonts w:hint="eastAsia" w:ascii="仿宋" w:hAnsi="仿宋" w:eastAsia="仿宋"/>
              <w:sz w:val="32"/>
              <w:szCs w:val="32"/>
            </w:rPr>
            <w:t>支</w:t>
          </w:r>
          <w:r>
            <w:rPr>
              <w:rFonts w:hint="eastAsia" w:ascii="仿宋" w:hAnsi="仿宋" w:eastAsia="仿宋"/>
              <w:bCs w:val="0"/>
              <w:sz w:val="32"/>
              <w:szCs w:val="32"/>
            </w:rPr>
            <w:t>出决算表</w:t>
          </w:r>
          <w:r>
            <w:rPr>
              <w:sz w:val="32"/>
              <w:szCs w:val="32"/>
            </w:rPr>
            <w:tab/>
          </w:r>
          <w:r>
            <w:rPr>
              <w:sz w:val="32"/>
              <w:szCs w:val="32"/>
            </w:rPr>
            <w:fldChar w:fldCharType="begin"/>
          </w:r>
          <w:r>
            <w:rPr>
              <w:sz w:val="32"/>
              <w:szCs w:val="32"/>
            </w:rPr>
            <w:instrText xml:space="preserve"> PAGEREF _Toc18038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_Toc21403 </w:instrText>
          </w:r>
          <w:r>
            <w:rPr>
              <w:sz w:val="32"/>
              <w:szCs w:val="32"/>
            </w:rPr>
            <w:fldChar w:fldCharType="separate"/>
          </w:r>
          <w:r>
            <w:rPr>
              <w:rFonts w:hint="eastAsia" w:ascii="仿宋" w:hAnsi="仿宋" w:eastAsia="仿宋"/>
              <w:bCs w:val="0"/>
              <w:sz w:val="32"/>
              <w:szCs w:val="32"/>
            </w:rPr>
            <w:t>四、</w:t>
          </w:r>
          <w:r>
            <w:rPr>
              <w:rFonts w:hint="eastAsia" w:ascii="仿宋" w:hAnsi="仿宋" w:eastAsia="仿宋"/>
              <w:sz w:val="32"/>
              <w:szCs w:val="32"/>
            </w:rPr>
            <w:t>财</w:t>
          </w:r>
          <w:r>
            <w:rPr>
              <w:rFonts w:hint="eastAsia" w:ascii="仿宋" w:hAnsi="仿宋" w:eastAsia="仿宋"/>
              <w:bCs w:val="0"/>
              <w:sz w:val="32"/>
              <w:szCs w:val="32"/>
            </w:rPr>
            <w:t>政拨款收入支出决算总表</w:t>
          </w:r>
          <w:r>
            <w:rPr>
              <w:sz w:val="32"/>
              <w:szCs w:val="32"/>
            </w:rPr>
            <w:tab/>
          </w:r>
          <w:r>
            <w:rPr>
              <w:sz w:val="32"/>
              <w:szCs w:val="32"/>
            </w:rPr>
            <w:fldChar w:fldCharType="begin"/>
          </w:r>
          <w:r>
            <w:rPr>
              <w:sz w:val="32"/>
              <w:szCs w:val="32"/>
            </w:rPr>
            <w:instrText xml:space="preserve"> PAGEREF _Toc21403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_Toc2588 </w:instrText>
          </w:r>
          <w:r>
            <w:rPr>
              <w:sz w:val="32"/>
              <w:szCs w:val="32"/>
            </w:rPr>
            <w:fldChar w:fldCharType="separate"/>
          </w:r>
          <w:r>
            <w:rPr>
              <w:rFonts w:hint="eastAsia" w:ascii="仿宋" w:hAnsi="仿宋" w:eastAsia="仿宋"/>
              <w:bCs w:val="0"/>
              <w:sz w:val="32"/>
              <w:szCs w:val="32"/>
            </w:rPr>
            <w:t>五、</w:t>
          </w:r>
          <w:r>
            <w:rPr>
              <w:rFonts w:hint="eastAsia" w:ascii="仿宋" w:hAnsi="仿宋" w:eastAsia="仿宋"/>
              <w:sz w:val="32"/>
              <w:szCs w:val="32"/>
            </w:rPr>
            <w:t>财</w:t>
          </w:r>
          <w:r>
            <w:rPr>
              <w:rFonts w:hint="eastAsia" w:ascii="仿宋" w:hAnsi="仿宋" w:eastAsia="仿宋"/>
              <w:bCs w:val="0"/>
              <w:sz w:val="32"/>
              <w:szCs w:val="32"/>
            </w:rPr>
            <w:t>政拨款支出决算明细表</w:t>
          </w:r>
          <w:r>
            <w:rPr>
              <w:sz w:val="32"/>
              <w:szCs w:val="32"/>
            </w:rPr>
            <w:tab/>
          </w:r>
          <w:r>
            <w:rPr>
              <w:sz w:val="32"/>
              <w:szCs w:val="32"/>
            </w:rPr>
            <w:fldChar w:fldCharType="begin"/>
          </w:r>
          <w:r>
            <w:rPr>
              <w:sz w:val="32"/>
              <w:szCs w:val="32"/>
            </w:rPr>
            <w:instrText xml:space="preserve"> PAGEREF _Toc2588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_Toc19322 </w:instrText>
          </w:r>
          <w:r>
            <w:rPr>
              <w:sz w:val="32"/>
              <w:szCs w:val="32"/>
            </w:rPr>
            <w:fldChar w:fldCharType="separate"/>
          </w:r>
          <w:r>
            <w:rPr>
              <w:rFonts w:hint="eastAsia" w:ascii="仿宋" w:hAnsi="仿宋" w:eastAsia="仿宋"/>
              <w:bCs w:val="0"/>
              <w:sz w:val="32"/>
              <w:szCs w:val="32"/>
            </w:rPr>
            <w:t>六、</w:t>
          </w:r>
          <w:r>
            <w:rPr>
              <w:rFonts w:hint="eastAsia" w:ascii="仿宋" w:hAnsi="仿宋" w:eastAsia="仿宋"/>
              <w:sz w:val="32"/>
              <w:szCs w:val="32"/>
            </w:rPr>
            <w:t>一</w:t>
          </w:r>
          <w:r>
            <w:rPr>
              <w:rFonts w:hint="eastAsia" w:ascii="仿宋" w:hAnsi="仿宋" w:eastAsia="仿宋"/>
              <w:bCs w:val="0"/>
              <w:sz w:val="32"/>
              <w:szCs w:val="32"/>
            </w:rPr>
            <w:t>般公共预算财政拨款支出决算表</w:t>
          </w:r>
          <w:r>
            <w:rPr>
              <w:sz w:val="32"/>
              <w:szCs w:val="32"/>
            </w:rPr>
            <w:tab/>
          </w:r>
          <w:r>
            <w:rPr>
              <w:sz w:val="32"/>
              <w:szCs w:val="32"/>
            </w:rPr>
            <w:fldChar w:fldCharType="begin"/>
          </w:r>
          <w:r>
            <w:rPr>
              <w:sz w:val="32"/>
              <w:szCs w:val="32"/>
            </w:rPr>
            <w:instrText xml:space="preserve"> PAGEREF _Toc19322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_Toc7344 </w:instrText>
          </w:r>
          <w:r>
            <w:rPr>
              <w:sz w:val="32"/>
              <w:szCs w:val="32"/>
            </w:rPr>
            <w:fldChar w:fldCharType="separate"/>
          </w:r>
          <w:r>
            <w:rPr>
              <w:rFonts w:hint="eastAsia" w:ascii="仿宋" w:hAnsi="仿宋" w:eastAsia="仿宋"/>
              <w:bCs w:val="0"/>
              <w:sz w:val="32"/>
              <w:szCs w:val="32"/>
            </w:rPr>
            <w:t>七、</w:t>
          </w:r>
          <w:r>
            <w:rPr>
              <w:rFonts w:hint="eastAsia" w:ascii="仿宋" w:hAnsi="仿宋" w:eastAsia="仿宋"/>
              <w:sz w:val="32"/>
              <w:szCs w:val="32"/>
            </w:rPr>
            <w:t>一</w:t>
          </w:r>
          <w:r>
            <w:rPr>
              <w:rFonts w:hint="eastAsia" w:ascii="仿宋" w:hAnsi="仿宋" w:eastAsia="仿宋"/>
              <w:bCs w:val="0"/>
              <w:sz w:val="32"/>
              <w:szCs w:val="32"/>
            </w:rPr>
            <w:t>般公共预算财政拨款支出决算明细表</w:t>
          </w:r>
          <w:r>
            <w:rPr>
              <w:sz w:val="32"/>
              <w:szCs w:val="32"/>
            </w:rPr>
            <w:tab/>
          </w:r>
          <w:r>
            <w:rPr>
              <w:sz w:val="32"/>
              <w:szCs w:val="32"/>
            </w:rPr>
            <w:fldChar w:fldCharType="begin"/>
          </w:r>
          <w:r>
            <w:rPr>
              <w:sz w:val="32"/>
              <w:szCs w:val="32"/>
            </w:rPr>
            <w:instrText xml:space="preserve"> PAGEREF _Toc7344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_Toc23887 </w:instrText>
          </w:r>
          <w:r>
            <w:rPr>
              <w:sz w:val="32"/>
              <w:szCs w:val="32"/>
            </w:rPr>
            <w:fldChar w:fldCharType="separate"/>
          </w:r>
          <w:r>
            <w:rPr>
              <w:rFonts w:hint="eastAsia" w:ascii="仿宋" w:hAnsi="仿宋" w:eastAsia="仿宋"/>
              <w:bCs w:val="0"/>
              <w:sz w:val="32"/>
              <w:szCs w:val="32"/>
            </w:rPr>
            <w:t>八、</w:t>
          </w:r>
          <w:r>
            <w:rPr>
              <w:rFonts w:hint="eastAsia" w:ascii="仿宋" w:hAnsi="仿宋" w:eastAsia="仿宋"/>
              <w:sz w:val="32"/>
              <w:szCs w:val="32"/>
            </w:rPr>
            <w:t>一</w:t>
          </w:r>
          <w:r>
            <w:rPr>
              <w:rFonts w:hint="eastAsia" w:ascii="仿宋" w:hAnsi="仿宋" w:eastAsia="仿宋"/>
              <w:bCs w:val="0"/>
              <w:sz w:val="32"/>
              <w:szCs w:val="32"/>
            </w:rPr>
            <w:t>般公共预算财政拨款基本支出决算表</w:t>
          </w:r>
          <w:r>
            <w:rPr>
              <w:sz w:val="32"/>
              <w:szCs w:val="32"/>
            </w:rPr>
            <w:tab/>
          </w:r>
          <w:r>
            <w:rPr>
              <w:sz w:val="32"/>
              <w:szCs w:val="32"/>
            </w:rPr>
            <w:fldChar w:fldCharType="begin"/>
          </w:r>
          <w:r>
            <w:rPr>
              <w:sz w:val="32"/>
              <w:szCs w:val="32"/>
            </w:rPr>
            <w:instrText xml:space="preserve"> PAGEREF _Toc23887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_Toc25117 </w:instrText>
          </w:r>
          <w:r>
            <w:rPr>
              <w:sz w:val="32"/>
              <w:szCs w:val="32"/>
            </w:rPr>
            <w:fldChar w:fldCharType="separate"/>
          </w:r>
          <w:r>
            <w:rPr>
              <w:rFonts w:hint="eastAsia" w:ascii="仿宋" w:hAnsi="仿宋" w:eastAsia="仿宋"/>
              <w:bCs w:val="0"/>
              <w:sz w:val="32"/>
              <w:szCs w:val="32"/>
            </w:rPr>
            <w:t>九、</w:t>
          </w:r>
          <w:r>
            <w:rPr>
              <w:rFonts w:hint="eastAsia" w:ascii="仿宋" w:hAnsi="仿宋" w:eastAsia="仿宋"/>
              <w:sz w:val="32"/>
              <w:szCs w:val="32"/>
            </w:rPr>
            <w:t>一</w:t>
          </w:r>
          <w:r>
            <w:rPr>
              <w:rFonts w:hint="eastAsia" w:ascii="仿宋" w:hAnsi="仿宋" w:eastAsia="仿宋"/>
              <w:bCs w:val="0"/>
              <w:sz w:val="32"/>
              <w:szCs w:val="32"/>
            </w:rPr>
            <w:t>般公共预算财政拨款项目支出决算表</w:t>
          </w:r>
          <w:r>
            <w:rPr>
              <w:sz w:val="32"/>
              <w:szCs w:val="32"/>
            </w:rPr>
            <w:tab/>
          </w:r>
          <w:r>
            <w:rPr>
              <w:sz w:val="32"/>
              <w:szCs w:val="32"/>
            </w:rPr>
            <w:fldChar w:fldCharType="begin"/>
          </w:r>
          <w:r>
            <w:rPr>
              <w:sz w:val="32"/>
              <w:szCs w:val="32"/>
            </w:rPr>
            <w:instrText xml:space="preserve"> PAGEREF _Toc25117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_Toc5477 </w:instrText>
          </w:r>
          <w:r>
            <w:rPr>
              <w:sz w:val="32"/>
              <w:szCs w:val="32"/>
            </w:rPr>
            <w:fldChar w:fldCharType="separate"/>
          </w:r>
          <w:r>
            <w:rPr>
              <w:rFonts w:hint="eastAsia" w:ascii="仿宋" w:hAnsi="仿宋" w:eastAsia="仿宋"/>
              <w:bCs w:val="0"/>
              <w:sz w:val="32"/>
              <w:szCs w:val="32"/>
            </w:rPr>
            <w:t>十、</w:t>
          </w:r>
          <w:r>
            <w:rPr>
              <w:rFonts w:hint="eastAsia" w:ascii="仿宋" w:hAnsi="仿宋" w:eastAsia="仿宋"/>
              <w:sz w:val="32"/>
              <w:szCs w:val="32"/>
            </w:rPr>
            <w:t>一</w:t>
          </w:r>
          <w:r>
            <w:rPr>
              <w:rFonts w:hint="eastAsia" w:ascii="仿宋" w:hAnsi="仿宋" w:eastAsia="仿宋"/>
              <w:bCs w:val="0"/>
              <w:sz w:val="32"/>
              <w:szCs w:val="32"/>
            </w:rPr>
            <w:t>般公共预算财政拨款“三公”经费支出决算表</w:t>
          </w:r>
          <w:r>
            <w:rPr>
              <w:sz w:val="32"/>
              <w:szCs w:val="32"/>
            </w:rPr>
            <w:tab/>
          </w:r>
          <w:r>
            <w:rPr>
              <w:sz w:val="32"/>
              <w:szCs w:val="32"/>
            </w:rPr>
            <w:fldChar w:fldCharType="begin"/>
          </w:r>
          <w:r>
            <w:rPr>
              <w:sz w:val="32"/>
              <w:szCs w:val="32"/>
            </w:rPr>
            <w:instrText xml:space="preserve"> PAGEREF _Toc5477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_Toc13669 </w:instrText>
          </w:r>
          <w:r>
            <w:rPr>
              <w:sz w:val="32"/>
              <w:szCs w:val="32"/>
            </w:rPr>
            <w:fldChar w:fldCharType="separate"/>
          </w:r>
          <w:r>
            <w:rPr>
              <w:rFonts w:hint="eastAsia" w:ascii="仿宋" w:hAnsi="仿宋" w:eastAsia="仿宋"/>
              <w:bCs w:val="0"/>
              <w:sz w:val="32"/>
              <w:szCs w:val="32"/>
            </w:rPr>
            <w:t>十一、</w:t>
          </w:r>
          <w:r>
            <w:rPr>
              <w:rFonts w:hint="eastAsia" w:ascii="仿宋" w:hAnsi="仿宋" w:eastAsia="仿宋"/>
              <w:sz w:val="32"/>
              <w:szCs w:val="32"/>
            </w:rPr>
            <w:t>政</w:t>
          </w:r>
          <w:r>
            <w:rPr>
              <w:rFonts w:hint="eastAsia" w:ascii="仿宋" w:hAnsi="仿宋" w:eastAsia="仿宋"/>
              <w:bCs w:val="0"/>
              <w:sz w:val="32"/>
              <w:szCs w:val="32"/>
            </w:rPr>
            <w:t>府性基金预算财政拨款收入支出决算表</w:t>
          </w:r>
          <w:r>
            <w:rPr>
              <w:sz w:val="32"/>
              <w:szCs w:val="32"/>
            </w:rPr>
            <w:tab/>
          </w:r>
          <w:r>
            <w:rPr>
              <w:sz w:val="32"/>
              <w:szCs w:val="32"/>
            </w:rPr>
            <w:fldChar w:fldCharType="begin"/>
          </w:r>
          <w:r>
            <w:rPr>
              <w:sz w:val="32"/>
              <w:szCs w:val="32"/>
            </w:rPr>
            <w:instrText xml:space="preserve"> PAGEREF _Toc13669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_Toc27407 </w:instrText>
          </w:r>
          <w:r>
            <w:rPr>
              <w:sz w:val="32"/>
              <w:szCs w:val="32"/>
            </w:rPr>
            <w:fldChar w:fldCharType="separate"/>
          </w:r>
          <w:r>
            <w:rPr>
              <w:rFonts w:hint="eastAsia" w:ascii="仿宋" w:hAnsi="仿宋" w:eastAsia="仿宋"/>
              <w:bCs w:val="0"/>
              <w:sz w:val="32"/>
              <w:szCs w:val="32"/>
            </w:rPr>
            <w:t>十二、</w:t>
          </w:r>
          <w:r>
            <w:rPr>
              <w:rFonts w:hint="eastAsia" w:ascii="仿宋" w:hAnsi="仿宋" w:eastAsia="仿宋"/>
              <w:sz w:val="32"/>
              <w:szCs w:val="32"/>
            </w:rPr>
            <w:t>政</w:t>
          </w:r>
          <w:r>
            <w:rPr>
              <w:rFonts w:hint="eastAsia" w:ascii="仿宋" w:hAnsi="仿宋" w:eastAsia="仿宋"/>
              <w:bCs w:val="0"/>
              <w:sz w:val="32"/>
              <w:szCs w:val="32"/>
            </w:rPr>
            <w:t>府性基金预算财政拨款“三公”经费支出决算表</w:t>
          </w:r>
          <w:r>
            <w:rPr>
              <w:sz w:val="32"/>
              <w:szCs w:val="32"/>
            </w:rPr>
            <w:tab/>
          </w:r>
          <w:r>
            <w:rPr>
              <w:sz w:val="32"/>
              <w:szCs w:val="32"/>
            </w:rPr>
            <w:fldChar w:fldCharType="begin"/>
          </w:r>
          <w:r>
            <w:rPr>
              <w:sz w:val="32"/>
              <w:szCs w:val="32"/>
            </w:rPr>
            <w:instrText xml:space="preserve"> PAGEREF _Toc27407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rPr>
              <w:sz w:val="32"/>
              <w:szCs w:val="32"/>
            </w:rPr>
          </w:pPr>
          <w:r>
            <w:rPr>
              <w:sz w:val="32"/>
              <w:szCs w:val="32"/>
            </w:rPr>
            <w:fldChar w:fldCharType="begin"/>
          </w:r>
          <w:r>
            <w:rPr>
              <w:sz w:val="32"/>
              <w:szCs w:val="32"/>
            </w:rPr>
            <w:instrText xml:space="preserve"> HYPERLINK \l _Toc32641 </w:instrText>
          </w:r>
          <w:r>
            <w:rPr>
              <w:sz w:val="32"/>
              <w:szCs w:val="32"/>
            </w:rPr>
            <w:fldChar w:fldCharType="separate"/>
          </w:r>
          <w:r>
            <w:rPr>
              <w:rFonts w:hint="eastAsia" w:ascii="仿宋" w:hAnsi="仿宋" w:eastAsia="仿宋"/>
              <w:bCs w:val="0"/>
              <w:sz w:val="32"/>
              <w:szCs w:val="32"/>
            </w:rPr>
            <w:t>十三、</w:t>
          </w:r>
          <w:r>
            <w:rPr>
              <w:rFonts w:hint="eastAsia" w:ascii="仿宋" w:hAnsi="仿宋" w:eastAsia="仿宋"/>
              <w:sz w:val="32"/>
              <w:szCs w:val="32"/>
            </w:rPr>
            <w:t>国</w:t>
          </w:r>
          <w:r>
            <w:rPr>
              <w:rFonts w:hint="eastAsia" w:ascii="仿宋" w:hAnsi="仿宋" w:eastAsia="仿宋"/>
              <w:bCs w:val="0"/>
              <w:sz w:val="32"/>
              <w:szCs w:val="32"/>
            </w:rPr>
            <w:t>有资本经营预算财政拨款收入支出决算表</w:t>
          </w:r>
          <w:r>
            <w:rPr>
              <w:sz w:val="32"/>
              <w:szCs w:val="32"/>
            </w:rPr>
            <w:tab/>
          </w:r>
          <w:r>
            <w:rPr>
              <w:sz w:val="32"/>
              <w:szCs w:val="32"/>
            </w:rPr>
            <w:fldChar w:fldCharType="begin"/>
          </w:r>
          <w:r>
            <w:rPr>
              <w:sz w:val="32"/>
              <w:szCs w:val="32"/>
            </w:rPr>
            <w:instrText xml:space="preserve"> PAGEREF _Toc32641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845"/>
              <w:tab w:val="clear" w:pos="8296"/>
            </w:tabs>
            <w:spacing w:line="480" w:lineRule="exact"/>
          </w:pPr>
          <w:r>
            <w:rPr>
              <w:sz w:val="32"/>
              <w:szCs w:val="32"/>
            </w:rPr>
            <w:fldChar w:fldCharType="begin"/>
          </w:r>
          <w:r>
            <w:rPr>
              <w:sz w:val="32"/>
              <w:szCs w:val="32"/>
            </w:rPr>
            <w:instrText xml:space="preserve"> HYPERLINK \l _Toc32397 </w:instrText>
          </w:r>
          <w:r>
            <w:rPr>
              <w:sz w:val="32"/>
              <w:szCs w:val="32"/>
            </w:rPr>
            <w:fldChar w:fldCharType="separate"/>
          </w:r>
          <w:r>
            <w:rPr>
              <w:rFonts w:hint="eastAsia" w:ascii="仿宋" w:hAnsi="仿宋" w:eastAsia="仿宋"/>
              <w:bCs w:val="0"/>
              <w:sz w:val="32"/>
              <w:szCs w:val="32"/>
            </w:rPr>
            <w:t>十四、国有资本经营预算财政拨款支出决算表</w:t>
          </w:r>
          <w:r>
            <w:rPr>
              <w:sz w:val="32"/>
              <w:szCs w:val="32"/>
            </w:rPr>
            <w:tab/>
          </w:r>
          <w:r>
            <w:rPr>
              <w:sz w:val="32"/>
              <w:szCs w:val="32"/>
            </w:rPr>
            <w:fldChar w:fldCharType="begin"/>
          </w:r>
          <w:r>
            <w:rPr>
              <w:sz w:val="32"/>
              <w:szCs w:val="32"/>
            </w:rPr>
            <w:instrText xml:space="preserve"> PAGEREF _Toc32397 \h </w:instrText>
          </w:r>
          <w:r>
            <w:rPr>
              <w:sz w:val="32"/>
              <w:szCs w:val="32"/>
            </w:rPr>
            <w:fldChar w:fldCharType="separate"/>
          </w:r>
          <w:r>
            <w:rPr>
              <w:sz w:val="32"/>
              <w:szCs w:val="32"/>
            </w:rPr>
            <w:t>35</w:t>
          </w:r>
          <w:r>
            <w:rPr>
              <w:sz w:val="32"/>
              <w:szCs w:val="32"/>
            </w:rPr>
            <w:fldChar w:fldCharType="end"/>
          </w:r>
          <w:r>
            <w:rPr>
              <w:sz w:val="32"/>
              <w:szCs w:val="32"/>
            </w:rPr>
            <w:fldChar w:fldCharType="end"/>
          </w:r>
        </w:p>
        <w:p>
          <w:r>
            <w:fldChar w:fldCharType="end"/>
          </w:r>
        </w:p>
      </w:sdtContent>
    </w:sdt>
    <w:p>
      <w:pPr>
        <w:pStyle w:val="3"/>
        <w:jc w:val="center"/>
        <w:rPr>
          <w:rFonts w:hint="eastAsia" w:ascii="黑体" w:hAnsi="黑体" w:eastAsia="黑体"/>
          <w:b w:val="0"/>
        </w:rPr>
        <w:sectPr>
          <w:headerReference r:id="rId3" w:type="default"/>
          <w:footerReference r:id="rId4" w:type="default"/>
          <w:pgSz w:w="11906" w:h="16838"/>
          <w:pgMar w:top="1701" w:right="1474" w:bottom="1304" w:left="1587" w:header="851" w:footer="992" w:gutter="0"/>
          <w:pgNumType w:fmt="decimal" w:start="1"/>
          <w:cols w:space="0" w:num="1"/>
          <w:rtlGutter w:val="0"/>
          <w:docGrid w:type="lines" w:linePitch="312" w:charSpace="0"/>
        </w:sectPr>
      </w:pPr>
      <w:bookmarkStart w:id="19" w:name="_Toc120678872"/>
    </w:p>
    <w:p>
      <w:pPr>
        <w:pStyle w:val="3"/>
        <w:jc w:val="center"/>
        <w:rPr>
          <w:rStyle w:val="25"/>
          <w:rFonts w:ascii="黑体" w:hAnsi="黑体" w:eastAsia="黑体"/>
          <w:b/>
          <w:bCs w:val="0"/>
        </w:rPr>
      </w:pPr>
      <w:bookmarkStart w:id="20" w:name="_Toc21159"/>
      <w:r>
        <w:rPr>
          <w:rFonts w:hint="eastAsia" w:ascii="黑体" w:hAnsi="黑体" w:eastAsia="黑体"/>
          <w:b w:val="0"/>
        </w:rPr>
        <w:t>第一部分 单位</w:t>
      </w:r>
      <w:r>
        <w:rPr>
          <w:rStyle w:val="25"/>
          <w:rFonts w:hint="eastAsia" w:ascii="黑体" w:hAnsi="黑体" w:eastAsia="黑体"/>
          <w:b w:val="0"/>
          <w:bCs w:val="0"/>
        </w:rPr>
        <w:t>概况</w:t>
      </w:r>
      <w:bookmarkEnd w:id="17"/>
      <w:bookmarkEnd w:id="18"/>
      <w:bookmarkEnd w:id="19"/>
      <w:bookmarkEnd w:id="20"/>
    </w:p>
    <w:p>
      <w:pPr>
        <w:widowControl/>
        <w:jc w:val="left"/>
        <w:rPr>
          <w:rFonts w:ascii="黑体" w:eastAsia="黑体"/>
          <w:sz w:val="32"/>
          <w:szCs w:val="32"/>
        </w:rPr>
      </w:pPr>
    </w:p>
    <w:p>
      <w:pPr>
        <w:spacing w:line="700" w:lineRule="exact"/>
        <w:jc w:val="center"/>
        <w:rPr>
          <w:rFonts w:ascii="方正小标宋简体" w:hAnsi="方正小标宋简体" w:eastAsia="方正小标宋简体" w:cs="方正小标宋简体"/>
          <w:sz w:val="44"/>
          <w:szCs w:val="44"/>
        </w:rPr>
      </w:pPr>
      <w:bookmarkStart w:id="21" w:name="_Toc15377197"/>
      <w:bookmarkStart w:id="22" w:name="_Toc15396600"/>
      <w:r>
        <w:rPr>
          <w:rFonts w:hint="eastAsia" w:ascii="方正小标宋简体" w:hAnsi="方正小标宋简体" w:eastAsia="方正小标宋简体" w:cs="方正小标宋简体"/>
          <w:sz w:val="44"/>
          <w:szCs w:val="44"/>
        </w:rPr>
        <w:t>第一部分  部门概况</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一、基本职能及主要工作</w:t>
      </w:r>
      <w:bookmarkStart w:id="23" w:name="_Toc15377198"/>
      <w:bookmarkStart w:id="24" w:name="_Toc15378445"/>
    </w:p>
    <w:p>
      <w:pPr>
        <w:spacing w:line="560" w:lineRule="exact"/>
        <w:ind w:firstLine="640" w:firstLineChars="200"/>
        <w:rPr>
          <w:rFonts w:ascii="方正黑体简体" w:hAnsi="方正黑体简体" w:eastAsia="方正黑体简体" w:cs="方正黑体简体"/>
          <w:sz w:val="32"/>
          <w:szCs w:val="32"/>
        </w:rPr>
      </w:pPr>
      <w:r>
        <w:rPr>
          <w:rFonts w:hint="eastAsia" w:ascii="方正楷体简体" w:hAnsi="方正楷体简体" w:eastAsia="方正楷体简体" w:cs="方正楷体简体"/>
          <w:sz w:val="32"/>
          <w:szCs w:val="32"/>
        </w:rPr>
        <w:t>（一）</w:t>
      </w:r>
      <w:bookmarkEnd w:id="23"/>
      <w:bookmarkEnd w:id="24"/>
      <w:r>
        <w:rPr>
          <w:rStyle w:val="26"/>
          <w:rFonts w:hint="eastAsia" w:ascii="黑体" w:hAnsi="黑体" w:eastAsia="黑体"/>
          <w:b w:val="0"/>
          <w:bCs w:val="0"/>
        </w:rPr>
        <w:t>职能简介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贯彻执行土地登记、 房屋登记、林地登记等不动产登记政策、法规；负责城市规划区内土地登记、 房屋登记、林地登记受理经办工作；负责不动产登记信息基础平台建设和管理，做好数据的整理、备份、依法对外查询工作，并与市建设、农业、林业等部门建立信息共享机制；指导县不动产登记等工作</w:t>
      </w:r>
      <w:r>
        <w:rPr>
          <w:rFonts w:hint="eastAsia" w:ascii="仿宋_GB2312" w:hAnsi="仿宋_GB2312" w:eastAsia="仿宋_GB2312" w:cs="仿宋_GB2312"/>
          <w:sz w:val="32"/>
          <w:szCs w:val="32"/>
        </w:rPr>
        <w:t>。</w:t>
      </w:r>
    </w:p>
    <w:p>
      <w:pPr>
        <w:rPr>
          <w:rStyle w:val="26"/>
          <w:rFonts w:ascii="黑体" w:hAnsi="黑体" w:eastAsia="黑体"/>
          <w:b w:val="0"/>
          <w:bCs w:val="0"/>
        </w:rPr>
      </w:pPr>
      <w:bookmarkStart w:id="25" w:name="_Toc120678873"/>
      <w:bookmarkStart w:id="26" w:name="_Toc27665"/>
      <w:r>
        <w:rPr>
          <w:rStyle w:val="26"/>
          <w:rFonts w:hint="eastAsia" w:ascii="黑体" w:hAnsi="黑体" w:eastAsia="黑体"/>
          <w:b w:val="0"/>
          <w:bCs w:val="0"/>
        </w:rPr>
        <w:t>二、2021年重点工作</w:t>
      </w:r>
      <w:bookmarkEnd w:id="21"/>
      <w:bookmarkEnd w:id="22"/>
      <w:r>
        <w:rPr>
          <w:rStyle w:val="26"/>
          <w:rFonts w:hint="eastAsia" w:ascii="黑体" w:hAnsi="黑体" w:eastAsia="黑体"/>
          <w:b w:val="0"/>
          <w:bCs w:val="0"/>
        </w:rPr>
        <w:t>完成情况</w:t>
      </w:r>
      <w:bookmarkEnd w:id="25"/>
    </w:p>
    <w:bookmarkEnd w:id="26"/>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2021年，中心共完成不动产登记事项154709件，较上年增加23.89%。其中，发放不动产权证书42100本，核发不动产权证明35500本 ，受理查封登记878件、解封登记391件，完成查询14300余人次，新建和维护楼盘表46858套，上传分户图和宗地图的权籍数据入库14682件。中心收取并上缴不动产登记费用570余万元，较目标收费额度550万元增加3.6%。</w:t>
      </w:r>
    </w:p>
    <w:p>
      <w:pPr>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（一）规范不动产登记管理。</w:t>
      </w:r>
      <w:r>
        <w:rPr>
          <w:rFonts w:hint="eastAsia" w:ascii="仿宋_GB2312" w:hAnsi="仿宋_GB2312" w:eastAsia="仿宋_GB2312" w:cs="仿宋_GB2312"/>
          <w:b/>
          <w:bCs/>
          <w:sz w:val="32"/>
          <w:szCs w:val="32"/>
        </w:rPr>
        <w:t>一是规范不动产登记办事指南。</w:t>
      </w:r>
      <w:r>
        <w:rPr>
          <w:rFonts w:hint="eastAsia" w:ascii="仿宋_GB2312" w:hAnsi="仿宋_GB2312" w:eastAsia="仿宋_GB2312" w:cs="仿宋_GB2312"/>
          <w:sz w:val="32"/>
          <w:szCs w:val="32"/>
        </w:rPr>
        <w:t>迅速贯彻落实省厅《关于印发&lt;四川省不动产登记服务指南（试行）的通知&gt;》,进一步细化了76项不动产登记业务类型，明确登记要件资料和收费标准，承诺办理时限，补充完善不动产登记大厅地址、咨询电话、监督投诉电话等内容，同时指导县区不动产登记中心更新和完善不动产登记办事指南，并及时对外公开，办事群众可多渠道获取办事指南。</w:t>
      </w:r>
      <w:r>
        <w:rPr>
          <w:rFonts w:hint="eastAsia" w:ascii="仿宋_GB2312" w:hAnsi="仿宋_GB2312" w:eastAsia="仿宋_GB2312" w:cs="仿宋_GB2312"/>
          <w:b/>
          <w:bCs/>
          <w:sz w:val="32"/>
          <w:szCs w:val="32"/>
        </w:rPr>
        <w:t>二是规范不动产登记大厅设置。</w:t>
      </w:r>
      <w:r>
        <w:rPr>
          <w:rFonts w:hint="eastAsia" w:ascii="仿宋_GB2312" w:hAnsi="仿宋_GB2312" w:eastAsia="仿宋_GB2312" w:cs="仿宋_GB2312"/>
          <w:sz w:val="32"/>
          <w:szCs w:val="32"/>
        </w:rPr>
        <w:t>中心以“便民利企、廉洁高效”为宗旨，大厅共优化设置19个办事窗口，监控“零死角”全覆盖，每个窗口设置“好差评”服务评价机，提供实时评价服务；设置等候休息区、群众接待室，提供开水、一次性纸杯、洗手间热水等贴心服务；在醒目位置设置咨询导服台、今日当班“店小二”窗口、值班长窗口，提供答疑解惑、指导填写申请表、复印资料、预审要件和引导分流、特殊人群代办等服务；设置电子显示屏和两台网上办事大厅触摸展示机，滚动播放不动产登记最新政策方针、办事公告、公布中心动态、办事指南、监督电话等信息；设置宣传阅览区，摆放宣传展板，公开不动产登记受理流程、收费标准、税收标准等信息；设置“24小时不打烊”自助服务专区，提供自助查询、有无房证明查询及打印、自助打证书（明）、自助缴费等自助服务；设置含不动产登记、交易、纳税“三窗合一”的“一窗受理”窗口，办事群众“一站式”办理二手房买卖、继承、离婚析产等不动产登记业务；设置企业间不动产登记和军人、老孕残优先“一窗受理”的“绿色窗口”，专人引导，即到即办；设置“查询窗口”提供不动产登记资料查询业务；将收费、发证窗口合并为“缴费领证”窗口；设置“全市通办”窗口提供非涉税登记业务就近办服务；设置抵押、变更、注销、换证等不动产登记业务综合窗口提供即时办结服务。为进一步方便办事群众，提升形象，目前我中心拓宽通道、改造大门项目已动工，预计12月底完工，届时将设置更加醒目标志标牌。</w:t>
      </w:r>
      <w:r>
        <w:rPr>
          <w:rFonts w:hint="eastAsia" w:ascii="仿宋_GB2312" w:hAnsi="仿宋_GB2312" w:eastAsia="仿宋_GB2312" w:cs="仿宋_GB2312"/>
          <w:b/>
          <w:bCs/>
          <w:sz w:val="32"/>
          <w:szCs w:val="32"/>
        </w:rPr>
        <w:t>三是规范不动产登记队伍建设。</w:t>
      </w:r>
      <w:r>
        <w:rPr>
          <w:rFonts w:hint="eastAsia" w:ascii="仿宋_GB2312" w:hAnsi="仿宋_GB2312" w:eastAsia="仿宋_GB2312" w:cs="仿宋_GB2312"/>
          <w:sz w:val="32"/>
          <w:szCs w:val="32"/>
        </w:rPr>
        <w:t>中心目前实际在岗54人，始终以党建为引领、</w:t>
      </w:r>
      <w:r>
        <w:rPr>
          <w:rFonts w:hint="eastAsia" w:ascii="仿宋_GB2312" w:hAnsi="仿宋_GB2312" w:eastAsia="仿宋_GB2312" w:cs="仿宋_GB2312"/>
          <w:bCs/>
          <w:sz w:val="32"/>
          <w:szCs w:val="32"/>
        </w:rPr>
        <w:t>以制度为约束、以学习为核心、以作风为保障，努力创建学习型、高效型、创新型、友善型、清廉型的“五型团队”。制定《工作人员考核办法》《聘用人员管理办法》《落实首问责任制、限时办结制、责任追究制办法》《好差评工作制度》《AB岗制度》等工作制度，理顺内部管理，规范工作人员行为，做到奖惩分明，有据可依；强化中心全体干部职工政治理论和业务知识学习，坚定政治理想信念，提升业务能力水平，各科室坚持每周开展业务交流，中心每月开展业务培训，并开展抄《民法典》学法规抄条例行动，形成良好的学习氛围；严明工作纪律，梳理上门服务、出现场、延时服务中存在的廉政风险点，持续开展党风廉政教育，严格落实全市干部职工纪律作风教育整顿工作要求，深入剖析12个方面自身存在的问题，坚决杜绝“吃、拿、卡、要”等现象，将</w:t>
      </w:r>
      <w:r>
        <w:rPr>
          <w:rFonts w:hint="eastAsia" w:ascii="仿宋_GB2312" w:hAnsi="仿宋" w:eastAsia="仿宋_GB2312"/>
          <w:sz w:val="32"/>
          <w:szCs w:val="32"/>
        </w:rPr>
        <w:t>“首问责任制”“限时办结制”“一次性告知”“好差评”落实情况纳入年终评先评优考核重点，通过设置“共产党员示范岗”、“最美登记人”等岗位，充分发挥先锋模范作用，全年未发生一起违纪违法行为，打造了一支风清气正的干部队伍。</w:t>
      </w:r>
      <w:r>
        <w:rPr>
          <w:rFonts w:hint="eastAsia" w:ascii="仿宋_GB2312" w:hAnsi="仿宋" w:eastAsia="仿宋_GB2312"/>
          <w:b/>
          <w:bCs/>
          <w:sz w:val="32"/>
          <w:szCs w:val="32"/>
        </w:rPr>
        <w:t>四是总结经验提炼亮点强化宣传。</w:t>
      </w:r>
      <w:r>
        <w:rPr>
          <w:rFonts w:hint="eastAsia" w:ascii="仿宋_GB2312" w:hAnsi="仿宋" w:eastAsia="仿宋_GB2312"/>
          <w:sz w:val="32"/>
          <w:szCs w:val="32"/>
        </w:rPr>
        <w:t>今年以来，中心工作先进经验被自然资源部、省政府、市政府、省自然资源厅、省发改委、省政务中心等门户网站和中国自然资源报、资源与人居环境、四川在线、川观新闻、广元日报等新闻媒体先后报道60余次，其中我中心</w:t>
      </w:r>
      <w:r>
        <w:rPr>
          <w:rFonts w:hint="eastAsia" w:ascii="仿宋_GB2312" w:hAnsi="仿宋_GB2312" w:eastAsia="仿宋_GB2312" w:cs="仿宋_GB2312"/>
          <w:sz w:val="32"/>
          <w:szCs w:val="32"/>
        </w:rPr>
        <w:t>“全市通办”经验做法作为全省优秀经验成功入选四川省发展和改革委《四川省营商环境指标提升行动经验做法》（第三批）并在全省推广，在省政务中心组织的“一窗受理”工作汇报会上作经验交流发言，“五零五同步”经验被自然资源部、杭州市规划和自然资源局等官方网站转载，全年共接待绵阳、巴中等市来访学习交流20余次。</w:t>
      </w:r>
    </w:p>
    <w:p>
      <w:pPr>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（二）深化信息化建设。</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不动产登记“一件事一次办”已完成业务梳理、办事指南、方案制定和业务配置工作，按照省厅接口标准落实技术服务单位进行功能研发，预计12月底前实现与省厅“一件事一次办”系统对接。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通过与省厅不动产登记政务一体化接件平台对接已实现“跨省通办”。截止目前，申请人通过四川政务服务网“跨省通办、川渝通办、省内通办”专区线上申请，到我中心“跨省通办”专窗现场核验只跑一次，已累计办理房屋抵押首次登记1件，预告+预抵押登记2件。</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完成不动产电子证照实时签发和存量汇交。通过四川政务服务网、天府通办APP、微信公众号给权利人提供电子证照查询、核验及下载服务。</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已完成与省厅法院查控服务接口对接，实现接收省厅推送的法院查控信息。</w:t>
      </w:r>
    </w:p>
    <w:p>
      <w:pPr>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（三）持续优化营商环境。</w:t>
      </w:r>
      <w:r>
        <w:rPr>
          <w:rFonts w:hint="eastAsia" w:ascii="仿宋_GB2312" w:hAnsi="仿宋_GB2312" w:eastAsia="仿宋_GB2312" w:cs="仿宋_GB2312"/>
          <w:b/>
          <w:bCs/>
          <w:sz w:val="32"/>
          <w:szCs w:val="32"/>
        </w:rPr>
        <w:t>一是“全市通办”。</w:t>
      </w:r>
      <w:r>
        <w:rPr>
          <w:rFonts w:hint="eastAsia" w:ascii="仿宋_GB2312" w:hAnsi="仿宋_GB2312" w:eastAsia="仿宋_GB2312" w:cs="仿宋_GB2312"/>
          <w:sz w:val="32"/>
          <w:szCs w:val="32"/>
        </w:rPr>
        <w:t>通过“异地申请、属地审核、线上缴费、电子证照下载及纸质证书（证明）免费邮寄送达”的服务模式，办事群众可根据自己工作、生活范围就近选择全市任意一个不动产登记机构申请办理非涉税登记业务，登记机构现场受理，受理后由不动产所在地登记机构网上审核，审核登簿后申请人可通过扫描受理单上的二维码完成网上缴费，缴费发票和不动产权证书（证明）由不动产所在地登记机构免费邮寄至申请人，实现就近能办、异地可办、一次办结。</w:t>
      </w:r>
      <w:r>
        <w:rPr>
          <w:rFonts w:hint="eastAsia" w:ascii="仿宋_GB2312" w:hAnsi="仿宋_GB2312" w:eastAsia="仿宋_GB2312" w:cs="仿宋_GB2312"/>
          <w:b/>
          <w:bCs/>
          <w:sz w:val="32"/>
          <w:szCs w:val="32"/>
        </w:rPr>
        <w:t>二是“一件事一次办”。</w:t>
      </w:r>
      <w:r>
        <w:rPr>
          <w:rFonts w:hint="eastAsia" w:ascii="仿宋_GB2312" w:hAnsi="仿宋_GB2312" w:eastAsia="仿宋_GB2312" w:cs="仿宋_GB2312"/>
          <w:color w:val="333333"/>
          <w:sz w:val="32"/>
          <w:szCs w:val="32"/>
          <w:shd w:val="clear" w:color="080000" w:fill="FFFFFF"/>
        </w:rPr>
        <w:t>在已实现不动产登记、交易、纳税“三窗合一”的基础上，把涉水、电、气、网、有线电视等相关业务共8个部门整合为1个窗口，编制标准化办事指南，统一一套申请材料，办事群众从以前跑8个窗口到现在只跑1个窗口，只需在一张申请书上核对签字，通过扫描和数据共享不再收取申请书、身份证复印件、备案合同、完税票据等纸质材料，档案袋里基本上只收一本原产权证，由一个窗口一次受理扫描录入资料，系统自动分发给相关部门，各部门线上同步审核和办理，基本10分钟就完成二手房买卖所涉及的8个部门的业务，包括签订买卖合同、缴税、登记，以及水、电、气、网、视同步过户，大幅缩减办理时间。</w:t>
      </w:r>
      <w:r>
        <w:rPr>
          <w:rFonts w:hint="eastAsia" w:ascii="仿宋_GB2312" w:hAnsi="仿宋_GB2312" w:eastAsia="仿宋_GB2312" w:cs="仿宋_GB2312"/>
          <w:b/>
          <w:bCs/>
          <w:color w:val="333333"/>
          <w:sz w:val="32"/>
          <w:szCs w:val="32"/>
          <w:shd w:val="clear" w:color="080000" w:fill="FFFFFF"/>
        </w:rPr>
        <w:t>三是企业间“马上办”。</w:t>
      </w:r>
      <w:r>
        <w:rPr>
          <w:rFonts w:hint="eastAsia" w:ascii="仿宋_GB2312" w:hAnsi="仿宋_GB2312" w:eastAsia="仿宋_GB2312" w:cs="仿宋_GB2312"/>
          <w:color w:val="333333"/>
          <w:sz w:val="32"/>
          <w:szCs w:val="32"/>
          <w:shd w:val="clear" w:color="080000" w:fill="FFFFFF"/>
        </w:rPr>
        <w:t>线下设立企业专窗，提供“保姆式服务”，专人跟踪督办，无需排队，现场办、跟踪办、马上办，保证企业间一般登记业务1小时办结；线上企业可通过四川政务服务网、天府通办(APP)或广元市不动产登记网上办事大厅自主提交电子申请资料，登记中心网上审核无误即可现场核验资料后领证或免费邮寄证件。</w:t>
      </w:r>
      <w:r>
        <w:rPr>
          <w:rFonts w:hint="eastAsia" w:ascii="仿宋_GB2312" w:hAnsi="仿宋_GB2312" w:eastAsia="仿宋_GB2312" w:cs="仿宋_GB2312"/>
          <w:b/>
          <w:bCs/>
          <w:color w:val="333333"/>
          <w:sz w:val="32"/>
          <w:szCs w:val="32"/>
          <w:shd w:val="clear" w:color="080000" w:fill="FFFFFF"/>
        </w:rPr>
        <w:t>四是“交房即交证”。</w:t>
      </w:r>
      <w:r>
        <w:rPr>
          <w:rFonts w:hint="eastAsia" w:ascii="仿宋_GB2312" w:hAnsi="仿宋_GB2312" w:eastAsia="仿宋_GB2312" w:cs="仿宋_GB2312"/>
          <w:color w:val="333333"/>
          <w:sz w:val="32"/>
          <w:szCs w:val="32"/>
          <w:shd w:val="clear" w:color="auto" w:fill="FFFFFF"/>
        </w:rPr>
        <w:t>联合各职能部门</w:t>
      </w:r>
      <w:r>
        <w:rPr>
          <w:rFonts w:hint="eastAsia" w:ascii="仿宋_GB2312" w:hAnsi="仿宋_GB2312" w:eastAsia="仿宋_GB2312" w:cs="仿宋_GB2312"/>
          <w:color w:val="333333"/>
          <w:sz w:val="32"/>
          <w:szCs w:val="32"/>
          <w:shd w:val="clear" w:color="080000" w:fill="FFFFFF"/>
        </w:rPr>
        <w:t>通过</w:t>
      </w:r>
      <w:r>
        <w:rPr>
          <w:rFonts w:hint="eastAsia" w:ascii="仿宋_GB2312" w:hAnsi="仿宋_GB2312" w:eastAsia="仿宋_GB2312" w:cs="仿宋_GB2312"/>
          <w:color w:val="333333"/>
          <w:sz w:val="32"/>
          <w:szCs w:val="32"/>
          <w:shd w:val="clear" w:color="auto" w:fill="FFFFFF"/>
        </w:rPr>
        <w:t>对新建楼盘项目进行梳理分析，制定“交房即交证”申请条件，针对符合条件的开发企业推行预审辅导、并联审批、联合验收等措施，实现“竣工即完成验收”，将不动产登记申请端口延伸至企业，变企业“来回跑”为“零跑路”，将自然资源、住建、税务等12个部门接入“一网通办”平台，实现不动产预告登记、商品房合同备案等50项业务信息实时共享，实现政府和企业“双同步、零时差”。</w:t>
      </w:r>
      <w:r>
        <w:rPr>
          <w:rFonts w:hint="eastAsia" w:ascii="仿宋_GB2312" w:hAnsi="仿宋_GB2312" w:eastAsia="仿宋_GB2312" w:cs="仿宋_GB2312"/>
          <w:color w:val="333333"/>
          <w:sz w:val="32"/>
          <w:szCs w:val="32"/>
          <w:shd w:val="clear" w:color="080000" w:fill="FFFFFF"/>
        </w:rPr>
        <w:t>8月5日，我市首批“交房即交证”项目试点成功，363户邦泰天誉二期业主在交房当天拿到了不动产权证。</w:t>
      </w:r>
      <w:r>
        <w:rPr>
          <w:rFonts w:hint="eastAsia" w:ascii="仿宋_GB2312" w:hAnsi="仿宋_GB2312" w:eastAsia="仿宋_GB2312" w:cs="仿宋_GB2312"/>
          <w:b/>
          <w:bCs/>
          <w:color w:val="333333"/>
          <w:sz w:val="32"/>
          <w:szCs w:val="32"/>
          <w:shd w:val="clear" w:color="080000" w:fill="FFFFFF"/>
        </w:rPr>
        <w:t>五是多项业务“不见面办”。</w:t>
      </w:r>
      <w:r>
        <w:rPr>
          <w:rFonts w:hint="eastAsia" w:ascii="仿宋_GB2312" w:hAnsi="仿宋_GB2312" w:eastAsia="仿宋_GB2312" w:cs="仿宋_GB2312"/>
          <w:color w:val="333333"/>
          <w:sz w:val="32"/>
          <w:szCs w:val="32"/>
          <w:shd w:val="clear" w:color="080000" w:fill="FFFFFF"/>
        </w:rPr>
        <w:t>打造四川政务服务网、天府通办APP、网上办事大厅、微信公众号多渠道掌上办事大厅，在线查档、在线申请、证书（明）核验、进度查询、预约办理、邮寄申请、在线缴费、电子证照下载、有无房证明出具等业务“网上办”、“掌上办”；延伸服务端口，构建“外网录入、内网审核”模式，为我市7家银行、公积金管理中心、130多家开发企业、市、区法院开通受理端口，企业和群众办理贷款、购买商品房、查解封登记实现“不见面”办，同时已将不动产登记服务窗口延伸至16个乡镇。</w:t>
      </w:r>
      <w:r>
        <w:rPr>
          <w:rFonts w:hint="eastAsia" w:ascii="仿宋_GB2312" w:hAnsi="仿宋_GB2312" w:eastAsia="仿宋_GB2312" w:cs="仿宋_GB2312"/>
          <w:b/>
          <w:bCs/>
          <w:color w:val="333333"/>
          <w:sz w:val="32"/>
          <w:szCs w:val="32"/>
          <w:shd w:val="clear" w:color="080000" w:fill="FFFFFF"/>
        </w:rPr>
        <w:t>六是优化特色服务。</w:t>
      </w:r>
      <w:r>
        <w:rPr>
          <w:rFonts w:hint="eastAsia" w:ascii="仿宋_GB2312" w:hAnsi="仿宋_GB2312" w:eastAsia="仿宋_GB2312" w:cs="仿宋_GB2312"/>
          <w:sz w:val="32"/>
          <w:szCs w:val="32"/>
        </w:rPr>
        <w:t>为行动不便的老人、重度残疾人和卧床不起的病人提供上门服务，对上班时间不便办理登记的群众可通过预约双休日延时办；对排号未办的群众提供延时服务；落实企业走访制度，定期走访企业征求意见建议，政企联动持续优化营商环境。</w:t>
      </w:r>
    </w:p>
    <w:p>
      <w:pPr>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（四）落实农村“房地一体”登记工作。</w:t>
      </w:r>
      <w:r>
        <w:rPr>
          <w:rFonts w:hint="eastAsia" w:ascii="仿宋_GB2312" w:hAnsi="仿宋_GB2312" w:eastAsia="仿宋_GB2312" w:cs="仿宋_GB2312"/>
          <w:sz w:val="32"/>
          <w:szCs w:val="32"/>
        </w:rPr>
        <w:t>广元市全市农村不动产确权登记总宗地数共有637529户，总面积为9316.23公顷（按省厅要求核实变更后数据）。２０２１年全部县区均已完成房地一体的外业测绘和权属调查，并开展了项目作业单位自检和县级初检。其中苍溪县、朝天区、昭化区、青川县已</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rPr>
        <w:t>农村不动产权籍调查部分的市级验收，预计在12月21日前完成全部县区的市级验收。今年全部县区均已在不动产登记大厅设置农村不动产登记专窗，完成新增农村“房地一体”登记172764户，并实现登记数据实时上传。青川县、朝天区已于１２月６日按要求向省厅完成了权籍调查数据的汇交工作，其余县区将于2021年12月21日前向省厅汇交权籍数据。２０２２年我市“房地一体”工作将按照省厅的安排部署落实登记颁证工作。</w:t>
      </w:r>
    </w:p>
    <w:p>
      <w:pPr>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（五）学党史，办实事，全力化解历史遗留问题。</w:t>
      </w:r>
      <w:r>
        <w:rPr>
          <w:rFonts w:hint="eastAsia" w:ascii="仿宋_GB2312" w:hAnsi="仿宋_GB2312" w:eastAsia="仿宋_GB2312" w:cs="仿宋_GB2312"/>
          <w:sz w:val="32"/>
          <w:szCs w:val="32"/>
        </w:rPr>
        <w:t>为庆祝中国共产党成立100周年，支部扎实开展“学党史”系列主题教育，重温共产党人100年来峥嵘岁月，传承共产党人不畏艰难困苦，勇于牺牲的奉献精神，把“我为群众办实事”作为党史学习教育的出发点和落脚点，聚焦不动产登记难遗留问题、跨区域办理、“交房即交证”等民生实事，全体党员干部坚持学史力行，积极主动转作风、办实事，着力解决群众“急难愁盼”问题。今年已为6629户问题楼盘业主办理不动产权证，共涉及12600余人，信访突出的天润新天地、芙蓉四季花城两个楼盘和中国铁路成都局集团有限公司开发建设的南山印象项目在我中心的积极协调下均顺利完成房屋首次登记，目前均正常受理分户产权登记。中心全年共收到市长信箱、大话利州、12345政务服务热线、电话投诉、网站投诉、微信公众号投诉共131件，所有来信来访3个工作日调查核实并电话回复当事人，按期办结率100%，信访维稳成效显著。</w:t>
      </w:r>
    </w:p>
    <w:p>
      <w:pPr>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（六）提升不动产登记服务质效。</w:t>
      </w:r>
      <w:r>
        <w:rPr>
          <w:rFonts w:hint="eastAsia" w:ascii="仿宋_GB2312" w:hAnsi="仿宋_GB2312" w:eastAsia="仿宋_GB2312" w:cs="仿宋_GB2312"/>
          <w:sz w:val="32"/>
          <w:szCs w:val="32"/>
        </w:rPr>
        <w:t>进一步创新优化服务，便民利企，推动不动产登记提质增效。目前市本级实现了不动产登记业务100%“一网通办”，已累计办件38027件；非涉税登记业务100%“全市通办”，异地受理办件152件；累计办理不动产涉交易、纳税、登记“一件事”申请业务10563件，涉水、电、气、网、有线电视同步过户的“一件事”申请业务517件。所有不动产登记办理流程由过去4-6个精简至1个，办理不动产登记所涉及15个部门信息100%共享；注销登记、查（解）封登记、异议登记等10类不动产登记即时办结；企业非住宅转移、抵押登记等超过50%的不动产登记业务“1小时办结”；除商品房开发项目首次登记“2日内办结”外，其余90%以上登记业务“当日办结”。</w:t>
      </w:r>
    </w:p>
    <w:p>
      <w:pPr>
        <w:pStyle w:val="31"/>
        <w:ind w:left="0" w:leftChars="0" w:firstLine="643"/>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（七）落实军队移交资产不动产登记工作。</w:t>
      </w:r>
      <w:r>
        <w:rPr>
          <w:rFonts w:hint="eastAsia" w:ascii="仿宋_GB2312" w:hAnsi="仿宋_GB2312" w:eastAsia="仿宋_GB2312" w:cs="仿宋_GB2312"/>
          <w:sz w:val="32"/>
          <w:szCs w:val="32"/>
        </w:rPr>
        <w:t>按照中央军委后勤保障部《关于函告军队移交中国融通资产管理集团有限公司首批资产清单》（军后建函（2021）207号）的要求，四川省广元军分区名下锦园酒店、皇朝酒店两宗房地产纳入首批资产移交，目前两宗房地产均已办理国有建设用地使用权首次登记，下一步待消防安全整改合格，相关部门出具建设工程竣工验收意见后，根据申请办理两处军用资产房屋所有权首次登记。</w:t>
      </w:r>
    </w:p>
    <w:p>
      <w:pPr>
        <w:pStyle w:val="3"/>
        <w:ind w:right="440"/>
        <w:jc w:val="center"/>
        <w:rPr>
          <w:rStyle w:val="25"/>
          <w:rFonts w:ascii="黑体" w:hAnsi="黑体" w:eastAsia="黑体"/>
          <w:b w:val="0"/>
          <w:bCs/>
        </w:rPr>
      </w:pPr>
      <w:bookmarkStart w:id="27" w:name="_Toc120678874"/>
      <w:bookmarkStart w:id="28" w:name="_Toc1957"/>
      <w:bookmarkStart w:id="29" w:name="_Toc15377204"/>
      <w:bookmarkStart w:id="30" w:name="_Toc15396602"/>
      <w:r>
        <w:rPr>
          <w:rFonts w:hint="eastAsia" w:ascii="黑体" w:hAnsi="黑体" w:eastAsia="黑体"/>
          <w:b w:val="0"/>
        </w:rPr>
        <w:t>第二部分 2021年度</w:t>
      </w:r>
      <w:r>
        <w:rPr>
          <w:rStyle w:val="25"/>
          <w:rFonts w:hint="eastAsia" w:ascii="黑体" w:hAnsi="黑体" w:eastAsia="黑体"/>
          <w:b w:val="0"/>
          <w:bCs/>
        </w:rPr>
        <w:t>单位决算情况说明</w:t>
      </w:r>
      <w:bookmarkEnd w:id="27"/>
      <w:bookmarkEnd w:id="28"/>
      <w:bookmarkEnd w:id="29"/>
      <w:bookmarkEnd w:id="30"/>
    </w:p>
    <w:p/>
    <w:p>
      <w:pPr>
        <w:pStyle w:val="24"/>
        <w:numPr>
          <w:ilvl w:val="0"/>
          <w:numId w:val="1"/>
        </w:numPr>
        <w:spacing w:line="600" w:lineRule="exact"/>
        <w:ind w:firstLineChars="0"/>
        <w:outlineLvl w:val="1"/>
        <w:rPr>
          <w:rStyle w:val="26"/>
          <w:rFonts w:ascii="黑体" w:hAnsi="黑体" w:eastAsia="黑体"/>
          <w:b w:val="0"/>
        </w:rPr>
      </w:pPr>
      <w:bookmarkStart w:id="31" w:name="_Toc15396603"/>
      <w:bookmarkStart w:id="32" w:name="_Toc1060"/>
      <w:bookmarkStart w:id="33" w:name="_Toc15377205"/>
      <w:bookmarkStart w:id="34" w:name="_Toc120678875"/>
      <w:r>
        <w:rPr>
          <w:rFonts w:hint="eastAsia" w:ascii="黑体" w:hAnsi="黑体" w:eastAsia="黑体"/>
          <w:sz w:val="32"/>
          <w:szCs w:val="32"/>
        </w:rPr>
        <w:t>收</w:t>
      </w:r>
      <w:r>
        <w:rPr>
          <w:rStyle w:val="26"/>
          <w:rFonts w:hint="eastAsia" w:ascii="黑体" w:hAnsi="黑体" w:eastAsia="黑体"/>
          <w:b w:val="0"/>
        </w:rPr>
        <w:t>入支出决算总体情况说明</w:t>
      </w:r>
      <w:bookmarkEnd w:id="31"/>
      <w:bookmarkEnd w:id="32"/>
      <w:bookmarkEnd w:id="33"/>
      <w:bookmarkEnd w:id="34"/>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2021年度收、支总计1202.69万元。与2020年相比，收、支总计各减少1188.35万元，下降50</w:t>
      </w:r>
      <w:r>
        <w:rPr>
          <w:rFonts w:ascii="仿宋" w:hAnsi="仿宋" w:eastAsia="仿宋"/>
          <w:sz w:val="32"/>
          <w:szCs w:val="32"/>
        </w:rPr>
        <w:t>%</w:t>
      </w:r>
      <w:r>
        <w:rPr>
          <w:rFonts w:hint="eastAsia" w:ascii="仿宋" w:hAnsi="仿宋" w:eastAsia="仿宋"/>
          <w:sz w:val="32"/>
          <w:szCs w:val="32"/>
        </w:rPr>
        <w:t>。主要变动原因是项目资金在本年度预算安排减少。</w:t>
      </w:r>
    </w:p>
    <w:p>
      <w:pPr>
        <w:pStyle w:val="23"/>
      </w:pPr>
      <w:r>
        <w:drawing>
          <wp:inline distT="0" distB="0" distL="114300" distR="114300">
            <wp:extent cx="4706620" cy="2924175"/>
            <wp:effectExtent l="4445" t="4445" r="1333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pPr>
    </w:p>
    <w:p>
      <w:pPr>
        <w:pStyle w:val="24"/>
        <w:numPr>
          <w:ilvl w:val="0"/>
          <w:numId w:val="1"/>
        </w:numPr>
        <w:spacing w:line="600" w:lineRule="exact"/>
        <w:ind w:firstLineChars="0"/>
        <w:outlineLvl w:val="1"/>
        <w:rPr>
          <w:rStyle w:val="26"/>
          <w:rFonts w:ascii="黑体" w:hAnsi="黑体" w:eastAsia="黑体"/>
          <w:b w:val="0"/>
        </w:rPr>
      </w:pPr>
      <w:bookmarkStart w:id="35" w:name="_Toc120678876"/>
      <w:bookmarkStart w:id="36" w:name="_Toc15377206"/>
      <w:bookmarkStart w:id="37" w:name="_Toc15396604"/>
      <w:bookmarkStart w:id="38" w:name="_Toc19688"/>
      <w:r>
        <w:rPr>
          <w:rFonts w:hint="eastAsia" w:ascii="黑体" w:hAnsi="黑体" w:eastAsia="黑体"/>
          <w:sz w:val="32"/>
          <w:szCs w:val="32"/>
        </w:rPr>
        <w:t>收</w:t>
      </w:r>
      <w:r>
        <w:rPr>
          <w:rStyle w:val="26"/>
          <w:rFonts w:hint="eastAsia" w:ascii="黑体" w:hAnsi="黑体" w:eastAsia="黑体"/>
          <w:b w:val="0"/>
        </w:rPr>
        <w:t>入决算情况说明</w:t>
      </w:r>
      <w:bookmarkEnd w:id="35"/>
      <w:bookmarkEnd w:id="36"/>
      <w:bookmarkEnd w:id="37"/>
      <w:bookmarkEnd w:id="38"/>
    </w:p>
    <w:p>
      <w:pPr>
        <w:spacing w:line="600" w:lineRule="exact"/>
        <w:ind w:firstLine="640" w:firstLineChars="200"/>
        <w:outlineLvl w:val="1"/>
        <w:rPr>
          <w:rFonts w:ascii="仿宋" w:hAnsi="仿宋" w:eastAsia="仿宋"/>
          <w:sz w:val="32"/>
          <w:szCs w:val="32"/>
        </w:rPr>
      </w:pPr>
      <w:bookmarkStart w:id="39" w:name="_Toc120678877"/>
      <w:bookmarkStart w:id="40" w:name="_Toc29704"/>
      <w:r>
        <w:rPr>
          <w:rFonts w:ascii="仿宋" w:hAnsi="仿宋" w:eastAsia="仿宋"/>
          <w:sz w:val="32"/>
          <w:szCs w:val="32"/>
        </w:rPr>
        <w:t>20</w:t>
      </w:r>
      <w:r>
        <w:rPr>
          <w:rFonts w:hint="eastAsia" w:ascii="仿宋" w:hAnsi="仿宋" w:eastAsia="仿宋"/>
          <w:sz w:val="32"/>
          <w:szCs w:val="32"/>
        </w:rPr>
        <w:t>21年本年收入合计892.89万元，其中：一般公共预算财政拨款收入892.86万元，占99.99</w:t>
      </w:r>
      <w:r>
        <w:rPr>
          <w:rFonts w:ascii="仿宋" w:hAnsi="仿宋" w:eastAsia="仿宋"/>
          <w:sz w:val="32"/>
          <w:szCs w:val="32"/>
        </w:rPr>
        <w:t>%</w:t>
      </w:r>
      <w:r>
        <w:rPr>
          <w:rFonts w:hint="eastAsia" w:ascii="仿宋" w:hAnsi="仿宋" w:eastAsia="仿宋"/>
          <w:sz w:val="32"/>
          <w:szCs w:val="32"/>
        </w:rPr>
        <w:t>；其他收入0.03万元，占0.01</w:t>
      </w:r>
      <w:r>
        <w:rPr>
          <w:rFonts w:ascii="仿宋" w:hAnsi="仿宋" w:eastAsia="仿宋"/>
          <w:sz w:val="32"/>
          <w:szCs w:val="32"/>
        </w:rPr>
        <w:t>%</w:t>
      </w:r>
      <w:r>
        <w:rPr>
          <w:rFonts w:hint="eastAsia" w:ascii="仿宋" w:hAnsi="仿宋" w:eastAsia="仿宋"/>
          <w:sz w:val="32"/>
          <w:szCs w:val="32"/>
        </w:rPr>
        <w:t>。</w:t>
      </w:r>
      <w:bookmarkEnd w:id="39"/>
      <w:bookmarkEnd w:id="40"/>
    </w:p>
    <w:p>
      <w:pPr>
        <w:pStyle w:val="23"/>
        <w:rPr>
          <w:rFonts w:hAnsi="仿宋"/>
          <w:color w:val="auto"/>
          <w:sz w:val="32"/>
          <w:szCs w:val="32"/>
        </w:rPr>
      </w:pPr>
      <w:r>
        <w:rPr>
          <w:rFonts w:hint="eastAsia" w:hAnsi="仿宋"/>
          <w:color w:val="auto"/>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1"/>
        </w:numPr>
        <w:spacing w:line="600" w:lineRule="exact"/>
        <w:ind w:firstLineChars="0"/>
        <w:outlineLvl w:val="1"/>
        <w:rPr>
          <w:rStyle w:val="26"/>
          <w:rFonts w:ascii="黑体" w:hAnsi="黑体" w:eastAsia="黑体"/>
          <w:b w:val="0"/>
        </w:rPr>
      </w:pPr>
      <w:bookmarkStart w:id="41" w:name="_Toc1490"/>
      <w:bookmarkStart w:id="42" w:name="_Toc15396605"/>
      <w:bookmarkStart w:id="43" w:name="_Toc15377207"/>
      <w:bookmarkStart w:id="44" w:name="_Toc120678878"/>
      <w:r>
        <w:rPr>
          <w:rFonts w:hint="eastAsia" w:ascii="黑体" w:hAnsi="黑体" w:eastAsia="黑体"/>
          <w:sz w:val="32"/>
          <w:szCs w:val="32"/>
        </w:rPr>
        <w:t>支</w:t>
      </w:r>
      <w:r>
        <w:rPr>
          <w:rStyle w:val="26"/>
          <w:rFonts w:hint="eastAsia" w:ascii="黑体" w:hAnsi="黑体" w:eastAsia="黑体"/>
          <w:b w:val="0"/>
        </w:rPr>
        <w:t>出决算情况说明</w:t>
      </w:r>
      <w:bookmarkEnd w:id="41"/>
      <w:bookmarkEnd w:id="42"/>
      <w:bookmarkEnd w:id="43"/>
      <w:bookmarkEnd w:id="44"/>
    </w:p>
    <w:p>
      <w:pPr>
        <w:spacing w:line="600" w:lineRule="exact"/>
        <w:ind w:firstLine="640" w:firstLineChars="200"/>
        <w:outlineLvl w:val="1"/>
        <w:rPr>
          <w:rFonts w:ascii="仿宋" w:hAnsi="仿宋" w:eastAsia="仿宋"/>
          <w:sz w:val="32"/>
          <w:szCs w:val="32"/>
        </w:rPr>
      </w:pPr>
      <w:bookmarkStart w:id="45" w:name="_Toc22690"/>
      <w:bookmarkStart w:id="46" w:name="_Toc120678879"/>
      <w:r>
        <w:rPr>
          <w:rFonts w:ascii="仿宋" w:hAnsi="仿宋" w:eastAsia="仿宋"/>
          <w:sz w:val="32"/>
          <w:szCs w:val="32"/>
        </w:rPr>
        <w:t>20</w:t>
      </w:r>
      <w:r>
        <w:rPr>
          <w:rFonts w:hint="eastAsia" w:ascii="仿宋" w:hAnsi="仿宋" w:eastAsia="仿宋"/>
          <w:sz w:val="32"/>
          <w:szCs w:val="32"/>
        </w:rPr>
        <w:t>21年本年支出合计1050.56万元，其中：基本支出387.86万元，占36.91</w:t>
      </w:r>
      <w:r>
        <w:rPr>
          <w:rFonts w:ascii="仿宋" w:hAnsi="仿宋" w:eastAsia="仿宋"/>
          <w:sz w:val="32"/>
          <w:szCs w:val="32"/>
        </w:rPr>
        <w:t>%</w:t>
      </w:r>
      <w:r>
        <w:rPr>
          <w:rFonts w:hint="eastAsia" w:ascii="仿宋" w:hAnsi="仿宋" w:eastAsia="仿宋"/>
          <w:sz w:val="32"/>
          <w:szCs w:val="32"/>
        </w:rPr>
        <w:t>；项目支出662.71万元，占63.09</w:t>
      </w:r>
      <w:r>
        <w:rPr>
          <w:rFonts w:ascii="仿宋" w:hAnsi="仿宋" w:eastAsia="仿宋"/>
          <w:sz w:val="32"/>
          <w:szCs w:val="32"/>
        </w:rPr>
        <w:t>%</w:t>
      </w:r>
      <w:r>
        <w:rPr>
          <w:rFonts w:hint="eastAsia" w:ascii="仿宋" w:hAnsi="仿宋" w:eastAsia="仿宋"/>
          <w:sz w:val="32"/>
          <w:szCs w:val="32"/>
        </w:rPr>
        <w:t>。</w:t>
      </w:r>
      <w:bookmarkEnd w:id="45"/>
      <w:bookmarkEnd w:id="46"/>
    </w:p>
    <w:p>
      <w:pPr>
        <w:pStyle w:val="23"/>
        <w:rPr>
          <w:rFonts w:hAnsi="仿宋"/>
          <w:color w:val="auto"/>
          <w:sz w:val="32"/>
          <w:szCs w:val="32"/>
          <w:shd w:val="pct10" w:color="auto" w:fill="FFFFFF"/>
        </w:rPr>
      </w:pPr>
      <w:r>
        <w:rPr>
          <w:rFonts w:hint="eastAsia" w:hAnsi="仿宋"/>
          <w:color w:val="auto"/>
          <w:sz w:val="32"/>
          <w:szCs w:val="32"/>
          <w:shd w:val="pct10" w:color="auto" w:fill="FFFFFF"/>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47" w:name="_Toc15377208"/>
      <w:bookmarkStart w:id="48" w:name="_Toc15396606"/>
      <w:bookmarkStart w:id="49" w:name="_Toc11932"/>
      <w:bookmarkStart w:id="50" w:name="_Toc120678880"/>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7"/>
      <w:bookmarkEnd w:id="48"/>
      <w:bookmarkEnd w:id="49"/>
      <w:bookmarkEnd w:id="5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21年财政拨款收、支总计1179.09万元。与</w:t>
      </w:r>
      <w:r>
        <w:rPr>
          <w:rFonts w:ascii="仿宋" w:hAnsi="仿宋" w:eastAsia="仿宋"/>
          <w:sz w:val="32"/>
          <w:szCs w:val="32"/>
        </w:rPr>
        <w:t>20</w:t>
      </w:r>
      <w:r>
        <w:rPr>
          <w:rFonts w:hint="eastAsia" w:ascii="仿宋" w:hAnsi="仿宋" w:eastAsia="仿宋"/>
          <w:sz w:val="32"/>
          <w:szCs w:val="32"/>
        </w:rPr>
        <w:t>20年相比，财政拨款收、支总计各减少965.81万元，下降45</w:t>
      </w:r>
      <w:r>
        <w:rPr>
          <w:rFonts w:ascii="仿宋" w:hAnsi="仿宋" w:eastAsia="仿宋"/>
          <w:sz w:val="32"/>
          <w:szCs w:val="32"/>
        </w:rPr>
        <w:t>%</w:t>
      </w:r>
      <w:r>
        <w:rPr>
          <w:rFonts w:hint="eastAsia" w:ascii="仿宋" w:hAnsi="仿宋" w:eastAsia="仿宋"/>
          <w:sz w:val="32"/>
          <w:szCs w:val="32"/>
        </w:rPr>
        <w:t>。主要变动原因是项目资金在本年度安排预算减少。</w:t>
      </w:r>
    </w:p>
    <w:p>
      <w:pPr>
        <w:pStyle w:val="23"/>
        <w:rPr>
          <w:rFonts w:hAnsi="仿宋"/>
          <w:color w:val="auto"/>
          <w:sz w:val="32"/>
          <w:szCs w:val="32"/>
        </w:rPr>
      </w:pPr>
      <w:r>
        <w:rPr>
          <w:rFonts w:hint="eastAsia" w:hAnsi="仿宋"/>
          <w:color w:val="auto"/>
          <w:sz w:val="32"/>
          <w:szCs w:val="32"/>
        </w:rPr>
        <w:drawing>
          <wp:inline distT="0" distB="0" distL="114300" distR="114300">
            <wp:extent cx="5218430" cy="2578735"/>
            <wp:effectExtent l="4445" t="4445" r="1968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51" w:name="_Toc19618"/>
      <w:bookmarkStart w:id="52" w:name="_Toc120678881"/>
      <w:bookmarkStart w:id="53" w:name="_Toc15396607"/>
      <w:bookmarkStart w:id="54"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51"/>
      <w:bookmarkEnd w:id="52"/>
      <w:bookmarkEnd w:id="53"/>
      <w:bookmarkEnd w:id="54"/>
    </w:p>
    <w:p>
      <w:pPr>
        <w:spacing w:line="600" w:lineRule="exact"/>
        <w:ind w:firstLine="642" w:firstLineChars="200"/>
        <w:outlineLvl w:val="2"/>
        <w:rPr>
          <w:rFonts w:ascii="仿宋" w:hAnsi="仿宋" w:eastAsia="仿宋"/>
          <w:b/>
          <w:sz w:val="32"/>
          <w:szCs w:val="32"/>
        </w:rPr>
      </w:pPr>
      <w:bookmarkStart w:id="55" w:name="_Toc15377210"/>
      <w:bookmarkStart w:id="56" w:name="_Toc12578"/>
      <w:bookmarkStart w:id="57" w:name="_Toc120678882"/>
      <w:r>
        <w:rPr>
          <w:rFonts w:hint="eastAsia" w:ascii="仿宋" w:hAnsi="仿宋" w:eastAsia="仿宋"/>
          <w:b/>
          <w:sz w:val="32"/>
          <w:szCs w:val="32"/>
        </w:rPr>
        <w:t>（一）一般公共预算财政拨款支出决算总体情况</w:t>
      </w:r>
      <w:bookmarkEnd w:id="55"/>
      <w:bookmarkEnd w:id="56"/>
      <w:bookmarkEnd w:id="5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21年一般公共预算财政拨款支出872.59万元，占本年支出合计的84.97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20年相比，一般公共预算财政拨款支出减少222.42万元，下降25</w:t>
      </w:r>
      <w:r>
        <w:rPr>
          <w:rFonts w:ascii="仿宋" w:hAnsi="仿宋" w:eastAsia="仿宋"/>
          <w:sz w:val="32"/>
          <w:szCs w:val="32"/>
        </w:rPr>
        <w:t>%</w:t>
      </w:r>
      <w:r>
        <w:rPr>
          <w:rFonts w:hint="eastAsia" w:ascii="仿宋" w:hAnsi="仿宋" w:eastAsia="仿宋"/>
          <w:sz w:val="32"/>
          <w:szCs w:val="32"/>
        </w:rPr>
        <w:t>。主要变动原因是项目支出经费减少。</w:t>
      </w:r>
    </w:p>
    <w:p>
      <w:pPr>
        <w:pStyle w:val="23"/>
        <w:rPr>
          <w:rFonts w:hAnsi="仿宋"/>
          <w:color w:val="auto"/>
          <w:sz w:val="32"/>
          <w:szCs w:val="32"/>
        </w:rPr>
      </w:pPr>
      <w:r>
        <w:rPr>
          <w:rFonts w:hint="eastAsia" w:hAnsi="仿宋"/>
          <w:color w:val="auto"/>
          <w:sz w:val="32"/>
          <w:szCs w:val="32"/>
        </w:rPr>
        <w:drawing>
          <wp:inline distT="0" distB="0" distL="114300" distR="114300">
            <wp:extent cx="5501640" cy="2531110"/>
            <wp:effectExtent l="4445" t="4445" r="1079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58" w:name="_Toc15377211"/>
      <w:bookmarkStart w:id="59" w:name="_Toc11421"/>
      <w:bookmarkStart w:id="60" w:name="_Toc120678883"/>
      <w:r>
        <w:rPr>
          <w:rFonts w:hint="eastAsia" w:ascii="仿宋" w:hAnsi="仿宋" w:eastAsia="仿宋"/>
          <w:b/>
          <w:sz w:val="32"/>
          <w:szCs w:val="32"/>
        </w:rPr>
        <w:t>（二）一般公共预算财政拨款支出决算结构情况</w:t>
      </w:r>
      <w:bookmarkEnd w:id="58"/>
      <w:bookmarkEnd w:id="59"/>
      <w:bookmarkEnd w:id="6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21年一般公共预算财政拨款支出872.59万元，主要用于以下方面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支出27.98万元，占3.3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卫生健康支出13.99</w:t>
      </w:r>
      <w:r>
        <w:rPr>
          <w:rFonts w:hint="eastAsia" w:ascii="仿宋" w:hAnsi="仿宋" w:eastAsia="仿宋"/>
          <w:sz w:val="32"/>
          <w:szCs w:val="32"/>
        </w:rPr>
        <w:t>万元，占1.7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自然资源海洋气象等</w:t>
      </w:r>
      <w:r>
        <w:rPr>
          <w:rFonts w:hint="eastAsia" w:ascii="仿宋_GB2312" w:hAnsi="仿宋_GB2312" w:eastAsia="仿宋_GB2312" w:cs="仿宋_GB2312"/>
          <w:color w:val="000000"/>
          <w:sz w:val="32"/>
          <w:szCs w:val="32"/>
        </w:rPr>
        <w:t>支出799.27万元，占91.5%；</w:t>
      </w:r>
      <w:r>
        <w:rPr>
          <w:rFonts w:hint="eastAsia" w:ascii="仿宋" w:hAnsi="仿宋" w:eastAsia="仿宋"/>
          <w:b/>
          <w:bCs/>
          <w:sz w:val="32"/>
          <w:szCs w:val="32"/>
        </w:rPr>
        <w:t>住房保障支出</w:t>
      </w:r>
      <w:r>
        <w:rPr>
          <w:rFonts w:hint="eastAsia" w:ascii="仿宋" w:hAnsi="仿宋" w:eastAsia="仿宋"/>
          <w:sz w:val="32"/>
          <w:szCs w:val="32"/>
        </w:rPr>
        <w:t>31.36万元，占3.5</w:t>
      </w:r>
      <w:r>
        <w:rPr>
          <w:rFonts w:ascii="仿宋" w:hAnsi="仿宋" w:eastAsia="仿宋"/>
          <w:sz w:val="32"/>
          <w:szCs w:val="32"/>
        </w:rPr>
        <w:t>%</w:t>
      </w:r>
      <w:r>
        <w:rPr>
          <w:rFonts w:hint="eastAsia" w:ascii="仿宋" w:hAnsi="仿宋" w:eastAsia="仿宋"/>
          <w:sz w:val="32"/>
          <w:szCs w:val="32"/>
        </w:rPr>
        <w:t>。</w:t>
      </w:r>
    </w:p>
    <w:p>
      <w:pPr>
        <w:pStyle w:val="23"/>
        <w:rPr>
          <w:rFonts w:hAnsi="仿宋"/>
          <w:color w:val="auto"/>
          <w:sz w:val="32"/>
          <w:szCs w:val="32"/>
        </w:rPr>
      </w:pPr>
      <w:r>
        <w:rPr>
          <w:rFonts w:hint="eastAsia" w:hAnsi="仿宋"/>
          <w:color w:val="auto"/>
          <w:sz w:val="32"/>
          <w:szCs w:val="32"/>
        </w:rPr>
        <w:drawing>
          <wp:inline distT="0" distB="0" distL="114300" distR="114300">
            <wp:extent cx="4741545" cy="2798445"/>
            <wp:effectExtent l="4445" t="4445" r="889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outlineLvl w:val="2"/>
        <w:rPr>
          <w:rFonts w:ascii="仿宋" w:hAnsi="仿宋" w:eastAsia="仿宋"/>
          <w:b/>
          <w:sz w:val="32"/>
          <w:szCs w:val="32"/>
        </w:rPr>
      </w:pPr>
      <w:bookmarkStart w:id="61" w:name="_Toc15377212"/>
      <w:bookmarkStart w:id="62" w:name="_Toc20776"/>
      <w:bookmarkStart w:id="63" w:name="_Toc120678884"/>
      <w:r>
        <w:rPr>
          <w:rFonts w:hint="eastAsia" w:ascii="仿宋" w:hAnsi="仿宋" w:eastAsia="仿宋"/>
          <w:b/>
          <w:sz w:val="32"/>
          <w:szCs w:val="32"/>
        </w:rPr>
        <w:t>（三）一般公共预算财政拨款支出决算具体情况</w:t>
      </w:r>
      <w:bookmarkEnd w:id="61"/>
      <w:bookmarkEnd w:id="62"/>
      <w:bookmarkEnd w:id="63"/>
    </w:p>
    <w:p>
      <w:pPr>
        <w:spacing w:line="600" w:lineRule="exact"/>
        <w:ind w:firstLine="642" w:firstLineChars="200"/>
        <w:outlineLvl w:val="2"/>
        <w:rPr>
          <w:rFonts w:ascii="仿宋" w:hAnsi="仿宋" w:eastAsia="仿宋"/>
          <w:b/>
          <w:sz w:val="32"/>
          <w:szCs w:val="32"/>
        </w:rPr>
      </w:pPr>
      <w:bookmarkStart w:id="64" w:name="_Toc120678885"/>
      <w:bookmarkStart w:id="65" w:name="_Toc10432"/>
      <w:bookmarkStart w:id="66" w:name="_Toc15378460"/>
      <w:bookmarkStart w:id="67" w:name="_Toc15377444"/>
      <w:bookmarkStart w:id="68" w:name="_Toc15377213"/>
      <w:r>
        <w:rPr>
          <w:rFonts w:hint="eastAsia" w:ascii="仿宋" w:hAnsi="仿宋" w:eastAsia="仿宋"/>
          <w:b/>
          <w:sz w:val="32"/>
          <w:szCs w:val="32"/>
        </w:rPr>
        <w:t>2021年一般公共预算支出决算数为872.59万元</w:t>
      </w:r>
      <w:r>
        <w:rPr>
          <w:rFonts w:hint="eastAsia" w:ascii="仿宋" w:hAnsi="仿宋" w:eastAsia="仿宋"/>
          <w:sz w:val="32"/>
          <w:szCs w:val="32"/>
        </w:rPr>
        <w:t>，</w:t>
      </w:r>
      <w:r>
        <w:rPr>
          <w:rStyle w:val="15"/>
          <w:rFonts w:hint="eastAsia" w:ascii="仿宋" w:hAnsi="仿宋" w:eastAsia="仿宋"/>
          <w:bCs/>
          <w:sz w:val="32"/>
          <w:szCs w:val="32"/>
        </w:rPr>
        <w:t>完成预算</w:t>
      </w:r>
      <w:r>
        <w:rPr>
          <w:rFonts w:hint="eastAsia" w:ascii="仿宋" w:hAnsi="仿宋" w:eastAsia="仿宋"/>
          <w:sz w:val="32"/>
          <w:szCs w:val="32"/>
        </w:rPr>
        <w:t>84.97</w:t>
      </w:r>
      <w:r>
        <w:rPr>
          <w:rStyle w:val="15"/>
          <w:rFonts w:ascii="仿宋" w:hAnsi="仿宋" w:eastAsia="仿宋"/>
          <w:bCs/>
          <w:sz w:val="32"/>
          <w:szCs w:val="32"/>
        </w:rPr>
        <w:t>%</w:t>
      </w:r>
      <w:r>
        <w:rPr>
          <w:rStyle w:val="15"/>
          <w:rFonts w:hint="eastAsia" w:ascii="仿宋" w:hAnsi="仿宋" w:eastAsia="仿宋"/>
          <w:bCs/>
          <w:sz w:val="32"/>
          <w:szCs w:val="32"/>
        </w:rPr>
        <w:t>。其中：</w:t>
      </w:r>
      <w:bookmarkEnd w:id="64"/>
      <w:bookmarkEnd w:id="65"/>
      <w:bookmarkEnd w:id="66"/>
      <w:bookmarkEnd w:id="67"/>
      <w:bookmarkEnd w:id="68"/>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支出决算为27.98万元，完成预算100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决算数与预算数基本持平</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卫生健康（类）行政事业单位医疗（款）事业单位医疗（项）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支出决算为13.99万元，完成预算100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widowControl/>
        <w:spacing w:line="54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3.自然资源海洋气象等支出（类）自然资源事务（款）事业运行(项）：</w:t>
      </w:r>
      <w:r>
        <w:rPr>
          <w:rFonts w:hint="eastAsia" w:ascii="仿宋_GB2312" w:hAnsi="仿宋_GB2312" w:eastAsia="仿宋_GB2312" w:cs="仿宋_GB2312"/>
          <w:color w:val="000000"/>
          <w:sz w:val="32"/>
          <w:szCs w:val="32"/>
        </w:rPr>
        <w:t>支出决算为314.53万元，</w:t>
      </w:r>
      <w:r>
        <w:rPr>
          <w:rFonts w:hint="eastAsia" w:ascii="仿宋_GB2312" w:hAnsi="仿宋_GB2312" w:eastAsia="仿宋_GB2312" w:cs="仿宋_GB2312"/>
          <w:sz w:val="32"/>
          <w:szCs w:val="32"/>
        </w:rPr>
        <w:t>完成预算85%，决算数小于预算数主要原因是严格控制经费，压缩各项开支。</w:t>
      </w:r>
    </w:p>
    <w:p>
      <w:pPr>
        <w:widowControl/>
        <w:spacing w:line="546"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4.自然资源海洋气象等支出（类）自然资源事务（款）其他自然资源事务（项）：</w:t>
      </w:r>
      <w:r>
        <w:rPr>
          <w:rFonts w:hint="eastAsia" w:ascii="仿宋_GB2312" w:hAnsi="仿宋_GB2312" w:eastAsia="仿宋_GB2312" w:cs="仿宋_GB2312"/>
          <w:color w:val="000000"/>
          <w:sz w:val="32"/>
          <w:szCs w:val="32"/>
        </w:rPr>
        <w:t>支出决算为484.74万元，</w:t>
      </w:r>
      <w:r>
        <w:rPr>
          <w:rFonts w:hint="eastAsia" w:ascii="仿宋_GB2312" w:hAnsi="仿宋_GB2312" w:eastAsia="仿宋_GB2312" w:cs="仿宋_GB2312"/>
          <w:sz w:val="32"/>
          <w:szCs w:val="32"/>
        </w:rPr>
        <w:t>完成预算83%，决算数小于预算数主要原因是严格控制经费，压缩各项开支。</w:t>
      </w:r>
      <w:r>
        <w:rPr>
          <w:rFonts w:ascii="仿宋_GB2312" w:hAnsi="仿宋_GB2312" w:eastAsia="仿宋_GB2312" w:cs="仿宋_GB2312"/>
          <w:sz w:val="32"/>
          <w:szCs w:val="32"/>
        </w:rPr>
        <w:t xml:space="preserve"> </w:t>
      </w:r>
    </w:p>
    <w:p>
      <w:pPr>
        <w:widowControl/>
        <w:spacing w:line="546" w:lineRule="exact"/>
        <w:ind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5.住房保障（类）住房改革（款）住房公积金（项）:</w:t>
      </w:r>
      <w:r>
        <w:rPr>
          <w:rFonts w:hint="eastAsia" w:ascii="仿宋_GB2312" w:hAnsi="仿宋_GB2312" w:eastAsia="仿宋_GB2312" w:cs="仿宋_GB2312"/>
          <w:color w:val="000000"/>
          <w:sz w:val="32"/>
          <w:szCs w:val="32"/>
        </w:rPr>
        <w:t>支出决算为31.36万元，完成预算100%，决算数与预算数基本持平。</w:t>
      </w:r>
    </w:p>
    <w:p>
      <w:pPr>
        <w:tabs>
          <w:tab w:val="right" w:pos="8306"/>
        </w:tabs>
        <w:spacing w:line="600" w:lineRule="exact"/>
        <w:ind w:firstLine="640"/>
        <w:outlineLvl w:val="1"/>
        <w:rPr>
          <w:rStyle w:val="26"/>
        </w:rPr>
      </w:pPr>
      <w:bookmarkStart w:id="69" w:name="_Toc15377214"/>
      <w:bookmarkStart w:id="70" w:name="_Toc15396608"/>
      <w:bookmarkStart w:id="71" w:name="_Toc120678886"/>
      <w:bookmarkStart w:id="72" w:name="_Toc2962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69"/>
      <w:bookmarkEnd w:id="70"/>
      <w:bookmarkEnd w:id="71"/>
      <w:bookmarkEnd w:id="72"/>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21年一般公共预算财政拨款基本支出387.86万元，其中：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人员经费346.82万元，主要包括：基本工资、津贴补贴、绩效工资、机关事业单位基本养老保险缴费、职工基本医疗保险缴费</w:t>
      </w:r>
      <w:r>
        <w:rPr>
          <w:rFonts w:hint="eastAsia" w:ascii="仿宋" w:hAnsi="仿宋" w:eastAsia="仿宋"/>
          <w:sz w:val="32"/>
          <w:szCs w:val="32"/>
          <w:lang w:eastAsia="zh-CN"/>
        </w:rPr>
        <w:t>、</w:t>
      </w:r>
      <w:r>
        <w:rPr>
          <w:rFonts w:hint="eastAsia" w:ascii="仿宋" w:hAnsi="仿宋" w:eastAsia="仿宋"/>
          <w:sz w:val="32"/>
          <w:szCs w:val="32"/>
        </w:rPr>
        <w:t>其他社会保障缴费、住房公积金</w:t>
      </w:r>
      <w:r>
        <w:rPr>
          <w:rFonts w:hint="eastAsia" w:ascii="仿宋" w:hAnsi="仿宋" w:eastAsia="仿宋"/>
          <w:sz w:val="32"/>
          <w:szCs w:val="32"/>
          <w:lang w:eastAsia="zh-CN"/>
        </w:rPr>
        <w:t>、其他工资福利支出</w:t>
      </w:r>
      <w:r>
        <w:rPr>
          <w:rFonts w:hint="eastAsia" w:ascii="仿宋" w:hAnsi="仿宋" w:eastAsia="仿宋"/>
          <w:sz w:val="32"/>
          <w:szCs w:val="32"/>
        </w:rPr>
        <w:t>。</w:t>
      </w:r>
    </w:p>
    <w:p>
      <w:pPr>
        <w:spacing w:line="600" w:lineRule="exact"/>
        <w:ind w:firstLine="0"/>
        <w:rPr>
          <w:rFonts w:ascii="仿宋" w:hAnsi="仿宋" w:eastAsia="仿宋"/>
          <w:b/>
          <w:sz w:val="32"/>
          <w:szCs w:val="32"/>
        </w:rPr>
      </w:pPr>
      <w:r>
        <w:rPr>
          <w:rFonts w:hint="eastAsia" w:ascii="仿宋" w:hAnsi="仿宋" w:eastAsia="仿宋"/>
          <w:sz w:val="32"/>
          <w:szCs w:val="32"/>
        </w:rPr>
        <w:t>公用经费41.04万元，主要包括：办公费、印刷费、</w:t>
      </w:r>
      <w:r>
        <w:rPr>
          <w:rFonts w:hint="eastAsia" w:ascii="仿宋" w:hAnsi="仿宋" w:eastAsia="仿宋"/>
          <w:sz w:val="32"/>
          <w:szCs w:val="32"/>
          <w:lang w:eastAsia="zh-CN"/>
        </w:rPr>
        <w:t>咨询费、</w:t>
      </w:r>
      <w:r>
        <w:rPr>
          <w:rFonts w:hint="eastAsia" w:ascii="仿宋" w:hAnsi="仿宋" w:eastAsia="仿宋"/>
          <w:sz w:val="32"/>
          <w:szCs w:val="32"/>
        </w:rPr>
        <w:t>手续费、邮电费、差旅费、维修（护）费</w:t>
      </w:r>
      <w:r>
        <w:rPr>
          <w:rFonts w:hint="eastAsia" w:ascii="仿宋" w:hAnsi="仿宋" w:eastAsia="仿宋"/>
          <w:sz w:val="32"/>
          <w:szCs w:val="32"/>
          <w:lang w:eastAsia="zh-CN"/>
        </w:rPr>
        <w:t>、</w:t>
      </w:r>
      <w:r>
        <w:rPr>
          <w:rFonts w:hint="eastAsia" w:ascii="仿宋" w:hAnsi="仿宋" w:eastAsia="仿宋"/>
          <w:sz w:val="32"/>
          <w:szCs w:val="32"/>
        </w:rPr>
        <w:t>租赁费、会议费、公务接待费、劳务费、工会经费、</w:t>
      </w:r>
      <w:r>
        <w:rPr>
          <w:rFonts w:hint="eastAsia" w:ascii="仿宋" w:hAnsi="仿宋" w:eastAsia="仿宋"/>
          <w:sz w:val="32"/>
          <w:szCs w:val="32"/>
          <w:lang w:eastAsia="zh-CN"/>
        </w:rPr>
        <w:t>其他交通费用。</w:t>
      </w:r>
    </w:p>
    <w:p>
      <w:pPr>
        <w:spacing w:line="600" w:lineRule="exact"/>
        <w:ind w:firstLine="640"/>
        <w:outlineLvl w:val="1"/>
        <w:rPr>
          <w:rStyle w:val="26"/>
          <w:rFonts w:ascii="黑体" w:hAnsi="黑体" w:eastAsia="黑体"/>
          <w:b w:val="0"/>
        </w:rPr>
      </w:pPr>
      <w:bookmarkStart w:id="73" w:name="_Toc120678887"/>
      <w:bookmarkStart w:id="74" w:name="_Toc31020"/>
      <w:bookmarkStart w:id="75" w:name="_Toc15377215"/>
      <w:bookmarkStart w:id="76"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73"/>
      <w:bookmarkEnd w:id="74"/>
      <w:bookmarkEnd w:id="75"/>
      <w:bookmarkEnd w:id="76"/>
    </w:p>
    <w:p>
      <w:pPr>
        <w:spacing w:line="600" w:lineRule="exact"/>
        <w:ind w:firstLine="640"/>
        <w:outlineLvl w:val="2"/>
        <w:rPr>
          <w:rFonts w:ascii="仿宋" w:hAnsi="仿宋" w:eastAsia="仿宋"/>
          <w:b/>
          <w:sz w:val="32"/>
          <w:szCs w:val="32"/>
        </w:rPr>
      </w:pPr>
      <w:bookmarkStart w:id="77" w:name="_Toc25243"/>
      <w:bookmarkStart w:id="78" w:name="_Toc120678888"/>
      <w:bookmarkStart w:id="79" w:name="_Toc15377216"/>
      <w:r>
        <w:rPr>
          <w:rFonts w:hint="eastAsia" w:ascii="仿宋" w:hAnsi="仿宋" w:eastAsia="仿宋"/>
          <w:b/>
          <w:sz w:val="32"/>
          <w:szCs w:val="32"/>
        </w:rPr>
        <w:t>（一）“三公”经费财政拨款支出决算总体情况说明</w:t>
      </w:r>
      <w:bookmarkEnd w:id="77"/>
      <w:bookmarkEnd w:id="78"/>
      <w:bookmarkEnd w:id="7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21年“三公”经费财政拨款支出决算为0.6万元，完成预算12</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_GB2312" w:eastAsia="仿宋_GB2312" w:cs="仿宋_GB2312"/>
          <w:sz w:val="32"/>
          <w:szCs w:val="32"/>
        </w:rPr>
        <w:t>严格控制经费，压缩各项开支。</w:t>
      </w:r>
    </w:p>
    <w:p>
      <w:pPr>
        <w:spacing w:line="600" w:lineRule="exact"/>
        <w:ind w:firstLine="640"/>
        <w:outlineLvl w:val="2"/>
        <w:rPr>
          <w:rFonts w:ascii="仿宋" w:hAnsi="仿宋" w:eastAsia="仿宋"/>
          <w:b/>
          <w:sz w:val="32"/>
          <w:szCs w:val="32"/>
        </w:rPr>
      </w:pPr>
      <w:bookmarkStart w:id="80" w:name="_Toc29257"/>
      <w:bookmarkStart w:id="81" w:name="_Toc15377217"/>
      <w:bookmarkStart w:id="82" w:name="_Toc120678889"/>
      <w:r>
        <w:rPr>
          <w:rFonts w:hint="eastAsia" w:ascii="仿宋" w:hAnsi="仿宋" w:eastAsia="仿宋"/>
          <w:b/>
          <w:sz w:val="32"/>
          <w:szCs w:val="32"/>
        </w:rPr>
        <w:t>（二）“三公”经费财政拨款支出决算具体情况说明</w:t>
      </w:r>
      <w:bookmarkEnd w:id="80"/>
      <w:bookmarkEnd w:id="81"/>
      <w:bookmarkEnd w:id="82"/>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21年“三公”经费财政拨款支出决算中，因公出国（境）费支出决算0万元，年初未安排预算；公务用车购置及运行维护费支出决算0万元，年初未安排预算；公务接待费支出决算0.6万元，占12</w:t>
      </w:r>
      <w:r>
        <w:rPr>
          <w:rFonts w:ascii="仿宋" w:hAnsi="仿宋" w:eastAsia="仿宋"/>
          <w:sz w:val="32"/>
          <w:szCs w:val="32"/>
        </w:rPr>
        <w:t>%</w:t>
      </w:r>
      <w:r>
        <w:rPr>
          <w:rFonts w:hint="eastAsia" w:ascii="仿宋" w:hAnsi="仿宋" w:eastAsia="仿宋"/>
          <w:sz w:val="32"/>
          <w:szCs w:val="32"/>
        </w:rPr>
        <w:t>。具体情况如下：</w:t>
      </w:r>
    </w:p>
    <w:p>
      <w:pPr>
        <w:pStyle w:val="23"/>
        <w:rPr>
          <w:rFonts w:hAnsi="仿宋"/>
          <w:color w:val="auto"/>
          <w:sz w:val="32"/>
          <w:szCs w:val="32"/>
        </w:rPr>
      </w:pPr>
      <w:r>
        <w:rPr>
          <w:rFonts w:hint="eastAsia" w:hAnsi="仿宋"/>
          <w:color w:val="auto"/>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b w:val="0"/>
          <w:bCs/>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年初未安排预算</w:t>
      </w:r>
      <w:r>
        <w:rPr>
          <w:rFonts w:hint="eastAsia" w:ascii="仿宋_GB2312" w:eastAsia="仿宋_GB2312"/>
          <w:sz w:val="32"/>
          <w:szCs w:val="32"/>
        </w:rPr>
        <w:t>。</w:t>
      </w:r>
    </w:p>
    <w:p>
      <w:pPr>
        <w:spacing w:line="600" w:lineRule="exact"/>
        <w:ind w:firstLine="640"/>
        <w:rPr>
          <w:rFonts w:ascii="仿宋" w:hAnsi="仿宋" w:eastAsia="仿宋"/>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 w:hAnsi="仿宋" w:eastAsia="仿宋"/>
          <w:sz w:val="32"/>
          <w:szCs w:val="32"/>
        </w:rPr>
        <w:t>年初未安排预算。</w:t>
      </w:r>
    </w:p>
    <w:p>
      <w:pPr>
        <w:spacing w:line="600" w:lineRule="exact"/>
        <w:ind w:firstLine="640"/>
        <w:rPr>
          <w:rFonts w:ascii="仿宋" w:hAnsi="仿宋" w:eastAsia="仿宋"/>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 w:hAnsi="仿宋" w:eastAsia="仿宋"/>
          <w:sz w:val="32"/>
          <w:szCs w:val="32"/>
        </w:rPr>
        <w:t>年初未安排预算。</w:t>
      </w:r>
    </w:p>
    <w:p>
      <w:pPr>
        <w:spacing w:line="600" w:lineRule="exact"/>
        <w:ind w:firstLine="640"/>
        <w:rPr>
          <w:rFonts w:ascii="仿宋" w:hAnsi="仿宋" w:eastAsia="仿宋"/>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r>
        <w:rPr>
          <w:rFonts w:hint="eastAsia" w:ascii="仿宋" w:hAnsi="仿宋" w:eastAsia="仿宋"/>
          <w:sz w:val="32"/>
          <w:szCs w:val="32"/>
        </w:rPr>
        <w:t>年初未安排预算。</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0.6万元，完成预算12</w:t>
      </w:r>
      <w:r>
        <w:rPr>
          <w:rFonts w:ascii="仿宋_GB2312" w:eastAsia="仿宋_GB2312"/>
          <w:sz w:val="32"/>
          <w:szCs w:val="32"/>
        </w:rPr>
        <w:t>%</w:t>
      </w:r>
      <w:r>
        <w:rPr>
          <w:rFonts w:hint="eastAsia" w:ascii="仿宋_GB2312" w:eastAsia="仿宋_GB231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20年减少0.9万元，下降60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严格控制经费，按照厉行节约的原则压缩各项开支</w:t>
      </w:r>
      <w:r>
        <w:rPr>
          <w:rFonts w:hint="eastAsia" w:ascii="仿宋_GB2312" w:eastAsia="仿宋_GB2312"/>
          <w:sz w:val="32"/>
          <w:szCs w:val="32"/>
        </w:rPr>
        <w:t>。其中：</w:t>
      </w:r>
    </w:p>
    <w:p>
      <w:pPr>
        <w:spacing w:line="600" w:lineRule="exact"/>
        <w:ind w:firstLine="640"/>
        <w:rPr>
          <w:rFonts w:ascii="仿宋_GB2312" w:eastAsia="仿宋_GB2312"/>
          <w:color w:val="FF0000"/>
          <w:sz w:val="32"/>
          <w:szCs w:val="32"/>
        </w:rPr>
      </w:pPr>
      <w:r>
        <w:rPr>
          <w:rFonts w:hint="eastAsia" w:ascii="仿宋" w:hAnsi="仿宋" w:eastAsia="仿宋"/>
          <w:b/>
          <w:sz w:val="32"/>
          <w:szCs w:val="32"/>
        </w:rPr>
        <w:t>国内公务接待支出</w:t>
      </w:r>
      <w:r>
        <w:rPr>
          <w:rFonts w:hint="eastAsia" w:ascii="仿宋" w:hAnsi="仿宋" w:eastAsia="仿宋"/>
          <w:sz w:val="32"/>
          <w:szCs w:val="32"/>
        </w:rPr>
        <w:t>0.6</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。国内公务接待8批次，62人次（不包括陪同人员），共计支出0.6万元，具体内容包括：接待各县区、地市州对接学习不动产登记工作0.6万元。</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83" w:name="_Toc15377218"/>
      <w:bookmarkStart w:id="84" w:name="_Toc15396610"/>
      <w:r>
        <w:rPr>
          <w:rFonts w:hint="eastAsia" w:ascii="仿宋" w:hAnsi="仿宋" w:eastAsia="仿宋"/>
          <w:sz w:val="32"/>
          <w:szCs w:val="32"/>
        </w:rPr>
        <w:t>年初未安排预算。</w:t>
      </w:r>
    </w:p>
    <w:p>
      <w:pPr>
        <w:spacing w:line="600" w:lineRule="exact"/>
        <w:ind w:firstLine="640"/>
        <w:outlineLvl w:val="1"/>
        <w:rPr>
          <w:rStyle w:val="26"/>
          <w:rFonts w:ascii="黑体" w:hAnsi="黑体" w:eastAsia="黑体"/>
        </w:rPr>
      </w:pPr>
      <w:bookmarkStart w:id="85" w:name="_Toc120678890"/>
      <w:bookmarkStart w:id="86" w:name="_Toc29631"/>
      <w:r>
        <w:rPr>
          <w:rFonts w:hint="eastAsia" w:ascii="黑体" w:eastAsia="黑体"/>
          <w:sz w:val="32"/>
          <w:szCs w:val="32"/>
        </w:rPr>
        <w:t>八、</w:t>
      </w:r>
      <w:r>
        <w:rPr>
          <w:rStyle w:val="26"/>
          <w:rFonts w:hint="eastAsia" w:ascii="黑体" w:hAnsi="黑体" w:eastAsia="黑体"/>
          <w:b w:val="0"/>
        </w:rPr>
        <w:t>政府性基金预算支出决算情况说明</w:t>
      </w:r>
      <w:bookmarkEnd w:id="83"/>
      <w:bookmarkEnd w:id="84"/>
      <w:bookmarkEnd w:id="85"/>
      <w:bookmarkEnd w:id="86"/>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r>
        <w:rPr>
          <w:rFonts w:hint="eastAsia" w:ascii="仿宋" w:hAnsi="仿宋" w:eastAsia="仿宋" w:cs="仿宋"/>
          <w:sz w:val="32"/>
          <w:szCs w:val="32"/>
        </w:rPr>
        <w:t>未在政府性基金预算拨款安排“三公经费”支出。</w:t>
      </w:r>
    </w:p>
    <w:p>
      <w:pPr>
        <w:numPr>
          <w:ilvl w:val="0"/>
          <w:numId w:val="2"/>
        </w:numPr>
        <w:spacing w:line="600" w:lineRule="exact"/>
        <w:ind w:firstLine="640"/>
        <w:outlineLvl w:val="1"/>
        <w:rPr>
          <w:rStyle w:val="26"/>
          <w:rFonts w:ascii="黑体" w:hAnsi="黑体" w:eastAsia="黑体"/>
          <w:b w:val="0"/>
        </w:rPr>
      </w:pPr>
      <w:bookmarkStart w:id="87" w:name="_Toc120678891"/>
      <w:bookmarkStart w:id="88" w:name="_Toc24715"/>
      <w:bookmarkStart w:id="89" w:name="_Toc15377219"/>
      <w:bookmarkStart w:id="90" w:name="_Toc15396611"/>
      <w:r>
        <w:rPr>
          <w:rStyle w:val="26"/>
          <w:rFonts w:hint="eastAsia" w:ascii="黑体" w:hAnsi="黑体" w:eastAsia="黑体"/>
          <w:b w:val="0"/>
        </w:rPr>
        <w:t>国有资本经营预算支出决算情况说明</w:t>
      </w:r>
      <w:bookmarkEnd w:id="87"/>
      <w:bookmarkEnd w:id="88"/>
      <w:bookmarkEnd w:id="89"/>
      <w:bookmarkEnd w:id="90"/>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21年国有资本经营预算财政拨款支出0万元。我单位无国有资本经营预算财政拨款支出。</w:t>
      </w:r>
    </w:p>
    <w:p>
      <w:pPr>
        <w:numPr>
          <w:ilvl w:val="0"/>
          <w:numId w:val="2"/>
        </w:numPr>
        <w:spacing w:line="600" w:lineRule="exact"/>
        <w:ind w:firstLine="640"/>
        <w:outlineLvl w:val="1"/>
        <w:rPr>
          <w:rStyle w:val="26"/>
          <w:rFonts w:ascii="黑体" w:hAnsi="黑体" w:eastAsia="黑体"/>
          <w:b w:val="0"/>
        </w:rPr>
      </w:pPr>
      <w:bookmarkStart w:id="91" w:name="_Toc120678892"/>
      <w:bookmarkStart w:id="92" w:name="_Toc32398"/>
      <w:bookmarkStart w:id="93" w:name="_Toc15396612"/>
      <w:bookmarkStart w:id="94" w:name="_Toc15377221"/>
      <w:r>
        <w:rPr>
          <w:rStyle w:val="26"/>
          <w:rFonts w:hint="eastAsia" w:ascii="黑体" w:hAnsi="黑体" w:eastAsia="黑体"/>
          <w:b w:val="0"/>
        </w:rPr>
        <w:t>预算绩效管理情况</w:t>
      </w:r>
      <w:bookmarkEnd w:id="91"/>
      <w:bookmarkEnd w:id="92"/>
    </w:p>
    <w:p>
      <w:pPr>
        <w:spacing w:line="580" w:lineRule="exact"/>
        <w:ind w:firstLine="640" w:firstLineChars="200"/>
      </w:pPr>
      <w:r>
        <w:rPr>
          <w:rFonts w:hint="eastAsia" w:ascii="仿宋_GB2312" w:hAnsi="仿宋_GB2312" w:eastAsia="仿宋_GB2312" w:cs="仿宋_GB2312"/>
          <w:sz w:val="32"/>
          <w:szCs w:val="32"/>
        </w:rPr>
        <w:t>根据预算绩效管理要求，本单位在2021年度预算编制阶段，组织对房屋租金、物管及消防安保费不动产产权证书资料费、法律顾问费、不动产责任保险工作经费、不动产档案登记打印纸及耗材采购、档案馆、机房日常运维费及不动产登记系统数据库运维费及相关工作经费、购买服务人员工资、保险、培训费等4个项目开展了预算事前绩效评估，对4个项目编制了绩效目标，预算执行过程中，选取4个项目开展绩效监控，年终执行完毕后，对4个项目开展了绩效自评，2021年部门预算项目绩效目标自评表见附件（第四部分）。</w:t>
      </w:r>
    </w:p>
    <w:p>
      <w:pPr>
        <w:numPr>
          <w:ilvl w:val="0"/>
          <w:numId w:val="2"/>
        </w:numPr>
        <w:spacing w:line="600" w:lineRule="exact"/>
        <w:ind w:firstLine="640"/>
        <w:outlineLvl w:val="1"/>
        <w:rPr>
          <w:rStyle w:val="26"/>
          <w:rFonts w:ascii="黑体" w:hAnsi="黑体" w:eastAsia="黑体"/>
          <w:b w:val="0"/>
        </w:rPr>
      </w:pPr>
      <w:bookmarkStart w:id="95" w:name="_Toc3965"/>
      <w:bookmarkStart w:id="96" w:name="_Toc120678893"/>
      <w:r>
        <w:rPr>
          <w:rStyle w:val="26"/>
          <w:rFonts w:hint="eastAsia" w:ascii="黑体" w:hAnsi="黑体" w:eastAsia="黑体"/>
          <w:b w:val="0"/>
        </w:rPr>
        <w:t>其他重要事项的情况说明</w:t>
      </w:r>
      <w:bookmarkEnd w:id="93"/>
      <w:bookmarkEnd w:id="94"/>
      <w:bookmarkEnd w:id="95"/>
      <w:bookmarkEnd w:id="96"/>
    </w:p>
    <w:p>
      <w:pPr>
        <w:spacing w:line="600" w:lineRule="exact"/>
        <w:ind w:firstLine="642" w:firstLineChars="200"/>
        <w:outlineLvl w:val="2"/>
        <w:rPr>
          <w:rFonts w:ascii="仿宋" w:hAnsi="仿宋" w:eastAsia="仿宋"/>
          <w:sz w:val="32"/>
          <w:szCs w:val="32"/>
        </w:rPr>
      </w:pPr>
      <w:bookmarkStart w:id="97" w:name="_Toc15377222"/>
      <w:bookmarkStart w:id="98" w:name="_Toc120678894"/>
      <w:bookmarkStart w:id="99" w:name="_Toc4923"/>
      <w:r>
        <w:rPr>
          <w:rFonts w:hint="eastAsia" w:ascii="仿宋" w:hAnsi="仿宋" w:eastAsia="仿宋"/>
          <w:b/>
          <w:sz w:val="32"/>
          <w:szCs w:val="32"/>
        </w:rPr>
        <w:t>（一）机关运行经费支出情况</w:t>
      </w:r>
      <w:bookmarkEnd w:id="97"/>
      <w:bookmarkEnd w:id="98"/>
      <w:bookmarkEnd w:id="9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21年，广元市不动产登记中心未发生机关运行经费，</w:t>
      </w:r>
      <w:r>
        <w:rPr>
          <w:rFonts w:hint="eastAsia" w:ascii="仿宋_GB2312" w:hAnsi="仿宋_GB2312" w:eastAsia="仿宋_GB2312" w:cs="仿宋_GB2312"/>
          <w:sz w:val="32"/>
          <w:szCs w:val="32"/>
        </w:rPr>
        <w:t>与2020年无变化，年初未安排预算。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00" w:name="_Toc15377223"/>
      <w:bookmarkStart w:id="101" w:name="_Toc15889"/>
      <w:bookmarkStart w:id="102" w:name="_Toc120678895"/>
      <w:r>
        <w:rPr>
          <w:rFonts w:hint="eastAsia" w:ascii="仿宋" w:hAnsi="仿宋" w:eastAsia="仿宋"/>
          <w:b/>
          <w:sz w:val="32"/>
          <w:szCs w:val="32"/>
        </w:rPr>
        <w:t>（二）政府采购支出情况</w:t>
      </w:r>
      <w:bookmarkEnd w:id="100"/>
      <w:bookmarkEnd w:id="101"/>
      <w:bookmarkEnd w:id="10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21年，广元市不动产登记中心政府采购支出总额5万元，其中：政府采购货物支出5万元。主要用于复印纸采购。</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03" w:name="_Toc120678896"/>
      <w:bookmarkStart w:id="104" w:name="_Toc15377224"/>
      <w:bookmarkStart w:id="105" w:name="_Toc20047"/>
      <w:r>
        <w:rPr>
          <w:rFonts w:hint="eastAsia" w:ascii="仿宋" w:hAnsi="仿宋" w:eastAsia="仿宋"/>
          <w:b/>
          <w:sz w:val="32"/>
          <w:szCs w:val="32"/>
        </w:rPr>
        <w:t>（三）国有资产占有使用情况</w:t>
      </w:r>
      <w:bookmarkEnd w:id="103"/>
      <w:bookmarkEnd w:id="104"/>
      <w:bookmarkEnd w:id="105"/>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日，广元市不动产登记中心共有车辆0辆，其中：主要领导干部用0辆、机要通信用车0辆、应急保障用车0辆、其他用车0辆，其他用车主要是用于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万元以上通用设备4台（套），单价</w:t>
      </w:r>
      <w:r>
        <w:rPr>
          <w:rFonts w:ascii="仿宋_GB2312" w:eastAsia="仿宋_GB2312"/>
          <w:sz w:val="32"/>
          <w:szCs w:val="32"/>
        </w:rPr>
        <w:t>100</w:t>
      </w:r>
      <w:r>
        <w:rPr>
          <w:rFonts w:hint="eastAsia" w:ascii="仿宋_GB2312" w:eastAsia="仿宋_GB2312"/>
          <w:sz w:val="32"/>
          <w:szCs w:val="32"/>
        </w:rPr>
        <w:t>万元以上专用设备0台（套）。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106" w:name="_Toc15396613"/>
      <w:bookmarkStart w:id="107" w:name="_Toc120678897"/>
      <w:bookmarkStart w:id="108" w:name="_Toc4742"/>
      <w:bookmarkStart w:id="109" w:name="_Toc15377225"/>
      <w:r>
        <w:rPr>
          <w:rFonts w:hint="eastAsia" w:ascii="黑体" w:hAnsi="黑体" w:eastAsia="黑体"/>
          <w:sz w:val="44"/>
          <w:szCs w:val="44"/>
        </w:rPr>
        <w:t>名</w:t>
      </w:r>
      <w:r>
        <w:rPr>
          <w:rStyle w:val="25"/>
          <w:rFonts w:hint="eastAsia" w:ascii="黑体" w:hAnsi="黑体" w:eastAsia="黑体"/>
          <w:b w:val="0"/>
        </w:rPr>
        <w:t>词解释</w:t>
      </w:r>
      <w:bookmarkEnd w:id="106"/>
      <w:bookmarkEnd w:id="107"/>
      <w:bookmarkEnd w:id="108"/>
      <w:bookmarkEnd w:id="109"/>
    </w:p>
    <w:p>
      <w:pPr>
        <w:spacing w:line="600" w:lineRule="exact"/>
        <w:jc w:val="left"/>
        <w:rPr>
          <w:rFonts w:ascii="宋体"/>
          <w:b/>
          <w:sz w:val="44"/>
          <w:szCs w:val="44"/>
        </w:rPr>
      </w:pPr>
    </w:p>
    <w:p>
      <w:pPr>
        <w:pStyle w:val="23"/>
        <w:spacing w:line="580" w:lineRule="exact"/>
        <w:ind w:firstLine="642" w:firstLineChars="200"/>
        <w:rPr>
          <w:rFonts w:ascii="仿宋_GB2312" w:hAnsi="仿宋_GB2312" w:eastAsia="仿宋_GB2312" w:cs="仿宋_GB2312"/>
          <w:sz w:val="32"/>
          <w:szCs w:val="32"/>
        </w:rPr>
      </w:pPr>
      <w:bookmarkStart w:id="110" w:name="_Toc15377226"/>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指单位从同级财政部门取得的财政预算资金。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2.其他收入</w:t>
      </w:r>
      <w:r>
        <w:rPr>
          <w:rFonts w:hint="eastAsia" w:ascii="仿宋_GB2312" w:hAnsi="仿宋_GB2312" w:eastAsia="仿宋_GB2312" w:cs="仿宋_GB2312"/>
          <w:sz w:val="32"/>
          <w:szCs w:val="32"/>
        </w:rPr>
        <w:t>：指单位取得的除上述收入以外的各项收入。主要是单位银行存款利息和财政</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拨付的项目资金。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3.年初结转和结余：</w:t>
      </w:r>
      <w:r>
        <w:rPr>
          <w:rFonts w:hint="eastAsia" w:ascii="仿宋_GB2312" w:hAnsi="仿宋_GB2312" w:eastAsia="仿宋_GB2312" w:cs="仿宋_GB2312"/>
          <w:sz w:val="32"/>
          <w:szCs w:val="32"/>
        </w:rPr>
        <w:t>指以前年度尚未完成、结转到本年按有关规定继续使用的资金。</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4.年末结转和结余：</w:t>
      </w:r>
      <w:r>
        <w:rPr>
          <w:rFonts w:hint="eastAsia" w:ascii="仿宋_GB2312" w:hAnsi="仿宋_GB2312" w:eastAsia="仿宋_GB2312" w:cs="仿宋_GB2312"/>
          <w:sz w:val="32"/>
          <w:szCs w:val="32"/>
        </w:rPr>
        <w:t>指单位按有关规定结转到下年或以后年度继续使用的资金。</w:t>
      </w:r>
    </w:p>
    <w:p>
      <w:pPr>
        <w:spacing w:line="580" w:lineRule="exact"/>
        <w:ind w:firstLine="642"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5"/>
          <w:rFonts w:hint="eastAsia" w:ascii="仿宋_GB2312" w:hAnsi="仿宋_GB2312" w:eastAsia="仿宋_GB2312" w:cs="仿宋_GB2312"/>
          <w:b w:val="0"/>
          <w:sz w:val="32"/>
          <w:szCs w:val="32"/>
        </w:rPr>
        <w:t>指机关事业单位</w:t>
      </w:r>
      <w:r>
        <w:rPr>
          <w:rStyle w:val="15"/>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2"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6.社会保障和就业（类）行政事业单位离退休（款）机关事业单位职业年金缴费支出（项）:</w:t>
      </w:r>
      <w:r>
        <w:rPr>
          <w:rStyle w:val="15"/>
          <w:rFonts w:hint="eastAsia" w:ascii="仿宋_GB2312" w:hAnsi="仿宋_GB2312" w:eastAsia="仿宋_GB2312" w:cs="仿宋_GB2312"/>
          <w:b w:val="0"/>
          <w:sz w:val="32"/>
          <w:szCs w:val="32"/>
        </w:rPr>
        <w:t>指机关事业单位实施养老保险制度由单位实际缴纳的职业年金支出。</w:t>
      </w:r>
    </w:p>
    <w:p>
      <w:pPr>
        <w:spacing w:line="580" w:lineRule="exact"/>
        <w:ind w:firstLine="642" w:firstLineChars="200"/>
        <w:rPr>
          <w:rStyle w:val="15"/>
          <w:rFonts w:ascii="仿宋_GB2312" w:hAnsi="仿宋_GB2312" w:eastAsia="仿宋_GB2312" w:cs="仿宋_GB2312"/>
          <w:b w:val="0"/>
          <w:sz w:val="32"/>
          <w:szCs w:val="32"/>
        </w:rPr>
      </w:pPr>
      <w:r>
        <w:rPr>
          <w:rFonts w:hint="eastAsia" w:ascii="仿宋_GB2312" w:hAnsi="仿宋_GB2312" w:eastAsia="仿宋_GB2312" w:cs="仿宋_GB2312"/>
          <w:b/>
          <w:bCs/>
          <w:color w:val="000000"/>
          <w:sz w:val="32"/>
          <w:szCs w:val="32"/>
          <w:lang w:val="en-US" w:eastAsia="zh-CN"/>
        </w:rPr>
        <w:t>7</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2"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lang w:val="en-US" w:eastAsia="zh-CN"/>
        </w:rPr>
        <w:t>8</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2" w:firstLineChars="200"/>
        <w:rPr>
          <w:rFonts w:ascii="仿宋_GB2312" w:hAnsi="仿宋_GB2312" w:eastAsia="仿宋_GB2312" w:cs="仿宋_GB2312"/>
          <w:color w:val="000000"/>
          <w:sz w:val="32"/>
          <w:szCs w:val="32"/>
        </w:rPr>
      </w:pPr>
      <w:r>
        <w:rPr>
          <w:rStyle w:val="15"/>
          <w:rFonts w:hint="eastAsia" w:ascii="仿宋_GB2312" w:hAnsi="仿宋_GB2312" w:eastAsia="仿宋_GB2312" w:cs="仿宋_GB2312"/>
          <w:b/>
          <w:bCs/>
          <w:color w:val="000000"/>
          <w:sz w:val="32"/>
          <w:szCs w:val="32"/>
          <w:lang w:val="en-US" w:eastAsia="zh-CN"/>
        </w:rPr>
        <w:t>9</w:t>
      </w:r>
      <w:r>
        <w:rPr>
          <w:rStyle w:val="15"/>
          <w:rFonts w:hint="eastAsia" w:ascii="仿宋_GB2312" w:hAnsi="仿宋_GB2312" w:eastAsia="仿宋_GB2312" w:cs="仿宋_GB2312"/>
          <w:b/>
          <w:bCs/>
          <w:color w:val="000000"/>
          <w:sz w:val="32"/>
          <w:szCs w:val="32"/>
        </w:rPr>
        <w:t>.</w:t>
      </w:r>
      <w:r>
        <w:rPr>
          <w:rStyle w:val="15"/>
          <w:rFonts w:hint="eastAsia" w:ascii="仿宋_GB2312" w:hAnsi="仿宋_GB2312" w:eastAsia="仿宋_GB2312" w:cs="仿宋_GB2312"/>
          <w:color w:val="000000"/>
          <w:sz w:val="32"/>
          <w:szCs w:val="32"/>
        </w:rPr>
        <w:t>自然资源海洋气象等支出（类）自然资源事务（款）其他自然资源事务（项）</w:t>
      </w:r>
      <w:r>
        <w:rPr>
          <w:rStyle w:val="15"/>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10</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11</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12</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3"/>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r>
        <w:rPr>
          <w:rFonts w:ascii="宋体"/>
          <w:b/>
          <w:sz w:val="44"/>
          <w:szCs w:val="44"/>
        </w:rPr>
        <w:br w:type="page"/>
      </w:r>
      <w:bookmarkStart w:id="111" w:name="_Toc120678898"/>
      <w:bookmarkStart w:id="112" w:name="_Toc15396614"/>
      <w:bookmarkStart w:id="113" w:name="_Toc12672"/>
      <w:r>
        <w:rPr>
          <w:rFonts w:hint="eastAsia" w:ascii="黑体" w:hAnsi="黑体" w:eastAsia="黑体"/>
          <w:sz w:val="44"/>
          <w:szCs w:val="44"/>
        </w:rPr>
        <w:t>第</w:t>
      </w:r>
      <w:r>
        <w:rPr>
          <w:rStyle w:val="25"/>
          <w:rFonts w:hint="eastAsia" w:ascii="黑体" w:hAnsi="黑体" w:eastAsia="黑体"/>
          <w:b w:val="0"/>
        </w:rPr>
        <w:t>四部分 附件</w:t>
      </w:r>
      <w:bookmarkEnd w:id="111"/>
      <w:bookmarkEnd w:id="112"/>
      <w:bookmarkEnd w:id="113"/>
    </w:p>
    <w:p>
      <w:pPr>
        <w:pStyle w:val="6"/>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附件</w:t>
      </w:r>
    </w:p>
    <w:p>
      <w:pPr>
        <w:adjustRightInd w:val="0"/>
        <w:snapToGrid w:val="0"/>
        <w:spacing w:line="520" w:lineRule="exact"/>
        <w:ind w:firstLine="370" w:firstLineChars="103"/>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广元市不动产登记中心</w:t>
      </w:r>
    </w:p>
    <w:p>
      <w:pPr>
        <w:adjustRightInd w:val="0"/>
        <w:snapToGrid w:val="0"/>
        <w:spacing w:line="520" w:lineRule="exact"/>
        <w:ind w:firstLine="370" w:firstLineChars="103"/>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部门支出绩效评价自评报告</w:t>
      </w:r>
    </w:p>
    <w:p>
      <w:pPr>
        <w:spacing w:line="520" w:lineRule="exact"/>
        <w:ind w:firstLine="642" w:firstLineChars="200"/>
        <w:rPr>
          <w:rFonts w:ascii="黑体" w:hAnsi="黑体" w:eastAsia="黑体"/>
          <w:b/>
          <w:sz w:val="32"/>
          <w:szCs w:val="32"/>
        </w:rPr>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520" w:lineRule="exact"/>
        <w:ind w:firstLine="640" w:firstLineChars="200"/>
        <w:rPr>
          <w:rFonts w:ascii="仿宋_GB2312" w:eastAsia="仿宋_GB2312"/>
          <w:sz w:val="32"/>
          <w:szCs w:val="32"/>
        </w:rPr>
      </w:pPr>
      <w:r>
        <w:rPr>
          <w:rFonts w:ascii="仿宋_GB2312" w:eastAsia="仿宋_GB2312"/>
          <w:sz w:val="32"/>
          <w:szCs w:val="32"/>
        </w:rPr>
        <w:t>贯彻执行土地登记、房屋登记、林地登记等不动产登记政策、法规；负责城市规划区内土地登记、 房屋登记、林地登记受理经办工作；负责不动产登记信息基础平台建设和管理，做好数据的整理、 备份、 依法对外查询工作，并与市建设、 农业、 林业等部门建立信息共享机制；指导县不动产登记等工作</w:t>
      </w:r>
      <w:r>
        <w:rPr>
          <w:rFonts w:hint="eastAsia" w:ascii="仿宋_GB2312" w:eastAsia="仿宋_GB2312"/>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 xml:space="preserve">二、部门总体评价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部门整体支出绩效评价得分为95分，部门支出绩效评价扣分原因为：绩效管理扣1分，综合管理扣2分，评价结果应用扣2分。项目支出绩效评价得97分，按30%权重计算,该部门总体绩效评价最终得分为95分。该部门总体绩效评价最终得分为95分（见附件1）。</w:t>
      </w:r>
    </w:p>
    <w:p>
      <w:pPr>
        <w:spacing w:line="520" w:lineRule="exact"/>
        <w:ind w:firstLine="627" w:firstLineChars="196"/>
        <w:rPr>
          <w:rFonts w:ascii="黑体" w:hAnsi="黑体" w:eastAsia="黑体"/>
          <w:sz w:val="32"/>
          <w:szCs w:val="32"/>
        </w:rPr>
      </w:pPr>
      <w:r>
        <w:rPr>
          <w:rFonts w:hint="eastAsia" w:ascii="黑体" w:hAnsi="黑体" w:eastAsia="黑体"/>
          <w:sz w:val="32"/>
          <w:szCs w:val="32"/>
        </w:rPr>
        <w:t>三、部门财政支出管理情况</w:t>
      </w:r>
    </w:p>
    <w:p>
      <w:pPr>
        <w:spacing w:line="520" w:lineRule="exact"/>
        <w:ind w:firstLine="640" w:firstLineChars="200"/>
        <w:rPr>
          <w:rFonts w:ascii="仿宋_GB2312" w:eastAsia="仿宋_GB2312"/>
          <w:sz w:val="32"/>
          <w:szCs w:val="32"/>
        </w:rPr>
      </w:pPr>
      <w:r>
        <w:rPr>
          <w:rFonts w:hint="eastAsia" w:ascii="楷体_GB2312" w:eastAsia="楷体_GB2312"/>
          <w:sz w:val="32"/>
          <w:szCs w:val="32"/>
        </w:rPr>
        <w:t>（一）预算编制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1.报送时效。我中心严格按财政部门预算编制要求的时间及时报送了部门预算和项目绩效目标,并规范准确完整地填制和报送预算报表，合理反映了本部门年度职责履行情况。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编制质量。我中心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20" w:lineRule="exact"/>
        <w:ind w:firstLine="640" w:firstLineChars="200"/>
        <w:rPr>
          <w:rFonts w:ascii="仿宋_GB2312" w:eastAsia="仿宋_GB2312"/>
          <w:b/>
          <w:sz w:val="32"/>
          <w:szCs w:val="32"/>
        </w:rPr>
      </w:pPr>
      <w:r>
        <w:rPr>
          <w:rFonts w:hint="eastAsia" w:ascii="楷体_GB2312" w:eastAsia="楷体_GB2312"/>
          <w:sz w:val="32"/>
          <w:szCs w:val="32"/>
        </w:rPr>
        <w:t>（二）预算执行</w:t>
      </w:r>
    </w:p>
    <w:p>
      <w:pPr>
        <w:spacing w:line="520" w:lineRule="exact"/>
        <w:ind w:firstLine="640" w:firstLineChars="200"/>
        <w:rPr>
          <w:rFonts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我中心严格执行预算，执行中不调整项目。</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hint="eastAsia" w:ascii="仿宋_GB2312" w:hAnsi="仿宋_GB2312" w:eastAsia="仿宋_GB2312" w:cs="仿宋_GB2312"/>
          <w:color w:val="000000"/>
          <w:sz w:val="32"/>
          <w:szCs w:val="32"/>
        </w:rPr>
        <w:t>2021年“三公”经费预算5万元，其中:公务接待费5万元，车辆运行维护费0万元。全年支出0.5981万元。其中：公务接待费0.5981万元，车辆运行维护费0万元</w:t>
      </w:r>
      <w:r>
        <w:rPr>
          <w:rFonts w:hint="eastAsia" w:ascii="仿宋_GB2312" w:hAnsi="宋体" w:eastAsia="仿宋_GB2312" w:cs="宋体"/>
          <w:kern w:val="0"/>
          <w:sz w:val="32"/>
          <w:szCs w:val="32"/>
        </w:rPr>
        <w:t>。</w:t>
      </w:r>
    </w:p>
    <w:p>
      <w:pPr>
        <w:spacing w:line="52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w:t>
      </w:r>
      <w:r>
        <w:rPr>
          <w:rFonts w:hint="eastAsia" w:ascii="仿宋_GB2312" w:hAnsi="宋体" w:eastAsia="仿宋_GB2312" w:cs="宋体"/>
          <w:kern w:val="0"/>
          <w:sz w:val="32"/>
          <w:szCs w:val="32"/>
          <w:lang w:eastAsia="zh-CN"/>
        </w:rPr>
        <w:t>账表一致</w:t>
      </w:r>
      <w:r>
        <w:rPr>
          <w:rFonts w:hint="eastAsia" w:ascii="仿宋_GB2312" w:hAnsi="宋体" w:eastAsia="仿宋_GB2312" w:cs="宋体"/>
          <w:kern w:val="0"/>
          <w:sz w:val="32"/>
          <w:szCs w:val="32"/>
        </w:rPr>
        <w:t>，决算数据真实准确，部门决算编制人员与供养人员系统数据相符。</w:t>
      </w:r>
    </w:p>
    <w:p>
      <w:pPr>
        <w:spacing w:line="520" w:lineRule="exact"/>
        <w:ind w:firstLine="640" w:firstLineChars="200"/>
        <w:rPr>
          <w:rFonts w:ascii="楷体_GB2312" w:eastAsia="楷体_GB2312"/>
          <w:sz w:val="32"/>
          <w:szCs w:val="32"/>
        </w:rPr>
      </w:pPr>
      <w:r>
        <w:rPr>
          <w:rFonts w:hint="eastAsia" w:ascii="楷体_GB2312" w:eastAsia="楷体_GB2312"/>
          <w:sz w:val="32"/>
          <w:szCs w:val="32"/>
        </w:rPr>
        <w:t>（三）财政资金综合管理情况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中心严格执行非税收入预算管理，按规定项目和标准执行，无擅自设立项目、提高标准、扩大范围等情况；严格执行国家减税降费政策；编制和执行非税收入预算，应收尽收，非税收入无截留、推延行为；票据管理规范，领购、发放、使用、核销票据行为规范。全年非税收入和上缴金额为</w:t>
      </w:r>
      <w:r>
        <w:rPr>
          <w:rFonts w:ascii="仿宋_GB2312" w:hAnsi="宋体" w:eastAsia="仿宋_GB2312" w:cs="宋体"/>
          <w:kern w:val="0"/>
          <w:sz w:val="32"/>
          <w:szCs w:val="32"/>
        </w:rPr>
        <w:t>612</w:t>
      </w:r>
      <w:r>
        <w:rPr>
          <w:rFonts w:hint="eastAsia" w:ascii="仿宋_GB2312" w:hAnsi="宋体" w:eastAsia="仿宋_GB2312" w:cs="宋体"/>
          <w:kern w:val="0"/>
          <w:sz w:val="32"/>
          <w:szCs w:val="32"/>
        </w:rPr>
        <w:t>.</w:t>
      </w:r>
      <w:r>
        <w:rPr>
          <w:rFonts w:ascii="仿宋_GB2312" w:hAnsi="宋体" w:eastAsia="仿宋_GB2312" w:cs="宋体"/>
          <w:kern w:val="0"/>
          <w:sz w:val="32"/>
          <w:szCs w:val="32"/>
        </w:rPr>
        <w:t>002302</w:t>
      </w:r>
      <w:r>
        <w:rPr>
          <w:rFonts w:hint="eastAsia" w:ascii="仿宋_GB2312" w:hAnsi="宋体" w:eastAsia="仿宋_GB2312" w:cs="宋体"/>
          <w:kern w:val="0"/>
          <w:sz w:val="32"/>
          <w:szCs w:val="32"/>
        </w:rPr>
        <w:t>万元。其中：不动产登记费</w:t>
      </w:r>
      <w:r>
        <w:rPr>
          <w:rFonts w:ascii="仿宋_GB2312" w:hAnsi="宋体" w:eastAsia="仿宋_GB2312" w:cs="宋体"/>
          <w:kern w:val="0"/>
          <w:sz w:val="32"/>
          <w:szCs w:val="32"/>
        </w:rPr>
        <w:t>612</w:t>
      </w:r>
      <w:r>
        <w:rPr>
          <w:rFonts w:hint="eastAsia" w:ascii="仿宋_GB2312" w:hAnsi="宋体" w:eastAsia="仿宋_GB2312" w:cs="宋体"/>
          <w:kern w:val="0"/>
          <w:sz w:val="32"/>
          <w:szCs w:val="32"/>
        </w:rPr>
        <w:t>.</w:t>
      </w:r>
      <w:r>
        <w:rPr>
          <w:rFonts w:ascii="仿宋_GB2312" w:hAnsi="宋体" w:eastAsia="仿宋_GB2312" w:cs="宋体"/>
          <w:kern w:val="0"/>
          <w:sz w:val="32"/>
          <w:szCs w:val="32"/>
        </w:rPr>
        <w:t>002302</w:t>
      </w:r>
      <w:r>
        <w:rPr>
          <w:rFonts w:hint="eastAsia" w:ascii="仿宋_GB2312" w:eastAsia="仿宋_GB2312"/>
          <w:sz w:val="32"/>
          <w:szCs w:val="32"/>
        </w:rPr>
        <w:t>万元。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5万元，实际采购金额5万元；政府基金预算安排采购计划金额0万元，按合同约定支付采购金额为0万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3.资产管理信息系统建设、资产清查上报情况。</w:t>
      </w:r>
      <w:r>
        <w:rPr>
          <w:rFonts w:hint="eastAsia" w:ascii="仿宋_GB2312" w:hAnsi="宋体" w:eastAsia="仿宋_GB2312" w:cs="宋体"/>
          <w:kern w:val="0"/>
          <w:sz w:val="32"/>
          <w:szCs w:val="32"/>
        </w:rPr>
        <w:t>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4.部门内部控制制度健全情况。</w:t>
      </w:r>
      <w:r>
        <w:rPr>
          <w:rFonts w:hint="eastAsia" w:ascii="仿宋_GB2312" w:hAnsi="宋体" w:eastAsia="仿宋_GB2312" w:cs="宋体"/>
          <w:kern w:val="0"/>
          <w:sz w:val="32"/>
          <w:szCs w:val="32"/>
        </w:rPr>
        <w:t>我中心按照广元市自然资源局内部管理制度，设置有《首问责任制度》，执行《广元市自然资源局“三重一大”集体决策制度》、《广元市国土资源系统内部审计管理办法》、《广元市自然资源局财务管理制度》等，具体内容包括经费审批制度、现金管理、票据管理、会计档案管理、资产管理等。</w:t>
      </w:r>
    </w:p>
    <w:p>
      <w:pPr>
        <w:spacing w:line="520" w:lineRule="exact"/>
        <w:ind w:firstLine="480" w:firstLineChars="150"/>
        <w:rPr>
          <w:rFonts w:ascii="仿宋_GB2312" w:eastAsia="仿宋_GB2312"/>
          <w:sz w:val="32"/>
          <w:szCs w:val="32"/>
        </w:rPr>
      </w:pPr>
      <w:r>
        <w:rPr>
          <w:rFonts w:hint="eastAsia" w:ascii="仿宋_GB2312" w:eastAsia="仿宋_GB2312"/>
          <w:sz w:val="32"/>
          <w:szCs w:val="32"/>
        </w:rPr>
        <w:t>5.预决算及绩效信息公开情况。</w:t>
      </w:r>
      <w:r>
        <w:rPr>
          <w:rFonts w:hint="eastAsia" w:ascii="仿宋_GB2312" w:hAnsi="宋体" w:eastAsia="仿宋_GB2312" w:cs="宋体"/>
          <w:kern w:val="0"/>
          <w:sz w:val="32"/>
          <w:szCs w:val="32"/>
        </w:rPr>
        <w:t>我中心在严格按照财政要求，及时、准确、全面的在政府网站和局域内门户网站公开预决算和绩效信息。</w:t>
      </w:r>
    </w:p>
    <w:p>
      <w:pPr>
        <w:spacing w:line="520" w:lineRule="exact"/>
        <w:ind w:firstLine="480" w:firstLineChars="150"/>
        <w:rPr>
          <w:rFonts w:ascii="仿宋_GB2312" w:eastAsia="仿宋_GB2312"/>
          <w:sz w:val="32"/>
          <w:szCs w:val="32"/>
        </w:rPr>
      </w:pPr>
      <w:r>
        <w:rPr>
          <w:rFonts w:hint="eastAsia" w:ascii="仿宋_GB2312" w:eastAsia="仿宋_GB2312"/>
          <w:sz w:val="32"/>
          <w:szCs w:val="32"/>
        </w:rPr>
        <w:t>6.绩效评价开展、评价结果报告情况。</w:t>
      </w:r>
      <w:r>
        <w:rPr>
          <w:rFonts w:hint="eastAsia" w:ascii="仿宋_GB2312" w:eastAsia="仿宋_GB2312"/>
          <w:color w:val="000000"/>
          <w:sz w:val="32"/>
          <w:szCs w:val="32"/>
        </w:rPr>
        <w:t>我中心对部分项目开展了绩效评价，房屋租金、物管及消防安保费不动产产权证书资料费、法律顾问费、不动产责任保险工作经费120万元，已使用120万元。通过对部分项目支出总体评价，自评得分96分。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7.绩效管理工作开展情况。</w:t>
      </w:r>
      <w:r>
        <w:rPr>
          <w:rFonts w:hint="eastAsia" w:ascii="仿宋_GB2312" w:eastAsia="仿宋_GB2312"/>
          <w:color w:val="000000"/>
          <w:sz w:val="32"/>
          <w:szCs w:val="32"/>
        </w:rPr>
        <w:t>2021年市财政局下达市不动产登记中心房屋租金、物管及消防安保费不动产产权证书资料费、法律顾问费、不动产责任保险工作经费项目资金，已按照要求对项目开展了绩效评价。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8.财政政策执行情况。</w:t>
      </w:r>
    </w:p>
    <w:p>
      <w:pPr>
        <w:spacing w:line="52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w:t>
      </w:r>
      <w:r>
        <w:rPr>
          <w:rFonts w:hint="eastAsia" w:ascii="仿宋_GB2312" w:hAnsi="宋体" w:eastAsia="仿宋_GB2312" w:cs="宋体"/>
          <w:kern w:val="0"/>
          <w:sz w:val="32"/>
          <w:szCs w:val="32"/>
        </w:rPr>
        <w:t>1）国库集中支付。我中心严格执行国库集中支付规定，当年部门预算支出中直接支付比例超过市本级当期平均水平。</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2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非税收入征收管理。我中心严格执行非税收入预算，按规定项目和标准执行，无擅自设立项目、提高标准、扩大范围等情况；严格执行国家减税降费政策；编制和执行非税收入预算，应收尽收，非税收入无截留、推延行为；票据管理规范，领购、发放、使用、核销票据行为规范。</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9.财经纪律执行情况。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（1）审计监察。接受了广元市审计局大数据提取检查和财政资金大排查及政府采购专项巡视。</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20" w:lineRule="exact"/>
        <w:ind w:firstLine="320" w:firstLineChars="100"/>
        <w:rPr>
          <w:rFonts w:ascii="楷体_GB2312" w:eastAsia="楷体_GB2312"/>
          <w:sz w:val="32"/>
          <w:szCs w:val="32"/>
        </w:rPr>
      </w:pPr>
      <w:r>
        <w:rPr>
          <w:rFonts w:hint="eastAsia" w:ascii="楷体_GB2312" w:eastAsia="楷体_GB2312"/>
          <w:sz w:val="32"/>
          <w:szCs w:val="32"/>
        </w:rPr>
        <w:t>（四）部门项目绩效评价情况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本单位2021年被评价的一共4个项目，评价得分388分，平均的分97分，按30%</w:t>
      </w:r>
      <w:r>
        <w:rPr>
          <w:rFonts w:hint="eastAsia" w:ascii="仿宋_GB2312" w:eastAsia="仿宋_GB2312"/>
          <w:sz w:val="32"/>
          <w:szCs w:val="32"/>
          <w:lang w:eastAsia="zh-CN"/>
        </w:rPr>
        <w:t>权重</w:t>
      </w:r>
      <w:r>
        <w:rPr>
          <w:rFonts w:hint="eastAsia" w:ascii="仿宋_GB2312" w:eastAsia="仿宋_GB2312"/>
          <w:sz w:val="32"/>
          <w:szCs w:val="32"/>
        </w:rPr>
        <w:t>计算，我中心项目绩效评价得分96分。</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四、存在的问题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由于财务部门是绩效评价的牵头部门，对于单位绩效评价都是财务人员在做这项基本工作，这样既充当了“运动员”又充当了“裁判员”角色。</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五、整改建议和意见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建议：一是建议各单位内审部门牵头组织成立绩效评价小组，对单位进行绩效评价；二是建议财政加强对单位及其财务人员项目绩效评价和内控制度建设等方面的培训力度，为适应新形势新要求，让每一个财务人员及时正确掌握政策，把握好财经纪律。建议将财务人员定期培训工作纳入目标任务；三是建议通过财政支出和项目绩效评价结果，财政根据各单位的项目工作任务及政府目标考核内容纳入项目工作经费，确保各单位履行行政职能职责有保障。</w:t>
      </w:r>
    </w:p>
    <w:p>
      <w:pPr>
        <w:pStyle w:val="6"/>
        <w:spacing w:before="93"/>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spacing w:line="240" w:lineRule="auto"/>
        <w:jc w:val="left"/>
        <w:outlineLvl w:val="9"/>
        <w:rPr>
          <w:rFonts w:hint="eastAsia" w:ascii="黑体" w:hAnsi="黑体" w:eastAsia="黑体" w:cs="黑体"/>
          <w:sz w:val="32"/>
          <w:szCs w:val="32"/>
        </w:rPr>
      </w:pPr>
      <w:bookmarkStart w:id="114" w:name="_Toc120678899"/>
      <w:r>
        <w:rPr>
          <w:rFonts w:hint="eastAsia" w:ascii="黑体" w:hAnsi="黑体" w:eastAsia="黑体" w:cs="黑体"/>
          <w:sz w:val="32"/>
          <w:szCs w:val="32"/>
        </w:rPr>
        <w:br w:type="page"/>
      </w:r>
    </w:p>
    <w:p>
      <w:pPr>
        <w:spacing w:line="572" w:lineRule="exact"/>
        <w:jc w:val="left"/>
        <w:outlineLvl w:val="0"/>
        <w:rPr>
          <w:rFonts w:hint="eastAsia" w:ascii="黑体" w:hAnsi="黑体" w:eastAsia="黑体" w:cs="黑体"/>
          <w:sz w:val="32"/>
          <w:szCs w:val="32"/>
        </w:rPr>
      </w:pPr>
      <w:bookmarkStart w:id="115" w:name="_Toc29282"/>
      <w:r>
        <w:rPr>
          <w:rFonts w:hint="eastAsia" w:ascii="黑体" w:hAnsi="黑体" w:eastAsia="黑体" w:cs="黑体"/>
          <w:sz w:val="32"/>
          <w:szCs w:val="32"/>
        </w:rPr>
        <w:t>附表</w:t>
      </w:r>
      <w:bookmarkEnd w:id="114"/>
      <w:bookmarkEnd w:id="115"/>
    </w:p>
    <w:p>
      <w:pPr>
        <w:pStyle w:val="2"/>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2"/>
        <w:jc w:val="center"/>
        <w:rPr>
          <w:rFonts w:hint="eastAsia" w:ascii="宋体" w:hAnsi="宋体" w:cs="宋体"/>
          <w:kern w:val="0"/>
          <w:sz w:val="24"/>
        </w:rPr>
      </w:pPr>
      <w:r>
        <w:rPr>
          <w:rFonts w:hint="eastAsia" w:ascii="宋体" w:hAnsi="宋体" w:cs="宋体"/>
          <w:kern w:val="0"/>
          <w:sz w:val="24"/>
        </w:rPr>
        <w:t>（2021年度）</w:t>
      </w:r>
    </w:p>
    <w:p>
      <w:pPr>
        <w:pStyle w:val="2"/>
        <w:rPr>
          <w:rFonts w:hint="eastAsia" w:ascii="宋体" w:hAnsi="宋体" w:cs="宋体"/>
          <w:kern w:val="0"/>
          <w:sz w:val="24"/>
        </w:rPr>
      </w:pPr>
      <w:r>
        <w:rPr>
          <w:rFonts w:hint="eastAsia" w:ascii="宋体" w:hAnsi="宋体" w:cs="宋体"/>
          <w:kern w:val="0"/>
          <w:sz w:val="22"/>
          <w:szCs w:val="22"/>
        </w:rPr>
        <w:t>注：项目支出包括部门预算支出和专项预算支出</w:t>
      </w:r>
    </w:p>
    <w:tbl>
      <w:tblPr>
        <w:tblStyle w:val="13"/>
        <w:tblW w:w="8928" w:type="dxa"/>
        <w:tblInd w:w="94" w:type="dxa"/>
        <w:tblLayout w:type="fixed"/>
        <w:tblCellMar>
          <w:top w:w="0" w:type="dxa"/>
          <w:left w:w="108" w:type="dxa"/>
          <w:bottom w:w="0" w:type="dxa"/>
          <w:right w:w="108" w:type="dxa"/>
        </w:tblCellMar>
      </w:tblPr>
      <w:tblGrid>
        <w:gridCol w:w="987"/>
        <w:gridCol w:w="946"/>
        <w:gridCol w:w="1000"/>
        <w:gridCol w:w="477"/>
        <w:gridCol w:w="1446"/>
        <w:gridCol w:w="727"/>
        <w:gridCol w:w="1663"/>
        <w:gridCol w:w="12"/>
        <w:gridCol w:w="1670"/>
      </w:tblGrid>
      <w:tr>
        <w:tblPrEx>
          <w:tblCellMar>
            <w:top w:w="0" w:type="dxa"/>
            <w:left w:w="108" w:type="dxa"/>
            <w:bottom w:w="0" w:type="dxa"/>
            <w:right w:w="108" w:type="dxa"/>
          </w:tblCellMar>
        </w:tblPrEx>
        <w:trPr>
          <w:trHeight w:val="633" w:hRule="atLeast"/>
        </w:trPr>
        <w:tc>
          <w:tcPr>
            <w:tcW w:w="3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bookmarkStart w:id="116" w:name="_Toc15396618"/>
            <w:r>
              <w:rPr>
                <w:rFonts w:hint="eastAsia" w:ascii="宋体" w:hAnsi="宋体" w:cs="宋体"/>
                <w:kern w:val="0"/>
                <w:sz w:val="21"/>
                <w:szCs w:val="21"/>
              </w:rPr>
              <w:t>项目名称</w:t>
            </w:r>
          </w:p>
        </w:tc>
        <w:tc>
          <w:tcPr>
            <w:tcW w:w="55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房屋租金、物管及消防安保费不动产产权证书资料费、法律顾问费、不动产责任保险工作经费</w:t>
            </w:r>
          </w:p>
        </w:tc>
      </w:tr>
      <w:tr>
        <w:tblPrEx>
          <w:tblCellMar>
            <w:top w:w="0" w:type="dxa"/>
            <w:left w:w="108" w:type="dxa"/>
            <w:bottom w:w="0" w:type="dxa"/>
            <w:right w:w="108" w:type="dxa"/>
          </w:tblCellMar>
        </w:tblPrEx>
        <w:trPr>
          <w:trHeight w:val="346" w:hRule="atLeast"/>
        </w:trPr>
        <w:tc>
          <w:tcPr>
            <w:tcW w:w="3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预算单位</w:t>
            </w:r>
          </w:p>
        </w:tc>
        <w:tc>
          <w:tcPr>
            <w:tcW w:w="551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广元市不动产登记中心</w:t>
            </w:r>
          </w:p>
        </w:tc>
      </w:tr>
      <w:tr>
        <w:tblPrEx>
          <w:tblCellMar>
            <w:top w:w="0" w:type="dxa"/>
            <w:left w:w="108" w:type="dxa"/>
            <w:bottom w:w="0" w:type="dxa"/>
            <w:right w:w="108" w:type="dxa"/>
          </w:tblCellMar>
        </w:tblPrEx>
        <w:trPr>
          <w:trHeight w:val="338" w:hRule="atLeast"/>
        </w:trPr>
        <w:tc>
          <w:tcPr>
            <w:tcW w:w="9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24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预算数：</w:t>
            </w:r>
          </w:p>
        </w:tc>
        <w:tc>
          <w:tcPr>
            <w:tcW w:w="1446"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120万元</w:t>
            </w:r>
          </w:p>
        </w:tc>
        <w:tc>
          <w:tcPr>
            <w:tcW w:w="2390"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执行数：</w:t>
            </w:r>
          </w:p>
        </w:tc>
        <w:tc>
          <w:tcPr>
            <w:tcW w:w="1682"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120万元</w:t>
            </w:r>
          </w:p>
        </w:tc>
      </w:tr>
      <w:tr>
        <w:tblPrEx>
          <w:tblCellMar>
            <w:top w:w="0" w:type="dxa"/>
            <w:left w:w="108" w:type="dxa"/>
            <w:bottom w:w="0" w:type="dxa"/>
            <w:right w:w="108" w:type="dxa"/>
          </w:tblCellMar>
        </w:tblPrEx>
        <w:trPr>
          <w:trHeight w:val="522" w:hRule="atLeast"/>
        </w:trPr>
        <w:tc>
          <w:tcPr>
            <w:tcW w:w="98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1"/>
                <w:szCs w:val="21"/>
              </w:rPr>
            </w:pPr>
          </w:p>
        </w:tc>
        <w:tc>
          <w:tcPr>
            <w:tcW w:w="24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其中：财政拨款</w:t>
            </w:r>
          </w:p>
        </w:tc>
        <w:tc>
          <w:tcPr>
            <w:tcW w:w="1446"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120万元</w:t>
            </w:r>
          </w:p>
        </w:tc>
        <w:tc>
          <w:tcPr>
            <w:tcW w:w="2390" w:type="dxa"/>
            <w:gridSpan w:val="2"/>
            <w:tcBorders>
              <w:top w:val="nil"/>
              <w:left w:val="nil"/>
              <w:bottom w:val="nil"/>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其中：财政拨款</w:t>
            </w:r>
          </w:p>
        </w:tc>
        <w:tc>
          <w:tcPr>
            <w:tcW w:w="1682"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120万元</w:t>
            </w:r>
          </w:p>
        </w:tc>
      </w:tr>
      <w:tr>
        <w:tblPrEx>
          <w:tblCellMar>
            <w:top w:w="0" w:type="dxa"/>
            <w:left w:w="108" w:type="dxa"/>
            <w:bottom w:w="0" w:type="dxa"/>
            <w:right w:w="108" w:type="dxa"/>
          </w:tblCellMar>
        </w:tblPrEx>
        <w:trPr>
          <w:trHeight w:val="426" w:hRule="atLeast"/>
        </w:trPr>
        <w:tc>
          <w:tcPr>
            <w:tcW w:w="98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kern w:val="0"/>
                <w:sz w:val="21"/>
                <w:szCs w:val="21"/>
              </w:rPr>
            </w:pPr>
          </w:p>
        </w:tc>
        <w:tc>
          <w:tcPr>
            <w:tcW w:w="24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其他资金</w:t>
            </w:r>
          </w:p>
        </w:tc>
        <w:tc>
          <w:tcPr>
            <w:tcW w:w="1446"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cs="宋体"/>
                <w:kern w:val="0"/>
                <w:sz w:val="21"/>
                <w:szCs w:val="21"/>
              </w:rPr>
            </w:pPr>
          </w:p>
        </w:tc>
        <w:tc>
          <w:tcPr>
            <w:tcW w:w="2390" w:type="dxa"/>
            <w:gridSpan w:val="2"/>
            <w:tcBorders>
              <w:top w:val="single" w:color="auto" w:sz="4" w:space="0"/>
              <w:left w:val="nil"/>
              <w:bottom w:val="nil"/>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其他资金</w:t>
            </w:r>
          </w:p>
        </w:tc>
        <w:tc>
          <w:tcPr>
            <w:tcW w:w="1682"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p>
        </w:tc>
      </w:tr>
      <w:tr>
        <w:tblPrEx>
          <w:tblCellMar>
            <w:top w:w="0" w:type="dxa"/>
            <w:left w:w="108" w:type="dxa"/>
            <w:bottom w:w="0" w:type="dxa"/>
            <w:right w:w="108" w:type="dxa"/>
          </w:tblCellMar>
        </w:tblPrEx>
        <w:trPr>
          <w:trHeight w:val="216" w:hRule="atLeast"/>
        </w:trPr>
        <w:tc>
          <w:tcPr>
            <w:tcW w:w="98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86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预期目标</w:t>
            </w:r>
          </w:p>
        </w:tc>
        <w:tc>
          <w:tcPr>
            <w:tcW w:w="4072"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实际完成目标</w:t>
            </w:r>
          </w:p>
        </w:tc>
      </w:tr>
      <w:tr>
        <w:tblPrEx>
          <w:tblCellMar>
            <w:top w:w="0" w:type="dxa"/>
            <w:left w:w="108" w:type="dxa"/>
            <w:bottom w:w="0" w:type="dxa"/>
            <w:right w:w="108" w:type="dxa"/>
          </w:tblCellMar>
        </w:tblPrEx>
        <w:trPr>
          <w:trHeight w:val="6150" w:hRule="atLeast"/>
        </w:trPr>
        <w:tc>
          <w:tcPr>
            <w:tcW w:w="987"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3869" w:type="dxa"/>
            <w:gridSpan w:val="4"/>
            <w:tcBorders>
              <w:top w:val="single" w:color="auto" w:sz="4" w:space="0"/>
              <w:left w:val="nil"/>
              <w:bottom w:val="single" w:color="auto" w:sz="4" w:space="0"/>
              <w:right w:val="single" w:color="000000" w:sz="4" w:space="0"/>
            </w:tcBorders>
            <w:shd w:val="clear" w:color="auto" w:fill="auto"/>
          </w:tcPr>
          <w:p>
            <w:pPr>
              <w:widowControl/>
              <w:spacing w:line="280" w:lineRule="exact"/>
              <w:jc w:val="left"/>
              <w:rPr>
                <w:rFonts w:ascii="宋体" w:hAnsi="宋体" w:cs="宋体"/>
                <w:kern w:val="0"/>
                <w:sz w:val="21"/>
                <w:szCs w:val="21"/>
              </w:rPr>
            </w:pPr>
            <w:r>
              <w:rPr>
                <w:rFonts w:hint="eastAsia" w:ascii="宋体" w:hAnsi="宋体" w:cs="宋体"/>
                <w:kern w:val="0"/>
                <w:sz w:val="21"/>
                <w:szCs w:val="21"/>
              </w:rPr>
              <w:t>一、根据广府阅（2016）10号文件，经市政府同意，市不动产登记中心租用市国投公司所属万源林业大厦1-3楼作为办公、档案用房，该房屋已于2019年5月投入使用，房屋及地下车库使用面积共计4703.88平方米，并在2019年5月投入使用。</w:t>
            </w:r>
            <w:r>
              <w:rPr>
                <w:rFonts w:hint="eastAsia" w:ascii="宋体" w:hAnsi="宋体" w:cs="宋体"/>
                <w:kern w:val="0"/>
                <w:sz w:val="21"/>
                <w:szCs w:val="21"/>
              </w:rPr>
              <w:br w:type="textWrapping"/>
            </w:r>
            <w:r>
              <w:rPr>
                <w:rFonts w:hint="eastAsia" w:ascii="宋体" w:hAnsi="宋体" w:cs="宋体"/>
                <w:kern w:val="0"/>
                <w:sz w:val="21"/>
                <w:szCs w:val="21"/>
              </w:rPr>
              <w:t>二、自然资源部统一制作防伪标志的不动产产权证书及不动产登记证明，需要每年定点购买，每一年办理不动产产权证书约7万本以上（含运输费用、证书证明费用）。</w:t>
            </w:r>
            <w:r>
              <w:rPr>
                <w:rFonts w:hint="eastAsia" w:ascii="宋体" w:hAnsi="宋体" w:cs="宋体"/>
                <w:kern w:val="0"/>
                <w:sz w:val="21"/>
                <w:szCs w:val="21"/>
              </w:rPr>
              <w:br w:type="textWrapping"/>
            </w:r>
            <w:r>
              <w:rPr>
                <w:rFonts w:hint="eastAsia" w:ascii="宋体" w:hAnsi="宋体" w:cs="宋体"/>
                <w:kern w:val="0"/>
                <w:sz w:val="21"/>
                <w:szCs w:val="21"/>
              </w:rPr>
              <w:t>三、根据合同约定，法律顾问费为登记中心涉及相关产权纠纷官司，签订项目合同需律师协助办理等。</w:t>
            </w:r>
            <w:r>
              <w:rPr>
                <w:rFonts w:hint="eastAsia" w:ascii="宋体" w:hAnsi="宋体" w:cs="宋体"/>
                <w:kern w:val="0"/>
                <w:sz w:val="21"/>
                <w:szCs w:val="21"/>
              </w:rPr>
              <w:br w:type="textWrapping"/>
            </w:r>
            <w:r>
              <w:rPr>
                <w:rFonts w:hint="eastAsia" w:ascii="宋体" w:hAnsi="宋体" w:cs="宋体"/>
                <w:kern w:val="0"/>
                <w:sz w:val="21"/>
                <w:szCs w:val="21"/>
              </w:rPr>
              <w:t>四、责任类的保险，不动产责任保险，主要针对不动产中心，赔偿责任：保险期内及预订的追溯期内，从事不动产登记的工作人员承办不动产登记业务时候。1、登记错误；2、依法审核任未辨清当事人提交的虚假材料；3、工作人员依法办理中疏忽、过失；以及这些事故后被诉讼或仲裁产生的法律费用。一、根据合同约定，房租费用为80万元/年，物管费16.5万元/年，消防安保费2万元/年，合计98.5万元/年。</w:t>
            </w:r>
            <w:r>
              <w:rPr>
                <w:rFonts w:hint="eastAsia" w:ascii="宋体" w:hAnsi="宋体" w:cs="宋体"/>
                <w:kern w:val="0"/>
                <w:sz w:val="21"/>
                <w:szCs w:val="21"/>
              </w:rPr>
              <w:br w:type="textWrapping"/>
            </w:r>
            <w:r>
              <w:rPr>
                <w:rFonts w:hint="eastAsia" w:ascii="宋体" w:hAnsi="宋体" w:cs="宋体"/>
                <w:kern w:val="0"/>
                <w:sz w:val="21"/>
                <w:szCs w:val="21"/>
              </w:rPr>
              <w:t>二、2021年计划购买5万本不动产产权证书及资料费约9.5万元。</w:t>
            </w:r>
            <w:r>
              <w:rPr>
                <w:rFonts w:hint="eastAsia" w:ascii="宋体" w:hAnsi="宋体" w:cs="宋体"/>
                <w:kern w:val="0"/>
                <w:sz w:val="21"/>
                <w:szCs w:val="21"/>
              </w:rPr>
              <w:br w:type="textWrapping"/>
            </w:r>
            <w:r>
              <w:rPr>
                <w:rFonts w:hint="eastAsia" w:ascii="宋体" w:hAnsi="宋体" w:cs="宋体"/>
                <w:kern w:val="0"/>
                <w:sz w:val="21"/>
                <w:szCs w:val="21"/>
              </w:rPr>
              <w:t>三、法律顾问费4万元/年。</w:t>
            </w:r>
            <w:r>
              <w:rPr>
                <w:rFonts w:hint="eastAsia" w:ascii="宋体" w:hAnsi="宋体" w:cs="宋体"/>
                <w:kern w:val="0"/>
                <w:sz w:val="21"/>
                <w:szCs w:val="21"/>
              </w:rPr>
              <w:br w:type="textWrapping"/>
            </w:r>
            <w:r>
              <w:rPr>
                <w:rFonts w:hint="eastAsia" w:ascii="宋体" w:hAnsi="宋体" w:cs="宋体"/>
                <w:kern w:val="0"/>
                <w:sz w:val="21"/>
                <w:szCs w:val="21"/>
              </w:rPr>
              <w:t>四、不动产责任保险费8万元/年。</w:t>
            </w:r>
            <w:r>
              <w:rPr>
                <w:rFonts w:hint="eastAsia" w:ascii="宋体" w:hAnsi="宋体" w:cs="宋体"/>
                <w:kern w:val="0"/>
                <w:sz w:val="21"/>
                <w:szCs w:val="21"/>
              </w:rPr>
              <w:br w:type="textWrapping"/>
            </w:r>
            <w:r>
              <w:rPr>
                <w:rFonts w:hint="eastAsia" w:ascii="宋体" w:hAnsi="宋体" w:cs="宋体"/>
                <w:kern w:val="0"/>
                <w:sz w:val="21"/>
                <w:szCs w:val="21"/>
              </w:rPr>
              <w:br w:type="textWrapping"/>
            </w:r>
            <w:r>
              <w:rPr>
                <w:rFonts w:hint="eastAsia" w:ascii="宋体" w:hAnsi="宋体" w:cs="宋体"/>
                <w:kern w:val="0"/>
                <w:sz w:val="21"/>
                <w:szCs w:val="21"/>
              </w:rPr>
              <w:t>总计：120万元。</w:t>
            </w:r>
          </w:p>
        </w:tc>
        <w:tc>
          <w:tcPr>
            <w:tcW w:w="4072" w:type="dxa"/>
            <w:gridSpan w:val="4"/>
            <w:tcBorders>
              <w:top w:val="single" w:color="auto" w:sz="4" w:space="0"/>
              <w:left w:val="nil"/>
              <w:bottom w:val="single" w:color="auto" w:sz="4" w:space="0"/>
              <w:right w:val="single" w:color="000000" w:sz="4" w:space="0"/>
            </w:tcBorders>
            <w:shd w:val="clear" w:color="auto" w:fill="auto"/>
          </w:tcPr>
          <w:p>
            <w:pPr>
              <w:widowControl/>
              <w:spacing w:line="280" w:lineRule="exact"/>
              <w:jc w:val="left"/>
              <w:rPr>
                <w:rFonts w:ascii="宋体" w:hAnsi="宋体" w:cs="宋体"/>
                <w:kern w:val="0"/>
                <w:sz w:val="21"/>
                <w:szCs w:val="21"/>
              </w:rPr>
            </w:pPr>
            <w:r>
              <w:rPr>
                <w:rFonts w:hint="eastAsia" w:ascii="宋体" w:hAnsi="宋体" w:cs="宋体"/>
                <w:kern w:val="0"/>
                <w:sz w:val="21"/>
                <w:szCs w:val="21"/>
              </w:rPr>
              <w:t>一、根据广府阅（2016）10号文件，经市政府同意，市不动产登记中心租用市国投公司所属万源林业大厦1-3楼作为办公、档案用房，该房屋已于2019年5月投入使用，房屋及地下车库使用面积共计4703.88平方米，并在2019年5月投入使用。</w:t>
            </w:r>
            <w:r>
              <w:rPr>
                <w:rFonts w:hint="eastAsia" w:ascii="宋体" w:hAnsi="宋体" w:cs="宋体"/>
                <w:kern w:val="0"/>
                <w:sz w:val="21"/>
                <w:szCs w:val="21"/>
              </w:rPr>
              <w:br w:type="textWrapping"/>
            </w:r>
            <w:r>
              <w:rPr>
                <w:rFonts w:hint="eastAsia" w:ascii="宋体" w:hAnsi="宋体" w:cs="宋体"/>
                <w:kern w:val="0"/>
                <w:sz w:val="21"/>
                <w:szCs w:val="21"/>
              </w:rPr>
              <w:t>二、自然资源部统一制作防伪标志的不动产产权证书及不动产登记证明，需要每年定点购买，每一年办理不动产产权证书约7万本以上（含运输费用、证书证明费用）。</w:t>
            </w:r>
            <w:r>
              <w:rPr>
                <w:rFonts w:hint="eastAsia" w:ascii="宋体" w:hAnsi="宋体" w:cs="宋体"/>
                <w:kern w:val="0"/>
                <w:sz w:val="21"/>
                <w:szCs w:val="21"/>
              </w:rPr>
              <w:br w:type="textWrapping"/>
            </w:r>
            <w:r>
              <w:rPr>
                <w:rFonts w:hint="eastAsia" w:ascii="宋体" w:hAnsi="宋体" w:cs="宋体"/>
                <w:kern w:val="0"/>
                <w:sz w:val="21"/>
                <w:szCs w:val="21"/>
              </w:rPr>
              <w:t>三、根据合同约定，法律顾问费为登记中心涉及相关产权纠纷官司，签订项目合同需律师协助办理等。</w:t>
            </w:r>
            <w:r>
              <w:rPr>
                <w:rFonts w:hint="eastAsia" w:ascii="宋体" w:hAnsi="宋体" w:cs="宋体"/>
                <w:kern w:val="0"/>
                <w:sz w:val="21"/>
                <w:szCs w:val="21"/>
              </w:rPr>
              <w:br w:type="textWrapping"/>
            </w:r>
            <w:r>
              <w:rPr>
                <w:rFonts w:hint="eastAsia" w:ascii="宋体" w:hAnsi="宋体" w:cs="宋体"/>
                <w:kern w:val="0"/>
                <w:sz w:val="21"/>
                <w:szCs w:val="21"/>
              </w:rPr>
              <w:t>四、责任类的保险，不动产责任保险，主要针对不动产中心，赔偿责任：保险期内及预订的追溯期内，从事不动产登记的工作人员承办不动产登记业务时候。1、登记错误；2、依法审核任未辨清当事人提交的虚假材料；3、工作人员依法办理中疏忽、过失；以及这些事故后被诉讼或仲裁产生的法律费用。一、根据合同约定，房租费用为80万元/年，物管费16.5万元/年，消防安保费2万元/年，合计98.5万元/年。</w:t>
            </w:r>
            <w:r>
              <w:rPr>
                <w:rFonts w:hint="eastAsia" w:ascii="宋体" w:hAnsi="宋体" w:cs="宋体"/>
                <w:kern w:val="0"/>
                <w:sz w:val="21"/>
                <w:szCs w:val="21"/>
              </w:rPr>
              <w:br w:type="textWrapping"/>
            </w:r>
            <w:r>
              <w:rPr>
                <w:rFonts w:hint="eastAsia" w:ascii="宋体" w:hAnsi="宋体" w:cs="宋体"/>
                <w:kern w:val="0"/>
                <w:sz w:val="21"/>
                <w:szCs w:val="21"/>
              </w:rPr>
              <w:t>二、2021年计划购买5万本不动产产权证书及资料费约9.5万元。</w:t>
            </w:r>
            <w:r>
              <w:rPr>
                <w:rFonts w:hint="eastAsia" w:ascii="宋体" w:hAnsi="宋体" w:cs="宋体"/>
                <w:kern w:val="0"/>
                <w:sz w:val="21"/>
                <w:szCs w:val="21"/>
              </w:rPr>
              <w:br w:type="textWrapping"/>
            </w:r>
            <w:r>
              <w:rPr>
                <w:rFonts w:hint="eastAsia" w:ascii="宋体" w:hAnsi="宋体" w:cs="宋体"/>
                <w:kern w:val="0"/>
                <w:sz w:val="21"/>
                <w:szCs w:val="21"/>
              </w:rPr>
              <w:t>三、法律顾问费4万元/年。</w:t>
            </w:r>
            <w:r>
              <w:rPr>
                <w:rFonts w:hint="eastAsia" w:ascii="宋体" w:hAnsi="宋体" w:cs="宋体"/>
                <w:kern w:val="0"/>
                <w:sz w:val="21"/>
                <w:szCs w:val="21"/>
              </w:rPr>
              <w:br w:type="textWrapping"/>
            </w:r>
            <w:r>
              <w:rPr>
                <w:rFonts w:hint="eastAsia" w:ascii="宋体" w:hAnsi="宋体" w:cs="宋体"/>
                <w:kern w:val="0"/>
                <w:sz w:val="21"/>
                <w:szCs w:val="21"/>
              </w:rPr>
              <w:t>四、不动产责任保险费8万元/年。</w:t>
            </w:r>
            <w:r>
              <w:rPr>
                <w:rFonts w:hint="eastAsia" w:ascii="宋体" w:hAnsi="宋体" w:cs="宋体"/>
                <w:kern w:val="0"/>
                <w:sz w:val="21"/>
                <w:szCs w:val="21"/>
              </w:rPr>
              <w:br w:type="textWrapping"/>
            </w:r>
            <w:r>
              <w:rPr>
                <w:rFonts w:hint="eastAsia" w:ascii="宋体" w:hAnsi="宋体" w:cs="宋体"/>
                <w:kern w:val="0"/>
                <w:sz w:val="21"/>
                <w:szCs w:val="21"/>
              </w:rPr>
              <w:br w:type="textWrapping"/>
            </w:r>
            <w:r>
              <w:rPr>
                <w:rFonts w:hint="eastAsia" w:ascii="宋体" w:hAnsi="宋体" w:cs="宋体"/>
                <w:kern w:val="0"/>
                <w:sz w:val="21"/>
                <w:szCs w:val="21"/>
              </w:rPr>
              <w:t>总计：120万元。</w:t>
            </w:r>
          </w:p>
        </w:tc>
      </w:tr>
      <w:tr>
        <w:tblPrEx>
          <w:tblCellMar>
            <w:top w:w="0" w:type="dxa"/>
            <w:left w:w="108" w:type="dxa"/>
            <w:bottom w:w="0" w:type="dxa"/>
            <w:right w:w="108" w:type="dxa"/>
          </w:tblCellMar>
        </w:tblPrEx>
        <w:trPr>
          <w:trHeight w:val="570" w:hRule="atLeast"/>
        </w:trPr>
        <w:tc>
          <w:tcPr>
            <w:tcW w:w="9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一级指标</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二级指标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三级指标</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CellMar>
            <w:top w:w="0" w:type="dxa"/>
            <w:left w:w="108" w:type="dxa"/>
            <w:bottom w:w="0" w:type="dxa"/>
            <w:right w:w="108" w:type="dxa"/>
          </w:tblCellMar>
        </w:tblPrEx>
        <w:trPr>
          <w:trHeight w:val="66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项目完成指标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数量指标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法律顾问费</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4万元/年</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已完成</w:t>
            </w:r>
          </w:p>
        </w:tc>
      </w:tr>
      <w:tr>
        <w:tblPrEx>
          <w:tblCellMar>
            <w:top w:w="0" w:type="dxa"/>
            <w:left w:w="108" w:type="dxa"/>
            <w:bottom w:w="0" w:type="dxa"/>
            <w:right w:w="108" w:type="dxa"/>
          </w:tblCellMar>
        </w:tblPrEx>
        <w:trPr>
          <w:trHeight w:val="1039"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不动产责任保险202</w:t>
            </w:r>
            <w:r>
              <w:rPr>
                <w:rFonts w:hint="eastAsia" w:ascii="宋体" w:hAnsi="宋体" w:cs="宋体"/>
                <w:kern w:val="0"/>
                <w:sz w:val="21"/>
                <w:szCs w:val="21"/>
                <w:lang w:eastAsia="zh-CN"/>
              </w:rPr>
              <w:t>2</w:t>
            </w:r>
            <w:r>
              <w:rPr>
                <w:rFonts w:hint="eastAsia" w:ascii="宋体" w:hAnsi="宋体" w:cs="宋体"/>
                <w:kern w:val="0"/>
                <w:sz w:val="21"/>
                <w:szCs w:val="21"/>
              </w:rPr>
              <w:t>年1月-202</w:t>
            </w:r>
            <w:r>
              <w:rPr>
                <w:rFonts w:hint="eastAsia" w:ascii="宋体" w:hAnsi="宋体" w:cs="宋体"/>
                <w:kern w:val="0"/>
                <w:sz w:val="21"/>
                <w:szCs w:val="21"/>
                <w:lang w:eastAsia="zh-CN"/>
              </w:rPr>
              <w:t>2</w:t>
            </w:r>
            <w:r>
              <w:rPr>
                <w:rFonts w:hint="eastAsia" w:ascii="宋体" w:hAnsi="宋体" w:cs="宋体"/>
                <w:kern w:val="0"/>
                <w:sz w:val="21"/>
                <w:szCs w:val="21"/>
              </w:rPr>
              <w:t>年12月</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8万元/年</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按合同价支付</w:t>
            </w:r>
          </w:p>
        </w:tc>
      </w:tr>
      <w:tr>
        <w:tblPrEx>
          <w:tblCellMar>
            <w:top w:w="0" w:type="dxa"/>
            <w:left w:w="108" w:type="dxa"/>
            <w:bottom w:w="0" w:type="dxa"/>
            <w:right w:w="108" w:type="dxa"/>
          </w:tblCellMar>
        </w:tblPrEx>
        <w:trPr>
          <w:trHeight w:val="72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办理7万本不动产产权证书发放</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15万元/年</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按实际使用量采购</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房屋面积</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约4000平方米</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按合同价支付</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02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质量指标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行政诉讼等纠纷减少，7万本准确无误发放，统一办公</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≥95%</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≥95%</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时效指标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完成时间</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2021年12月前</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2021年12月前</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935"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成本指标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房屋租金、物管及消防安保费不动产产权证书资料费、法律顾问费、不动产责任保险工作经费</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120万元</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120万元</w:t>
            </w:r>
          </w:p>
        </w:tc>
      </w:tr>
      <w:tr>
        <w:tblPrEx>
          <w:tblCellMar>
            <w:top w:w="0" w:type="dxa"/>
            <w:left w:w="108" w:type="dxa"/>
            <w:bottom w:w="0" w:type="dxa"/>
            <w:right w:w="108" w:type="dxa"/>
          </w:tblCellMar>
        </w:tblPrEx>
        <w:trPr>
          <w:trHeight w:val="635"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95"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558"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75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82"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项目效果指标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1302"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对房屋产权明确，对工作的促进作用</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房屋产权明确，减少纠纷和合法化提前规避法律范围存在的隐患，办公场所统一，方便办事群众</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房屋产权明确，减少纠纷和合法化提前规避法律范围存在的隐患，办公场所统一，方便办事群众</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96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抵押贷款，法律顾问使用年限、不动产责任保险</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≥40-70年（以登记证为准）保险律师费≥1年</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≥40-70年（以登记证为准）保险律师费≥1年</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7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满意度指标</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登记证发放管理部门满意度</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≥95%</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≥95%</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登记证使用者满意度</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≥95%</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≥95%</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480" w:hRule="atLeast"/>
        </w:trPr>
        <w:tc>
          <w:tcPr>
            <w:tcW w:w="9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9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cs="宋体"/>
                <w:kern w:val="0"/>
                <w:sz w:val="21"/>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w:t>
            </w:r>
          </w:p>
        </w:tc>
        <w:tc>
          <w:tcPr>
            <w:tcW w:w="26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c>
          <w:tcPr>
            <w:tcW w:w="16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cs="宋体"/>
                <w:kern w:val="0"/>
                <w:sz w:val="21"/>
                <w:szCs w:val="21"/>
              </w:rPr>
            </w:pPr>
            <w:r>
              <w:rPr>
                <w:rFonts w:hint="eastAsia" w:ascii="宋体" w:hAnsi="宋体" w:cs="宋体"/>
                <w:kern w:val="0"/>
                <w:sz w:val="21"/>
                <w:szCs w:val="21"/>
              </w:rPr>
              <w:t>　</w:t>
            </w:r>
          </w:p>
        </w:tc>
        <w:tc>
          <w:tcPr>
            <w:tcW w:w="16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840" w:hRule="atLeast"/>
        </w:trPr>
        <w:tc>
          <w:tcPr>
            <w:tcW w:w="8928" w:type="dxa"/>
            <w:gridSpan w:val="9"/>
            <w:tcBorders>
              <w:top w:val="single" w:color="auto" w:sz="4" w:space="0"/>
              <w:left w:val="nil"/>
              <w:bottom w:val="nil"/>
              <w:right w:val="nil"/>
            </w:tcBorders>
            <w:shd w:val="clear" w:color="auto" w:fill="auto"/>
            <w:vAlign w:val="center"/>
          </w:tcPr>
          <w:p>
            <w:pPr>
              <w:widowControl/>
              <w:spacing w:line="280" w:lineRule="exact"/>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spacing w:line="240" w:lineRule="auto"/>
        <w:jc w:val="left"/>
        <w:outlineLvl w:val="9"/>
        <w:rPr>
          <w:rFonts w:hint="eastAsia" w:ascii="宋体" w:hAnsi="宋体" w:cs="宋体"/>
          <w:b/>
          <w:bCs/>
          <w:kern w:val="0"/>
          <w:sz w:val="32"/>
          <w:szCs w:val="32"/>
        </w:rPr>
      </w:pPr>
      <w:r>
        <w:rPr>
          <w:rFonts w:hint="eastAsia" w:ascii="宋体" w:hAnsi="宋体" w:cs="宋体"/>
          <w:b/>
          <w:bCs/>
          <w:kern w:val="0"/>
          <w:sz w:val="32"/>
          <w:szCs w:val="32"/>
        </w:rPr>
        <w:br w:type="page"/>
      </w:r>
    </w:p>
    <w:p>
      <w:pPr>
        <w:pStyle w:val="2"/>
        <w:spacing w:line="576" w:lineRule="exact"/>
        <w:jc w:val="center"/>
        <w:outlineLvl w:val="0"/>
        <w:rPr>
          <w:rFonts w:hint="eastAsia" w:ascii="方正小标宋_GBK" w:hAnsi="方正小标宋_GBK" w:eastAsia="方正小标宋_GBK" w:cs="方正小标宋_GBK"/>
          <w:b w:val="0"/>
          <w:bCs w:val="0"/>
          <w:kern w:val="0"/>
          <w:sz w:val="44"/>
          <w:szCs w:val="44"/>
        </w:rPr>
      </w:pPr>
    </w:p>
    <w:p>
      <w:pPr>
        <w:pStyle w:val="2"/>
        <w:spacing w:line="576" w:lineRule="exact"/>
        <w:jc w:val="center"/>
        <w:outlineLvl w:val="0"/>
        <w:rPr>
          <w:rFonts w:hint="eastAsia" w:ascii="方正小标宋_GBK" w:hAnsi="方正小标宋_GBK" w:eastAsia="方正小标宋_GBK" w:cs="方正小标宋_GBK"/>
          <w:b w:val="0"/>
          <w:bCs w:val="0"/>
          <w:kern w:val="0"/>
          <w:sz w:val="44"/>
          <w:szCs w:val="44"/>
        </w:rPr>
      </w:pPr>
      <w:bookmarkStart w:id="117" w:name="_Toc29758"/>
      <w:r>
        <w:rPr>
          <w:rFonts w:hint="eastAsia" w:ascii="方正小标宋_GBK" w:hAnsi="方正小标宋_GBK" w:eastAsia="方正小标宋_GBK" w:cs="方正小标宋_GBK"/>
          <w:b w:val="0"/>
          <w:bCs w:val="0"/>
          <w:kern w:val="0"/>
          <w:sz w:val="44"/>
          <w:szCs w:val="44"/>
        </w:rPr>
        <w:t>项目支出绩效目标自评表</w:t>
      </w:r>
      <w:bookmarkEnd w:id="117"/>
    </w:p>
    <w:p>
      <w:pPr>
        <w:pStyle w:val="2"/>
        <w:jc w:val="center"/>
        <w:rPr>
          <w:rFonts w:hint="eastAsia" w:ascii="宋体" w:hAnsi="宋体" w:cs="宋体"/>
          <w:kern w:val="0"/>
          <w:sz w:val="21"/>
          <w:szCs w:val="21"/>
        </w:rPr>
      </w:pPr>
      <w:r>
        <w:rPr>
          <w:rFonts w:hint="eastAsia" w:ascii="宋体" w:hAnsi="宋体" w:cs="宋体"/>
          <w:kern w:val="0"/>
          <w:sz w:val="21"/>
          <w:szCs w:val="21"/>
        </w:rPr>
        <w:t>（2021年度）</w:t>
      </w:r>
    </w:p>
    <w:p>
      <w:pPr>
        <w:pStyle w:val="2"/>
        <w:rPr>
          <w:rFonts w:hint="eastAsia" w:ascii="宋体" w:hAnsi="宋体" w:cs="宋体"/>
          <w:kern w:val="0"/>
          <w:sz w:val="21"/>
          <w:szCs w:val="21"/>
        </w:rPr>
      </w:pPr>
      <w:r>
        <w:rPr>
          <w:rFonts w:hint="eastAsia" w:ascii="宋体" w:hAnsi="宋体" w:cs="宋体"/>
          <w:kern w:val="0"/>
          <w:sz w:val="21"/>
          <w:szCs w:val="21"/>
        </w:rPr>
        <w:t>注：项目支出包括部门预算支出和专项预算支出</w:t>
      </w:r>
    </w:p>
    <w:tbl>
      <w:tblPr>
        <w:tblStyle w:val="13"/>
        <w:tblW w:w="92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12"/>
        <w:gridCol w:w="781"/>
        <w:gridCol w:w="535"/>
        <w:gridCol w:w="1093"/>
        <w:gridCol w:w="1807"/>
        <w:gridCol w:w="46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260"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项目名称</w:t>
            </w:r>
          </w:p>
        </w:tc>
        <w:tc>
          <w:tcPr>
            <w:tcW w:w="5960" w:type="dxa"/>
            <w:gridSpan w:val="5"/>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不动产档案登记打印纸及耗材采购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260"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预算单位</w:t>
            </w:r>
          </w:p>
        </w:tc>
        <w:tc>
          <w:tcPr>
            <w:tcW w:w="5960" w:type="dxa"/>
            <w:gridSpan w:val="5"/>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广元市不动产登记中心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7"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1993"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预算数：</w:t>
            </w:r>
          </w:p>
        </w:tc>
        <w:tc>
          <w:tcPr>
            <w:tcW w:w="1628"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5万元</w:t>
            </w:r>
          </w:p>
        </w:tc>
        <w:tc>
          <w:tcPr>
            <w:tcW w:w="2272"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执行数：</w:t>
            </w:r>
          </w:p>
        </w:tc>
        <w:tc>
          <w:tcPr>
            <w:tcW w:w="2060"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7" w:type="dxa"/>
            <w:vMerge w:val="continue"/>
            <w:vAlign w:val="center"/>
          </w:tcPr>
          <w:p>
            <w:pPr>
              <w:widowControl/>
              <w:jc w:val="center"/>
              <w:rPr>
                <w:rFonts w:ascii="宋体" w:hAnsi="宋体" w:cs="宋体"/>
                <w:kern w:val="0"/>
                <w:sz w:val="21"/>
                <w:szCs w:val="21"/>
              </w:rPr>
            </w:pPr>
          </w:p>
        </w:tc>
        <w:tc>
          <w:tcPr>
            <w:tcW w:w="1993"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1628"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5万元</w:t>
            </w:r>
          </w:p>
        </w:tc>
        <w:tc>
          <w:tcPr>
            <w:tcW w:w="2272"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其中：财政拨款</w:t>
            </w:r>
          </w:p>
        </w:tc>
        <w:tc>
          <w:tcPr>
            <w:tcW w:w="2060"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67" w:type="dxa"/>
            <w:vMerge w:val="continue"/>
            <w:vAlign w:val="center"/>
          </w:tcPr>
          <w:p>
            <w:pPr>
              <w:widowControl/>
              <w:jc w:val="center"/>
              <w:rPr>
                <w:rFonts w:ascii="宋体" w:hAnsi="宋体" w:cs="宋体"/>
                <w:kern w:val="0"/>
                <w:sz w:val="21"/>
                <w:szCs w:val="21"/>
              </w:rPr>
            </w:pPr>
          </w:p>
        </w:tc>
        <w:tc>
          <w:tcPr>
            <w:tcW w:w="1993"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1628" w:type="dxa"/>
            <w:gridSpan w:val="2"/>
            <w:shd w:val="clear" w:color="auto" w:fill="auto"/>
            <w:vAlign w:val="center"/>
          </w:tcPr>
          <w:p>
            <w:pPr>
              <w:widowControl/>
              <w:jc w:val="center"/>
              <w:rPr>
                <w:rFonts w:ascii="宋体" w:hAnsi="宋体" w:cs="宋体"/>
                <w:kern w:val="0"/>
                <w:sz w:val="21"/>
                <w:szCs w:val="21"/>
              </w:rPr>
            </w:pPr>
          </w:p>
        </w:tc>
        <w:tc>
          <w:tcPr>
            <w:tcW w:w="2272"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其他资金</w:t>
            </w:r>
          </w:p>
        </w:tc>
        <w:tc>
          <w:tcPr>
            <w:tcW w:w="2060" w:type="dxa"/>
            <w:shd w:val="clear" w:color="auto" w:fill="auto"/>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67"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3621" w:type="dxa"/>
            <w:gridSpan w:val="4"/>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预期目标</w:t>
            </w:r>
          </w:p>
        </w:tc>
        <w:tc>
          <w:tcPr>
            <w:tcW w:w="4332" w:type="dxa"/>
            <w:gridSpan w:val="3"/>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267" w:type="dxa"/>
            <w:vMerge w:val="continue"/>
            <w:vAlign w:val="center"/>
          </w:tcPr>
          <w:p>
            <w:pPr>
              <w:widowControl/>
              <w:jc w:val="left"/>
              <w:rPr>
                <w:rFonts w:ascii="宋体" w:hAnsi="宋体" w:cs="宋体"/>
                <w:kern w:val="0"/>
                <w:sz w:val="21"/>
                <w:szCs w:val="21"/>
              </w:rPr>
            </w:pPr>
          </w:p>
        </w:tc>
        <w:tc>
          <w:tcPr>
            <w:tcW w:w="3621" w:type="dxa"/>
            <w:gridSpan w:val="4"/>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2021年不动产登记中心细化各环节办件流程、缩短办事时限，为提高工作效率，我单位必须保障不动产登记办公耗材的采购。</w:t>
            </w:r>
          </w:p>
        </w:tc>
        <w:tc>
          <w:tcPr>
            <w:tcW w:w="4332" w:type="dxa"/>
            <w:gridSpan w:val="3"/>
            <w:shd w:val="clear" w:color="auto" w:fill="auto"/>
          </w:tcPr>
          <w:p>
            <w:pPr>
              <w:widowControl/>
              <w:jc w:val="left"/>
              <w:rPr>
                <w:rFonts w:ascii="宋体" w:hAnsi="宋体" w:cs="宋体"/>
                <w:kern w:val="0"/>
                <w:sz w:val="21"/>
                <w:szCs w:val="21"/>
              </w:rPr>
            </w:pPr>
            <w:r>
              <w:rPr>
                <w:rFonts w:hint="eastAsia" w:ascii="宋体" w:hAnsi="宋体" w:cs="宋体"/>
                <w:kern w:val="0"/>
                <w:sz w:val="21"/>
                <w:szCs w:val="21"/>
              </w:rPr>
              <w:t>2021年不动产登记中心细化各环节办件流程、缩短办事时限，为提高工作效率，我单位必须保障不动产登记办公耗材的采购。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67"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1212"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一级指标</w:t>
            </w:r>
          </w:p>
        </w:tc>
        <w:tc>
          <w:tcPr>
            <w:tcW w:w="1316"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二级指标</w:t>
            </w: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三级指标</w:t>
            </w:r>
          </w:p>
        </w:tc>
        <w:tc>
          <w:tcPr>
            <w:tcW w:w="1807"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预期指标值（包含数字及文字描述）</w:t>
            </w:r>
          </w:p>
        </w:tc>
        <w:tc>
          <w:tcPr>
            <w:tcW w:w="25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267" w:type="dxa"/>
            <w:vMerge w:val="continue"/>
            <w:vAlign w:val="center"/>
          </w:tcPr>
          <w:p>
            <w:pPr>
              <w:widowControl/>
              <w:jc w:val="left"/>
              <w:rPr>
                <w:rFonts w:ascii="宋体" w:hAnsi="宋体" w:cs="宋体"/>
                <w:kern w:val="0"/>
                <w:sz w:val="21"/>
                <w:szCs w:val="21"/>
              </w:rPr>
            </w:pPr>
          </w:p>
        </w:tc>
        <w:tc>
          <w:tcPr>
            <w:tcW w:w="1212"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项目完成指标</w:t>
            </w: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数量指标</w:t>
            </w: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复印纸</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为办事群众复印档案、提供自助打印查询证明、打印业务受理号、复印受理资料、打印不动产表册图纸等，以及近50名工作人员日常办文办公，需用纸合计5万元</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为办事群众复印档案、提供自助打印查询证明、打印业务受理号、复印受理资料、打印不动产表册图纸等，以及近50名工作人员日常办文办公，需用纸合计5万元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质量指标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国家标准</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按国家标准执行</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按国家标准执行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时效指标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日常性</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日常业务工作必备及耗材</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日常业务工作必备及耗材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成本指标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复印纸</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180元/盒1盒/天*300天=5.4万元。</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实际采购5万元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项目效果指标</w:t>
            </w: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落实不动产登记统一制度</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为不动产登记开展便利便民服务提供基础支撑。</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为不动产登记开展便利便民服务提供基础支撑。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提供便民利民服务</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方便企业和群众办事创造便利条件。</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方便企业和群众办事创造便利条件。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316" w:type="dxa"/>
            <w:gridSpan w:val="2"/>
            <w:vMerge w:val="restart"/>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满意度指标</w:t>
            </w: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人民群众</w:t>
            </w:r>
          </w:p>
        </w:tc>
        <w:tc>
          <w:tcPr>
            <w:tcW w:w="1807"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c>
          <w:tcPr>
            <w:tcW w:w="25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政府和企事业团体</w:t>
            </w:r>
          </w:p>
        </w:tc>
        <w:tc>
          <w:tcPr>
            <w:tcW w:w="1807"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c>
          <w:tcPr>
            <w:tcW w:w="2525" w:type="dxa"/>
            <w:gridSpan w:val="2"/>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7" w:type="dxa"/>
            <w:vMerge w:val="continue"/>
            <w:vAlign w:val="center"/>
          </w:tcPr>
          <w:p>
            <w:pPr>
              <w:widowControl/>
              <w:jc w:val="left"/>
              <w:rPr>
                <w:rFonts w:ascii="宋体" w:hAnsi="宋体" w:cs="宋体"/>
                <w:kern w:val="0"/>
                <w:sz w:val="21"/>
                <w:szCs w:val="21"/>
              </w:rPr>
            </w:pPr>
          </w:p>
        </w:tc>
        <w:tc>
          <w:tcPr>
            <w:tcW w:w="1212" w:type="dxa"/>
            <w:vMerge w:val="continue"/>
            <w:vAlign w:val="center"/>
          </w:tcPr>
          <w:p>
            <w:pPr>
              <w:widowControl/>
              <w:jc w:val="left"/>
              <w:rPr>
                <w:rFonts w:ascii="宋体" w:hAnsi="宋体" w:cs="宋体"/>
                <w:kern w:val="0"/>
                <w:sz w:val="21"/>
                <w:szCs w:val="21"/>
              </w:rPr>
            </w:pPr>
          </w:p>
        </w:tc>
        <w:tc>
          <w:tcPr>
            <w:tcW w:w="1316" w:type="dxa"/>
            <w:gridSpan w:val="2"/>
            <w:vMerge w:val="continue"/>
            <w:vAlign w:val="center"/>
          </w:tcPr>
          <w:p>
            <w:pPr>
              <w:widowControl/>
              <w:jc w:val="left"/>
              <w:rPr>
                <w:rFonts w:ascii="宋体" w:hAnsi="宋体" w:cs="宋体"/>
                <w:kern w:val="0"/>
                <w:sz w:val="21"/>
                <w:szCs w:val="21"/>
              </w:rPr>
            </w:pPr>
          </w:p>
        </w:tc>
        <w:tc>
          <w:tcPr>
            <w:tcW w:w="1093" w:type="dxa"/>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07" w:type="dxa"/>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　</w:t>
            </w:r>
          </w:p>
        </w:tc>
        <w:tc>
          <w:tcPr>
            <w:tcW w:w="2525" w:type="dxa"/>
            <w:gridSpan w:val="2"/>
            <w:shd w:val="clear" w:color="auto" w:fill="auto"/>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20" w:type="dxa"/>
            <w:gridSpan w:val="8"/>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pStyle w:val="2"/>
      </w:pPr>
    </w:p>
    <w:p>
      <w:pPr>
        <w:pStyle w:val="2"/>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kern w:val="0"/>
          <w:sz w:val="44"/>
          <w:szCs w:val="44"/>
        </w:rPr>
        <w:t>项目支出绩效目标自评表</w:t>
      </w:r>
    </w:p>
    <w:p>
      <w:pPr>
        <w:pStyle w:val="2"/>
        <w:spacing w:line="300" w:lineRule="exact"/>
        <w:jc w:val="center"/>
        <w:rPr>
          <w:rFonts w:hint="eastAsia" w:ascii="宋体" w:hAnsi="宋体" w:cs="宋体"/>
          <w:kern w:val="0"/>
          <w:sz w:val="21"/>
          <w:szCs w:val="21"/>
        </w:rPr>
      </w:pPr>
      <w:r>
        <w:rPr>
          <w:rFonts w:hint="eastAsia" w:ascii="宋体" w:hAnsi="宋体" w:cs="宋体"/>
          <w:kern w:val="0"/>
          <w:sz w:val="21"/>
          <w:szCs w:val="21"/>
        </w:rPr>
        <w:t>（2021年度）</w:t>
      </w:r>
    </w:p>
    <w:tbl>
      <w:tblPr>
        <w:tblStyle w:val="13"/>
        <w:tblW w:w="882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21"/>
        <w:gridCol w:w="836"/>
        <w:gridCol w:w="253"/>
        <w:gridCol w:w="947"/>
        <w:gridCol w:w="875"/>
        <w:gridCol w:w="1200"/>
        <w:gridCol w:w="1354"/>
        <w:gridCol w:w="14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34" w:type="dxa"/>
            <w:gridSpan w:val="4"/>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项目名称</w:t>
            </w:r>
          </w:p>
        </w:tc>
        <w:tc>
          <w:tcPr>
            <w:tcW w:w="5893" w:type="dxa"/>
            <w:gridSpan w:val="6"/>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档案馆、机房日常运维费及不动产登记系统数据库运维费及相关工作经费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34" w:type="dxa"/>
            <w:gridSpan w:val="4"/>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预算单位</w:t>
            </w:r>
          </w:p>
        </w:tc>
        <w:tc>
          <w:tcPr>
            <w:tcW w:w="5893" w:type="dxa"/>
            <w:gridSpan w:val="6"/>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广元市不动产登记中心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4"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2010"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预算数：</w:t>
            </w:r>
          </w:p>
        </w:tc>
        <w:tc>
          <w:tcPr>
            <w:tcW w:w="1822"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80万元</w:t>
            </w:r>
          </w:p>
        </w:tc>
        <w:tc>
          <w:tcPr>
            <w:tcW w:w="2700"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执行数：</w:t>
            </w:r>
          </w:p>
        </w:tc>
        <w:tc>
          <w:tcPr>
            <w:tcW w:w="1371" w:type="dxa"/>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67.7万元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4" w:type="dxa"/>
            <w:vMerge w:val="continue"/>
            <w:vAlign w:val="center"/>
          </w:tcPr>
          <w:p>
            <w:pPr>
              <w:widowControl/>
              <w:spacing w:line="300" w:lineRule="exact"/>
              <w:jc w:val="center"/>
              <w:rPr>
                <w:rFonts w:ascii="宋体" w:hAnsi="宋体" w:cs="宋体"/>
                <w:kern w:val="0"/>
                <w:sz w:val="21"/>
                <w:szCs w:val="21"/>
              </w:rPr>
            </w:pPr>
          </w:p>
        </w:tc>
        <w:tc>
          <w:tcPr>
            <w:tcW w:w="2010"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其中：财政拨款</w:t>
            </w:r>
          </w:p>
        </w:tc>
        <w:tc>
          <w:tcPr>
            <w:tcW w:w="1822"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80万元</w:t>
            </w:r>
          </w:p>
        </w:tc>
        <w:tc>
          <w:tcPr>
            <w:tcW w:w="2700"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其中：财政拨款</w:t>
            </w:r>
          </w:p>
        </w:tc>
        <w:tc>
          <w:tcPr>
            <w:tcW w:w="1371" w:type="dxa"/>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67.7万元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4" w:type="dxa"/>
            <w:vMerge w:val="continue"/>
            <w:vAlign w:val="center"/>
          </w:tcPr>
          <w:p>
            <w:pPr>
              <w:widowControl/>
              <w:spacing w:line="300" w:lineRule="exact"/>
              <w:jc w:val="center"/>
              <w:rPr>
                <w:rFonts w:ascii="宋体" w:hAnsi="宋体" w:cs="宋体"/>
                <w:kern w:val="0"/>
                <w:sz w:val="21"/>
                <w:szCs w:val="21"/>
              </w:rPr>
            </w:pPr>
          </w:p>
        </w:tc>
        <w:tc>
          <w:tcPr>
            <w:tcW w:w="2010"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其他资金</w:t>
            </w:r>
          </w:p>
        </w:tc>
        <w:tc>
          <w:tcPr>
            <w:tcW w:w="1822" w:type="dxa"/>
            <w:gridSpan w:val="2"/>
            <w:shd w:val="clear" w:color="auto" w:fill="auto"/>
            <w:vAlign w:val="center"/>
          </w:tcPr>
          <w:p>
            <w:pPr>
              <w:widowControl/>
              <w:spacing w:line="300" w:lineRule="exact"/>
              <w:jc w:val="center"/>
              <w:rPr>
                <w:rFonts w:ascii="宋体" w:hAnsi="宋体" w:cs="宋体"/>
                <w:kern w:val="0"/>
                <w:sz w:val="21"/>
                <w:szCs w:val="21"/>
              </w:rPr>
            </w:pPr>
          </w:p>
        </w:tc>
        <w:tc>
          <w:tcPr>
            <w:tcW w:w="2700"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其他资金</w:t>
            </w:r>
          </w:p>
        </w:tc>
        <w:tc>
          <w:tcPr>
            <w:tcW w:w="1371" w:type="dxa"/>
            <w:shd w:val="clear" w:color="auto" w:fill="auto"/>
            <w:vAlign w:val="center"/>
          </w:tcPr>
          <w:p>
            <w:pPr>
              <w:widowControl/>
              <w:spacing w:line="300" w:lineRule="exact"/>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24"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5032" w:type="dxa"/>
            <w:gridSpan w:val="6"/>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预期目标</w:t>
            </w:r>
          </w:p>
        </w:tc>
        <w:tc>
          <w:tcPr>
            <w:tcW w:w="2871"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5"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5032" w:type="dxa"/>
            <w:gridSpan w:val="6"/>
            <w:shd w:val="clear" w:color="auto" w:fill="auto"/>
          </w:tcPr>
          <w:p>
            <w:pPr>
              <w:widowControl/>
              <w:spacing w:line="300" w:lineRule="exact"/>
              <w:jc w:val="left"/>
              <w:rPr>
                <w:rFonts w:ascii="宋体" w:hAnsi="宋体" w:cs="宋体"/>
                <w:kern w:val="0"/>
                <w:sz w:val="21"/>
                <w:szCs w:val="21"/>
              </w:rPr>
            </w:pPr>
            <w:r>
              <w:rPr>
                <w:rFonts w:hint="eastAsia" w:ascii="宋体" w:hAnsi="宋体" w:cs="宋体"/>
                <w:kern w:val="0"/>
                <w:sz w:val="21"/>
                <w:szCs w:val="21"/>
              </w:rPr>
              <w:t>落实《物权法》、《不动产登记暂行条例》有关不动产登记四统一制度要求，市不动产登记中心目前档案馆库区超过3000平方米，保管着市本级所有房产、土地等不动产权纸张档案和数字化成果，同时也保管全市四县三区所有不动产登记电子数据，为全市不动产登记数据中心，库区和机房场地均需恒温恒湿，24小时不断电供电，同时还必须具有其他专业的安全防护措施，才能顺利保障全市不动产登记业务开展。保障市本级日常不动产登记业务正常开展，还必须有互联网、主干网网络保障接入到省厅和广元市政务云平台，为群众办理业务</w:t>
            </w:r>
            <w:r>
              <w:rPr>
                <w:rFonts w:hint="eastAsia" w:ascii="宋体" w:hAnsi="宋体" w:cs="宋体"/>
                <w:kern w:val="0"/>
                <w:sz w:val="21"/>
                <w:szCs w:val="21"/>
                <w:lang w:eastAsia="zh-CN"/>
              </w:rPr>
              <w:t>需要</w:t>
            </w:r>
            <w:r>
              <w:rPr>
                <w:rFonts w:hint="eastAsia" w:ascii="宋体" w:hAnsi="宋体" w:cs="宋体"/>
                <w:kern w:val="0"/>
                <w:sz w:val="21"/>
                <w:szCs w:val="21"/>
              </w:rPr>
              <w:t>免费为其打印证书、证明和复印档案资料，每个业务办件需要归档装袋和整理装订上架。不动产登记信息平台统一必须有专业技术团队保障，包括系统维护、数据库维护和功能升级更新等。一、水电费：5个库区和全市不动产登记数据中心机房的空调、除湿机、新风系统等设备需要24小时不断电运转，以及日常正常办公设备、宣传大屏、电脑、打印机等设备用电以及办公场所用水量总计综合测算约25.58万。二、网络租用费用：50M互联网光纤租赁8350元/月（合同价格）；10M国土主干网租赁费用1050元/月（合同价格），合计11.28万。三、2021年新增不动产档案消毒费用约6万元。四、办公耗材费：1、档案室：档案袋1.8/个（政府采购合同价）*3.8万个（2020年办件量）= 6.84万元。牛皮纸1元/张（政府采购合同价）*3.8万个= 3.8万元。2、鼓盒、粉盒、色带等其他办公辅助耗材全年约8万。合计18.64万元。五、机房及软件维护费用：1、机房日常维护费用，包括精密空调耗材、其他易损电子设备更换费用3万元/年、上年度增加数据存储模块尾款1.5万元；2、软件维护费用：不动产登记信息平台由专业技术团队现场派驻技术服务人员保障，包括系统维护、数据库维护和功能升级更新等，维护费用14万/年。合计18.5万元。</w:t>
            </w:r>
            <w:r>
              <w:rPr>
                <w:rFonts w:hint="eastAsia" w:ascii="宋体" w:hAnsi="宋体" w:cs="宋体"/>
                <w:kern w:val="0"/>
                <w:sz w:val="21"/>
                <w:szCs w:val="21"/>
              </w:rPr>
              <w:br w:type="textWrapping"/>
            </w:r>
            <w:r>
              <w:rPr>
                <w:rFonts w:hint="eastAsia" w:ascii="宋体" w:hAnsi="宋体" w:cs="宋体"/>
                <w:kern w:val="0"/>
                <w:sz w:val="21"/>
                <w:szCs w:val="21"/>
              </w:rPr>
              <w:t>总计：80万元</w:t>
            </w:r>
          </w:p>
        </w:tc>
        <w:tc>
          <w:tcPr>
            <w:tcW w:w="2871" w:type="dxa"/>
            <w:gridSpan w:val="3"/>
            <w:shd w:val="clear" w:color="auto" w:fill="auto"/>
          </w:tcPr>
          <w:p>
            <w:pPr>
              <w:widowControl/>
              <w:spacing w:line="300" w:lineRule="exact"/>
              <w:jc w:val="left"/>
              <w:rPr>
                <w:rFonts w:ascii="宋体" w:hAnsi="宋体" w:cs="宋体"/>
                <w:kern w:val="0"/>
                <w:sz w:val="21"/>
                <w:szCs w:val="21"/>
              </w:rPr>
            </w:pPr>
            <w:r>
              <w:rPr>
                <w:rFonts w:hint="eastAsia" w:ascii="宋体" w:hAnsi="宋体" w:cs="宋体"/>
                <w:kern w:val="0"/>
                <w:sz w:val="21"/>
                <w:szCs w:val="21"/>
              </w:rPr>
              <w:t>落实《物权法》、《不动产登记暂行条例》有关不动产登记四统一制度要求，市不动产登记中心目前档案馆库区超过3000平方米，保管着市本级所有房产、土地等不动产权纸张档案和数字化成果，同时也保管全市四县三区所有不动产登记电子数据，为全市不动产登记数据中心，库区和机房场地均需恒温恒湿，24小时不断电供电，同时还必须具有其他专业的安全防护措施，才能顺利保障全市不动产登记业务开展。保障市本级日常不动产登记业务正常开展，还必须有互联网、主干网网络保障接入到省厅和广元市政务云平台，为群众办理业务</w:t>
            </w:r>
            <w:r>
              <w:rPr>
                <w:rFonts w:hint="eastAsia" w:ascii="宋体" w:hAnsi="宋体" w:cs="宋体"/>
                <w:kern w:val="0"/>
                <w:sz w:val="21"/>
                <w:szCs w:val="21"/>
                <w:lang w:eastAsia="zh-CN"/>
              </w:rPr>
              <w:t>需要</w:t>
            </w:r>
            <w:r>
              <w:rPr>
                <w:rFonts w:hint="eastAsia" w:ascii="宋体" w:hAnsi="宋体" w:cs="宋体"/>
                <w:kern w:val="0"/>
                <w:sz w:val="21"/>
                <w:szCs w:val="21"/>
              </w:rPr>
              <w:t>免费为其打印证书、证明和复印档案资料，每个业务办件需要归档装袋和整理装订上架。不动产登记信息平台统一必须有专业技术团队保障，包括系统维护、数据库维护和功能升级更新等。一、水电费：5个库区和全市不动产登记数据中心机房的空调、除湿机、新风系统等设备需要24小时不断电运转，以及日常正常办公设备、宣传大屏、电脑、打印机等设备用电以及办公场所用水量总计综合测算约25.58万。二、网络租用费用：50M互联网光纤租赁8350元/月（合同价格）；10M国土主干网租赁费用1050元/月（合同价格），合计11.28万。三、2021年新增不动产档案消毒费用约6万元。四、办公耗材费：1、档案室：档案袋1.8/个（政府采购合同价）*3.8万个（2020年办件量）= 6.84万元。牛皮纸1元/张（政府采购合同价）*3.8万个= 3.8万元。2、鼓盒、粉盒、色带等其他办公辅助耗材全年约8万。合计18.64万元。五、机房及软件维护费用：1、机房日常维护费用，包括精密空调耗材、其他易损电子设备更换费用3万元/年、上年度增加数据存储模块尾款1.5万元；2、软件维护费用：不动产登记信息平台由专业技术团队现场派驻技术服务人员保障，包括系统维护、数据库维护和功能升级更新等，维护费用14万/年。合计18.5万元。</w:t>
            </w:r>
            <w:r>
              <w:rPr>
                <w:rFonts w:hint="eastAsia" w:ascii="宋体" w:hAnsi="宋体" w:cs="宋体"/>
                <w:kern w:val="0"/>
                <w:sz w:val="21"/>
                <w:szCs w:val="21"/>
              </w:rPr>
              <w:br w:type="textWrapping"/>
            </w:r>
            <w:r>
              <w:rPr>
                <w:rFonts w:hint="eastAsia" w:ascii="宋体" w:hAnsi="宋体" w:cs="宋体"/>
                <w:kern w:val="0"/>
                <w:sz w:val="21"/>
                <w:szCs w:val="21"/>
              </w:rPr>
              <w:t>总计：80万元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4"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921" w:type="dxa"/>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一级指标</w:t>
            </w:r>
          </w:p>
        </w:tc>
        <w:tc>
          <w:tcPr>
            <w:tcW w:w="836" w:type="dxa"/>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二级指标</w:t>
            </w:r>
          </w:p>
        </w:tc>
        <w:tc>
          <w:tcPr>
            <w:tcW w:w="1200" w:type="dxa"/>
            <w:gridSpan w:val="2"/>
            <w:shd w:val="clear" w:color="auto" w:fill="auto"/>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三级</w:t>
            </w:r>
          </w:p>
          <w:p>
            <w:pPr>
              <w:widowControl/>
              <w:spacing w:line="300" w:lineRule="exact"/>
              <w:jc w:val="center"/>
              <w:rPr>
                <w:rFonts w:ascii="宋体" w:hAnsi="宋体" w:cs="宋体"/>
                <w:kern w:val="0"/>
                <w:sz w:val="21"/>
                <w:szCs w:val="21"/>
              </w:rPr>
            </w:pPr>
            <w:r>
              <w:rPr>
                <w:rFonts w:hint="eastAsia" w:ascii="宋体" w:hAnsi="宋体" w:cs="宋体"/>
                <w:kern w:val="0"/>
                <w:sz w:val="21"/>
                <w:szCs w:val="21"/>
              </w:rPr>
              <w:t>指标</w:t>
            </w:r>
          </w:p>
        </w:tc>
        <w:tc>
          <w:tcPr>
            <w:tcW w:w="3429" w:type="dxa"/>
            <w:gridSpan w:val="3"/>
            <w:shd w:val="clear" w:color="auto" w:fill="auto"/>
            <w:vAlign w:val="center"/>
          </w:tcPr>
          <w:p>
            <w:pPr>
              <w:widowControl/>
              <w:spacing w:line="300" w:lineRule="exact"/>
              <w:jc w:val="center"/>
              <w:rPr>
                <w:rFonts w:hint="eastAsia" w:ascii="宋体" w:hAnsi="宋体" w:cs="宋体"/>
                <w:kern w:val="0"/>
                <w:sz w:val="21"/>
                <w:szCs w:val="21"/>
              </w:rPr>
            </w:pPr>
            <w:r>
              <w:rPr>
                <w:rFonts w:hint="eastAsia" w:ascii="宋体" w:hAnsi="宋体" w:cs="宋体"/>
                <w:kern w:val="0"/>
                <w:sz w:val="21"/>
                <w:szCs w:val="21"/>
              </w:rPr>
              <w:t>预期指标值</w:t>
            </w:r>
          </w:p>
          <w:p>
            <w:pPr>
              <w:widowControl/>
              <w:spacing w:line="300" w:lineRule="exact"/>
              <w:jc w:val="center"/>
              <w:rPr>
                <w:rFonts w:ascii="宋体" w:hAnsi="宋体" w:cs="宋体"/>
                <w:kern w:val="0"/>
                <w:sz w:val="21"/>
                <w:szCs w:val="21"/>
              </w:rPr>
            </w:pPr>
            <w:r>
              <w:rPr>
                <w:rFonts w:hint="eastAsia" w:ascii="宋体" w:hAnsi="宋体" w:cs="宋体"/>
                <w:kern w:val="0"/>
                <w:sz w:val="21"/>
                <w:szCs w:val="21"/>
              </w:rPr>
              <w:t>（包含数字及文字描述）</w:t>
            </w:r>
          </w:p>
        </w:tc>
        <w:tc>
          <w:tcPr>
            <w:tcW w:w="1517"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项目完成指标</w:t>
            </w: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数量指标</w:t>
            </w: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水电费</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5个库区和全市不动产登记数据中心机房的空调、除湿机、新风系统等设备需要24小时不断电运转，以及日常正常办公设备、宣传大屏、电脑、打印机等设备用电以及办公场所用水量总计综合测算约25.58万。</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按实际用水用电量支付费用。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网络租用费用</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50M互联网光纤租赁8350元/月（合同价格）；10M国土主干网租赁费用1050元/月（合同价格），合计11.28万</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按合同价支付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不动产档案消毒费用</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2021年新增不动产档案消毒费用约6万元。</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按合同价支付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档案办公耗材费用</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1、档案室：档案袋1.8/个（政府采购合同价）*3.8万个（2020年办件量）= 6.84万元。牛皮纸1元/张（政府采购合同价）*3.8万个= 3.8万元。2、鼓盒、粉盒、色带等其他办公辅助耗材全年约8万。合计18.64万元。。</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按实际工作量结算及合同支付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办公耗材费用</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1、办公耗材：大厅自助查询机、档案室、打证室、各受理窗口和综合办公室所需要更换鼓盒或加粉、更换色带及其他信息化办公辅材。2、每户登记档案需要一个档案袋和一张牛皮纸装订，在整理过程中心需要使用胶水、装订线、手套/鼓盒、粉盒、色带等耗材1.06万元。</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按实际支付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1、机房日常维护费用，包括精密空调耗材、其他易损电子设备更换费用3万元/年、上年度增加数据存储模块尾款1.5万元；2、软件维护费用：不动产登记信息平台由专业技术团队现场派驻技术服务人员保障，包括系统维护、数据库维护和功能升级更新等，维护费用14万/年。合计18.5万元</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按实际支付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质量指标</w:t>
            </w: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国家标准</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执行国家标准</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执行国家标准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时效指标</w:t>
            </w: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一年</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经常性的技术保障</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经常性的技术保障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成本指标</w:t>
            </w:r>
          </w:p>
        </w:tc>
        <w:tc>
          <w:tcPr>
            <w:tcW w:w="1200" w:type="dxa"/>
            <w:gridSpan w:val="2"/>
            <w:shd w:val="clear" w:color="auto" w:fill="auto"/>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档案馆、机房日常运维费及不动产登记系统数据库运维费及相关工作经费</w:t>
            </w:r>
          </w:p>
        </w:tc>
        <w:tc>
          <w:tcPr>
            <w:tcW w:w="3429" w:type="dxa"/>
            <w:gridSpan w:val="3"/>
            <w:shd w:val="clear" w:color="auto" w:fill="auto"/>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80万元</w:t>
            </w:r>
          </w:p>
        </w:tc>
        <w:tc>
          <w:tcPr>
            <w:tcW w:w="1517" w:type="dxa"/>
            <w:gridSpan w:val="2"/>
            <w:shd w:val="clear" w:color="auto" w:fill="auto"/>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29" w:type="dxa"/>
            <w:gridSpan w:val="3"/>
            <w:shd w:val="clear" w:color="auto" w:fill="auto"/>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17" w:type="dxa"/>
            <w:gridSpan w:val="2"/>
            <w:shd w:val="clear" w:color="auto" w:fill="auto"/>
            <w:vAlign w:val="center"/>
          </w:tcPr>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项目效果指标</w:t>
            </w: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落实不动产登记统一制度</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为不动产登记机构统一、档案馆场地统一和信息平台统一提供基础保障</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为不动产登记机构统一、档案馆场地统一和信息平台统一提供基础保障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基础保障</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方便企业和群众办事创造便利条件。</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方便企业和群众办事创造便利条件。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836" w:type="dxa"/>
            <w:vMerge w:val="restart"/>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满意度指标</w:t>
            </w:r>
          </w:p>
        </w:tc>
        <w:tc>
          <w:tcPr>
            <w:tcW w:w="1200"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人民群众</w:t>
            </w:r>
          </w:p>
        </w:tc>
        <w:tc>
          <w:tcPr>
            <w:tcW w:w="3429"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100%</w:t>
            </w:r>
          </w:p>
        </w:tc>
        <w:tc>
          <w:tcPr>
            <w:tcW w:w="1517"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政府和企事业团体</w:t>
            </w:r>
          </w:p>
        </w:tc>
        <w:tc>
          <w:tcPr>
            <w:tcW w:w="3429"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100%</w:t>
            </w:r>
          </w:p>
        </w:tc>
        <w:tc>
          <w:tcPr>
            <w:tcW w:w="1517" w:type="dxa"/>
            <w:gridSpan w:val="2"/>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24" w:type="dxa"/>
            <w:vMerge w:val="continue"/>
            <w:vAlign w:val="center"/>
          </w:tcPr>
          <w:p>
            <w:pPr>
              <w:widowControl/>
              <w:spacing w:line="300" w:lineRule="exact"/>
              <w:jc w:val="left"/>
              <w:rPr>
                <w:rFonts w:ascii="宋体" w:hAnsi="宋体" w:cs="宋体"/>
                <w:kern w:val="0"/>
                <w:sz w:val="21"/>
                <w:szCs w:val="21"/>
              </w:rPr>
            </w:pPr>
          </w:p>
        </w:tc>
        <w:tc>
          <w:tcPr>
            <w:tcW w:w="921" w:type="dxa"/>
            <w:vMerge w:val="continue"/>
            <w:vAlign w:val="center"/>
          </w:tcPr>
          <w:p>
            <w:pPr>
              <w:widowControl/>
              <w:spacing w:line="300" w:lineRule="exact"/>
              <w:jc w:val="left"/>
              <w:rPr>
                <w:rFonts w:ascii="宋体" w:hAnsi="宋体" w:cs="宋体"/>
                <w:kern w:val="0"/>
                <w:sz w:val="21"/>
                <w:szCs w:val="21"/>
              </w:rPr>
            </w:pPr>
          </w:p>
        </w:tc>
        <w:tc>
          <w:tcPr>
            <w:tcW w:w="836" w:type="dxa"/>
            <w:vMerge w:val="continue"/>
            <w:vAlign w:val="center"/>
          </w:tcPr>
          <w:p>
            <w:pPr>
              <w:widowControl/>
              <w:spacing w:line="300" w:lineRule="exact"/>
              <w:jc w:val="left"/>
              <w:rPr>
                <w:rFonts w:ascii="宋体" w:hAnsi="宋体" w:cs="宋体"/>
                <w:kern w:val="0"/>
                <w:sz w:val="21"/>
                <w:szCs w:val="21"/>
              </w:rPr>
            </w:pPr>
          </w:p>
        </w:tc>
        <w:tc>
          <w:tcPr>
            <w:tcW w:w="1200"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c>
          <w:tcPr>
            <w:tcW w:w="3429" w:type="dxa"/>
            <w:gridSpan w:val="3"/>
            <w:shd w:val="clear" w:color="auto" w:fill="auto"/>
            <w:vAlign w:val="center"/>
          </w:tcPr>
          <w:p>
            <w:pPr>
              <w:widowControl/>
              <w:spacing w:line="300" w:lineRule="exact"/>
              <w:jc w:val="center"/>
              <w:rPr>
                <w:rFonts w:ascii="宋体" w:hAnsi="宋体" w:cs="宋体"/>
                <w:kern w:val="0"/>
                <w:sz w:val="21"/>
                <w:szCs w:val="21"/>
              </w:rPr>
            </w:pPr>
            <w:r>
              <w:rPr>
                <w:rFonts w:hint="eastAsia" w:ascii="宋体" w:hAnsi="宋体" w:cs="宋体"/>
                <w:kern w:val="0"/>
                <w:sz w:val="21"/>
                <w:szCs w:val="21"/>
              </w:rPr>
              <w:t>　</w:t>
            </w:r>
          </w:p>
        </w:tc>
        <w:tc>
          <w:tcPr>
            <w:tcW w:w="1517" w:type="dxa"/>
            <w:gridSpan w:val="2"/>
            <w:shd w:val="clear" w:color="auto" w:fill="auto"/>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827" w:type="dxa"/>
            <w:gridSpan w:val="10"/>
            <w:shd w:val="clear" w:color="auto" w:fill="auto"/>
            <w:vAlign w:val="center"/>
          </w:tcPr>
          <w:p>
            <w:pPr>
              <w:widowControl/>
              <w:spacing w:line="300" w:lineRule="exact"/>
              <w:jc w:val="left"/>
              <w:rPr>
                <w:rFonts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pStyle w:val="2"/>
        <w:spacing w:line="300" w:lineRule="exact"/>
        <w:rPr>
          <w:rFonts w:hint="eastAsia" w:ascii="宋体" w:hAnsi="宋体" w:cs="宋体"/>
          <w:sz w:val="21"/>
          <w:szCs w:val="21"/>
        </w:rPr>
      </w:pPr>
    </w:p>
    <w:p>
      <w:pPr>
        <w:pStyle w:val="2"/>
      </w:pPr>
    </w:p>
    <w:p>
      <w:pPr>
        <w:pStyle w:val="2"/>
      </w:pPr>
    </w:p>
    <w:p>
      <w:pPr>
        <w:pStyle w:val="2"/>
      </w:pPr>
    </w:p>
    <w:p>
      <w:pP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br w:type="page"/>
      </w:r>
    </w:p>
    <w:p>
      <w:pPr>
        <w:pStyle w:val="2"/>
        <w:spacing w:line="576" w:lineRule="exact"/>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项目支出绩效目标自评表</w:t>
      </w:r>
    </w:p>
    <w:p>
      <w:pPr>
        <w:pStyle w:val="2"/>
        <w:jc w:val="center"/>
        <w:rPr>
          <w:rFonts w:hint="eastAsia"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p>
      <w:pPr>
        <w:pStyle w:val="2"/>
        <w:rPr>
          <w:rFonts w:hint="eastAsia" w:ascii="宋体" w:hAnsi="宋体" w:cs="宋体"/>
          <w:kern w:val="0"/>
          <w:sz w:val="24"/>
        </w:rPr>
      </w:pPr>
      <w:r>
        <w:rPr>
          <w:rFonts w:hint="eastAsia" w:ascii="宋体" w:hAnsi="宋体" w:cs="宋体"/>
          <w:kern w:val="0"/>
          <w:sz w:val="22"/>
          <w:szCs w:val="22"/>
        </w:rPr>
        <w:t>注：项目支出包括部门预算支出和专项预算支出</w:t>
      </w:r>
    </w:p>
    <w:tbl>
      <w:tblPr>
        <w:tblStyle w:val="13"/>
        <w:tblW w:w="894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860"/>
        <w:gridCol w:w="1173"/>
        <w:gridCol w:w="27"/>
        <w:gridCol w:w="1523"/>
        <w:gridCol w:w="109"/>
        <w:gridCol w:w="541"/>
        <w:gridCol w:w="625"/>
        <w:gridCol w:w="877"/>
        <w:gridCol w:w="48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845" w:type="dxa"/>
            <w:gridSpan w:val="3"/>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项目名称</w:t>
            </w:r>
          </w:p>
        </w:tc>
        <w:tc>
          <w:tcPr>
            <w:tcW w:w="6095" w:type="dxa"/>
            <w:gridSpan w:val="8"/>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购买服务人员工资、保险、培训费等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845" w:type="dxa"/>
            <w:gridSpan w:val="3"/>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预算单位</w:t>
            </w:r>
          </w:p>
        </w:tc>
        <w:tc>
          <w:tcPr>
            <w:tcW w:w="6095" w:type="dxa"/>
            <w:gridSpan w:val="8"/>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广元市不动产登记中心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2" w:type="dxa"/>
            <w:vMerge w:val="restart"/>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预算</w:t>
            </w:r>
            <w:r>
              <w:rPr>
                <w:rFonts w:hint="eastAsia" w:ascii="宋体" w:hAnsi="宋体" w:cs="宋体"/>
                <w:kern w:val="0"/>
                <w:sz w:val="21"/>
                <w:szCs w:val="21"/>
              </w:rPr>
              <w:br w:type="textWrapping"/>
            </w:r>
            <w:r>
              <w:rPr>
                <w:rFonts w:hint="eastAsia" w:ascii="宋体" w:hAnsi="宋体" w:cs="宋体"/>
                <w:kern w:val="0"/>
                <w:sz w:val="21"/>
                <w:szCs w:val="21"/>
              </w:rPr>
              <w:t>执行</w:t>
            </w:r>
            <w:r>
              <w:rPr>
                <w:rFonts w:hint="eastAsia" w:ascii="宋体" w:hAnsi="宋体" w:cs="宋体"/>
                <w:kern w:val="0"/>
                <w:sz w:val="21"/>
                <w:szCs w:val="21"/>
              </w:rPr>
              <w:br w:type="textWrapping"/>
            </w:r>
            <w:r>
              <w:rPr>
                <w:rFonts w:hint="eastAsia" w:ascii="宋体" w:hAnsi="宋体" w:cs="宋体"/>
                <w:kern w:val="0"/>
                <w:sz w:val="21"/>
                <w:szCs w:val="21"/>
              </w:rPr>
              <w:t>情况</w:t>
            </w:r>
            <w:r>
              <w:rPr>
                <w:rFonts w:hint="eastAsia" w:ascii="宋体" w:hAnsi="宋体" w:cs="宋体"/>
                <w:kern w:val="0"/>
                <w:sz w:val="21"/>
                <w:szCs w:val="21"/>
              </w:rPr>
              <w:br w:type="textWrapping"/>
            </w:r>
            <w:r>
              <w:rPr>
                <w:rFonts w:hint="eastAsia" w:ascii="宋体" w:hAnsi="宋体" w:cs="宋体"/>
                <w:kern w:val="0"/>
                <w:sz w:val="21"/>
                <w:szCs w:val="21"/>
              </w:rPr>
              <w:t>（万元）</w:t>
            </w:r>
          </w:p>
        </w:tc>
        <w:tc>
          <w:tcPr>
            <w:tcW w:w="2033" w:type="dxa"/>
            <w:gridSpan w:val="2"/>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预算数：</w:t>
            </w:r>
          </w:p>
        </w:tc>
        <w:tc>
          <w:tcPr>
            <w:tcW w:w="1550" w:type="dxa"/>
            <w:gridSpan w:val="2"/>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300万元</w:t>
            </w:r>
          </w:p>
        </w:tc>
        <w:tc>
          <w:tcPr>
            <w:tcW w:w="2634" w:type="dxa"/>
            <w:gridSpan w:val="5"/>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执行数：</w:t>
            </w:r>
          </w:p>
        </w:tc>
        <w:tc>
          <w:tcPr>
            <w:tcW w:w="1911" w:type="dxa"/>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232.6万元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2" w:type="dxa"/>
            <w:vMerge w:val="continue"/>
            <w:vAlign w:val="center"/>
          </w:tcPr>
          <w:p>
            <w:pPr>
              <w:widowControl/>
              <w:jc w:val="center"/>
              <w:rPr>
                <w:rFonts w:hint="eastAsia" w:ascii="宋体" w:hAnsi="宋体" w:cs="宋体"/>
                <w:kern w:val="0"/>
                <w:sz w:val="21"/>
                <w:szCs w:val="21"/>
              </w:rPr>
            </w:pPr>
          </w:p>
        </w:tc>
        <w:tc>
          <w:tcPr>
            <w:tcW w:w="2033" w:type="dxa"/>
            <w:gridSpan w:val="2"/>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其中：财政拨款</w:t>
            </w:r>
          </w:p>
        </w:tc>
        <w:tc>
          <w:tcPr>
            <w:tcW w:w="1550" w:type="dxa"/>
            <w:gridSpan w:val="2"/>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300万元</w:t>
            </w:r>
          </w:p>
        </w:tc>
        <w:tc>
          <w:tcPr>
            <w:tcW w:w="2634" w:type="dxa"/>
            <w:gridSpan w:val="5"/>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其中：财政拨款</w:t>
            </w:r>
          </w:p>
        </w:tc>
        <w:tc>
          <w:tcPr>
            <w:tcW w:w="1911" w:type="dxa"/>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232.6万元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2" w:type="dxa"/>
            <w:vMerge w:val="continue"/>
            <w:vAlign w:val="center"/>
          </w:tcPr>
          <w:p>
            <w:pPr>
              <w:widowControl/>
              <w:jc w:val="center"/>
              <w:rPr>
                <w:rFonts w:hint="eastAsia" w:ascii="宋体" w:hAnsi="宋体" w:cs="宋体"/>
                <w:kern w:val="0"/>
                <w:sz w:val="21"/>
                <w:szCs w:val="21"/>
              </w:rPr>
            </w:pPr>
          </w:p>
        </w:tc>
        <w:tc>
          <w:tcPr>
            <w:tcW w:w="2033" w:type="dxa"/>
            <w:gridSpan w:val="2"/>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其他资金</w:t>
            </w:r>
          </w:p>
        </w:tc>
        <w:tc>
          <w:tcPr>
            <w:tcW w:w="1550" w:type="dxa"/>
            <w:gridSpan w:val="2"/>
            <w:shd w:val="clear" w:color="auto" w:fill="auto"/>
            <w:vAlign w:val="center"/>
          </w:tcPr>
          <w:p>
            <w:pPr>
              <w:widowControl/>
              <w:jc w:val="center"/>
              <w:rPr>
                <w:rFonts w:hint="eastAsia" w:ascii="宋体" w:hAnsi="宋体" w:cs="宋体"/>
                <w:kern w:val="0"/>
                <w:sz w:val="21"/>
                <w:szCs w:val="21"/>
              </w:rPr>
            </w:pPr>
          </w:p>
        </w:tc>
        <w:tc>
          <w:tcPr>
            <w:tcW w:w="2634" w:type="dxa"/>
            <w:gridSpan w:val="5"/>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其他资金</w:t>
            </w:r>
          </w:p>
        </w:tc>
        <w:tc>
          <w:tcPr>
            <w:tcW w:w="1911" w:type="dxa"/>
            <w:shd w:val="clear" w:color="auto" w:fill="auto"/>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12" w:type="dxa"/>
            <w:vMerge w:val="restart"/>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目标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4858" w:type="dxa"/>
            <w:gridSpan w:val="7"/>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预期目标</w:t>
            </w:r>
          </w:p>
        </w:tc>
        <w:tc>
          <w:tcPr>
            <w:tcW w:w="3270" w:type="dxa"/>
            <w:gridSpan w:val="3"/>
            <w:shd w:val="clear" w:color="auto" w:fill="auto"/>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atLeast"/>
        </w:trPr>
        <w:tc>
          <w:tcPr>
            <w:tcW w:w="812" w:type="dxa"/>
            <w:vMerge w:val="continue"/>
            <w:vAlign w:val="center"/>
          </w:tcPr>
          <w:p>
            <w:pPr>
              <w:widowControl/>
              <w:jc w:val="left"/>
              <w:rPr>
                <w:rFonts w:hint="eastAsia" w:ascii="宋体" w:hAnsi="宋体" w:cs="宋体"/>
                <w:kern w:val="0"/>
                <w:sz w:val="21"/>
                <w:szCs w:val="21"/>
              </w:rPr>
            </w:pPr>
          </w:p>
        </w:tc>
        <w:tc>
          <w:tcPr>
            <w:tcW w:w="4233" w:type="dxa"/>
            <w:gridSpan w:val="6"/>
            <w:shd w:val="clear" w:color="auto" w:fill="auto"/>
          </w:tcPr>
          <w:p>
            <w:pPr>
              <w:widowControl/>
              <w:jc w:val="left"/>
              <w:rPr>
                <w:rFonts w:hint="eastAsia" w:ascii="宋体" w:hAnsi="宋体" w:cs="宋体"/>
                <w:kern w:val="0"/>
                <w:sz w:val="21"/>
                <w:szCs w:val="21"/>
              </w:rPr>
            </w:pPr>
            <w:r>
              <w:rPr>
                <w:rFonts w:hint="eastAsia" w:ascii="宋体" w:hAnsi="宋体" w:cs="宋体"/>
                <w:kern w:val="0"/>
                <w:sz w:val="21"/>
                <w:szCs w:val="21"/>
              </w:rPr>
              <w:t>根据国土资厅发〔2017〕32号《国土资源部办公厅关于加强不动产登记工作人员管理的通知》要求创造条件实现编制内、编制外“同工同酬”，充分调动不动产登记工作人员的积极性、主动性和创造性。我中心承担城市规划区内土地、房屋、林地登记等受理经办工作，负责不动产登记及信息基础平台建设和管理，做好数据的整理、备份、依法对外查询工作，并与市建设、农业、林业等部门建立共享机制；指导县不动产登记等工作。我中心登记业务量大，工作任务重，购买服务人员主要承担不动产登记中心受理、审核、登薄、发证、收费、查询等业务，为保障购买服务人员工作经费，根据广编发（2017）14号文件，新增购买服务人员30人，实际工作人员33人。根据广编发（2017）14号文件，新增购买服务人员30人，根据工作实际需要，实际购买服务人员33人。平均工资计算：4150*33*12=164.34万元；五险：164.34*28.4%=46.67万元 ；住房公积金：164.34*0.12=23.49万元，目标考核奖：33*2=66万元，公用经费（含不动产业务培训费）：33*1.5=49.5万元，应安排合计350万元，实际安排300万元。该费用在市不动产登记费的非税征收</w:t>
            </w:r>
            <w:r>
              <w:rPr>
                <w:rFonts w:hint="eastAsia" w:ascii="宋体" w:hAnsi="宋体" w:cs="宋体"/>
                <w:kern w:val="0"/>
                <w:sz w:val="21"/>
                <w:szCs w:val="21"/>
                <w:lang w:eastAsia="zh-CN"/>
              </w:rPr>
              <w:t>成本</w:t>
            </w:r>
            <w:r>
              <w:rPr>
                <w:rFonts w:hint="eastAsia" w:ascii="宋体" w:hAnsi="宋体" w:cs="宋体"/>
                <w:kern w:val="0"/>
                <w:sz w:val="21"/>
                <w:szCs w:val="21"/>
              </w:rPr>
              <w:t>中安排。</w:t>
            </w:r>
            <w:r>
              <w:rPr>
                <w:rFonts w:hint="eastAsia" w:ascii="宋体" w:hAnsi="宋体" w:cs="宋体"/>
                <w:kern w:val="0"/>
                <w:sz w:val="21"/>
                <w:szCs w:val="21"/>
              </w:rPr>
              <w:br w:type="textWrapping"/>
            </w:r>
            <w:r>
              <w:rPr>
                <w:rFonts w:hint="eastAsia" w:ascii="宋体" w:hAnsi="宋体" w:cs="宋体"/>
                <w:kern w:val="0"/>
                <w:sz w:val="21"/>
                <w:szCs w:val="21"/>
              </w:rPr>
              <w:br w:type="textWrapping"/>
            </w:r>
            <w:r>
              <w:rPr>
                <w:rFonts w:hint="eastAsia" w:ascii="宋体" w:hAnsi="宋体" w:cs="宋体"/>
                <w:kern w:val="0"/>
                <w:sz w:val="21"/>
                <w:szCs w:val="21"/>
              </w:rPr>
              <w:t>总计：300万元。</w:t>
            </w:r>
          </w:p>
        </w:tc>
        <w:tc>
          <w:tcPr>
            <w:tcW w:w="3895" w:type="dxa"/>
            <w:gridSpan w:val="4"/>
            <w:shd w:val="clear" w:color="auto" w:fill="auto"/>
          </w:tcPr>
          <w:p>
            <w:pPr>
              <w:widowControl/>
              <w:jc w:val="left"/>
              <w:rPr>
                <w:rFonts w:hint="eastAsia" w:ascii="宋体" w:hAnsi="宋体" w:eastAsia="宋体" w:cs="宋体"/>
                <w:kern w:val="0"/>
                <w:sz w:val="21"/>
                <w:szCs w:val="21"/>
              </w:rPr>
            </w:pPr>
            <w:r>
              <w:rPr>
                <w:rFonts w:hint="eastAsia" w:ascii="宋体" w:hAnsi="宋体" w:cs="宋体"/>
                <w:kern w:val="0"/>
                <w:sz w:val="21"/>
                <w:szCs w:val="21"/>
              </w:rPr>
              <w:t>根据国土资厅发〔2017〕32号《国土资源部办公厅关于加强不动产登记工作人员管理的通知》要求创造条件实现编制内、编制外“同工同酬”，充分调动不动产登记工作人员的积极性、主动性和创造性。我中心承担城市规划区内土地、房屋、林地登记等受理经办工作，负责不动产登记及信息基础平台建设和管理，做好数据的整理、备份、依法对外查询工作，并与市建设、农业、林业等部门建立共享机制；指导县不动产登记等工作。我中心登记业务量大，工作任务重，购买服务人员主要承担不动产登记中心受理、审核、登薄、发证、收费、查询等业务，为保障购买服务人员工作经费，根据广编发（2017）14号文件，新增购买服务人员30人，实际工作人员33人。根据广编发（2017）14号文件，新增购买服务人员30人，根据工作实际需要，实际购买服务人员33人。平均工资计算：4150*33*12=164.34万元；五险：164.34*28.4%=46.67万元 ；住房公积金：164.34*0.12=23.49万元，目标考核奖：33*2=66万元，公用经费（含不动产业务培训费）：33*1.5=49.5万元，应安排合计350万元，实际安排300万元。该费用在市不动产登记费的非税征收</w:t>
            </w:r>
            <w:r>
              <w:rPr>
                <w:rFonts w:hint="eastAsia" w:ascii="宋体" w:hAnsi="宋体" w:cs="宋体"/>
                <w:kern w:val="0"/>
                <w:sz w:val="21"/>
                <w:szCs w:val="21"/>
                <w:lang w:eastAsia="zh-CN"/>
              </w:rPr>
              <w:t>成本</w:t>
            </w:r>
            <w:r>
              <w:rPr>
                <w:rFonts w:hint="eastAsia" w:ascii="宋体" w:hAnsi="宋体" w:cs="宋体"/>
                <w:kern w:val="0"/>
                <w:sz w:val="21"/>
                <w:szCs w:val="21"/>
              </w:rPr>
              <w:t>中安排。</w:t>
            </w:r>
          </w:p>
          <w:p>
            <w:pPr>
              <w:widowControl/>
              <w:jc w:val="left"/>
              <w:rPr>
                <w:rFonts w:hint="eastAsia" w:ascii="宋体" w:hAnsi="宋体" w:cs="宋体"/>
                <w:kern w:val="0"/>
                <w:sz w:val="21"/>
                <w:szCs w:val="21"/>
              </w:rPr>
            </w:pPr>
            <w:r>
              <w:rPr>
                <w:rFonts w:hint="eastAsia" w:ascii="宋体" w:hAnsi="宋体" w:cs="宋体"/>
                <w:kern w:val="0"/>
                <w:sz w:val="21"/>
                <w:szCs w:val="21"/>
              </w:rPr>
              <w:t>总计：300万元。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812" w:type="dxa"/>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年度</w:t>
            </w:r>
            <w:r>
              <w:rPr>
                <w:rFonts w:hint="eastAsia" w:ascii="宋体" w:hAnsi="宋体" w:cs="宋体"/>
                <w:kern w:val="0"/>
                <w:sz w:val="21"/>
                <w:szCs w:val="21"/>
              </w:rPr>
              <w:br w:type="textWrapping"/>
            </w:r>
            <w:r>
              <w:rPr>
                <w:rFonts w:hint="eastAsia" w:ascii="宋体" w:hAnsi="宋体" w:cs="宋体"/>
                <w:kern w:val="0"/>
                <w:sz w:val="21"/>
                <w:szCs w:val="21"/>
              </w:rPr>
              <w:t>绩效</w:t>
            </w:r>
            <w:r>
              <w:rPr>
                <w:rFonts w:hint="eastAsia" w:ascii="宋体" w:hAnsi="宋体" w:cs="宋体"/>
                <w:kern w:val="0"/>
                <w:sz w:val="21"/>
                <w:szCs w:val="21"/>
              </w:rPr>
              <w:br w:type="textWrapping"/>
            </w:r>
            <w:r>
              <w:rPr>
                <w:rFonts w:hint="eastAsia" w:ascii="宋体" w:hAnsi="宋体" w:cs="宋体"/>
                <w:kern w:val="0"/>
                <w:sz w:val="21"/>
                <w:szCs w:val="21"/>
              </w:rPr>
              <w:t>指标</w:t>
            </w:r>
            <w:r>
              <w:rPr>
                <w:rFonts w:hint="eastAsia" w:ascii="宋体" w:hAnsi="宋体" w:cs="宋体"/>
                <w:kern w:val="0"/>
                <w:sz w:val="21"/>
                <w:szCs w:val="21"/>
              </w:rPr>
              <w:br w:type="textWrapping"/>
            </w:r>
            <w:r>
              <w:rPr>
                <w:rFonts w:hint="eastAsia" w:ascii="宋体" w:hAnsi="宋体" w:cs="宋体"/>
                <w:kern w:val="0"/>
                <w:sz w:val="21"/>
                <w:szCs w:val="21"/>
              </w:rPr>
              <w:t>完成</w:t>
            </w:r>
            <w:r>
              <w:rPr>
                <w:rFonts w:hint="eastAsia" w:ascii="宋体" w:hAnsi="宋体" w:cs="宋体"/>
                <w:kern w:val="0"/>
                <w:sz w:val="21"/>
                <w:szCs w:val="21"/>
              </w:rPr>
              <w:br w:type="textWrapping"/>
            </w:r>
            <w:r>
              <w:rPr>
                <w:rFonts w:hint="eastAsia" w:ascii="宋体" w:hAnsi="宋体" w:cs="宋体"/>
                <w:kern w:val="0"/>
                <w:sz w:val="21"/>
                <w:szCs w:val="21"/>
              </w:rPr>
              <w:t>情况</w:t>
            </w:r>
          </w:p>
        </w:tc>
        <w:tc>
          <w:tcPr>
            <w:tcW w:w="860" w:type="dxa"/>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一级指标</w:t>
            </w:r>
          </w:p>
        </w:tc>
        <w:tc>
          <w:tcPr>
            <w:tcW w:w="1200"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二级指标</w:t>
            </w: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三级指标</w:t>
            </w:r>
          </w:p>
        </w:tc>
        <w:tc>
          <w:tcPr>
            <w:tcW w:w="2043" w:type="dxa"/>
            <w:gridSpan w:val="3"/>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预期指标值（包含数字及文字描述）</w:t>
            </w:r>
          </w:p>
        </w:tc>
        <w:tc>
          <w:tcPr>
            <w:tcW w:w="2393"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项目完成指标</w:t>
            </w: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数量指标</w:t>
            </w: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非税收入</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2021年预计非税征收630万元</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超额完成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质量指标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国家标准</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按国家标准执行</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按国家标准执行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时效指标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日常性</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不动产登记费</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成本指标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非税收入</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300万元</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实际支付232.6万元，目标考核奖未支付。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项目效果指标</w:t>
            </w: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经济效益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社会效益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落实不动产登记统一制度</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为不动产登记开展便利便民服务提供基础支撑。</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为不动产登记开展便利便民服务提供基础支撑。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生态效益</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可持续影响</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提供便民利民服务</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方便企业和群众办事创造便利条件。</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方便企业和群众办事创造便利条件。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满意度</w:t>
            </w:r>
            <w:r>
              <w:rPr>
                <w:rFonts w:hint="eastAsia" w:ascii="宋体" w:hAnsi="宋体" w:cs="宋体"/>
                <w:kern w:val="0"/>
                <w:sz w:val="21"/>
                <w:szCs w:val="21"/>
              </w:rPr>
              <w:br w:type="textWrapping"/>
            </w:r>
            <w:r>
              <w:rPr>
                <w:rFonts w:hint="eastAsia" w:ascii="宋体" w:hAnsi="宋体" w:cs="宋体"/>
                <w:kern w:val="0"/>
                <w:sz w:val="21"/>
                <w:szCs w:val="21"/>
              </w:rPr>
              <w:t>指标</w:t>
            </w:r>
          </w:p>
        </w:tc>
        <w:tc>
          <w:tcPr>
            <w:tcW w:w="1200" w:type="dxa"/>
            <w:gridSpan w:val="2"/>
            <w:vMerge w:val="restart"/>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满意度指标</w:t>
            </w: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人民群众</w:t>
            </w:r>
          </w:p>
        </w:tc>
        <w:tc>
          <w:tcPr>
            <w:tcW w:w="2043" w:type="dxa"/>
            <w:gridSpan w:val="3"/>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100%</w:t>
            </w:r>
          </w:p>
        </w:tc>
        <w:tc>
          <w:tcPr>
            <w:tcW w:w="2393"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政府和企事业团体</w:t>
            </w:r>
          </w:p>
        </w:tc>
        <w:tc>
          <w:tcPr>
            <w:tcW w:w="2043" w:type="dxa"/>
            <w:gridSpan w:val="3"/>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100%</w:t>
            </w:r>
          </w:p>
        </w:tc>
        <w:tc>
          <w:tcPr>
            <w:tcW w:w="2393"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12" w:type="dxa"/>
            <w:vMerge w:val="continue"/>
            <w:vAlign w:val="center"/>
          </w:tcPr>
          <w:p>
            <w:pPr>
              <w:widowControl/>
              <w:spacing w:line="260" w:lineRule="exact"/>
              <w:jc w:val="left"/>
              <w:rPr>
                <w:rFonts w:hint="eastAsia" w:ascii="宋体" w:hAnsi="宋体" w:cs="宋体"/>
                <w:kern w:val="0"/>
                <w:sz w:val="21"/>
                <w:szCs w:val="21"/>
              </w:rPr>
            </w:pPr>
          </w:p>
        </w:tc>
        <w:tc>
          <w:tcPr>
            <w:tcW w:w="860" w:type="dxa"/>
            <w:vMerge w:val="continue"/>
            <w:vAlign w:val="center"/>
          </w:tcPr>
          <w:p>
            <w:pPr>
              <w:widowControl/>
              <w:spacing w:line="260" w:lineRule="exact"/>
              <w:jc w:val="left"/>
              <w:rPr>
                <w:rFonts w:hint="eastAsia" w:ascii="宋体" w:hAnsi="宋体" w:cs="宋体"/>
                <w:kern w:val="0"/>
                <w:sz w:val="21"/>
                <w:szCs w:val="21"/>
              </w:rPr>
            </w:pPr>
          </w:p>
        </w:tc>
        <w:tc>
          <w:tcPr>
            <w:tcW w:w="1200" w:type="dxa"/>
            <w:gridSpan w:val="2"/>
            <w:vMerge w:val="continue"/>
            <w:vAlign w:val="center"/>
          </w:tcPr>
          <w:p>
            <w:pPr>
              <w:widowControl/>
              <w:spacing w:line="260" w:lineRule="exact"/>
              <w:jc w:val="left"/>
              <w:rPr>
                <w:rFonts w:hint="eastAsia" w:ascii="宋体" w:hAnsi="宋体" w:cs="宋体"/>
                <w:kern w:val="0"/>
                <w:sz w:val="21"/>
                <w:szCs w:val="21"/>
              </w:rPr>
            </w:pPr>
          </w:p>
        </w:tc>
        <w:tc>
          <w:tcPr>
            <w:tcW w:w="1632" w:type="dxa"/>
            <w:gridSpan w:val="2"/>
            <w:shd w:val="clear" w:color="auto" w:fill="auto"/>
            <w:vAlign w:val="center"/>
          </w:tcPr>
          <w:p>
            <w:pPr>
              <w:widowControl/>
              <w:spacing w:line="260" w:lineRule="exact"/>
              <w:jc w:val="left"/>
              <w:rPr>
                <w:rFonts w:hint="eastAsia" w:ascii="宋体" w:hAnsi="宋体" w:cs="宋体"/>
                <w:kern w:val="0"/>
                <w:sz w:val="21"/>
                <w:szCs w:val="21"/>
              </w:rPr>
            </w:pPr>
            <w:r>
              <w:rPr>
                <w:rFonts w:hint="eastAsia" w:ascii="宋体" w:hAnsi="宋体" w:cs="宋体"/>
                <w:kern w:val="0"/>
                <w:sz w:val="21"/>
                <w:szCs w:val="21"/>
              </w:rPr>
              <w:t>　</w:t>
            </w:r>
          </w:p>
        </w:tc>
        <w:tc>
          <w:tcPr>
            <w:tcW w:w="2043" w:type="dxa"/>
            <w:gridSpan w:val="3"/>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　</w:t>
            </w:r>
          </w:p>
        </w:tc>
        <w:tc>
          <w:tcPr>
            <w:tcW w:w="2393" w:type="dxa"/>
            <w:gridSpan w:val="2"/>
            <w:shd w:val="clear" w:color="auto" w:fill="auto"/>
            <w:vAlign w:val="center"/>
          </w:tcPr>
          <w:p>
            <w:pPr>
              <w:widowControl/>
              <w:spacing w:line="260" w:lineRule="exact"/>
              <w:jc w:val="center"/>
              <w:rPr>
                <w:rFonts w:hint="eastAsia" w:ascii="宋体" w:hAnsi="宋体" w:cs="宋体"/>
                <w:kern w:val="0"/>
                <w:sz w:val="21"/>
                <w:szCs w:val="21"/>
              </w:rPr>
            </w:pPr>
            <w:r>
              <w:rPr>
                <w:rFonts w:hint="eastAsia" w:ascii="宋体" w:hAnsi="宋体"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40" w:type="dxa"/>
            <w:gridSpan w:val="11"/>
            <w:shd w:val="clear" w:color="auto" w:fill="auto"/>
            <w:vAlign w:val="center"/>
          </w:tcPr>
          <w:p>
            <w:pPr>
              <w:widowControl/>
              <w:spacing w:line="260" w:lineRule="exact"/>
              <w:jc w:val="left"/>
              <w:rPr>
                <w:rFonts w:hint="eastAsia" w:ascii="宋体" w:hAnsi="宋体" w:cs="宋体"/>
                <w:color w:val="000000"/>
                <w:kern w:val="0"/>
                <w:sz w:val="21"/>
                <w:szCs w:val="21"/>
              </w:rPr>
            </w:pPr>
            <w:r>
              <w:rPr>
                <w:rFonts w:hint="eastAsia" w:ascii="宋体" w:hAnsi="宋体" w:cs="宋体"/>
                <w:color w:val="000000"/>
                <w:kern w:val="0"/>
                <w:sz w:val="21"/>
                <w:szCs w:val="21"/>
              </w:rPr>
              <w:t>注：项目支出绩效目标自评表在项目执行完毕后填报。</w:t>
            </w:r>
          </w:p>
        </w:tc>
      </w:tr>
    </w:tbl>
    <w:p>
      <w:pPr>
        <w:pStyle w:val="2"/>
      </w:pPr>
    </w:p>
    <w:p>
      <w:pPr>
        <w:spacing w:line="600" w:lineRule="exact"/>
        <w:jc w:val="center"/>
        <w:outlineLvl w:val="0"/>
        <w:rPr>
          <w:rFonts w:ascii="仿宋" w:hAnsi="仿宋" w:eastAsia="仿宋"/>
        </w:rPr>
      </w:pPr>
      <w:bookmarkStart w:id="118" w:name="_Toc1872"/>
      <w:bookmarkStart w:id="119" w:name="_Toc120678900"/>
      <w:r>
        <w:rPr>
          <w:rFonts w:hint="eastAsia" w:ascii="黑体" w:hAnsi="黑体" w:eastAsia="黑体"/>
          <w:sz w:val="44"/>
          <w:szCs w:val="44"/>
        </w:rPr>
        <w:t>第</w:t>
      </w:r>
      <w:r>
        <w:rPr>
          <w:rStyle w:val="25"/>
          <w:rFonts w:hint="eastAsia" w:ascii="黑体" w:hAnsi="黑体" w:eastAsia="黑体"/>
          <w:b w:val="0"/>
        </w:rPr>
        <w:t>五部分 附表</w:t>
      </w:r>
      <w:bookmarkEnd w:id="110"/>
      <w:bookmarkEnd w:id="116"/>
      <w:bookmarkEnd w:id="118"/>
      <w:bookmarkEnd w:id="119"/>
      <w:bookmarkStart w:id="120" w:name="_Toc15396619"/>
    </w:p>
    <w:p>
      <w:pPr>
        <w:pStyle w:val="4"/>
        <w:rPr>
          <w:rFonts w:ascii="仿宋" w:hAnsi="仿宋" w:eastAsia="仿宋"/>
        </w:rPr>
      </w:pPr>
      <w:bookmarkStart w:id="121" w:name="_Toc120678901"/>
      <w:bookmarkStart w:id="122" w:name="_Toc4506"/>
      <w:r>
        <w:rPr>
          <w:rFonts w:hint="eastAsia" w:ascii="仿宋" w:hAnsi="仿宋" w:eastAsia="仿宋"/>
          <w:b w:val="0"/>
        </w:rPr>
        <w:t>一、收</w:t>
      </w:r>
      <w:r>
        <w:rPr>
          <w:rStyle w:val="26"/>
          <w:rFonts w:hint="eastAsia" w:ascii="仿宋" w:hAnsi="仿宋" w:eastAsia="仿宋"/>
          <w:b w:val="0"/>
          <w:bCs w:val="0"/>
        </w:rPr>
        <w:t>入支出决算总表</w:t>
      </w:r>
      <w:bookmarkEnd w:id="120"/>
      <w:bookmarkEnd w:id="121"/>
      <w:bookmarkEnd w:id="122"/>
    </w:p>
    <w:p>
      <w:pPr>
        <w:pStyle w:val="4"/>
        <w:rPr>
          <w:rFonts w:ascii="仿宋" w:hAnsi="仿宋" w:eastAsia="仿宋"/>
        </w:rPr>
      </w:pPr>
      <w:bookmarkStart w:id="123" w:name="_Toc15396620"/>
      <w:bookmarkStart w:id="124" w:name="_Toc120678902"/>
      <w:bookmarkStart w:id="125" w:name="_Toc16358"/>
      <w:r>
        <w:rPr>
          <w:rFonts w:hint="eastAsia" w:ascii="仿宋" w:hAnsi="仿宋" w:eastAsia="仿宋"/>
          <w:b w:val="0"/>
        </w:rPr>
        <w:t>二、收</w:t>
      </w:r>
      <w:r>
        <w:rPr>
          <w:rStyle w:val="26"/>
          <w:rFonts w:hint="eastAsia" w:ascii="仿宋" w:hAnsi="仿宋" w:eastAsia="仿宋"/>
          <w:b w:val="0"/>
          <w:bCs w:val="0"/>
        </w:rPr>
        <w:t>入决算表</w:t>
      </w:r>
      <w:bookmarkEnd w:id="123"/>
      <w:bookmarkEnd w:id="124"/>
      <w:bookmarkEnd w:id="125"/>
    </w:p>
    <w:p>
      <w:pPr>
        <w:pStyle w:val="4"/>
        <w:rPr>
          <w:rFonts w:ascii="仿宋" w:hAnsi="仿宋" w:eastAsia="仿宋"/>
        </w:rPr>
      </w:pPr>
      <w:bookmarkStart w:id="126" w:name="_Toc18038"/>
      <w:bookmarkStart w:id="127" w:name="_Toc120678903"/>
      <w:bookmarkStart w:id="128"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126"/>
      <w:bookmarkEnd w:id="127"/>
      <w:bookmarkEnd w:id="128"/>
    </w:p>
    <w:p>
      <w:pPr>
        <w:pStyle w:val="4"/>
        <w:rPr>
          <w:rFonts w:ascii="仿宋" w:hAnsi="仿宋" w:eastAsia="仿宋"/>
          <w:b w:val="0"/>
        </w:rPr>
      </w:pPr>
      <w:bookmarkStart w:id="129" w:name="_Toc15396622"/>
      <w:bookmarkStart w:id="130" w:name="_Toc21403"/>
      <w:bookmarkStart w:id="131" w:name="_Toc120678904"/>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129"/>
      <w:bookmarkEnd w:id="130"/>
      <w:bookmarkEnd w:id="131"/>
    </w:p>
    <w:p>
      <w:pPr>
        <w:pStyle w:val="4"/>
        <w:rPr>
          <w:rStyle w:val="26"/>
          <w:rFonts w:ascii="仿宋" w:hAnsi="仿宋" w:eastAsia="仿宋"/>
          <w:b w:val="0"/>
          <w:bCs w:val="0"/>
        </w:rPr>
      </w:pPr>
      <w:bookmarkStart w:id="132" w:name="_Toc2588"/>
      <w:bookmarkStart w:id="133" w:name="_Toc15396623"/>
      <w:bookmarkStart w:id="134" w:name="_Toc120678905"/>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132"/>
      <w:bookmarkEnd w:id="133"/>
      <w:bookmarkEnd w:id="134"/>
      <w:bookmarkStart w:id="135" w:name="_Toc15396624"/>
    </w:p>
    <w:p>
      <w:pPr>
        <w:pStyle w:val="4"/>
        <w:rPr>
          <w:rFonts w:ascii="仿宋" w:hAnsi="仿宋" w:eastAsia="仿宋"/>
        </w:rPr>
      </w:pPr>
      <w:bookmarkStart w:id="136" w:name="_Toc19322"/>
      <w:bookmarkStart w:id="137" w:name="_Toc120678906"/>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35"/>
      <w:bookmarkEnd w:id="136"/>
      <w:bookmarkEnd w:id="137"/>
    </w:p>
    <w:p>
      <w:pPr>
        <w:pStyle w:val="4"/>
        <w:rPr>
          <w:rFonts w:ascii="仿宋" w:hAnsi="仿宋" w:eastAsia="仿宋"/>
        </w:rPr>
      </w:pPr>
      <w:bookmarkStart w:id="138" w:name="_Toc15396625"/>
      <w:bookmarkStart w:id="139" w:name="_Toc7344"/>
      <w:bookmarkStart w:id="140" w:name="_Toc120678907"/>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38"/>
      <w:bookmarkEnd w:id="139"/>
      <w:bookmarkEnd w:id="140"/>
    </w:p>
    <w:p>
      <w:pPr>
        <w:pStyle w:val="4"/>
        <w:rPr>
          <w:rFonts w:ascii="仿宋" w:hAnsi="仿宋" w:eastAsia="仿宋"/>
        </w:rPr>
      </w:pPr>
      <w:bookmarkStart w:id="141" w:name="_Toc120678908"/>
      <w:bookmarkStart w:id="142" w:name="_Toc23887"/>
      <w:bookmarkStart w:id="143"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41"/>
      <w:bookmarkEnd w:id="142"/>
      <w:bookmarkEnd w:id="143"/>
    </w:p>
    <w:p>
      <w:pPr>
        <w:pStyle w:val="4"/>
        <w:rPr>
          <w:rFonts w:ascii="仿宋" w:hAnsi="仿宋" w:eastAsia="仿宋"/>
        </w:rPr>
      </w:pPr>
      <w:bookmarkStart w:id="144" w:name="_Toc120678909"/>
      <w:bookmarkStart w:id="145" w:name="_Toc25117"/>
      <w:bookmarkStart w:id="14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44"/>
      <w:bookmarkEnd w:id="145"/>
      <w:bookmarkEnd w:id="146"/>
    </w:p>
    <w:p>
      <w:pPr>
        <w:pStyle w:val="4"/>
        <w:rPr>
          <w:rFonts w:ascii="仿宋" w:hAnsi="仿宋" w:eastAsia="仿宋"/>
        </w:rPr>
      </w:pPr>
      <w:bookmarkStart w:id="147" w:name="_Toc120678910"/>
      <w:bookmarkStart w:id="148" w:name="_Toc5477"/>
      <w:bookmarkStart w:id="14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47"/>
      <w:bookmarkEnd w:id="148"/>
      <w:bookmarkEnd w:id="149"/>
    </w:p>
    <w:p>
      <w:pPr>
        <w:pStyle w:val="4"/>
        <w:rPr>
          <w:rFonts w:ascii="仿宋" w:hAnsi="仿宋" w:eastAsia="仿宋"/>
        </w:rPr>
      </w:pPr>
      <w:bookmarkStart w:id="150" w:name="_Toc120678911"/>
      <w:bookmarkStart w:id="151" w:name="_Toc13669"/>
      <w:bookmarkStart w:id="152"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50"/>
      <w:bookmarkEnd w:id="151"/>
      <w:bookmarkEnd w:id="152"/>
    </w:p>
    <w:p>
      <w:pPr>
        <w:pStyle w:val="4"/>
        <w:rPr>
          <w:rFonts w:ascii="仿宋" w:hAnsi="仿宋" w:eastAsia="仿宋"/>
        </w:rPr>
      </w:pPr>
      <w:bookmarkStart w:id="153" w:name="_Toc120678912"/>
      <w:bookmarkStart w:id="154" w:name="_Toc15396630"/>
      <w:bookmarkStart w:id="155" w:name="_Toc27407"/>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53"/>
      <w:bookmarkEnd w:id="154"/>
      <w:bookmarkEnd w:id="155"/>
    </w:p>
    <w:p>
      <w:pPr>
        <w:pStyle w:val="4"/>
        <w:rPr>
          <w:rStyle w:val="26"/>
          <w:rFonts w:ascii="仿宋" w:hAnsi="仿宋" w:eastAsia="仿宋"/>
          <w:b w:val="0"/>
          <w:bCs w:val="0"/>
        </w:rPr>
      </w:pPr>
      <w:bookmarkStart w:id="156" w:name="_Toc120678913"/>
      <w:bookmarkStart w:id="157" w:name="_Toc32641"/>
      <w:bookmarkStart w:id="158"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56"/>
      <w:bookmarkEnd w:id="157"/>
      <w:bookmarkEnd w:id="158"/>
    </w:p>
    <w:p>
      <w:pPr>
        <w:rPr>
          <w:rFonts w:eastAsia="仿宋"/>
        </w:rPr>
      </w:pPr>
      <w:bookmarkStart w:id="159" w:name="_Toc32397"/>
      <w:bookmarkStart w:id="160" w:name="_Toc120678914"/>
      <w:r>
        <w:rPr>
          <w:rStyle w:val="26"/>
          <w:rFonts w:hint="eastAsia" w:ascii="仿宋" w:hAnsi="仿宋" w:eastAsia="仿宋"/>
          <w:b w:val="0"/>
          <w:bCs w:val="0"/>
        </w:rPr>
        <w:t>十四、国有资本经营预算财政拨款支出决算表</w:t>
      </w:r>
      <w:bookmarkEnd w:id="159"/>
      <w:bookmarkEnd w:id="160"/>
    </w:p>
    <w:sectPr>
      <w:footerReference r:id="rId5" w:type="default"/>
      <w:pgSz w:w="11906" w:h="16838"/>
      <w:pgMar w:top="1701" w:right="1474" w:bottom="130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楷体简体">
    <w:altName w:val="方正楷体_GBK"/>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2"/>
                      <w:jc w:val="center"/>
                    </w:pPr>
                  </w:p>
                </w:sdtContent>
              </w:sd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2"/>
                      <w:jc w:val="center"/>
                    </w:pPr>
                  </w:p>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mMDZjMWEwNmJjM2Q3ODgwNGMxNzFiNGFjMDg1Z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1193"/>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3E98"/>
    <w:rsid w:val="001C0962"/>
    <w:rsid w:val="001C2A8D"/>
    <w:rsid w:val="001D7531"/>
    <w:rsid w:val="001E737D"/>
    <w:rsid w:val="001F0592"/>
    <w:rsid w:val="001F7506"/>
    <w:rsid w:val="002006CD"/>
    <w:rsid w:val="00202B10"/>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A79AC"/>
    <w:rsid w:val="002B2613"/>
    <w:rsid w:val="002D6D05"/>
    <w:rsid w:val="002E4C2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3F74C1"/>
    <w:rsid w:val="00406254"/>
    <w:rsid w:val="00414D30"/>
    <w:rsid w:val="004223DE"/>
    <w:rsid w:val="00430570"/>
    <w:rsid w:val="00430FD8"/>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5D5"/>
    <w:rsid w:val="004F0FBD"/>
    <w:rsid w:val="00503E37"/>
    <w:rsid w:val="00505A47"/>
    <w:rsid w:val="00512FDA"/>
    <w:rsid w:val="00520DA0"/>
    <w:rsid w:val="00546E19"/>
    <w:rsid w:val="005664BB"/>
    <w:rsid w:val="00566FFA"/>
    <w:rsid w:val="0057481D"/>
    <w:rsid w:val="0058486E"/>
    <w:rsid w:val="00585B33"/>
    <w:rsid w:val="0059014D"/>
    <w:rsid w:val="005B5C64"/>
    <w:rsid w:val="005C5337"/>
    <w:rsid w:val="005C6BD0"/>
    <w:rsid w:val="005D1C8B"/>
    <w:rsid w:val="005D468D"/>
    <w:rsid w:val="005D5CED"/>
    <w:rsid w:val="005F1A4C"/>
    <w:rsid w:val="005F2B30"/>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07B9"/>
    <w:rsid w:val="00681A31"/>
    <w:rsid w:val="00683E73"/>
    <w:rsid w:val="006A3141"/>
    <w:rsid w:val="006A5E34"/>
    <w:rsid w:val="006B2422"/>
    <w:rsid w:val="006B2B9A"/>
    <w:rsid w:val="006C1937"/>
    <w:rsid w:val="006C3137"/>
    <w:rsid w:val="006E5658"/>
    <w:rsid w:val="006F020C"/>
    <w:rsid w:val="007127B7"/>
    <w:rsid w:val="0071798E"/>
    <w:rsid w:val="00737AA0"/>
    <w:rsid w:val="007416B6"/>
    <w:rsid w:val="00741C53"/>
    <w:rsid w:val="00746F48"/>
    <w:rsid w:val="0075404D"/>
    <w:rsid w:val="0076182A"/>
    <w:rsid w:val="00767B7E"/>
    <w:rsid w:val="007770C3"/>
    <w:rsid w:val="00784D24"/>
    <w:rsid w:val="00785FBA"/>
    <w:rsid w:val="00786E4A"/>
    <w:rsid w:val="007875EB"/>
    <w:rsid w:val="0079426B"/>
    <w:rsid w:val="007A7CF4"/>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F77"/>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43C3"/>
    <w:rsid w:val="00A45BB7"/>
    <w:rsid w:val="00A56DF2"/>
    <w:rsid w:val="00A56E6E"/>
    <w:rsid w:val="00A67AB5"/>
    <w:rsid w:val="00A733B2"/>
    <w:rsid w:val="00A741C2"/>
    <w:rsid w:val="00A91760"/>
    <w:rsid w:val="00A93B00"/>
    <w:rsid w:val="00A93C21"/>
    <w:rsid w:val="00AB64C9"/>
    <w:rsid w:val="00AC3C6A"/>
    <w:rsid w:val="00AC4F83"/>
    <w:rsid w:val="00AD5620"/>
    <w:rsid w:val="00AD656B"/>
    <w:rsid w:val="00AD7C1B"/>
    <w:rsid w:val="00AE16BA"/>
    <w:rsid w:val="00AE1EBE"/>
    <w:rsid w:val="00B03C9D"/>
    <w:rsid w:val="00B060AE"/>
    <w:rsid w:val="00B10517"/>
    <w:rsid w:val="00B14E76"/>
    <w:rsid w:val="00B161B8"/>
    <w:rsid w:val="00B2048C"/>
    <w:rsid w:val="00B27155"/>
    <w:rsid w:val="00B310B9"/>
    <w:rsid w:val="00B35F3F"/>
    <w:rsid w:val="00B36CBB"/>
    <w:rsid w:val="00B425E0"/>
    <w:rsid w:val="00B440AA"/>
    <w:rsid w:val="00B44B70"/>
    <w:rsid w:val="00B53C56"/>
    <w:rsid w:val="00B54A7F"/>
    <w:rsid w:val="00B57DAF"/>
    <w:rsid w:val="00B77EA6"/>
    <w:rsid w:val="00B81598"/>
    <w:rsid w:val="00B841F1"/>
    <w:rsid w:val="00B944D6"/>
    <w:rsid w:val="00BB4DF0"/>
    <w:rsid w:val="00BC289F"/>
    <w:rsid w:val="00BC2D50"/>
    <w:rsid w:val="00BC5361"/>
    <w:rsid w:val="00BC5460"/>
    <w:rsid w:val="00BC6B50"/>
    <w:rsid w:val="00BD0E25"/>
    <w:rsid w:val="00BF5BD6"/>
    <w:rsid w:val="00C0326D"/>
    <w:rsid w:val="00C03E31"/>
    <w:rsid w:val="00C33E72"/>
    <w:rsid w:val="00C354B2"/>
    <w:rsid w:val="00C35554"/>
    <w:rsid w:val="00C42709"/>
    <w:rsid w:val="00C533CC"/>
    <w:rsid w:val="00C5751C"/>
    <w:rsid w:val="00C61BFC"/>
    <w:rsid w:val="00C62B85"/>
    <w:rsid w:val="00C65438"/>
    <w:rsid w:val="00C82A61"/>
    <w:rsid w:val="00C87FD8"/>
    <w:rsid w:val="00C91381"/>
    <w:rsid w:val="00C91CBB"/>
    <w:rsid w:val="00CB4E70"/>
    <w:rsid w:val="00CC09B6"/>
    <w:rsid w:val="00CC666F"/>
    <w:rsid w:val="00CD1E3F"/>
    <w:rsid w:val="00CE44F6"/>
    <w:rsid w:val="00CE49DA"/>
    <w:rsid w:val="00CE7B61"/>
    <w:rsid w:val="00D00095"/>
    <w:rsid w:val="00D00E29"/>
    <w:rsid w:val="00D114F0"/>
    <w:rsid w:val="00D20620"/>
    <w:rsid w:val="00D254F7"/>
    <w:rsid w:val="00D26091"/>
    <w:rsid w:val="00D2685C"/>
    <w:rsid w:val="00D34E7C"/>
    <w:rsid w:val="00D35489"/>
    <w:rsid w:val="00D36AFE"/>
    <w:rsid w:val="00D51276"/>
    <w:rsid w:val="00D7035F"/>
    <w:rsid w:val="00DA634F"/>
    <w:rsid w:val="00DA65AC"/>
    <w:rsid w:val="00DB1913"/>
    <w:rsid w:val="00DC0571"/>
    <w:rsid w:val="00DC410D"/>
    <w:rsid w:val="00DC50EE"/>
    <w:rsid w:val="00DC5A81"/>
    <w:rsid w:val="00DC68CA"/>
    <w:rsid w:val="00DC7CBA"/>
    <w:rsid w:val="00DD73B7"/>
    <w:rsid w:val="00DE29BC"/>
    <w:rsid w:val="00DF2437"/>
    <w:rsid w:val="00DF28BC"/>
    <w:rsid w:val="00DF34B9"/>
    <w:rsid w:val="00E01053"/>
    <w:rsid w:val="00E01E75"/>
    <w:rsid w:val="00E07ACF"/>
    <w:rsid w:val="00E331A1"/>
    <w:rsid w:val="00E33202"/>
    <w:rsid w:val="00E336A9"/>
    <w:rsid w:val="00E472B1"/>
    <w:rsid w:val="00E50624"/>
    <w:rsid w:val="00E568DF"/>
    <w:rsid w:val="00E64269"/>
    <w:rsid w:val="00E82267"/>
    <w:rsid w:val="00E853CE"/>
    <w:rsid w:val="00E867B6"/>
    <w:rsid w:val="00E95C9C"/>
    <w:rsid w:val="00EA010F"/>
    <w:rsid w:val="00EC7E0E"/>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F"/>
    <w:rsid w:val="00F602DF"/>
    <w:rsid w:val="00F754A1"/>
    <w:rsid w:val="00F81FD9"/>
    <w:rsid w:val="00F841AA"/>
    <w:rsid w:val="00F84A94"/>
    <w:rsid w:val="00F87E96"/>
    <w:rsid w:val="00FA23E8"/>
    <w:rsid w:val="00FB2A55"/>
    <w:rsid w:val="00FB6688"/>
    <w:rsid w:val="00FD3CC1"/>
    <w:rsid w:val="00FF1E02"/>
    <w:rsid w:val="00FF30B4"/>
    <w:rsid w:val="013E50E2"/>
    <w:rsid w:val="02C46466"/>
    <w:rsid w:val="066E5BC6"/>
    <w:rsid w:val="0A2032A3"/>
    <w:rsid w:val="0B8A37D8"/>
    <w:rsid w:val="0FE0279F"/>
    <w:rsid w:val="10154878"/>
    <w:rsid w:val="10C055FF"/>
    <w:rsid w:val="118107EC"/>
    <w:rsid w:val="11DD6519"/>
    <w:rsid w:val="14046A42"/>
    <w:rsid w:val="16321CA0"/>
    <w:rsid w:val="16B953D3"/>
    <w:rsid w:val="16BB723D"/>
    <w:rsid w:val="17297CE3"/>
    <w:rsid w:val="18015F3F"/>
    <w:rsid w:val="188F365D"/>
    <w:rsid w:val="197A7DA1"/>
    <w:rsid w:val="1BA97497"/>
    <w:rsid w:val="1BE8440E"/>
    <w:rsid w:val="1CCE660E"/>
    <w:rsid w:val="1D155CEE"/>
    <w:rsid w:val="20F57F95"/>
    <w:rsid w:val="240371BF"/>
    <w:rsid w:val="243279D1"/>
    <w:rsid w:val="25770175"/>
    <w:rsid w:val="25C741E6"/>
    <w:rsid w:val="27842671"/>
    <w:rsid w:val="29FD04D3"/>
    <w:rsid w:val="29FD282F"/>
    <w:rsid w:val="2ABE7A3E"/>
    <w:rsid w:val="2D6009A2"/>
    <w:rsid w:val="2EFA178C"/>
    <w:rsid w:val="30B46D73"/>
    <w:rsid w:val="31322DBE"/>
    <w:rsid w:val="319F7F4E"/>
    <w:rsid w:val="3434719C"/>
    <w:rsid w:val="386A72E1"/>
    <w:rsid w:val="39AE70AB"/>
    <w:rsid w:val="3B0F2544"/>
    <w:rsid w:val="3B586984"/>
    <w:rsid w:val="3C0C0783"/>
    <w:rsid w:val="3C8200CE"/>
    <w:rsid w:val="3D11590E"/>
    <w:rsid w:val="3F795B0E"/>
    <w:rsid w:val="3F9F3A96"/>
    <w:rsid w:val="401F7E48"/>
    <w:rsid w:val="40350D30"/>
    <w:rsid w:val="41215ADF"/>
    <w:rsid w:val="41876D06"/>
    <w:rsid w:val="47280652"/>
    <w:rsid w:val="491C608F"/>
    <w:rsid w:val="49377ED9"/>
    <w:rsid w:val="493C27E9"/>
    <w:rsid w:val="496F39ED"/>
    <w:rsid w:val="49FF41D3"/>
    <w:rsid w:val="4A185DC8"/>
    <w:rsid w:val="4BE068DB"/>
    <w:rsid w:val="4BF6002B"/>
    <w:rsid w:val="4C7D77B7"/>
    <w:rsid w:val="4E8E690C"/>
    <w:rsid w:val="4ECE2238"/>
    <w:rsid w:val="4F0B3776"/>
    <w:rsid w:val="50903205"/>
    <w:rsid w:val="5196408D"/>
    <w:rsid w:val="51DB4B86"/>
    <w:rsid w:val="51F55903"/>
    <w:rsid w:val="54406A2F"/>
    <w:rsid w:val="55333C3E"/>
    <w:rsid w:val="591B75C2"/>
    <w:rsid w:val="60E0575E"/>
    <w:rsid w:val="61D45C65"/>
    <w:rsid w:val="64AA3C02"/>
    <w:rsid w:val="64CA39A1"/>
    <w:rsid w:val="68A6351C"/>
    <w:rsid w:val="6B513865"/>
    <w:rsid w:val="6C4A05C8"/>
    <w:rsid w:val="6D195FA7"/>
    <w:rsid w:val="6F722E40"/>
    <w:rsid w:val="72734D90"/>
    <w:rsid w:val="78FB5F09"/>
    <w:rsid w:val="79E7B28D"/>
    <w:rsid w:val="7ABC0DEE"/>
    <w:rsid w:val="7BEC1388"/>
    <w:rsid w:val="7C775BAB"/>
    <w:rsid w:val="7CF92E67"/>
    <w:rsid w:val="7E651A6E"/>
    <w:rsid w:val="7EA171FF"/>
    <w:rsid w:val="7F9F20EE"/>
    <w:rsid w:val="7FE231CE"/>
    <w:rsid w:val="9E3A10E2"/>
    <w:rsid w:val="DAFF6AF6"/>
    <w:rsid w:val="EEFFC7A9"/>
    <w:rsid w:val="F2E1F9D4"/>
    <w:rsid w:val="F2FF334C"/>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BodyText1I2"/>
    <w:basedOn w:val="1"/>
    <w:next w:val="1"/>
    <w:qFormat/>
    <w:uiPriority w:val="0"/>
    <w:pPr>
      <w:ind w:left="420" w:leftChars="200" w:firstLine="420" w:firstLineChars="200"/>
      <w:textAlignment w:val="baseline"/>
    </w:pPr>
    <w:rPr>
      <w:rFonts w:asciiTheme="minorHAnsi" w:hAnsiTheme="minorHAnsi" w:eastAsiaTheme="minorEastAsia" w:cstheme="minorBidi"/>
    </w:rPr>
  </w:style>
  <w:style w:type="paragraph" w:customStyle="1" w:styleId="32">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2218024824608"/>
          <c:y val="0.1232779587405"/>
          <c:w val="0.85355"/>
          <c:h val="0.709566666666667"/>
        </c:manualLayout>
      </c:layout>
      <c:barChart>
        <c:barDir val="col"/>
        <c:grouping val="clustered"/>
        <c:varyColors val="false"/>
        <c:ser>
          <c:idx val="0"/>
          <c:order val="0"/>
          <c:tx>
            <c:strRef>
              <c:f>Sheet1!$B$1</c:f>
              <c:strCache>
                <c:ptCount val="1"/>
                <c:pt idx="0">
                  <c:v>收、支决算总计变动情况图（单位：万元）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2020年度支总计</c:v>
                </c:pt>
                <c:pt idx="1">
                  <c:v>2021年度收、支总计</c:v>
                </c:pt>
              </c:strCache>
            </c:strRef>
          </c:cat>
          <c:val>
            <c:numRef>
              <c:f>Sheet1!$B$2:$B$3</c:f>
              <c:numCache>
                <c:formatCode>General</c:formatCode>
                <c:ptCount val="2"/>
                <c:pt idx="0">
                  <c:v>2391.04</c:v>
                </c:pt>
                <c:pt idx="1">
                  <c:v>1202.69</c:v>
                </c:pt>
              </c:numCache>
            </c:numRef>
          </c:val>
        </c:ser>
        <c:dLbls>
          <c:showLegendKey val="false"/>
          <c:showVal val="true"/>
          <c:showCatName val="false"/>
          <c:showSerName val="false"/>
          <c:showPercent val="false"/>
          <c:showBubbleSize val="false"/>
        </c:dLbls>
        <c:gapWidth val="219"/>
        <c:overlap val="-27"/>
        <c:axId val="200775552"/>
        <c:axId val="200777088"/>
      </c:barChart>
      <c:catAx>
        <c:axId val="200775552"/>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0777088"/>
        <c:crosses val="autoZero"/>
        <c:auto val="true"/>
        <c:lblAlgn val="ctr"/>
        <c:lblOffset val="100"/>
        <c:noMultiLvlLbl val="false"/>
      </c:catAx>
      <c:valAx>
        <c:axId val="20077708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077555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892.859999999999</c:v>
                </c:pt>
                <c:pt idx="1">
                  <c:v>0.03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869375"/>
          <c:y val="0.92266666666666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387.86</c:v>
                </c:pt>
                <c:pt idx="1">
                  <c:v>662.71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2144.9</c:v>
                </c:pt>
                <c:pt idx="1">
                  <c:v>1179.09</c:v>
                </c:pt>
              </c:numCache>
            </c:numRef>
          </c:val>
        </c:ser>
        <c:dLbls>
          <c:showLegendKey val="false"/>
          <c:showVal val="true"/>
          <c:showCatName val="false"/>
          <c:showSerName val="false"/>
          <c:showPercent val="false"/>
          <c:showBubbleSize val="false"/>
        </c:dLbls>
        <c:gapWidth val="219"/>
        <c:overlap val="-27"/>
        <c:axId val="201713536"/>
        <c:axId val="201715072"/>
      </c:barChart>
      <c:catAx>
        <c:axId val="20171353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1715072"/>
        <c:crosses val="autoZero"/>
        <c:auto val="true"/>
        <c:lblAlgn val="ctr"/>
        <c:lblOffset val="100"/>
        <c:noMultiLvlLbl val="false"/>
      </c:catAx>
      <c:valAx>
        <c:axId val="20171507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171353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2144.9</c:v>
                </c:pt>
                <c:pt idx="1">
                  <c:v>1179.09</c:v>
                </c:pt>
              </c:numCache>
            </c:numRef>
          </c:val>
        </c:ser>
        <c:dLbls>
          <c:showLegendKey val="false"/>
          <c:showVal val="true"/>
          <c:showCatName val="false"/>
          <c:showSerName val="false"/>
          <c:showPercent val="false"/>
          <c:showBubbleSize val="false"/>
        </c:dLbls>
        <c:gapWidth val="219"/>
        <c:overlap val="-27"/>
        <c:axId val="201866624"/>
        <c:axId val="201217152"/>
      </c:barChart>
      <c:catAx>
        <c:axId val="201866624"/>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1217152"/>
        <c:crosses val="autoZero"/>
        <c:auto val="true"/>
        <c:lblAlgn val="ctr"/>
        <c:lblOffset val="100"/>
        <c:noMultiLvlLbl val="false"/>
      </c:catAx>
      <c:valAx>
        <c:axId val="201217152"/>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0186662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27.98</c:v>
                </c:pt>
                <c:pt idx="1">
                  <c:v>13.99</c:v>
                </c:pt>
                <c:pt idx="2">
                  <c:v>799.270000000001</c:v>
                </c:pt>
                <c:pt idx="3">
                  <c:v>31.36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0</c:v>
                </c:pt>
                <c:pt idx="2">
                  <c:v>0.6</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17277</Words>
  <Characters>18399</Characters>
  <Lines>166</Lines>
  <Paragraphs>46</Paragraphs>
  <TotalTime>2</TotalTime>
  <ScaleCrop>false</ScaleCrop>
  <LinksUpToDate>false</LinksUpToDate>
  <CharactersWithSpaces>21126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2022-11-30T13:37:00Z</dcterms:created>
  <dc:creator>曹颖</dc:creator>
  <cp:lastModifiedBy>user</cp:lastModifiedBy>
  <cp:lastPrinted>2022-08-06T18:23:00Z</cp:lastPrinted>
  <dcterms:modified xsi:type="dcterms:W3CDTF">2023-07-05T10:59:39Z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