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96475"/>
      <w:bookmarkStart w:id="4" w:name="_Toc15396597"/>
      <w:bookmarkStart w:id="5"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78442"/>
      <w:bookmarkStart w:id="9" w:name="_Toc15377194"/>
      <w:bookmarkStart w:id="10" w:name="_Toc15377426"/>
      <w:r>
        <w:rPr>
          <w:rFonts w:hint="eastAsia" w:ascii="方正小标宋简体" w:hAnsi="方正小标宋简体" w:eastAsia="方正小标宋简体" w:cs="方正小标宋简体"/>
          <w:sz w:val="72"/>
          <w:szCs w:val="72"/>
        </w:rPr>
        <w:t>广元市</w:t>
      </w:r>
      <w:bookmarkEnd w:id="0"/>
      <w:bookmarkStart w:id="11" w:name="_Toc15306268"/>
      <w:r>
        <w:rPr>
          <w:rFonts w:hint="eastAsia" w:ascii="方正小标宋简体" w:hAnsi="方正小标宋简体" w:eastAsia="方正小标宋简体" w:cs="方正小标宋简体"/>
          <w:sz w:val="72"/>
          <w:szCs w:val="72"/>
        </w:rPr>
        <w:t>自然资源局经济开发区事务中心决算</w:t>
      </w:r>
      <w:bookmarkEnd w:id="6"/>
      <w:bookmarkEnd w:id="7"/>
      <w:bookmarkEnd w:id="8"/>
      <w:bookmarkEnd w:id="9"/>
      <w:bookmarkEnd w:id="10"/>
      <w:bookmarkEnd w:id="11"/>
    </w:p>
    <w:p>
      <w:pPr>
        <w:spacing w:line="576" w:lineRule="exact"/>
        <w:jc w:val="center"/>
        <w:rPr>
          <w:rFonts w:ascii="方正小标宋简体" w:hAnsi="方正小标宋简体" w:eastAsia="方正小标宋简体" w:cs="方正小标宋简体"/>
          <w:sz w:val="44"/>
          <w:szCs w:val="44"/>
        </w:rPr>
      </w:pPr>
      <w:r>
        <w:rPr>
          <w:rFonts w:ascii="方正小标宋简体" w:hAnsi="宋体" w:eastAsia="方正小标宋简体"/>
          <w:szCs w:val="36"/>
        </w:rPr>
        <w:br w:type="page"/>
      </w:r>
      <w:r>
        <w:rPr>
          <w:rFonts w:hint="eastAsia" w:ascii="方正小标宋简体" w:hAnsi="方正小标宋简体" w:eastAsia="方正小标宋简体" w:cs="方正小标宋简体"/>
          <w:sz w:val="44"/>
          <w:szCs w:val="44"/>
        </w:rPr>
        <w:t>目  录</w:t>
      </w:r>
    </w:p>
    <w:p>
      <w:pPr>
        <w:spacing w:line="240" w:lineRule="auto"/>
        <w:rPr>
          <w:rFonts w:hint="eastAsia" w:ascii="仿宋_GB2312" w:hAnsi="仿宋_GB2312" w:eastAsia="仿宋_GB2312" w:cs="仿宋_GB2312"/>
          <w:sz w:val="32"/>
          <w:szCs w:val="32"/>
          <w:lang w:eastAsia="zh-CN"/>
        </w:rPr>
      </w:pPr>
    </w:p>
    <w:p>
      <w:pPr>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公开时间：2022年10月10日</w:t>
      </w:r>
      <w:bookmarkStart w:id="69" w:name="_GoBack"/>
      <w:bookmarkEnd w:id="69"/>
    </w:p>
    <w:p>
      <w:pPr>
        <w:spacing w:line="576" w:lineRule="exact"/>
        <w:rPr>
          <w:rFonts w:ascii="仿宋_GB2312" w:hAnsi="仿宋_GB2312" w:eastAsia="仿宋_GB2312" w:cs="仿宋_GB2312"/>
          <w:sz w:val="32"/>
          <w:szCs w:val="32"/>
        </w:rPr>
      </w:pPr>
    </w:p>
    <w:p>
      <w:pPr>
        <w:spacing w:line="576" w:lineRule="exact"/>
        <w:jc w:val="distribute"/>
        <w:rPr>
          <w:rFonts w:ascii="黑体" w:hAnsi="黑体" w:eastAsia="黑体" w:cs="仿宋_GB2312"/>
          <w:sz w:val="32"/>
          <w:szCs w:val="32"/>
        </w:rPr>
      </w:pPr>
      <w:r>
        <w:rPr>
          <w:rFonts w:hint="eastAsia" w:ascii="黑体" w:hAnsi="黑体" w:eastAsia="黑体" w:cs="仿宋_GB2312"/>
          <w:sz w:val="32"/>
          <w:szCs w:val="32"/>
        </w:rPr>
        <w:t>第一部分  单位概况</w:t>
      </w:r>
      <w:r>
        <w:rPr>
          <w:rFonts w:hint="eastAsia" w:ascii="仿宋_GB2312" w:hAnsi="仿宋_GB2312" w:eastAsia="仿宋_GB2312" w:cs="仿宋_GB2312"/>
          <w:sz w:val="32"/>
          <w:szCs w:val="32"/>
        </w:rPr>
        <w:t>………………………………………………</w:t>
      </w:r>
      <w:r>
        <w:rPr>
          <w:rFonts w:hint="eastAsia" w:ascii="黑体" w:hAnsi="黑体" w:eastAsia="黑体" w:cs="仿宋_GB2312"/>
          <w:sz w:val="32"/>
          <w:szCs w:val="32"/>
        </w:rPr>
        <w:t>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一、职能简介…………………………………………………4</w:t>
      </w:r>
    </w:p>
    <w:p>
      <w:pPr>
        <w:spacing w:line="576" w:lineRule="exact"/>
        <w:ind w:firstLine="640" w:firstLineChars="200"/>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二、2021年重点工作完成情况………………………………5</w:t>
      </w:r>
    </w:p>
    <w:p>
      <w:pPr>
        <w:spacing w:line="576" w:lineRule="exact"/>
        <w:jc w:val="distribute"/>
        <w:rPr>
          <w:rFonts w:ascii="黑体" w:hAnsi="黑体" w:eastAsia="黑体" w:cs="仿宋_GB2312"/>
          <w:sz w:val="32"/>
          <w:szCs w:val="32"/>
        </w:rPr>
      </w:pPr>
      <w:r>
        <w:rPr>
          <w:rFonts w:hint="eastAsia" w:ascii="黑体" w:hAnsi="黑体" w:eastAsia="黑体" w:cs="仿宋_GB2312"/>
          <w:sz w:val="32"/>
          <w:szCs w:val="32"/>
        </w:rPr>
        <w:t>第二部分  2021年度单位决算情况说明</w:t>
      </w:r>
      <w:r>
        <w:rPr>
          <w:rFonts w:hint="eastAsia" w:ascii="仿宋_GB2312" w:hAnsi="仿宋_GB2312" w:eastAsia="仿宋_GB2312" w:cs="仿宋_GB2312"/>
          <w:sz w:val="32"/>
          <w:szCs w:val="32"/>
        </w:rPr>
        <w:t>…………………………</w:t>
      </w:r>
      <w:r>
        <w:rPr>
          <w:rFonts w:hint="eastAsia" w:ascii="黑体" w:hAnsi="黑体" w:eastAsia="黑体" w:cs="仿宋_GB2312"/>
          <w:sz w:val="32"/>
          <w:szCs w:val="32"/>
        </w:rPr>
        <w:t>9</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一、收入支出决算总体情况说明……………………………9</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二、收入决算情况说明………………………………………9</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三、支出决算情况说明………………………………………10</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四、财政拨款收入支出决算总体情况说明…………………11</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五、一般公共预算财政拨款支出决算情况说明……………12</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六、一般公共预算财政拨款基本支出决算情况说明………15</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七、“三公”经费财政拨款支出决算情况说明……………16</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八、政府性基金预算支出决算情况说明……………………18</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九、国有资本经营预算支出决算情况说明…………………18</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十、预算绩效管理情况………………………………………18</w:t>
      </w:r>
    </w:p>
    <w:p>
      <w:pPr>
        <w:spacing w:line="576" w:lineRule="exact"/>
        <w:ind w:firstLine="640" w:firstLineChars="200"/>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十一、其他重要事项的情况说明……………………………18</w:t>
      </w:r>
    </w:p>
    <w:p>
      <w:pPr>
        <w:spacing w:line="576" w:lineRule="exact"/>
        <w:jc w:val="distribute"/>
        <w:rPr>
          <w:rFonts w:ascii="黑体" w:hAnsi="黑体" w:eastAsia="黑体" w:cs="仿宋_GB2312"/>
          <w:sz w:val="32"/>
          <w:szCs w:val="32"/>
        </w:rPr>
      </w:pPr>
      <w:r>
        <w:rPr>
          <w:rFonts w:hint="eastAsia" w:ascii="黑体" w:hAnsi="黑体" w:eastAsia="黑体" w:cs="仿宋_GB2312"/>
          <w:sz w:val="32"/>
          <w:szCs w:val="32"/>
        </w:rPr>
        <w:t>第三部分  名词解释</w:t>
      </w:r>
      <w:r>
        <w:rPr>
          <w:rFonts w:hint="eastAsia" w:ascii="仿宋_GB2312" w:hAnsi="仿宋_GB2312" w:eastAsia="仿宋_GB2312" w:cs="仿宋_GB2312"/>
          <w:sz w:val="32"/>
          <w:szCs w:val="32"/>
        </w:rPr>
        <w:t>……………………………………………</w:t>
      </w:r>
      <w:r>
        <w:rPr>
          <w:rFonts w:hint="eastAsia" w:ascii="黑体" w:hAnsi="黑体" w:eastAsia="黑体" w:cs="仿宋_GB2312"/>
          <w:sz w:val="32"/>
          <w:szCs w:val="32"/>
        </w:rPr>
        <w:t>20</w:t>
      </w:r>
    </w:p>
    <w:p>
      <w:pPr>
        <w:spacing w:line="576" w:lineRule="exact"/>
        <w:jc w:val="distribute"/>
        <w:rPr>
          <w:rFonts w:hint="eastAsia" w:ascii="黑体" w:hAnsi="黑体" w:eastAsia="黑体" w:cs="仿宋_GB2312"/>
          <w:sz w:val="32"/>
          <w:szCs w:val="32"/>
        </w:rPr>
      </w:pPr>
      <w:r>
        <w:rPr>
          <w:rFonts w:hint="eastAsia" w:ascii="黑体" w:hAnsi="黑体" w:eastAsia="黑体" w:cs="仿宋_GB2312"/>
          <w:sz w:val="32"/>
          <w:szCs w:val="32"/>
        </w:rPr>
        <w:t>第四部分 附件</w:t>
      </w:r>
      <w:r>
        <w:rPr>
          <w:rFonts w:hint="eastAsia" w:ascii="仿宋_GB2312" w:hAnsi="仿宋_GB2312" w:eastAsia="仿宋_GB2312" w:cs="仿宋_GB2312"/>
          <w:sz w:val="32"/>
          <w:szCs w:val="32"/>
        </w:rPr>
        <w:t>……………………………………………………</w:t>
      </w:r>
      <w:r>
        <w:rPr>
          <w:rFonts w:hint="eastAsia" w:ascii="黑体" w:hAnsi="黑体" w:eastAsia="黑体" w:cs="仿宋_GB2312"/>
          <w:sz w:val="32"/>
          <w:szCs w:val="32"/>
        </w:rPr>
        <w:t>23</w:t>
      </w:r>
    </w:p>
    <w:p>
      <w:pPr>
        <w:spacing w:line="576" w:lineRule="exact"/>
        <w:jc w:val="distribute"/>
        <w:rPr>
          <w:rFonts w:ascii="黑体" w:hAnsi="黑体" w:eastAsia="黑体" w:cs="仿宋_GB2312"/>
          <w:sz w:val="32"/>
          <w:szCs w:val="32"/>
        </w:rPr>
      </w:pPr>
      <w:r>
        <w:rPr>
          <w:rFonts w:hint="eastAsia" w:ascii="黑体" w:hAnsi="黑体" w:eastAsia="黑体" w:cs="仿宋_GB2312"/>
          <w:sz w:val="32"/>
          <w:szCs w:val="32"/>
        </w:rPr>
        <w:t>第五部分 附表</w:t>
      </w:r>
      <w:r>
        <w:rPr>
          <w:rFonts w:hint="eastAsia" w:ascii="仿宋_GB2312" w:hAnsi="仿宋_GB2312" w:eastAsia="仿宋_GB2312" w:cs="仿宋_GB2312"/>
          <w:sz w:val="32"/>
          <w:szCs w:val="32"/>
        </w:rPr>
        <w:t>……………………………………………………</w:t>
      </w:r>
      <w:r>
        <w:rPr>
          <w:rFonts w:hint="eastAsia" w:ascii="黑体" w:hAnsi="黑体" w:eastAsia="黑体" w:cs="仿宋_GB2312"/>
          <w:sz w:val="32"/>
          <w:szCs w:val="32"/>
        </w:rPr>
        <w:t>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十三、国有资本经营预算财政拨款收入支出决算表………34</w:t>
      </w:r>
    </w:p>
    <w:p>
      <w:pPr>
        <w:spacing w:line="576" w:lineRule="exact"/>
        <w:ind w:firstLine="640" w:firstLineChars="200"/>
        <w:jc w:val="distribut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十四、国有资本经营预算财政拨款支出决算表……………34</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spacing w:line="640" w:lineRule="exact"/>
        <w:jc w:val="center"/>
        <w:rPr>
          <w:rFonts w:ascii="黑体" w:hAnsi="黑体" w:eastAsia="黑体" w:cs="黑体"/>
          <w:sz w:val="44"/>
          <w:szCs w:val="44"/>
        </w:rPr>
      </w:pPr>
      <w:r>
        <w:rPr>
          <w:rFonts w:hint="eastAsia" w:ascii="黑体" w:hAnsi="黑体" w:eastAsia="黑体" w:cs="黑体"/>
          <w:sz w:val="44"/>
          <w:szCs w:val="44"/>
        </w:rPr>
        <w:t>第一部分 单位概况</w:t>
      </w:r>
      <w:bookmarkEnd w:id="12"/>
      <w:bookmarkEnd w:id="13"/>
    </w:p>
    <w:p>
      <w:pPr>
        <w:spacing w:line="576" w:lineRule="exact"/>
        <w:rPr>
          <w:rFonts w:ascii="仿宋_GB2312" w:hAnsi="仿宋_GB2312" w:eastAsia="仿宋_GB2312" w:cs="仿宋_GB2312"/>
          <w:sz w:val="32"/>
          <w:szCs w:val="32"/>
        </w:rPr>
      </w:pPr>
    </w:p>
    <w:p>
      <w:pPr>
        <w:spacing w:line="576" w:lineRule="exact"/>
        <w:ind w:firstLine="640" w:firstLineChars="200"/>
        <w:rPr>
          <w:rFonts w:ascii="黑体" w:hAnsi="黑体" w:eastAsia="黑体" w:cs="黑体"/>
          <w:sz w:val="32"/>
          <w:szCs w:val="32"/>
        </w:rPr>
      </w:pPr>
      <w:bookmarkStart w:id="14" w:name="_Toc15396600"/>
      <w:bookmarkStart w:id="15" w:name="_Toc15377197"/>
      <w:r>
        <w:rPr>
          <w:rFonts w:hint="eastAsia" w:ascii="黑体" w:hAnsi="黑体" w:eastAsia="黑体" w:cs="黑体"/>
          <w:sz w:val="32"/>
          <w:szCs w:val="32"/>
        </w:rPr>
        <w:t>一、职能简介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根据市编办机构设置和市自然资源局对我中心工作安排和业务审批事项的授权，我中心在国家级广元经济开发区管辖区域内主要承担以下职责：</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自然资源的调控政策、措施和法律、法规、规章。承担保护与合理利用土地资源、矿产资源的责任。依规参加编制国土空间规划编制工作，组织实施自然资源领域资源节约集约利用和产城一体化发展，实施土地用途管制，切实保护耕地和基本农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建设用地管理，承担节约集约利用土地资源，规范自然资源市场秩序的责任。承办建设用地供应、节约集约利用工作，执行基准地价、标定地价等政府公示地价制度，加强经开区项目用地保障工作，办理改制企业的国有土地资产处置相关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3.承办经开区土地报征工作，为开发区园区建设和项目建设提供用地要素保障。按政策要求加强农村农转用手续审批办理。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4.负责质环境保护，承担地质灾害防治工作。编制、实施地质灾害防御预案和地质灾害应急预案，依法组织建设用地地质灾害危险性评估和地质灾害治理工作。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5.受市自然资源局委托承担开发区范围内自然资源执法监察工作，调查处理自然资源纠纷和违法案件，承办卫片执法和自然资源信访工作。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6.承担自然资源基础性工作。做好临时用地管理和年度土地变更调查等基础性工作。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7.承办市自然资源局和区党工委、区管委会交办的其他事项。</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二、2021年重点工作</w:t>
      </w:r>
      <w:bookmarkEnd w:id="14"/>
      <w:bookmarkEnd w:id="15"/>
      <w:r>
        <w:rPr>
          <w:rFonts w:hint="eastAsia" w:ascii="黑体" w:hAnsi="黑体" w:eastAsia="黑体" w:cs="黑体"/>
          <w:sz w:val="32"/>
          <w:szCs w:val="32"/>
        </w:rPr>
        <w:t>完成情况</w:t>
      </w:r>
    </w:p>
    <w:p>
      <w:pPr>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（1）全面加强耕地保护，强化国土空间规划引领。</w:t>
      </w:r>
      <w:r>
        <w:rPr>
          <w:rFonts w:hint="eastAsia" w:ascii="仿宋_GB2312" w:hAnsi="仿宋_GB2312" w:eastAsia="仿宋_GB2312" w:cs="仿宋_GB2312"/>
          <w:sz w:val="32"/>
          <w:szCs w:val="32"/>
        </w:rPr>
        <w:t>一是做好耕地动态监测，压实耕地保护责任，严格永久基本农田保护，做到面积不减少，质量不降低。二是完成经开区城镇开发边界试划、国土空间规划基数转换、三区三线”划定试点前两轮试划、永久基本农田核实整改补足等规划基础工作。三是积极对接利州、昭化自然资源主管部门，启动经开区辖区内乡村国土空间规划编制工作。</w:t>
      </w:r>
    </w:p>
    <w:p>
      <w:pPr>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（2）全力保障项目用地。一是提早谋划用地需求。</w:t>
      </w:r>
      <w:r>
        <w:rPr>
          <w:rFonts w:hint="eastAsia" w:ascii="仿宋_GB2312" w:hAnsi="仿宋_GB2312" w:eastAsia="仿宋_GB2312" w:cs="仿宋_GB2312"/>
          <w:sz w:val="32"/>
          <w:szCs w:val="32"/>
        </w:rPr>
        <w:t>根据经开区项目招引和落地预期，梳理出2021年度用地需求，实行“三包”机制，分管领导和经办人员包项目、包报征、包落地，确保项目及时依法用地。二是报批成果显著。成功取得广元动车存车场、昭化石盘至利州石龙公路、广元市利州区第一人民医院科教综合楼等3个项目正式用地批文。2021年度累计计组卷报批土地56.4791公顷。</w:t>
      </w:r>
    </w:p>
    <w:p>
      <w:pPr>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（3）土地出让成效显著。</w:t>
      </w:r>
      <w:r>
        <w:rPr>
          <w:rFonts w:hint="eastAsia" w:ascii="仿宋_GB2312" w:hAnsi="仿宋_GB2312" w:eastAsia="仿宋_GB2312" w:cs="仿宋_GB2312"/>
          <w:sz w:val="32"/>
          <w:szCs w:val="32"/>
        </w:rPr>
        <w:t>截止目前，国有建设用地供地共14宗，出让总面积542.16亩，涉及土地价款13799.58万元。完成批而未供土地处置12231.15亩，全面完成批而未供攻坚处置任务。</w:t>
      </w:r>
    </w:p>
    <w:p>
      <w:pPr>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（4）扎实开展执法监察。</w:t>
      </w:r>
      <w:r>
        <w:rPr>
          <w:rFonts w:hint="eastAsia" w:ascii="仿宋_GB2312" w:hAnsi="仿宋_GB2312" w:eastAsia="仿宋_GB2312" w:cs="仿宋_GB2312"/>
          <w:sz w:val="32"/>
          <w:szCs w:val="32"/>
        </w:rPr>
        <w:t>一是土地执法有力。2021年部、省两级卫片图斑核查和违法问题处置按时按质完成，共立案查处土地违法案件11起，收缴罚没款191.8727万元。二是积极开展供后监管。通过土地供应监管系统核实，经开区涉及8宗闲置土地，已销号3宗，正在处理余下5宗。三是督促土地督察问题整改。按照还款计划，已督促市园投公司落实还款1.95亿元。四是全力开展农村乱占耕地建房清理整治。按照农村乱占耕地建房清理整治要求，对部下发图斑的133宗问题图斑进行实地勘测，逐一分析，形成台账，目前正在对可处置的宗地进行依法处置。</w:t>
      </w:r>
    </w:p>
    <w:p>
      <w:pPr>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(5）强化矿产资源管理和生态修复。</w:t>
      </w:r>
      <w:r>
        <w:rPr>
          <w:rFonts w:hint="eastAsia" w:ascii="仿宋_GB2312" w:hAnsi="仿宋_GB2312" w:eastAsia="仿宋_GB2312" w:cs="仿宋_GB2312"/>
          <w:sz w:val="32"/>
          <w:szCs w:val="32"/>
        </w:rPr>
        <w:t>一是制定责任清单。进一步修订完善了我中心安全生产责任清单，明确了班子成员和各业务口的安全生产责任，开展安全生产排查整治工作。二是开展生态环境问题整治。对区内非煤矿山、石材加工小作坊和自然资源领域涉建项目开展了生态环境问题大排查大整治，涉及的9家石材作坊生态环境问题已销号，6家非煤矿山的问题销号稳步推进。三是全力攻坚砖厂退出。积极落实相关政策，制定印发总体实施方案、一矿一策实施方案，深入企业宣讲政策，开展洽谈攻坚。四是机场净空开挖区山生态修复全面完工，修复面积200余亩。</w:t>
      </w:r>
    </w:p>
    <w:p>
      <w:pPr>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（6）加强配合征拆地籍工作。一是夯实征地基础。</w:t>
      </w:r>
      <w:r>
        <w:rPr>
          <w:rFonts w:hint="eastAsia" w:ascii="仿宋_GB2312" w:hAnsi="仿宋_GB2312" w:eastAsia="仿宋_GB2312" w:cs="仿宋_GB2312"/>
          <w:sz w:val="32"/>
          <w:szCs w:val="32"/>
        </w:rPr>
        <w:t>开展15个项目勘测定界，落实9个批次用地征地补偿安置方案和征收启动工作，完成全区房屋拆迁、农户货币安置资格审查等年度工作任务。二是开展房地一体确权登记前期准备。开展农村房地一体、集体建设用地确权登记资料收集、现场测量等基础工作，已移交至不动产登记中心审核。</w:t>
      </w:r>
    </w:p>
    <w:p>
      <w:pPr>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（7）狠抓地质灾害防治工作。</w:t>
      </w:r>
      <w:r>
        <w:rPr>
          <w:rFonts w:hint="eastAsia" w:ascii="仿宋_GB2312" w:hAnsi="仿宋_GB2312" w:eastAsia="仿宋_GB2312" w:cs="仿宋_GB2312"/>
          <w:sz w:val="32"/>
          <w:szCs w:val="32"/>
        </w:rPr>
        <w:t>一是明确部门职责。印发了《关于做好2021年汛前地质灾害防治工作的通知》，明确各相关单位对各自分管行业的地灾防治责任。二是逐点培训演练。逐点开展宣传培训和避险演练，提高群众的防灾意识和能力。三防治体逐步完善。完成了秦家湾地灾治理工程和孙家岩排危除险施工，同时完成全区7个隐患点群专结合预警项目建设，并向上争取地质灾害隐患防治经费100余万元。同时，完成高家岭、周家梁滑坡地灾隐患点勘查设计工作，正在争取资金。四是做好巡排查和值班值守。每月一次大排查，雨前雨中雨后做好“三查”工作。加强24小时值班值守工作，及时发送预警信息。按照“三查”要求，全区20个地灾点，今年均无险情发生，实现地灾防治“零伤亡”。</w:t>
      </w:r>
    </w:p>
    <w:p>
      <w:pPr>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（8）深化“放管服”及工程项目审批制度改革。</w:t>
      </w:r>
      <w:r>
        <w:rPr>
          <w:rFonts w:hint="eastAsia" w:ascii="仿宋_GB2312" w:hAnsi="仿宋_GB2312" w:eastAsia="仿宋_GB2312" w:cs="仿宋_GB2312"/>
          <w:sz w:val="32"/>
          <w:szCs w:val="32"/>
        </w:rPr>
        <w:t>2021年共办理建设用地规划许可证10宗、建设工程规划许可证19宗、建设项目用地预审与选址意见书6宗、临时用地2宗、竣工验收7宗，网上办结率为100%。</w:t>
      </w:r>
    </w:p>
    <w:p>
      <w:pPr>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（9）进一步抓好信访维稳工作。</w:t>
      </w:r>
      <w:r>
        <w:rPr>
          <w:rFonts w:hint="eastAsia" w:ascii="仿宋_GB2312" w:hAnsi="仿宋_GB2312" w:eastAsia="仿宋_GB2312" w:cs="仿宋_GB2312"/>
          <w:sz w:val="32"/>
          <w:szCs w:val="32"/>
        </w:rPr>
        <w:t>全年共收到信访件、群众来信来访26件，均按要求及时调查回复，实现上级交办信访按期办结率100%，息诉止访率70%。全面推行社会稳定风险评估和大调解工作，矛盾纠纷排查化解率达75%以上。同时，积极牵头解决经开区范围内世纪城龙湾等问题楼盘遗留问题，回复不同信访20余次，现场协调解决问题10余次，有效的稳定了群众，避免了群访事件发生。</w:t>
      </w:r>
    </w:p>
    <w:p/>
    <w:p>
      <w:pPr>
        <w:widowControl/>
        <w:jc w:val="left"/>
        <w:rPr>
          <w:rFonts w:ascii="仿宋" w:hAnsi="仿宋" w:eastAsia="仿宋"/>
          <w:kern w:val="0"/>
          <w:sz w:val="32"/>
          <w:szCs w:val="32"/>
        </w:rPr>
      </w:pPr>
      <w:r>
        <w:rPr>
          <w:rFonts w:ascii="仿宋" w:hAnsi="仿宋" w:eastAsia="仿宋"/>
          <w:sz w:val="32"/>
          <w:szCs w:val="32"/>
        </w:rPr>
        <w:br w:type="page"/>
      </w:r>
    </w:p>
    <w:p>
      <w:pPr>
        <w:spacing w:line="640" w:lineRule="exact"/>
        <w:jc w:val="center"/>
        <w:rPr>
          <w:rFonts w:ascii="黑体" w:hAnsi="黑体" w:eastAsia="黑体" w:cs="黑体"/>
          <w:sz w:val="44"/>
          <w:szCs w:val="44"/>
        </w:rPr>
      </w:pPr>
      <w:bookmarkStart w:id="16" w:name="_Toc15377204"/>
      <w:bookmarkStart w:id="17" w:name="_Toc15396602"/>
      <w:r>
        <w:rPr>
          <w:rFonts w:hint="eastAsia" w:ascii="黑体" w:hAnsi="黑体" w:eastAsia="黑体" w:cs="黑体"/>
          <w:sz w:val="44"/>
          <w:szCs w:val="44"/>
        </w:rPr>
        <w:t>第二部分 2021年度单位决算情况说明</w:t>
      </w:r>
      <w:bookmarkEnd w:id="16"/>
      <w:bookmarkEnd w:id="17"/>
    </w:p>
    <w:p/>
    <w:p>
      <w:pPr>
        <w:spacing w:line="576" w:lineRule="exact"/>
        <w:ind w:firstLine="640" w:firstLineChars="200"/>
        <w:rPr>
          <w:rFonts w:ascii="黑体" w:hAnsi="黑体" w:eastAsia="黑体" w:cs="黑体"/>
          <w:sz w:val="32"/>
          <w:szCs w:val="32"/>
        </w:rPr>
      </w:pPr>
      <w:bookmarkStart w:id="18" w:name="_Toc15396603"/>
      <w:bookmarkStart w:id="19" w:name="_Toc15377205"/>
      <w:r>
        <w:rPr>
          <w:rFonts w:hint="eastAsia" w:ascii="黑体" w:hAnsi="黑体" w:eastAsia="黑体" w:cs="黑体"/>
          <w:sz w:val="32"/>
          <w:szCs w:val="32"/>
        </w:rPr>
        <w:t>一、收入支出决算总体情况说明</w:t>
      </w:r>
      <w:bookmarkEnd w:id="18"/>
      <w:bookmarkEnd w:id="19"/>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2021年度收、支总计</w:t>
      </w:r>
      <w:r>
        <w:rPr>
          <w:rFonts w:hint="eastAsia" w:ascii="仿宋_GB2312" w:hAnsi="仿宋_GB2312" w:eastAsia="仿宋_GB2312" w:cs="仿宋_GB2312"/>
          <w:b/>
          <w:bCs/>
          <w:color w:val="F2F2F2" w:themeColor="background1" w:themeShade="F2"/>
          <w:sz w:val="32"/>
          <w:szCs w:val="32"/>
          <w:highlight w:val="lightGray"/>
          <w:shd w:val="clear" w:fill="FFFFFF" w:themeFill="background1"/>
          <w:lang w:val="en-US" w:eastAsia="zh-CN"/>
        </w:rPr>
        <w:t>900.46</w:t>
      </w:r>
      <w:r>
        <w:rPr>
          <w:rFonts w:hint="eastAsia" w:ascii="仿宋_GB2312" w:hAnsi="仿宋_GB2312" w:eastAsia="仿宋_GB2312" w:cs="仿宋_GB2312"/>
          <w:sz w:val="32"/>
          <w:szCs w:val="32"/>
        </w:rPr>
        <w:t>万元。与2020年相比，收、支总计</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color w:val="F2F2F2" w:themeColor="background1" w:themeShade="F2"/>
          <w:sz w:val="32"/>
          <w:szCs w:val="32"/>
          <w:highlight w:val="lightGray"/>
          <w:shd w:val="clear" w:fill="FFFFFF" w:themeFill="background1"/>
          <w:lang w:val="en-US" w:eastAsia="zh-CN"/>
        </w:rPr>
        <w:t>26.21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highlight w:val="none"/>
          <w:shd w:val="clear" w:color="auto" w:fill="auto"/>
          <w:lang w:val="en-US" w:eastAsia="zh-CN"/>
        </w:rPr>
        <w:t>3.0</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rPr>
        <w:t>。主要变动原因是其他收入减少</w:t>
      </w:r>
      <w:r>
        <w:rPr>
          <w:rFonts w:hint="eastAsia" w:ascii="仿宋_GB2312" w:hAnsi="仿宋_GB2312" w:eastAsia="仿宋_GB2312" w:cs="仿宋_GB2312"/>
          <w:sz w:val="32"/>
          <w:szCs w:val="32"/>
          <w:lang w:eastAsia="zh-CN"/>
        </w:rPr>
        <w:t>，项目支出增加</w:t>
      </w:r>
      <w:r>
        <w:rPr>
          <w:rFonts w:hint="eastAsia" w:ascii="仿宋_GB2312" w:hAnsi="仿宋_GB2312" w:eastAsia="仿宋_GB2312" w:cs="仿宋_GB2312"/>
          <w:sz w:val="32"/>
          <w:szCs w:val="32"/>
        </w:rPr>
        <w:t>。（图1：收、支决算总计变动情况图）（柱状图）</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drawing>
          <wp:anchor distT="0" distB="0" distL="114300" distR="114300" simplePos="0" relativeHeight="251659264" behindDoc="0" locked="0" layoutInCell="1" allowOverlap="1">
            <wp:simplePos x="0" y="0"/>
            <wp:positionH relativeFrom="column">
              <wp:posOffset>4445</wp:posOffset>
            </wp:positionH>
            <wp:positionV relativeFrom="paragraph">
              <wp:posOffset>130810</wp:posOffset>
            </wp:positionV>
            <wp:extent cx="6184265" cy="4057650"/>
            <wp:effectExtent l="4445" t="5080" r="21590" b="1397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Start w:id="20" w:name="_Toc15377206"/>
      <w:bookmarkStart w:id="21" w:name="_Toc15396604"/>
      <w:r>
        <w:rPr>
          <w:rFonts w:hint="eastAsia" w:ascii="黑体" w:hAnsi="黑体" w:eastAsia="黑体" w:cs="黑体"/>
          <w:sz w:val="32"/>
          <w:szCs w:val="32"/>
          <w:lang w:val="en-US" w:eastAsia="zh-CN"/>
        </w:rPr>
        <w:t xml:space="preserve"> </w:t>
      </w:r>
    </w:p>
    <w:p>
      <w:pPr>
        <w:spacing w:line="576" w:lineRule="exact"/>
        <w:ind w:firstLine="640" w:firstLineChars="200"/>
        <w:rPr>
          <w:rFonts w:hint="eastAsia"/>
        </w:rPr>
      </w:pPr>
      <w:r>
        <w:rPr>
          <w:rFonts w:hint="eastAsia" w:ascii="黑体" w:hAnsi="黑体" w:eastAsia="黑体" w:cs="黑体"/>
          <w:sz w:val="32"/>
          <w:szCs w:val="32"/>
        </w:rPr>
        <w:t>二、收入决算情况说明</w:t>
      </w:r>
      <w:bookmarkEnd w:id="20"/>
      <w:bookmarkEnd w:id="21"/>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年收入合计700.42万元，其中：一般公共预算财政拨款收入302.69万元，占43.22%；政府性基金预算财政拨款收入0万元，占0%；国有资本经营预算财政拨款收入0万元，占0%；其他收入397.72万元，占56.78%。（图2：收入决算结构图）</w:t>
      </w:r>
    </w:p>
    <w:p>
      <w:pPr>
        <w:spacing w:line="576" w:lineRule="exact"/>
        <w:rPr>
          <w:rFonts w:hint="eastAsia" w:ascii="黑体" w:hAnsi="黑体" w:eastAsia="黑体" w:cs="黑体"/>
          <w:sz w:val="32"/>
          <w:szCs w:val="32"/>
        </w:rPr>
      </w:pPr>
      <w:r>
        <w:rPr>
          <w:rFonts w:hint="eastAsia" w:eastAsia="仿宋"/>
        </w:rPr>
        <w:drawing>
          <wp:anchor distT="0" distB="0" distL="114300" distR="114300" simplePos="0" relativeHeight="251660288" behindDoc="0" locked="0" layoutInCell="1" allowOverlap="1">
            <wp:simplePos x="0" y="0"/>
            <wp:positionH relativeFrom="column">
              <wp:posOffset>4445</wp:posOffset>
            </wp:positionH>
            <wp:positionV relativeFrom="paragraph">
              <wp:posOffset>142240</wp:posOffset>
            </wp:positionV>
            <wp:extent cx="5194300" cy="4381500"/>
            <wp:effectExtent l="4445" t="4445" r="2095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2" w:name="_Toc15396605"/>
      <w:bookmarkStart w:id="23" w:name="_Toc15377207"/>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三、支出决算情况说明</w:t>
      </w:r>
      <w:bookmarkEnd w:id="22"/>
      <w:bookmarkEnd w:id="23"/>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2021年本年支出合计900.46万元，其中：基本支出300.89万元，占33.42%；项目支出599.57万元，占66.58%。（图3：支出决算结构图）</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Fonts w:hint="eastAsia" w:ascii="黑体" w:hAnsi="黑体" w:eastAsia="黑体"/>
          <w:sz w:val="32"/>
          <w:szCs w:val="32"/>
        </w:rPr>
      </w:pPr>
      <w:bookmarkStart w:id="24" w:name="_Toc15377208"/>
      <w:bookmarkStart w:id="25" w:name="_Toc15396606"/>
    </w:p>
    <w:p>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21年财政拨款收、支总计302.69万元。与</w:t>
      </w:r>
      <w:r>
        <w:rPr>
          <w:rFonts w:ascii="仿宋" w:hAnsi="仿宋" w:eastAsia="仿宋"/>
          <w:sz w:val="32"/>
          <w:szCs w:val="32"/>
        </w:rPr>
        <w:t>20</w:t>
      </w:r>
      <w:r>
        <w:rPr>
          <w:rFonts w:hint="eastAsia" w:ascii="仿宋" w:hAnsi="仿宋" w:eastAsia="仿宋"/>
          <w:sz w:val="32"/>
          <w:szCs w:val="32"/>
        </w:rPr>
        <w:t>20年相比，财政拨款收、支总计增加66.87万元，增长28.36</w:t>
      </w:r>
      <w:r>
        <w:rPr>
          <w:rFonts w:ascii="仿宋" w:hAnsi="仿宋" w:eastAsia="仿宋"/>
          <w:sz w:val="32"/>
          <w:szCs w:val="32"/>
        </w:rPr>
        <w:t>%</w:t>
      </w:r>
      <w:r>
        <w:rPr>
          <w:rFonts w:hint="eastAsia" w:ascii="仿宋" w:hAnsi="仿宋" w:eastAsia="仿宋"/>
          <w:sz w:val="32"/>
          <w:szCs w:val="32"/>
        </w:rPr>
        <w:t>。主要变动原因是人员增加。（图4：财政拨款收、支决算总计变动情况）</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rPr>
          <w:rFonts w:hint="eastAsia" w:ascii="黑体" w:hAnsi="黑体" w:eastAsia="黑体" w:cs="黑体"/>
          <w:sz w:val="32"/>
          <w:szCs w:val="32"/>
        </w:rPr>
      </w:pPr>
      <w:bookmarkStart w:id="26" w:name="_Toc15377209"/>
      <w:bookmarkStart w:id="27" w:name="_Toc15396607"/>
    </w:p>
    <w:p>
      <w:pPr>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五、一般公共预算财政拨款支出决算情况说明</w:t>
      </w:r>
      <w:bookmarkEnd w:id="26"/>
      <w:bookmarkEnd w:id="27"/>
      <w:bookmarkStart w:id="28" w:name="_Toc15377210"/>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（一）一般公共预算财政拨款支出决算总体情况</w:t>
      </w:r>
      <w:bookmarkEnd w:id="28"/>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支出302.69万元，占本年支出合计的100%。与2020年相比，一般公共预算财政拨款支出增加66.87万元，增长28.36%。主要变动原因是人员增加。（图5：一般公共预算财政拨款支出决算变动情况）</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hint="eastAsia" w:ascii="楷体_GB2312" w:hAnsi="楷体_GB2312" w:eastAsia="楷体_GB2312" w:cs="楷体_GB2312"/>
          <w:b/>
          <w:sz w:val="32"/>
          <w:szCs w:val="32"/>
        </w:rPr>
      </w:pPr>
      <w:bookmarkStart w:id="29" w:name="_Toc15377211"/>
    </w:p>
    <w:p>
      <w:pPr>
        <w:spacing w:line="600" w:lineRule="exact"/>
        <w:ind w:firstLine="643" w:firstLineChars="200"/>
        <w:outlineLvl w:val="2"/>
        <w:rPr>
          <w:rFonts w:ascii="楷体_GB2312" w:hAnsi="楷体_GB2312" w:eastAsia="楷体_GB2312" w:cs="楷体_GB2312"/>
          <w:b/>
          <w:sz w:val="32"/>
          <w:szCs w:val="32"/>
        </w:rPr>
      </w:pPr>
      <w:r>
        <w:rPr>
          <w:rFonts w:hint="eastAsia" w:ascii="楷体_GB2312" w:hAnsi="楷体_GB2312" w:eastAsia="楷体_GB2312" w:cs="楷体_GB2312"/>
          <w:b/>
          <w:sz w:val="32"/>
          <w:szCs w:val="32"/>
        </w:rPr>
        <w:t>（二）一般公共预算财政拨款支出决算结构情况</w:t>
      </w:r>
      <w:bookmarkEnd w:id="29"/>
    </w:p>
    <w:p>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21年一般公共预算财政拨款支出302.69万元，主要用于以下方面</w:t>
      </w:r>
      <w:r>
        <w:rPr>
          <w:rFonts w:ascii="仿宋" w:hAnsi="仿宋" w:eastAsia="仿宋"/>
          <w:sz w:val="32"/>
          <w:szCs w:val="32"/>
        </w:rPr>
        <w:t>:</w:t>
      </w:r>
      <w:r>
        <w:rPr>
          <w:rFonts w:hint="eastAsia" w:ascii="仿宋" w:hAnsi="仿宋" w:eastAsia="仿宋"/>
          <w:b/>
          <w:sz w:val="32"/>
          <w:szCs w:val="32"/>
        </w:rPr>
        <w:t>自然资源气象（类）</w:t>
      </w:r>
      <w:r>
        <w:rPr>
          <w:rFonts w:hint="eastAsia" w:ascii="仿宋" w:hAnsi="仿宋" w:eastAsia="仿宋"/>
          <w:sz w:val="32"/>
          <w:szCs w:val="32"/>
        </w:rPr>
        <w:t>支出210.25万元，占69.45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支出63.8</w:t>
      </w:r>
      <w:r>
        <w:rPr>
          <w:rFonts w:hint="eastAsia" w:ascii="仿宋" w:hAnsi="仿宋" w:eastAsia="仿宋"/>
          <w:sz w:val="32"/>
          <w:szCs w:val="32"/>
          <w:lang w:val="en-US" w:eastAsia="zh-CN"/>
        </w:rPr>
        <w:t>0</w:t>
      </w:r>
      <w:r>
        <w:rPr>
          <w:rFonts w:hint="eastAsia" w:ascii="仿宋" w:hAnsi="仿宋" w:eastAsia="仿宋"/>
          <w:sz w:val="32"/>
          <w:szCs w:val="32"/>
        </w:rPr>
        <w:t>万元，占21.08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9.98万元，占3.31</w:t>
      </w:r>
      <w:r>
        <w:rPr>
          <w:rFonts w:ascii="仿宋" w:hAnsi="仿宋" w:eastAsia="仿宋"/>
          <w:sz w:val="32"/>
          <w:szCs w:val="32"/>
        </w:rPr>
        <w:t>%</w:t>
      </w:r>
      <w:r>
        <w:rPr>
          <w:rFonts w:hint="eastAsia" w:ascii="仿宋" w:hAnsi="仿宋" w:eastAsia="仿宋"/>
          <w:sz w:val="32"/>
          <w:szCs w:val="32"/>
        </w:rPr>
        <w:t>；住房保障支出18.66万元，占6.16</w:t>
      </w:r>
      <w:r>
        <w:rPr>
          <w:rFonts w:ascii="仿宋" w:hAnsi="仿宋" w:eastAsia="仿宋"/>
          <w:sz w:val="32"/>
          <w:szCs w:val="32"/>
        </w:rPr>
        <w:t>%</w:t>
      </w:r>
      <w:r>
        <w:rPr>
          <w:rFonts w:hint="eastAsia" w:ascii="仿宋" w:hAnsi="仿宋" w:eastAsia="仿宋"/>
          <w:sz w:val="32"/>
          <w:szCs w:val="32"/>
        </w:rPr>
        <w:t>。（图6：一般公共预算财政拨款支出决算结构）</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rPr>
          <w:rFonts w:ascii="仿宋" w:hAnsi="仿宋" w:eastAsia="仿宋"/>
          <w:sz w:val="32"/>
          <w:szCs w:val="32"/>
        </w:rPr>
      </w:pPr>
    </w:p>
    <w:p>
      <w:pPr>
        <w:spacing w:line="576" w:lineRule="exact"/>
        <w:ind w:firstLine="643" w:firstLineChars="200"/>
        <w:outlineLvl w:val="2"/>
        <w:rPr>
          <w:rFonts w:ascii="楷体_GB2312" w:hAnsi="楷体_GB2312" w:eastAsia="楷体_GB2312" w:cs="楷体_GB2312"/>
          <w:b/>
          <w:sz w:val="32"/>
          <w:szCs w:val="32"/>
        </w:rPr>
      </w:pPr>
      <w:bookmarkStart w:id="30" w:name="_Toc15377212"/>
      <w:r>
        <w:rPr>
          <w:rFonts w:hint="eastAsia" w:ascii="楷体_GB2312" w:hAnsi="楷体_GB2312" w:eastAsia="楷体_GB2312" w:cs="楷体_GB2312"/>
          <w:b/>
          <w:sz w:val="32"/>
          <w:szCs w:val="32"/>
        </w:rPr>
        <w:t>（三）一般公共预算财政拨款支出决算具体情况</w:t>
      </w:r>
      <w:bookmarkEnd w:id="30"/>
    </w:p>
    <w:p>
      <w:pPr>
        <w:spacing w:line="576"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2021年一般公共预算支出决算数为302.69万元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numPr>
          <w:ilvl w:val="0"/>
          <w:numId w:val="1"/>
        </w:numPr>
        <w:spacing w:line="576"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自然资源气象等支出（类）自然资源事务（款）行政运行（项）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支出决算为177.67万元，完成预算100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576"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2.自然资源气象等支出（类）自然资源事务（款）机关服务（项）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支出决算为30.78万元，完成预算100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576"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社会保障和就业（类）人力资源和社会保障管理事务（款）其他人力资源和社会保障管理事务（项）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576" w:lineRule="exact"/>
        <w:ind w:firstLine="640" w:firstLineChars="200"/>
        <w:rPr>
          <w:rStyle w:val="15"/>
          <w:rFonts w:ascii="仿宋" w:hAnsi="仿宋" w:eastAsia="仿宋"/>
          <w:b w:val="0"/>
          <w:bCs/>
          <w:sz w:val="32"/>
          <w:szCs w:val="32"/>
        </w:rPr>
      </w:pPr>
      <w:r>
        <w:rPr>
          <w:rStyle w:val="15"/>
          <w:rFonts w:hint="eastAsia" w:ascii="仿宋" w:hAnsi="仿宋" w:eastAsia="仿宋"/>
          <w:b w:val="0"/>
          <w:bCs/>
          <w:sz w:val="32"/>
          <w:szCs w:val="32"/>
        </w:rPr>
        <w:t>4.</w:t>
      </w:r>
      <w:r>
        <w:rPr>
          <w:rStyle w:val="15"/>
          <w:rFonts w:hint="eastAsia" w:ascii="仿宋" w:hAnsi="仿宋" w:eastAsia="仿宋"/>
          <w:bCs/>
          <w:sz w:val="32"/>
          <w:szCs w:val="32"/>
        </w:rPr>
        <w:t>社会保障和就业（类）人力资源和社会保障管理事务（款）行政事业单位养老支出（项）:</w:t>
      </w:r>
      <w:r>
        <w:rPr>
          <w:rStyle w:val="15"/>
          <w:rFonts w:hint="eastAsia" w:ascii="仿宋" w:hAnsi="仿宋" w:eastAsia="仿宋"/>
          <w:b w:val="0"/>
          <w:bCs/>
          <w:sz w:val="32"/>
          <w:szCs w:val="32"/>
        </w:rPr>
        <w:t>支出决算为18.30万元，完成预算100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576"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5.社会保障和就业（类）人力资源和社会保障管理事务（款）机关事业单位职业年金缴费支出（项）:</w:t>
      </w:r>
      <w:r>
        <w:rPr>
          <w:rStyle w:val="15"/>
          <w:rFonts w:hint="eastAsia" w:ascii="仿宋" w:hAnsi="仿宋" w:eastAsia="仿宋"/>
          <w:b w:val="0"/>
          <w:bCs/>
          <w:sz w:val="32"/>
          <w:szCs w:val="32"/>
        </w:rPr>
        <w:t>支出决算为14.25万元，完成预算100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576" w:lineRule="exact"/>
        <w:ind w:firstLine="640" w:firstLineChars="200"/>
        <w:rPr>
          <w:rStyle w:val="15"/>
          <w:rFonts w:ascii="仿宋" w:hAnsi="仿宋" w:eastAsia="仿宋"/>
          <w:b w:val="0"/>
          <w:bCs/>
          <w:sz w:val="32"/>
          <w:szCs w:val="32"/>
        </w:rPr>
      </w:pPr>
      <w:r>
        <w:rPr>
          <w:rStyle w:val="15"/>
          <w:rFonts w:hint="eastAsia" w:ascii="仿宋" w:hAnsi="仿宋" w:eastAsia="仿宋"/>
          <w:b w:val="0"/>
          <w:bCs/>
          <w:sz w:val="32"/>
          <w:szCs w:val="32"/>
        </w:rPr>
        <w:t>6.</w:t>
      </w:r>
      <w:r>
        <w:rPr>
          <w:rStyle w:val="15"/>
          <w:rFonts w:hint="eastAsia" w:ascii="仿宋" w:hAnsi="仿宋" w:eastAsia="仿宋"/>
          <w:bCs/>
          <w:sz w:val="32"/>
          <w:szCs w:val="32"/>
        </w:rPr>
        <w:t>社会保障和就业（类）抚恤（款）死亡抚恤支出（项）:</w:t>
      </w:r>
      <w:r>
        <w:rPr>
          <w:rStyle w:val="15"/>
          <w:rFonts w:hint="eastAsia" w:ascii="仿宋" w:hAnsi="仿宋" w:eastAsia="仿宋"/>
          <w:b w:val="0"/>
          <w:bCs/>
          <w:sz w:val="32"/>
          <w:szCs w:val="32"/>
        </w:rPr>
        <w:t>支出决算为19.72万元，完成预算100</w:t>
      </w:r>
      <w:r>
        <w:rPr>
          <w:rStyle w:val="15"/>
          <w:rFonts w:ascii="仿宋" w:hAnsi="仿宋" w:eastAsia="仿宋"/>
          <w:b w:val="0"/>
          <w:bCs/>
          <w:sz w:val="32"/>
          <w:szCs w:val="32"/>
        </w:rPr>
        <w:t>%</w:t>
      </w:r>
    </w:p>
    <w:p>
      <w:pPr>
        <w:spacing w:line="576" w:lineRule="exact"/>
        <w:ind w:firstLine="640" w:firstLineChars="200"/>
        <w:rPr>
          <w:rStyle w:val="15"/>
          <w:rFonts w:ascii="仿宋" w:hAnsi="仿宋" w:eastAsia="仿宋"/>
          <w:b w:val="0"/>
          <w:bCs/>
          <w:sz w:val="32"/>
          <w:szCs w:val="32"/>
        </w:rPr>
      </w:pPr>
      <w:r>
        <w:rPr>
          <w:rStyle w:val="15"/>
          <w:rFonts w:hint="eastAsia" w:ascii="仿宋" w:hAnsi="仿宋" w:eastAsia="仿宋"/>
          <w:b w:val="0"/>
          <w:bCs/>
          <w:sz w:val="32"/>
          <w:szCs w:val="32"/>
        </w:rPr>
        <w:t>7.</w:t>
      </w:r>
      <w:r>
        <w:rPr>
          <w:rStyle w:val="15"/>
          <w:rFonts w:hint="eastAsia" w:ascii="仿宋" w:hAnsi="仿宋" w:eastAsia="仿宋"/>
          <w:bCs/>
          <w:sz w:val="32"/>
          <w:szCs w:val="32"/>
        </w:rPr>
        <w:t>社会保障和就业（类）其他社会保障就业支出（款）其他社会保障就业支出（项）:</w:t>
      </w:r>
      <w:r>
        <w:rPr>
          <w:rStyle w:val="15"/>
          <w:rFonts w:hint="eastAsia" w:ascii="仿宋" w:hAnsi="仿宋" w:eastAsia="仿宋"/>
          <w:b w:val="0"/>
          <w:bCs/>
          <w:sz w:val="32"/>
          <w:szCs w:val="32"/>
        </w:rPr>
        <w:t>支出决算为7.53万元，完成预算100</w:t>
      </w:r>
      <w:r>
        <w:rPr>
          <w:rStyle w:val="15"/>
          <w:rFonts w:ascii="仿宋" w:hAnsi="仿宋" w:eastAsia="仿宋"/>
          <w:b w:val="0"/>
          <w:bCs/>
          <w:sz w:val="32"/>
          <w:szCs w:val="32"/>
        </w:rPr>
        <w:t>%</w:t>
      </w:r>
    </w:p>
    <w:p>
      <w:pPr>
        <w:spacing w:line="576"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8</w:t>
      </w:r>
      <w:r>
        <w:rPr>
          <w:rStyle w:val="15"/>
          <w:rFonts w:ascii="仿宋" w:hAnsi="仿宋" w:eastAsia="仿宋"/>
          <w:bCs/>
          <w:sz w:val="32"/>
          <w:szCs w:val="32"/>
        </w:rPr>
        <w:t>.</w:t>
      </w: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（类）行政事业单位医疗（款）行政单位医疗（项）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支出决算为9.98万元，完成预算100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576" w:lineRule="exact"/>
        <w:rPr>
          <w:rFonts w:eastAsia="仿宋"/>
        </w:rPr>
      </w:pPr>
      <w:r>
        <w:rPr>
          <w:rStyle w:val="15"/>
          <w:rFonts w:hint="eastAsia" w:ascii="仿宋" w:hAnsi="仿宋" w:eastAsia="仿宋"/>
          <w:b w:val="0"/>
          <w:bCs/>
          <w:sz w:val="32"/>
          <w:szCs w:val="32"/>
        </w:rPr>
        <w:t>9.住房保障支出（类）住房改革支出（款）住房公积金支出（项）支出决算为18.66万元，完成预算100%。</w:t>
      </w:r>
    </w:p>
    <w:p>
      <w:pPr>
        <w:tabs>
          <w:tab w:val="right" w:pos="8306"/>
        </w:tabs>
        <w:spacing w:line="576" w:lineRule="exact"/>
        <w:ind w:firstLine="640"/>
        <w:outlineLvl w:val="1"/>
        <w:rPr>
          <w:rStyle w:val="26"/>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576"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21年一般公共预算财政拨款基本支出300.89万元，其中：</w:t>
      </w:r>
    </w:p>
    <w:p>
      <w:pPr>
        <w:spacing w:line="576" w:lineRule="exact"/>
        <w:ind w:firstLine="645"/>
        <w:rPr>
          <w:rFonts w:ascii="仿宋" w:hAnsi="仿宋" w:eastAsia="仿宋"/>
          <w:sz w:val="32"/>
          <w:szCs w:val="32"/>
          <w:highlight w:val="yellow"/>
        </w:rPr>
      </w:pPr>
      <w:r>
        <w:rPr>
          <w:rFonts w:hint="eastAsia" w:ascii="仿宋" w:hAnsi="仿宋" w:eastAsia="仿宋"/>
          <w:sz w:val="32"/>
          <w:szCs w:val="32"/>
        </w:rPr>
        <w:t>人员经费264.32万元，主要包括：</w:t>
      </w:r>
      <w:r>
        <w:rPr>
          <w:rFonts w:hint="eastAsia" w:ascii="仿宋" w:hAnsi="仿宋" w:eastAsia="仿宋"/>
          <w:sz w:val="32"/>
          <w:szCs w:val="32"/>
          <w:highlight w:val="none"/>
        </w:rPr>
        <w:t>基本工资、津贴补贴、奖金、绩效工资、机关事业单位基本养老保险缴费、职业年金缴费、</w:t>
      </w:r>
      <w:r>
        <w:rPr>
          <w:rFonts w:hint="eastAsia" w:ascii="仿宋" w:hAnsi="仿宋" w:eastAsia="仿宋"/>
          <w:sz w:val="32"/>
          <w:szCs w:val="32"/>
          <w:highlight w:val="none"/>
          <w:lang w:eastAsia="zh-CN"/>
        </w:rPr>
        <w:t>职工基本医疗保险缴费、</w:t>
      </w:r>
      <w:r>
        <w:rPr>
          <w:rFonts w:hint="eastAsia" w:ascii="仿宋" w:hAnsi="仿宋" w:eastAsia="仿宋"/>
          <w:sz w:val="32"/>
          <w:szCs w:val="32"/>
          <w:highlight w:val="none"/>
        </w:rPr>
        <w:t>其他社会保障缴费、</w:t>
      </w:r>
      <w:r>
        <w:rPr>
          <w:rFonts w:hint="eastAsia" w:ascii="仿宋" w:hAnsi="仿宋" w:eastAsia="仿宋"/>
          <w:sz w:val="32"/>
          <w:szCs w:val="32"/>
          <w:highlight w:val="none"/>
          <w:lang w:eastAsia="zh-CN"/>
        </w:rPr>
        <w:t>住房公积金、</w:t>
      </w:r>
      <w:r>
        <w:rPr>
          <w:rFonts w:hint="eastAsia" w:ascii="仿宋" w:hAnsi="仿宋" w:eastAsia="仿宋"/>
          <w:sz w:val="32"/>
          <w:szCs w:val="32"/>
          <w:highlight w:val="none"/>
        </w:rPr>
        <w:t>其他工资福利支出、抚恤金、生活补助、奖励金、其他对个人和家庭的补助支出等。</w:t>
      </w:r>
    </w:p>
    <w:p>
      <w:pPr>
        <w:spacing w:line="576" w:lineRule="exact"/>
        <w:ind w:firstLine="645"/>
        <w:rPr>
          <w:rFonts w:hint="default" w:ascii="仿宋" w:hAnsi="仿宋" w:eastAsia="仿宋"/>
          <w:sz w:val="32"/>
          <w:szCs w:val="32"/>
          <w:highlight w:val="none"/>
          <w:lang w:val="en-US" w:eastAsia="zh-CN"/>
        </w:rPr>
      </w:pPr>
      <w:r>
        <w:rPr>
          <w:rFonts w:hint="eastAsia" w:ascii="仿宋" w:hAnsi="仿宋" w:eastAsia="仿宋"/>
          <w:sz w:val="32"/>
          <w:szCs w:val="32"/>
        </w:rPr>
        <w:t>公用经费36.57万元，主要包括：</w:t>
      </w:r>
      <w:r>
        <w:rPr>
          <w:rFonts w:hint="eastAsia" w:ascii="仿宋" w:hAnsi="仿宋" w:eastAsia="仿宋"/>
          <w:sz w:val="32"/>
          <w:szCs w:val="32"/>
          <w:highlight w:val="none"/>
        </w:rPr>
        <w:t>办公费、印刷费、手续费、水费、邮电费、差旅费、维修（护）费、租赁费、会议费、培训费、公务接待费、劳务费、工会经费、福利费、其他交通费、其他商品和服务支出等。</w:t>
      </w:r>
    </w:p>
    <w:p>
      <w:pPr>
        <w:spacing w:line="576"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576"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576"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21年“三公”经费财政拨款支出决算为0.39万元，完成预算100</w:t>
      </w:r>
      <w:r>
        <w:rPr>
          <w:rFonts w:ascii="仿宋" w:hAnsi="仿宋" w:eastAsia="仿宋"/>
          <w:sz w:val="32"/>
          <w:szCs w:val="32"/>
        </w:rPr>
        <w:t>%</w:t>
      </w:r>
      <w:r>
        <w:rPr>
          <w:rFonts w:hint="eastAsia" w:ascii="仿宋" w:hAnsi="仿宋" w:eastAsia="仿宋"/>
          <w:sz w:val="32"/>
          <w:szCs w:val="32"/>
        </w:rPr>
        <w:t>。</w:t>
      </w:r>
    </w:p>
    <w:p>
      <w:pPr>
        <w:spacing w:line="576"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576"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；公务接待费支出决算0.39万元，占100</w:t>
      </w:r>
      <w:r>
        <w:rPr>
          <w:rFonts w:ascii="仿宋" w:hAnsi="仿宋" w:eastAsia="仿宋"/>
          <w:sz w:val="32"/>
          <w:szCs w:val="32"/>
        </w:rPr>
        <w:t>%</w:t>
      </w:r>
      <w:r>
        <w:rPr>
          <w:rFonts w:hint="eastAsia" w:ascii="仿宋" w:hAnsi="仿宋" w:eastAsia="仿宋"/>
          <w:sz w:val="32"/>
          <w:szCs w:val="32"/>
        </w:rPr>
        <w:t>。具体情况如下：（图7：“三公”经费财政拨款支出结构）</w:t>
      </w:r>
    </w:p>
    <w:p>
      <w:pPr>
        <w:pStyle w:val="2"/>
        <w:spacing w:before="93"/>
        <w:rPr>
          <w:rFonts w:ascii="仿宋" w:hAnsi="仿宋" w:eastAsia="仿宋"/>
          <w:sz w:val="32"/>
          <w:szCs w:val="32"/>
        </w:rPr>
      </w:pP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rPr>
          <w:rFonts w:ascii="仿宋" w:hAnsi="仿宋" w:eastAsia="仿宋"/>
          <w:sz w:val="32"/>
          <w:szCs w:val="32"/>
        </w:rPr>
      </w:pPr>
    </w:p>
    <w:p>
      <w:pPr>
        <w:numPr>
          <w:ilvl w:val="0"/>
          <w:numId w:val="2"/>
        </w:numPr>
        <w:spacing w:line="600" w:lineRule="exact"/>
        <w:ind w:firstLine="640"/>
        <w:rPr>
          <w:rFonts w:ascii="仿宋_GB2312" w:eastAsia="仿宋_GB2312"/>
          <w:sz w:val="32"/>
          <w:szCs w:val="32"/>
        </w:rPr>
      </w:pP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年初未安排预算。</w:t>
      </w:r>
      <w:r>
        <w:rPr>
          <w:rFonts w:hint="eastAsia" w:ascii="仿宋_GB2312" w:eastAsia="仿宋_GB2312"/>
          <w:sz w:val="32"/>
          <w:szCs w:val="32"/>
        </w:rPr>
        <w:t>因公出国（境）支出决算比</w:t>
      </w:r>
      <w:r>
        <w:rPr>
          <w:rFonts w:ascii="仿宋_GB2312" w:eastAsia="仿宋_GB2312"/>
          <w:sz w:val="32"/>
          <w:szCs w:val="32"/>
        </w:rPr>
        <w:t>20</w:t>
      </w:r>
      <w:r>
        <w:rPr>
          <w:rFonts w:hint="eastAsia" w:ascii="仿宋_GB2312" w:eastAsia="仿宋_GB2312"/>
          <w:sz w:val="32"/>
          <w:szCs w:val="32"/>
        </w:rPr>
        <w:t>20年无变化。</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年初未安排预算。</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20年无变化。</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_GB2312" w:eastAsia="仿宋_GB2312"/>
          <w:sz w:val="32"/>
          <w:szCs w:val="32"/>
          <w:lang w:val="en-US" w:eastAsia="zh-CN"/>
        </w:rPr>
        <w:t>截至2021年12月31日，</w:t>
      </w:r>
      <w:r>
        <w:rPr>
          <w:rFonts w:hint="eastAsia" w:ascii="仿宋_GB2312" w:eastAsia="仿宋_GB2312"/>
          <w:sz w:val="32"/>
          <w:szCs w:val="32"/>
        </w:rPr>
        <w:t>本单位无公务用车。</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0.39万元，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val="en-US" w:eastAsia="zh-CN"/>
        </w:rPr>
        <w:t>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0.39</w:t>
      </w:r>
      <w:r>
        <w:rPr>
          <w:rFonts w:hint="eastAsia" w:ascii="仿宋_GB2312" w:eastAsia="仿宋_GB2312"/>
          <w:sz w:val="32"/>
          <w:szCs w:val="32"/>
        </w:rPr>
        <w:t>万元，主要用于执行公务、业务活动用餐费等)。国内公务接待6批次，35人次（不包括陪同人员），共计支出0.39万元，具体内容包括：接待各县区局业务学习工作餐费。</w:t>
      </w:r>
    </w:p>
    <w:p>
      <w:pPr>
        <w:spacing w:line="600" w:lineRule="exact"/>
        <w:ind w:firstLine="640"/>
        <w:outlineLvl w:val="1"/>
        <w:rPr>
          <w:rStyle w:val="26"/>
          <w:rFonts w:ascii="黑体" w:hAnsi="黑体" w:eastAsia="黑体"/>
        </w:rPr>
      </w:pPr>
      <w:bookmarkStart w:id="40" w:name="_Toc15396610"/>
      <w:bookmarkStart w:id="41"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3"/>
        </w:numPr>
        <w:spacing w:line="600" w:lineRule="exact"/>
        <w:ind w:firstLine="640"/>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0项目（项目名称）等0个项目开展了预算事前绩效评估，对1个项目编制了绩效目标，预算执行过程中，选取1个项目开展绩效监控，年终执行完毕后，对1个项目开展了绩效自评，2021年部门预算项目绩效目标自评表见附件（第四部分）。</w:t>
      </w:r>
    </w:p>
    <w:p>
      <w:pPr>
        <w:numPr>
          <w:ilvl w:val="0"/>
          <w:numId w:val="3"/>
        </w:numPr>
        <w:spacing w:line="600" w:lineRule="exact"/>
        <w:ind w:firstLine="640"/>
        <w:outlineLvl w:val="1"/>
        <w:rPr>
          <w:rStyle w:val="26"/>
          <w:rFonts w:ascii="黑体" w:hAnsi="黑体" w:eastAsia="黑体"/>
          <w:b w:val="0"/>
        </w:rPr>
      </w:pPr>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21年，本单位机关运行经费支出36.57万元，比</w:t>
      </w:r>
      <w:r>
        <w:rPr>
          <w:rFonts w:ascii="仿宋_GB2312" w:eastAsia="仿宋_GB2312"/>
          <w:sz w:val="32"/>
          <w:szCs w:val="32"/>
        </w:rPr>
        <w:t>20</w:t>
      </w:r>
      <w:r>
        <w:rPr>
          <w:rFonts w:hint="eastAsia" w:ascii="仿宋_GB2312" w:eastAsia="仿宋_GB2312"/>
          <w:sz w:val="32"/>
          <w:szCs w:val="32"/>
        </w:rPr>
        <w:t>20年增加0.96万元，增长2.6</w:t>
      </w:r>
      <w:r>
        <w:rPr>
          <w:rFonts w:ascii="仿宋_GB2312" w:eastAsia="仿宋_GB2312"/>
          <w:sz w:val="32"/>
          <w:szCs w:val="32"/>
        </w:rPr>
        <w:t>%</w:t>
      </w:r>
      <w:r>
        <w:rPr>
          <w:rFonts w:hint="eastAsia" w:ascii="仿宋_GB2312" w:eastAsia="仿宋_GB2312"/>
          <w:sz w:val="32"/>
          <w:szCs w:val="32"/>
        </w:rPr>
        <w:t>。主要原因是人员增加。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21年，本单位政府采购支出总额0万元。</w:t>
      </w:r>
    </w:p>
    <w:p>
      <w:pPr>
        <w:pStyle w:val="2"/>
        <w:rPr>
          <w:rFonts w:hint="default" w:eastAsia="仿宋_GB2312"/>
          <w:lang w:val="en-US" w:eastAsia="zh-CN"/>
        </w:rPr>
      </w:pPr>
      <w:r>
        <w:rPr>
          <w:rFonts w:hint="eastAsia"/>
          <w:sz w:val="32"/>
          <w:szCs w:val="32"/>
          <w:lang w:val="en-US" w:eastAsia="zh-CN"/>
        </w:rPr>
        <w:t xml:space="preserve">    （注：数据来源财决附03表）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sz w:val="32"/>
          <w:szCs w:val="32"/>
          <w:highlight w:val="yellow"/>
          <w:lang w:val="en-US" w:eastAsia="zh-CN"/>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日，本单位无公务用车。</w:t>
      </w:r>
      <w:r>
        <w:rPr>
          <w:rFonts w:hint="eastAsia" w:ascii="仿宋_GB2312" w:eastAsia="仿宋_GB2312"/>
          <w:sz w:val="32"/>
          <w:szCs w:val="32"/>
          <w:lang w:eastAsia="zh-CN"/>
        </w:rPr>
        <w:t>车改后本单位无公务用车。</w:t>
      </w:r>
      <w:r>
        <w:rPr>
          <w:rFonts w:hint="default" w:ascii="仿宋_GB2312" w:hAnsi="Times New Roman" w:eastAsia="仿宋_GB2312" w:cs="仿宋_GB2312"/>
          <w:i w:val="0"/>
          <w:caps w:val="0"/>
          <w:color w:val="333333"/>
          <w:spacing w:val="0"/>
          <w:kern w:val="0"/>
          <w:sz w:val="32"/>
          <w:szCs w:val="32"/>
          <w:shd w:val="clear" w:color="auto" w:fill="FFFFFF"/>
          <w:lang w:val="en-US" w:eastAsia="zh-CN" w:bidi="ar"/>
        </w:rPr>
        <w:t>单位</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无</w:t>
      </w:r>
      <w:r>
        <w:rPr>
          <w:rFonts w:hint="default" w:ascii="仿宋_GB2312" w:hAnsi="Times New Roman" w:eastAsia="仿宋_GB2312" w:cs="仿宋_GB2312"/>
          <w:i w:val="0"/>
          <w:caps w:val="0"/>
          <w:color w:val="333333"/>
          <w:spacing w:val="0"/>
          <w:kern w:val="0"/>
          <w:sz w:val="32"/>
          <w:szCs w:val="32"/>
          <w:shd w:val="clear" w:color="auto" w:fill="FFFFFF"/>
          <w:lang w:val="en-US" w:eastAsia="zh-CN" w:bidi="ar"/>
        </w:rPr>
        <w:t>价值50万元以上大型设备</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w:t>
      </w:r>
    </w:p>
    <w:p>
      <w:pPr>
        <w:pStyle w:val="2"/>
        <w:rPr>
          <w:rFonts w:hint="default"/>
          <w:lang w:val="en-US" w:eastAsia="zh-CN"/>
        </w:rPr>
      </w:pP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其他收入：指单位取得的除上述收入以外的各项收入。主要是开发区财政拨款收入、利息收入等。</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社会保障和就业（类）人力资源和社会保障管理服务（款）其他人力资源和社会保障管理事务支出（项）：指其他人力和社会保障管理事务方面支出。</w:t>
      </w:r>
    </w:p>
    <w:p>
      <w:pPr>
        <w:pStyle w:val="2"/>
        <w:spacing w:before="93"/>
        <w:rPr>
          <w:sz w:val="32"/>
          <w:szCs w:val="32"/>
        </w:rPr>
      </w:pPr>
      <w:r>
        <w:rPr>
          <w:rFonts w:hint="eastAsia"/>
          <w:sz w:val="32"/>
          <w:szCs w:val="32"/>
        </w:rPr>
        <w:t xml:space="preserve">    </w:t>
      </w:r>
      <w:r>
        <w:rPr>
          <w:rFonts w:hint="eastAsia"/>
          <w:sz w:val="32"/>
          <w:szCs w:val="32"/>
          <w:lang w:val="en-US" w:eastAsia="zh-CN"/>
        </w:rPr>
        <w:t>6</w:t>
      </w:r>
      <w:r>
        <w:rPr>
          <w:rFonts w:hint="eastAsia"/>
          <w:sz w:val="32"/>
          <w:szCs w:val="32"/>
        </w:rPr>
        <w:t>.社会保障和就业（类）行政事业单位养老支出（款）机关事业单位基本养老保险费支出（项）：反映机关事业单位实施养老保险制度由单位实际缴纳的基本养老保险费支出。</w:t>
      </w:r>
    </w:p>
    <w:p>
      <w:pPr>
        <w:pStyle w:val="2"/>
        <w:spacing w:before="93"/>
        <w:rPr>
          <w:sz w:val="32"/>
          <w:szCs w:val="32"/>
        </w:rPr>
      </w:pPr>
      <w:r>
        <w:rPr>
          <w:rFonts w:hint="eastAsia"/>
          <w:sz w:val="32"/>
          <w:szCs w:val="32"/>
        </w:rPr>
        <w:t xml:space="preserve">    </w:t>
      </w:r>
      <w:r>
        <w:rPr>
          <w:rFonts w:hint="eastAsia"/>
          <w:sz w:val="32"/>
          <w:szCs w:val="32"/>
          <w:lang w:val="en-US" w:eastAsia="zh-CN"/>
        </w:rPr>
        <w:t>7</w:t>
      </w:r>
      <w:r>
        <w:rPr>
          <w:rFonts w:hint="eastAsia"/>
          <w:sz w:val="32"/>
          <w:szCs w:val="32"/>
        </w:rPr>
        <w:t>.社会保障和就业（类）行政事业单位养老支出（款）机关事业单位职业年金缴费（项）：反映机关事业单位实施养老保险制度由单位实际缴纳的职业年金支出。</w:t>
      </w:r>
    </w:p>
    <w:p>
      <w:pPr>
        <w:pStyle w:val="2"/>
        <w:spacing w:before="93"/>
        <w:ind w:firstLine="640"/>
        <w:rPr>
          <w:sz w:val="32"/>
          <w:szCs w:val="32"/>
        </w:rPr>
      </w:pPr>
      <w:r>
        <w:rPr>
          <w:rFonts w:hint="eastAsia"/>
          <w:sz w:val="32"/>
          <w:szCs w:val="32"/>
          <w:lang w:val="en-US" w:eastAsia="zh-CN"/>
        </w:rPr>
        <w:t>8</w:t>
      </w:r>
      <w:r>
        <w:rPr>
          <w:rFonts w:hint="eastAsia"/>
          <w:sz w:val="32"/>
          <w:szCs w:val="32"/>
        </w:rPr>
        <w:t>.社会保障和就业（类）抚恤（款）死亡抚恤（项）：反映单位病故人员家属的一次性抚恤金以及丧葬补助。</w:t>
      </w:r>
    </w:p>
    <w:p>
      <w:pPr>
        <w:pStyle w:val="2"/>
        <w:spacing w:before="93"/>
        <w:ind w:firstLine="640"/>
        <w:rPr>
          <w:b/>
          <w:bCs/>
          <w:sz w:val="32"/>
          <w:szCs w:val="32"/>
        </w:rPr>
      </w:pPr>
      <w:r>
        <w:rPr>
          <w:rFonts w:hint="eastAsia"/>
          <w:sz w:val="32"/>
          <w:szCs w:val="32"/>
          <w:lang w:val="en-US" w:eastAsia="zh-CN"/>
        </w:rPr>
        <w:t>9</w:t>
      </w:r>
      <w:r>
        <w:rPr>
          <w:rFonts w:hint="eastAsia"/>
          <w:sz w:val="32"/>
          <w:szCs w:val="32"/>
        </w:rPr>
        <w:t>.社会保障和就业（类）其他社会保障就业支出（款）其他社会保障就业支出（项）：是指机关事业单位除单位缴纳养老保险以外，由单位缴纳的其他社会保障缴费工伤保险缴费。</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.医疗卫生与计划生育（类）行政事业单位医疗（款）行政单位医疗（项）：指由单位缴纳基本医疗保险缴费。</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自然资源气象等（类）自然资源事务（款）行政运行（项）：指为保障行政单位（含参照公务员法管理的事业单位）的基本支出。</w:t>
      </w:r>
    </w:p>
    <w:p>
      <w:pPr>
        <w:pStyle w:val="2"/>
        <w:rPr>
          <w:rFonts w:hint="eastAsia"/>
          <w:sz w:val="32"/>
          <w:szCs w:val="32"/>
          <w:lang w:eastAsia="zh-CN"/>
        </w:rPr>
      </w:pPr>
      <w:r>
        <w:rPr>
          <w:rFonts w:hint="eastAsia"/>
          <w:sz w:val="32"/>
          <w:szCs w:val="32"/>
          <w:lang w:val="en-US" w:eastAsia="zh-CN"/>
        </w:rPr>
        <w:t xml:space="preserve">   12.</w:t>
      </w:r>
      <w:r>
        <w:rPr>
          <w:rFonts w:hint="eastAsia" w:ascii="仿宋_GB2312" w:eastAsia="仿宋_GB2312"/>
          <w:sz w:val="32"/>
          <w:szCs w:val="32"/>
        </w:rPr>
        <w:t>自然资源气象等（类）自然资源事务（款）</w:t>
      </w:r>
      <w:r>
        <w:rPr>
          <w:rFonts w:hint="eastAsia"/>
          <w:sz w:val="32"/>
          <w:szCs w:val="32"/>
          <w:lang w:eastAsia="zh-CN"/>
        </w:rPr>
        <w:t>一般行政管理事务</w:t>
      </w:r>
      <w:r>
        <w:rPr>
          <w:rFonts w:hint="eastAsia" w:ascii="仿宋_GB2312" w:eastAsia="仿宋_GB2312"/>
          <w:sz w:val="32"/>
          <w:szCs w:val="32"/>
        </w:rPr>
        <w:t>（项）</w:t>
      </w:r>
      <w:r>
        <w:rPr>
          <w:rFonts w:hint="eastAsia"/>
          <w:sz w:val="32"/>
          <w:szCs w:val="32"/>
          <w:lang w:eastAsia="zh-CN"/>
        </w:rPr>
        <w:t>：指</w:t>
      </w:r>
      <w:r>
        <w:rPr>
          <w:rFonts w:hint="eastAsia" w:ascii="仿宋_GB2312" w:eastAsia="仿宋_GB2312"/>
          <w:sz w:val="32"/>
          <w:szCs w:val="32"/>
        </w:rPr>
        <w:t>行政单位（含参照公务员法管理的事业单位）</w:t>
      </w:r>
      <w:r>
        <w:rPr>
          <w:rFonts w:hint="eastAsia"/>
          <w:sz w:val="32"/>
          <w:szCs w:val="32"/>
          <w:lang w:eastAsia="zh-CN"/>
        </w:rPr>
        <w:t>未单独设置项级科目的其他项目支出。</w:t>
      </w:r>
    </w:p>
    <w:p>
      <w:pPr>
        <w:pStyle w:val="2"/>
        <w:spacing w:before="93"/>
        <w:ind w:firstLine="320" w:firstLineChars="100"/>
      </w:pPr>
      <w:r>
        <w:rPr>
          <w:rFonts w:hint="eastAsia"/>
          <w:sz w:val="32"/>
          <w:szCs w:val="32"/>
          <w:lang w:val="en-US" w:eastAsia="zh-CN"/>
        </w:rPr>
        <w:t>13</w:t>
      </w:r>
      <w:r>
        <w:rPr>
          <w:rFonts w:hint="eastAsia"/>
          <w:sz w:val="32"/>
          <w:szCs w:val="32"/>
        </w:rPr>
        <w:t>.自然资源气象等（类）自然资源事务（款）机关服务（项）：指为保障行政单位（含参照公务员法管理的事业单位）的其他事业人员支出。</w:t>
      </w:r>
    </w:p>
    <w:p>
      <w:pPr>
        <w:pStyle w:val="2"/>
        <w:rPr>
          <w:rFonts w:hint="eastAsia"/>
          <w:sz w:val="32"/>
          <w:szCs w:val="32"/>
          <w:lang w:eastAsia="zh-CN"/>
        </w:rPr>
      </w:pPr>
      <w:r>
        <w:rPr>
          <w:rFonts w:hint="eastAsia"/>
          <w:sz w:val="32"/>
          <w:szCs w:val="32"/>
          <w:lang w:val="en-US" w:eastAsia="zh-CN"/>
        </w:rPr>
        <w:t xml:space="preserve">  14.</w:t>
      </w:r>
      <w:r>
        <w:rPr>
          <w:rFonts w:hint="eastAsia" w:ascii="仿宋_GB2312" w:eastAsia="仿宋_GB2312"/>
          <w:sz w:val="32"/>
          <w:szCs w:val="32"/>
        </w:rPr>
        <w:t>自然资源气象等（类）自然资源事务（款）</w:t>
      </w:r>
      <w:r>
        <w:rPr>
          <w:rFonts w:hint="eastAsia"/>
          <w:sz w:val="32"/>
          <w:szCs w:val="32"/>
          <w:lang w:eastAsia="zh-CN"/>
        </w:rPr>
        <w:t>自然资源规划及管理</w:t>
      </w:r>
      <w:r>
        <w:rPr>
          <w:rFonts w:hint="eastAsia" w:ascii="仿宋_GB2312" w:eastAsia="仿宋_GB2312"/>
          <w:sz w:val="32"/>
          <w:szCs w:val="32"/>
        </w:rPr>
        <w:t>（项）</w:t>
      </w:r>
      <w:r>
        <w:rPr>
          <w:rFonts w:hint="eastAsia"/>
          <w:sz w:val="32"/>
          <w:szCs w:val="32"/>
          <w:lang w:eastAsia="zh-CN"/>
        </w:rPr>
        <w:t>：指用于国土空间规划、国土空间开发适宜性评价等方面的支出。</w:t>
      </w:r>
    </w:p>
    <w:p>
      <w:pPr>
        <w:pStyle w:val="2"/>
        <w:ind w:firstLine="320" w:firstLineChars="100"/>
        <w:rPr>
          <w:rFonts w:hint="eastAsia"/>
          <w:sz w:val="32"/>
          <w:szCs w:val="32"/>
          <w:lang w:eastAsia="zh-CN"/>
        </w:rPr>
      </w:pPr>
      <w:r>
        <w:rPr>
          <w:rFonts w:hint="eastAsia"/>
          <w:sz w:val="32"/>
          <w:szCs w:val="32"/>
          <w:lang w:val="en-US" w:eastAsia="zh-CN"/>
        </w:rPr>
        <w:t>15.</w:t>
      </w:r>
      <w:r>
        <w:rPr>
          <w:rFonts w:hint="eastAsia" w:ascii="仿宋_GB2312" w:eastAsia="仿宋_GB2312"/>
          <w:sz w:val="32"/>
          <w:szCs w:val="32"/>
        </w:rPr>
        <w:t>自然资源气象等（类）自然资源事务（款）</w:t>
      </w:r>
      <w:r>
        <w:rPr>
          <w:rFonts w:hint="eastAsia"/>
          <w:sz w:val="32"/>
          <w:szCs w:val="32"/>
          <w:lang w:eastAsia="zh-CN"/>
        </w:rPr>
        <w:t>自然资源利用与保护</w:t>
      </w:r>
      <w:r>
        <w:rPr>
          <w:rFonts w:hint="eastAsia" w:ascii="仿宋_GB2312" w:eastAsia="仿宋_GB2312"/>
          <w:sz w:val="32"/>
          <w:szCs w:val="32"/>
        </w:rPr>
        <w:t>（项）</w:t>
      </w:r>
      <w:r>
        <w:rPr>
          <w:rFonts w:hint="eastAsia"/>
          <w:sz w:val="32"/>
          <w:szCs w:val="32"/>
          <w:lang w:eastAsia="zh-CN"/>
        </w:rPr>
        <w:t>：指用于自然资源有偿使用与合理开发利用，国土空间生态修复、耕地保护等方面的支出。</w:t>
      </w:r>
    </w:p>
    <w:p>
      <w:pPr>
        <w:pStyle w:val="2"/>
        <w:ind w:firstLine="320" w:firstLineChars="100"/>
        <w:rPr>
          <w:rFonts w:hint="eastAsia" w:eastAsia="仿宋_GB2312"/>
          <w:sz w:val="32"/>
          <w:szCs w:val="32"/>
          <w:lang w:eastAsia="zh-CN"/>
        </w:rPr>
      </w:pPr>
      <w:r>
        <w:rPr>
          <w:rFonts w:hint="eastAsia"/>
          <w:sz w:val="32"/>
          <w:szCs w:val="32"/>
          <w:lang w:val="en-US" w:eastAsia="zh-CN"/>
        </w:rPr>
        <w:t>16.</w:t>
      </w:r>
      <w:r>
        <w:rPr>
          <w:rFonts w:hint="eastAsia" w:ascii="仿宋_GB2312" w:eastAsia="仿宋_GB2312"/>
          <w:sz w:val="32"/>
          <w:szCs w:val="32"/>
        </w:rPr>
        <w:t>自然资源气象等（类）自然资源事务（款）</w:t>
      </w:r>
      <w:r>
        <w:rPr>
          <w:rFonts w:hint="eastAsia"/>
          <w:sz w:val="32"/>
          <w:szCs w:val="32"/>
          <w:lang w:eastAsia="zh-CN"/>
        </w:rPr>
        <w:t>其他自然资源事务支出</w:t>
      </w:r>
      <w:r>
        <w:rPr>
          <w:rFonts w:hint="eastAsia" w:ascii="仿宋_GB2312" w:eastAsia="仿宋_GB2312"/>
          <w:sz w:val="32"/>
          <w:szCs w:val="32"/>
        </w:rPr>
        <w:t>（项）</w:t>
      </w:r>
      <w:r>
        <w:rPr>
          <w:rFonts w:hint="eastAsia"/>
          <w:sz w:val="32"/>
          <w:szCs w:val="32"/>
          <w:lang w:eastAsia="zh-CN"/>
        </w:rPr>
        <w:t>：指除上述项目以外其他用于自然资源事务方面的支出。</w:t>
      </w:r>
    </w:p>
    <w:p>
      <w:pPr>
        <w:pStyle w:val="2"/>
        <w:spacing w:before="93"/>
      </w:pPr>
      <w:r>
        <w:rPr>
          <w:rFonts w:hint="eastAsia"/>
          <w:sz w:val="32"/>
          <w:szCs w:val="32"/>
          <w:lang w:val="en-US" w:eastAsia="zh-CN"/>
        </w:rPr>
        <w:t xml:space="preserve">  17.灾害防治及应急管理支出（</w:t>
      </w:r>
      <w:r>
        <w:rPr>
          <w:rFonts w:hint="eastAsia" w:ascii="仿宋_GB2312" w:eastAsia="仿宋_GB2312"/>
          <w:sz w:val="32"/>
          <w:szCs w:val="32"/>
        </w:rPr>
        <w:t>类</w:t>
      </w:r>
      <w:r>
        <w:rPr>
          <w:rFonts w:hint="eastAsia"/>
          <w:sz w:val="32"/>
          <w:szCs w:val="32"/>
          <w:lang w:val="en-US" w:eastAsia="zh-CN"/>
        </w:rPr>
        <w:t>）自然灾害防治</w:t>
      </w:r>
      <w:r>
        <w:rPr>
          <w:rFonts w:hint="eastAsia" w:ascii="仿宋_GB2312" w:eastAsia="仿宋_GB2312"/>
          <w:sz w:val="32"/>
          <w:szCs w:val="32"/>
        </w:rPr>
        <w:t>（款）</w:t>
      </w:r>
      <w:r>
        <w:rPr>
          <w:rFonts w:hint="eastAsia"/>
          <w:sz w:val="32"/>
          <w:szCs w:val="32"/>
          <w:lang w:eastAsia="zh-CN"/>
        </w:rPr>
        <w:t>地质灾害防治（项）：</w:t>
      </w:r>
      <w:r>
        <w:rPr>
          <w:rFonts w:hint="eastAsia"/>
          <w:sz w:val="32"/>
          <w:szCs w:val="32"/>
        </w:rPr>
        <w:t xml:space="preserve"> </w:t>
      </w:r>
      <w:r>
        <w:rPr>
          <w:rFonts w:hint="eastAsia"/>
          <w:sz w:val="32"/>
          <w:szCs w:val="32"/>
          <w:lang w:eastAsia="zh-CN"/>
        </w:rPr>
        <w:t>指用于自然灾害地质灾害方面的支出。</w:t>
      </w:r>
      <w:r>
        <w:rPr>
          <w:rFonts w:hint="eastAsia"/>
          <w:sz w:val="32"/>
          <w:szCs w:val="32"/>
        </w:rPr>
        <w:t xml:space="preserve">  </w:t>
      </w:r>
    </w:p>
    <w:p>
      <w:pPr>
        <w:ind w:firstLine="320" w:firstLineChars="1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320" w:firstLineChars="1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3"/>
        <w:spacing w:line="56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9</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320" w:firstLineChars="1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w:t>
      </w:r>
      <w:r>
        <w:rPr>
          <w:rFonts w:hint="eastAsia" w:ascii="仿宋_GB2312" w:eastAsia="仿宋_GB2312"/>
          <w:color w:val="auto"/>
          <w:sz w:val="32"/>
          <w:szCs w:val="32"/>
          <w:lang w:eastAsia="zh-CN"/>
        </w:rPr>
        <w:t>手续费、</w:t>
      </w:r>
      <w:r>
        <w:rPr>
          <w:rFonts w:hint="eastAsia" w:ascii="仿宋_GB2312" w:eastAsia="仿宋_GB2312"/>
          <w:color w:val="auto"/>
          <w:sz w:val="32"/>
          <w:szCs w:val="32"/>
        </w:rPr>
        <w:t>办公用房水费</w:t>
      </w:r>
      <w:r>
        <w:rPr>
          <w:rFonts w:hint="eastAsia" w:ascii="仿宋_GB2312" w:eastAsia="仿宋_GB2312"/>
          <w:color w:val="auto"/>
          <w:sz w:val="32"/>
          <w:szCs w:val="32"/>
          <w:lang w:eastAsia="zh-CN"/>
        </w:rPr>
        <w:t>、</w:t>
      </w:r>
      <w:r>
        <w:rPr>
          <w:rFonts w:hint="eastAsia" w:ascii="仿宋_GB2312" w:eastAsia="仿宋_GB2312"/>
          <w:color w:val="auto"/>
          <w:sz w:val="32"/>
          <w:szCs w:val="32"/>
        </w:rPr>
        <w:t>邮电费、差旅费、维修</w:t>
      </w:r>
      <w:r>
        <w:rPr>
          <w:rFonts w:hint="eastAsia" w:ascii="仿宋_GB2312" w:eastAsia="仿宋_GB2312"/>
          <w:color w:val="auto"/>
          <w:sz w:val="32"/>
          <w:szCs w:val="32"/>
          <w:lang w:eastAsia="zh-CN"/>
        </w:rPr>
        <w:t>（维护）</w:t>
      </w:r>
      <w:r>
        <w:rPr>
          <w:rFonts w:hint="eastAsia" w:ascii="仿宋_GB2312" w:eastAsia="仿宋_GB2312"/>
          <w:color w:val="auto"/>
          <w:sz w:val="32"/>
          <w:szCs w:val="32"/>
        </w:rPr>
        <w:t>费、</w:t>
      </w:r>
      <w:r>
        <w:rPr>
          <w:rFonts w:hint="eastAsia" w:ascii="仿宋_GB2312" w:eastAsia="仿宋_GB2312"/>
          <w:color w:val="auto"/>
          <w:sz w:val="32"/>
          <w:szCs w:val="32"/>
          <w:lang w:eastAsia="zh-CN"/>
        </w:rPr>
        <w:t>租赁费、</w:t>
      </w:r>
      <w:r>
        <w:rPr>
          <w:rFonts w:hint="eastAsia" w:ascii="仿宋_GB2312" w:eastAsia="仿宋_GB2312"/>
          <w:color w:val="auto"/>
          <w:sz w:val="32"/>
          <w:szCs w:val="32"/>
        </w:rPr>
        <w:t>会议费、</w:t>
      </w:r>
      <w:r>
        <w:rPr>
          <w:rFonts w:hint="eastAsia" w:ascii="仿宋_GB2312" w:eastAsia="仿宋_GB2312"/>
          <w:color w:val="auto"/>
          <w:sz w:val="32"/>
          <w:szCs w:val="32"/>
          <w:lang w:eastAsia="zh-CN"/>
        </w:rPr>
        <w:t>培训费、公务接待费、劳务费、工会费、</w:t>
      </w:r>
      <w:r>
        <w:rPr>
          <w:rFonts w:hint="eastAsia" w:ascii="仿宋_GB2312" w:eastAsia="仿宋_GB2312"/>
          <w:color w:val="auto"/>
          <w:sz w:val="32"/>
          <w:szCs w:val="32"/>
        </w:rPr>
        <w:t>福利费、及其他</w:t>
      </w:r>
      <w:r>
        <w:rPr>
          <w:rFonts w:hint="eastAsia" w:ascii="仿宋_GB2312" w:eastAsia="仿宋_GB2312"/>
          <w:color w:val="auto"/>
          <w:sz w:val="32"/>
          <w:szCs w:val="32"/>
          <w:lang w:eastAsia="zh-CN"/>
        </w:rPr>
        <w:t>交通</w:t>
      </w:r>
      <w:r>
        <w:rPr>
          <w:rFonts w:hint="eastAsia" w:ascii="仿宋_GB2312" w:eastAsia="仿宋_GB2312"/>
          <w:color w:val="auto"/>
          <w:sz w:val="32"/>
          <w:szCs w:val="32"/>
        </w:rPr>
        <w:t>费</w:t>
      </w:r>
      <w:r>
        <w:rPr>
          <w:rFonts w:hint="eastAsia" w:ascii="仿宋_GB2312" w:eastAsia="仿宋_GB2312"/>
          <w:color w:val="auto"/>
          <w:sz w:val="32"/>
          <w:szCs w:val="32"/>
          <w:lang w:eastAsia="zh-CN"/>
        </w:rPr>
        <w:t>等</w:t>
      </w:r>
      <w:r>
        <w:rPr>
          <w:rFonts w:hint="eastAsia" w:ascii="仿宋_GB2312" w:eastAsia="仿宋_GB2312"/>
          <w:color w:val="auto"/>
          <w:sz w:val="32"/>
          <w:szCs w:val="32"/>
        </w:rPr>
        <w:t>。</w:t>
      </w:r>
    </w:p>
    <w:p>
      <w:pPr>
        <w:widowControl/>
        <w:jc w:val="left"/>
        <w:rPr>
          <w:rFonts w:ascii="黑体" w:hAnsi="黑体" w:eastAsia="黑体"/>
          <w:sz w:val="44"/>
          <w:szCs w:val="44"/>
        </w:rPr>
      </w:pPr>
      <w:bookmarkStart w:id="51" w:name="_Toc15396614"/>
      <w:bookmarkStart w:id="52" w:name="_Toc15377226"/>
      <w:r>
        <w:rPr>
          <w:rFonts w:ascii="黑体" w:hAnsi="黑体" w:eastAsia="黑体"/>
          <w:sz w:val="44"/>
          <w:szCs w:val="44"/>
        </w:rPr>
        <w:br w:type="page"/>
      </w:r>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四部分 附件</w:t>
      </w:r>
      <w:bookmarkEnd w:id="51"/>
    </w:p>
    <w:p>
      <w:pPr>
        <w:pStyle w:val="2"/>
        <w:spacing w:before="93"/>
        <w:rPr>
          <w:rFonts w:hint="eastAsia"/>
        </w:rPr>
      </w:pPr>
    </w:p>
    <w:p>
      <w:pPr>
        <w:pStyle w:val="2"/>
        <w:spacing w:before="93"/>
        <w:rPr>
          <w:rFonts w:hint="eastAsia"/>
        </w:rPr>
      </w:pPr>
      <w:r>
        <w:rPr>
          <w:rFonts w:hint="eastAsia"/>
        </w:rPr>
        <w:t>附件1</w:t>
      </w:r>
    </w:p>
    <w:p>
      <w:pPr>
        <w:pStyle w:val="2"/>
        <w:spacing w:before="93"/>
      </w:pPr>
    </w:p>
    <w:p>
      <w:pPr>
        <w:spacing w:line="700" w:lineRule="exact"/>
        <w:jc w:val="center"/>
        <w:outlineLvl w:val="0"/>
        <w:rPr>
          <w:rFonts w:ascii="方正小标宋_GBK" w:eastAsia="方正小标宋_GBK"/>
          <w:bCs/>
          <w:sz w:val="44"/>
          <w:szCs w:val="44"/>
        </w:rPr>
      </w:pPr>
      <w:r>
        <w:rPr>
          <w:rFonts w:hint="eastAsia" w:ascii="方正小标宋_GBK" w:eastAsia="方正小标宋_GBK"/>
          <w:bCs/>
          <w:sz w:val="44"/>
          <w:szCs w:val="44"/>
        </w:rPr>
        <w:t>广元市自然资源局经济开发区事务中心</w:t>
      </w:r>
    </w:p>
    <w:p>
      <w:pPr>
        <w:spacing w:line="700" w:lineRule="exact"/>
        <w:jc w:val="center"/>
        <w:outlineLvl w:val="0"/>
        <w:rPr>
          <w:rFonts w:ascii="方正小标宋_GBK" w:eastAsia="方正小标宋_GBK"/>
          <w:bCs/>
          <w:sz w:val="44"/>
          <w:szCs w:val="44"/>
        </w:rPr>
      </w:pPr>
      <w:r>
        <w:rPr>
          <w:rFonts w:hint="eastAsia" w:ascii="方正小标宋_GBK" w:eastAsia="方正小标宋_GBK"/>
          <w:bCs/>
          <w:sz w:val="44"/>
          <w:szCs w:val="44"/>
        </w:rPr>
        <w:t>2021年部门支出绩效评价自评报告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一、部门概况</w:t>
      </w:r>
    </w:p>
    <w:p>
      <w:pPr>
        <w:pStyle w:val="2"/>
        <w:adjustRightInd w:val="0"/>
        <w:snapToGrid w:val="0"/>
        <w:spacing w:before="93" w:line="576" w:lineRule="exact"/>
        <w:ind w:firstLine="675" w:firstLineChars="210"/>
        <w:outlineLvl w:val="2"/>
        <w:rPr>
          <w:rFonts w:ascii="楷体_GB2312" w:eastAsia="楷体_GB2312"/>
          <w:b/>
          <w:bCs/>
          <w:sz w:val="32"/>
          <w:szCs w:val="32"/>
        </w:rPr>
      </w:pPr>
      <w:r>
        <w:rPr>
          <w:rFonts w:hint="eastAsia" w:ascii="楷体_GB2312" w:eastAsia="楷体_GB2312"/>
          <w:b/>
          <w:sz w:val="32"/>
          <w:szCs w:val="32"/>
        </w:rPr>
        <w:t>(</w:t>
      </w:r>
      <w:r>
        <w:rPr>
          <w:rFonts w:hint="eastAsia" w:ascii="楷体_GB2312" w:eastAsia="楷体_GB2312"/>
          <w:b/>
          <w:bCs/>
          <w:sz w:val="32"/>
          <w:szCs w:val="32"/>
        </w:rPr>
        <w:t>一）基本职</w:t>
      </w:r>
      <w:bookmarkStart w:id="53" w:name="_Toc15377199"/>
      <w:bookmarkStart w:id="54" w:name="_Toc15378446"/>
      <w:r>
        <w:rPr>
          <w:rFonts w:hint="eastAsia" w:ascii="楷体_GB2312" w:eastAsia="楷体_GB2312"/>
          <w:b/>
          <w:bCs/>
          <w:sz w:val="32"/>
          <w:szCs w:val="32"/>
        </w:rPr>
        <w:t>能</w:t>
      </w:r>
    </w:p>
    <w:p>
      <w:pPr>
        <w:pStyle w:val="12"/>
        <w:spacing w:before="0" w:beforeAutospacing="0" w:after="0" w:afterAutospacing="0"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根据市编办机构设置和市自然资源局对我中心工作安排和业务审批事项的授权，我中心在国家级广元经济开发区管辖区域内主要承担以下职责：</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自然资源的调控政策、措施和法律、法规、规章。承担保护与合理利用土地资源、矿产资源的责任。依规参加编制国土空间规划编制工作，组织实施自然资源领域资源节约集约利用和产城一体化发展，实施土地用途管制，切实保护耕地和基本农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建设用地管理，承担节约集约利用土地资源，规范自然资源市场秩序的责任。承办建设用地供应、节约集约利用工作，执行基准地价、标定地价等政府公示地价制度，加强经开区项目用地保障工作，办理改制企业的国有土地资产处置相关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3.承办经开区土地报征工作，为开发区园区建设和项目建设提供用地要素保障。按政策要求加强农村农转用手续审批办理。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4.负责质环境保护，承担地质灾害防治工作。编制、实施地质灾害防御预案和地质灾害应急预案，依法组织建设用地地质灾害危险性评估和地质灾害治理工作。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5.受市自然资源局委托承担开发区范围内自然资源执法监察工作，调查处理自然资源纠纷和违法案件，承办卫片执法和自然资源信访工作。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6.承担自然资源基础性工作。做好临时用地管理和年度土地变更调查等基础性工作。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7.承办市自然资源局和区党工委、区管委会交办的其他事项。</w:t>
      </w:r>
    </w:p>
    <w:bookmarkEnd w:id="53"/>
    <w:bookmarkEnd w:id="54"/>
    <w:p>
      <w:pPr>
        <w:numPr>
          <w:ilvl w:val="0"/>
          <w:numId w:val="5"/>
        </w:numPr>
        <w:spacing w:line="576" w:lineRule="exact"/>
        <w:ind w:firstLine="643" w:firstLineChars="200"/>
        <w:rPr>
          <w:rFonts w:ascii="楷体_GB2312" w:eastAsia="楷体_GB2312"/>
          <w:b/>
          <w:bCs/>
          <w:sz w:val="32"/>
          <w:szCs w:val="32"/>
        </w:rPr>
      </w:pPr>
      <w:r>
        <w:rPr>
          <w:rFonts w:hint="eastAsia" w:ascii="楷体_GB2312" w:eastAsia="楷体_GB2312"/>
          <w:b/>
          <w:bCs/>
          <w:sz w:val="32"/>
          <w:szCs w:val="32"/>
        </w:rPr>
        <w:t>基本情况</w:t>
      </w:r>
    </w:p>
    <w:p>
      <w:pPr>
        <w:widowControl/>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楷体_GB2312" w:eastAsia="楷体_GB2312"/>
          <w:bCs/>
          <w:sz w:val="32"/>
          <w:szCs w:val="32"/>
        </w:rPr>
        <w:t xml:space="preserve">1.人员情况   </w:t>
      </w:r>
      <w:r>
        <w:rPr>
          <w:rFonts w:hint="eastAsia" w:ascii="仿宋_GB2312" w:hAnsi="仿宋_GB2312" w:eastAsia="仿宋_GB2312" w:cs="仿宋_GB2312"/>
          <w:color w:val="000000"/>
          <w:kern w:val="0"/>
          <w:sz w:val="30"/>
          <w:szCs w:val="30"/>
          <w:shd w:val="clear" w:color="auto" w:fill="FFFFFF"/>
          <w:lang w:val="zh-CN"/>
        </w:rPr>
        <w:t>广</w:t>
      </w:r>
      <w:r>
        <w:rPr>
          <w:rFonts w:hint="eastAsia" w:ascii="仿宋_GB2312" w:hAnsi="仿宋_GB2312" w:eastAsia="仿宋_GB2312" w:cs="仿宋_GB2312"/>
          <w:sz w:val="32"/>
          <w:szCs w:val="32"/>
          <w:lang w:val="zh-CN"/>
        </w:rPr>
        <w:t>元市自然资源局经济开发区事务中心（</w:t>
      </w:r>
      <w:r>
        <w:rPr>
          <w:rFonts w:hint="eastAsia" w:ascii="仿宋_GB2312" w:hAnsi="仿宋_GB2312" w:eastAsia="仿宋_GB2312" w:cs="仿宋_GB2312"/>
          <w:sz w:val="32"/>
          <w:szCs w:val="32"/>
        </w:rPr>
        <w:t>广元市自然资源局经济开发区事务中心、广元开发区地质环境监测站）总编制17名。其中，参公编14人,事业编制3名。年末在职人员17人，参公人员12人,其他事业人员5人。</w:t>
      </w:r>
    </w:p>
    <w:p>
      <w:pPr>
        <w:spacing w:line="576" w:lineRule="exact"/>
        <w:ind w:firstLine="640" w:firstLineChars="200"/>
        <w:rPr>
          <w:rFonts w:ascii="楷体_GB2312" w:eastAsia="楷体_GB2312"/>
          <w:bCs/>
          <w:sz w:val="32"/>
          <w:szCs w:val="32"/>
        </w:rPr>
      </w:pPr>
      <w:r>
        <w:rPr>
          <w:rFonts w:hint="eastAsia" w:ascii="楷体_GB2312" w:eastAsia="楷体_GB2312"/>
          <w:bCs/>
          <w:sz w:val="32"/>
          <w:szCs w:val="32"/>
        </w:rPr>
        <w:t>2.2021年重点工作完成情况</w:t>
      </w:r>
    </w:p>
    <w:p>
      <w:pPr>
        <w:widowControl/>
        <w:adjustRightInd w:val="0"/>
        <w:snapToGrid w:val="0"/>
        <w:spacing w:line="576"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1）全面加强耕地保护，强化国土空间规划引领。一是做好耕地动态监测，压实耕地保护责任，严格永久基本农田保护，做到面积不减少，质量不降低。二是完成经开区城镇开发边界试划、国土空间规划基数转换、三区三线”划定试点前两轮试划、永久基本农田核实整改补足等规划基础工作。三是积极对接利州、昭化自然资源主管部门，启动经开区辖区内乡村国土空间规划编制工作。</w:t>
      </w:r>
    </w:p>
    <w:p>
      <w:pPr>
        <w:widowControl/>
        <w:adjustRightInd w:val="0"/>
        <w:snapToGrid w:val="0"/>
        <w:spacing w:line="576"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2）全力保障项目用地。一是提早谋划用地需求。根据经开区项目招引和落地预期，梳理出2021年度用地需求，实行“三包”机制，分管领导和经办人员包项目、包报征、包落地，确保项目及时依法用地。二是报批成果显著。成功取得广元动车存车场、昭化石盘至利州石龙公路、广元市利州区第一人民医院科教综合楼等3个项目正式用地批文。2021年度累计计组卷报批土地56.4791公顷。</w:t>
      </w:r>
    </w:p>
    <w:p>
      <w:pPr>
        <w:widowControl/>
        <w:adjustRightInd w:val="0"/>
        <w:snapToGrid w:val="0"/>
        <w:spacing w:line="576"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（3）土地出让成效显著。截止目前，国有建设用地供地共14宗，出让总面积542.16亩，涉及土地价款13799.58万元。完成批而未供土地处置12231.15亩，全面完成批而未供攻坚处置任务。</w:t>
      </w:r>
    </w:p>
    <w:p>
      <w:pPr>
        <w:widowControl/>
        <w:adjustRightInd w:val="0"/>
        <w:snapToGrid w:val="0"/>
        <w:spacing w:line="576"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4）扎实开展执法监察。一是土地执法有力。2021年部、省两级卫片图斑核查和违法问题处置按时按质完成，共立案查处土地违法案件11起，收缴罚没款191.8727万元。二是积极开展供后监管。通过土地供应监管系统核实，经开区涉及8宗闲置土地，已销号3宗，正在处理余下5宗。三是督促土地督察问题整改。按照还款计划，已督促市园投公司落实还款1.95亿元。四是全力开展农村乱占耕地建房清理整治。按照农村乱占耕地建房清理整治要求，对部下发图斑的133宗问题图斑进行实地勘测，逐一分析，形成台账，目前正在对可处置的宗地进行依法处置。</w:t>
      </w:r>
    </w:p>
    <w:p>
      <w:pPr>
        <w:widowControl/>
        <w:adjustRightInd w:val="0"/>
        <w:snapToGrid w:val="0"/>
        <w:spacing w:line="576"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(5）强化矿产资源管理和生态修复。一是制定责任清单。进一步修订完善了我中心安全生产责任清单，明确了班子成员和各业务口的安全生产责任，开展安全生产排查整治工作。二是开展生态环境问题整治。对区内非煤矿山、石材加工小作坊和自然资源领域涉建项目开展了生态环境问题大排查大整治，涉及的9家石材作坊生态环境问题已销号，6家非煤矿山的问题销号稳步推进。三是全力攻坚砖厂退出。积极落实相关政策，制定印发总体实施方案、一矿一策实施方案，深入企业宣讲政策，开展洽谈攻坚。四是机场净空开挖区山生态修复全面完工，修复面积200余亩。</w:t>
      </w:r>
    </w:p>
    <w:p>
      <w:pPr>
        <w:widowControl/>
        <w:adjustRightInd w:val="0"/>
        <w:snapToGrid w:val="0"/>
        <w:spacing w:line="576"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6）加强配合征拆地籍工作。一是夯实征地基础。开展15个项目勘测定界，落实9个批次用地征地补偿安置方案和征收启动工作，完成全区房屋拆迁、农户货币安置资格审查等年度工作任务。二是开展房地一体确权登记前期准备。开展农村房地一体、集体建设用地确权登记资料收集、现场测量等基础工作，已移交至不动产登记中心审核。</w:t>
      </w:r>
    </w:p>
    <w:p>
      <w:pPr>
        <w:widowControl/>
        <w:adjustRightInd w:val="0"/>
        <w:snapToGrid w:val="0"/>
        <w:spacing w:line="576"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（7）狠抓地质灾害防治工作。一是明确部门职责。印发了《关于做好2021年汛前地质灾害防治工作的通知》，</w:t>
      </w:r>
      <w:r>
        <w:rPr>
          <w:rFonts w:ascii="仿宋_GB2312" w:hAnsi="仿宋_GB2312" w:eastAsia="仿宋_GB2312" w:cs="仿宋_GB2312"/>
          <w:color w:val="000000"/>
          <w:kern w:val="0"/>
          <w:sz w:val="30"/>
          <w:szCs w:val="30"/>
          <w:shd w:val="clear" w:color="auto" w:fill="FFFFFF"/>
        </w:rPr>
        <w:t>明确各相关单位对各自分管行业</w:t>
      </w:r>
      <w:r>
        <w:rPr>
          <w:rFonts w:hint="eastAsia" w:ascii="仿宋_GB2312" w:hAnsi="仿宋_GB2312" w:eastAsia="仿宋_GB2312" w:cs="仿宋_GB2312"/>
          <w:color w:val="000000"/>
          <w:kern w:val="0"/>
          <w:sz w:val="30"/>
          <w:szCs w:val="30"/>
          <w:shd w:val="clear" w:color="auto" w:fill="FFFFFF"/>
        </w:rPr>
        <w:t>的</w:t>
      </w:r>
      <w:r>
        <w:rPr>
          <w:rFonts w:ascii="仿宋_GB2312" w:hAnsi="仿宋_GB2312" w:eastAsia="仿宋_GB2312" w:cs="仿宋_GB2312"/>
          <w:color w:val="000000"/>
          <w:kern w:val="0"/>
          <w:sz w:val="30"/>
          <w:szCs w:val="30"/>
          <w:shd w:val="clear" w:color="auto" w:fill="FFFFFF"/>
        </w:rPr>
        <w:t>地灾防治责任</w:t>
      </w:r>
      <w:r>
        <w:rPr>
          <w:rFonts w:hint="eastAsia" w:ascii="仿宋_GB2312" w:hAnsi="仿宋_GB2312" w:eastAsia="仿宋_GB2312" w:cs="仿宋_GB2312"/>
          <w:color w:val="000000"/>
          <w:kern w:val="0"/>
          <w:sz w:val="30"/>
          <w:szCs w:val="30"/>
          <w:shd w:val="clear" w:color="auto" w:fill="FFFFFF"/>
        </w:rPr>
        <w:t>。二是逐点培训演练。逐点开展宣传培训和避险演练，提高群众的防灾意识和能力。三防治体逐步完善。完成了秦家湾地灾治理工程和孙家岩排危除险施工，同时完成全区7个隐患点群专结合预警项目建设，并向上争取地质灾害隐患防治经费100余万元。同时，完成高家岭、周家梁滑坡地灾隐患点勘查设计工作，正在争取资金。四是做好巡排查和值班值守。每月一次大排查，雨前雨中雨后做好“三查”工作。加强24小时值班值守工作，及时发送预警信息。按照“三查”要求，全区20个地灾点，今年均无险情发生，实现地灾防治“零伤亡”。</w:t>
      </w:r>
    </w:p>
    <w:p>
      <w:pPr>
        <w:widowControl/>
        <w:adjustRightInd w:val="0"/>
        <w:snapToGrid w:val="0"/>
        <w:spacing w:line="576"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（8）深化“放管服”及工程项目审批制度改革。2021年共办理建设用地规划许可证10宗、建设工程规划许可证19宗、建设项目用地预审与选址意见书6宗、临时用地2宗、竣工验收7宗，网上办结率为100%。</w:t>
      </w:r>
    </w:p>
    <w:p>
      <w:pPr>
        <w:widowControl/>
        <w:adjustRightInd w:val="0"/>
        <w:snapToGrid w:val="0"/>
        <w:spacing w:line="576"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9）进一步抓好信访维稳工作。全年共收到信访件、群众来信来访26件，均按要求及时调查回复，实现上级交办信访按期办结率100%，息诉止访率70%。全面推行社会稳定风险评估和大调解工作，矛盾纠纷排查化解率达75%以上。同时，积极牵头解决经开区范围内世纪城龙湾等问题楼盘遗留问题，回复不同信访20余次，现场协调解决问题10余次，有效的稳定了群众，避免了群访事件发生。</w:t>
      </w:r>
    </w:p>
    <w:p>
      <w:pPr>
        <w:spacing w:line="576" w:lineRule="exact"/>
        <w:ind w:left="627"/>
        <w:rPr>
          <w:rFonts w:ascii="黑体" w:hAnsi="黑体" w:eastAsia="黑体"/>
          <w:sz w:val="32"/>
          <w:szCs w:val="32"/>
        </w:rPr>
      </w:pPr>
      <w:r>
        <w:rPr>
          <w:rFonts w:hint="eastAsia" w:ascii="黑体" w:hAnsi="黑体" w:eastAsia="黑体"/>
          <w:sz w:val="32"/>
          <w:szCs w:val="32"/>
        </w:rPr>
        <w:t>二.部门总体评价</w:t>
      </w:r>
    </w:p>
    <w:p>
      <w:pPr>
        <w:spacing w:line="576" w:lineRule="exact"/>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广元市自然资源局经济开发区事务中心总体支出绩效评价得分100分。项目支出绩效评价100分，按30%权重计算，我中心总体绩效评价最终得分100分。</w:t>
      </w:r>
    </w:p>
    <w:p>
      <w:pPr>
        <w:spacing w:line="576" w:lineRule="exact"/>
        <w:ind w:left="627"/>
        <w:rPr>
          <w:rFonts w:ascii="黑体" w:hAnsi="黑体" w:eastAsia="黑体"/>
          <w:sz w:val="32"/>
          <w:szCs w:val="32"/>
        </w:rPr>
      </w:pPr>
      <w:r>
        <w:rPr>
          <w:rFonts w:hint="eastAsia" w:ascii="黑体" w:hAnsi="黑体" w:eastAsia="黑体"/>
          <w:sz w:val="32"/>
          <w:szCs w:val="32"/>
        </w:rPr>
        <w:t>三.部门财政支出管理情况</w:t>
      </w:r>
    </w:p>
    <w:p>
      <w:pPr>
        <w:spacing w:line="576" w:lineRule="exact"/>
        <w:rPr>
          <w:rFonts w:ascii="楷体_GB2312" w:hAnsi="黑体" w:eastAsia="楷体_GB2312"/>
          <w:b/>
          <w:sz w:val="32"/>
          <w:szCs w:val="32"/>
        </w:rPr>
      </w:pPr>
      <w:r>
        <w:rPr>
          <w:rFonts w:hint="eastAsia" w:ascii="楷体_GB2312" w:hAnsi="黑体" w:eastAsia="楷体_GB2312"/>
          <w:b/>
          <w:sz w:val="32"/>
          <w:szCs w:val="32"/>
        </w:rPr>
        <w:t xml:space="preserve">    （一）预算编制</w:t>
      </w:r>
    </w:p>
    <w:p>
      <w:pPr>
        <w:spacing w:line="576" w:lineRule="exact"/>
        <w:rPr>
          <w:rFonts w:ascii="仿宋_GB2312" w:eastAsia="仿宋_GB2312"/>
          <w:sz w:val="32"/>
          <w:szCs w:val="32"/>
        </w:rPr>
      </w:pPr>
      <w:r>
        <w:rPr>
          <w:rFonts w:hint="eastAsia" w:ascii="仿宋_GB2312" w:eastAsia="仿宋_GB2312"/>
          <w:sz w:val="32"/>
          <w:szCs w:val="32"/>
        </w:rPr>
        <w:t xml:space="preserve">    1.报送时效。我中心严格按财政部门预算编制要求的时间及时报送了部门预算和项目绩效目标,并规范准确完整地填制和报送预算报表，合理反映了本部门年度职责履行情况。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编制质量。我中心严格按照财政要求编制部门预算，达到了财政预算编制质量要求。做到编制完整无漏项，预算编制准确，基础信息和科目使用准确，单位编制、人员情况与供养人员横向联网系统数据相符。预算编制规范，项目名称、绩效指标、项目内容说明等合符规范。总之，基本支出按人员编制和定额标准，项目支出按照本单位职能职责根据上级和市委市政府下达的工作目标任务进行编制，做到了资料完整、依据充分。</w:t>
      </w:r>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（二）预算执行</w:t>
      </w:r>
    </w:p>
    <w:p>
      <w:pPr>
        <w:spacing w:line="576" w:lineRule="exact"/>
        <w:ind w:firstLine="640" w:firstLineChars="200"/>
        <w:rPr>
          <w:rFonts w:ascii="仿宋_GB2312" w:hAnsi="宋体" w:eastAsia="仿宋_GB2312" w:cs="宋体"/>
          <w:kern w:val="0"/>
          <w:sz w:val="32"/>
          <w:szCs w:val="32"/>
        </w:rPr>
      </w:pPr>
      <w:r>
        <w:rPr>
          <w:rFonts w:hint="eastAsia" w:ascii="仿宋_GB2312" w:eastAsia="仿宋_GB2312"/>
          <w:bCs/>
          <w:sz w:val="32"/>
          <w:szCs w:val="32"/>
        </w:rPr>
        <w:t>1.预算执行进度</w:t>
      </w:r>
      <w:r>
        <w:rPr>
          <w:rFonts w:hint="eastAsia" w:ascii="仿宋_GB2312" w:eastAsia="仿宋_GB2312"/>
          <w:b/>
          <w:sz w:val="32"/>
          <w:szCs w:val="32"/>
        </w:rPr>
        <w:t>。</w:t>
      </w:r>
      <w:r>
        <w:rPr>
          <w:rFonts w:hint="eastAsia" w:ascii="仿宋_GB2312" w:hAnsi="宋体" w:eastAsia="仿宋_GB2312" w:cs="宋体"/>
          <w:kern w:val="0"/>
          <w:sz w:val="32"/>
          <w:szCs w:val="32"/>
        </w:rPr>
        <w:t>本年度预算执行收支平衡，完成本部门经济和社会事业发展职能职责，人员支出部分按时间进度执行。</w:t>
      </w:r>
    </w:p>
    <w:p>
      <w:pPr>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2.预算平衡调整。</w:t>
      </w:r>
      <w:r>
        <w:rPr>
          <w:rFonts w:hint="eastAsia" w:ascii="仿宋_GB2312" w:eastAsia="仿宋_GB2312"/>
          <w:sz w:val="32"/>
          <w:szCs w:val="32"/>
        </w:rPr>
        <w:t>我中心严格执行预算，执行中不调整项目。</w:t>
      </w:r>
    </w:p>
    <w:p>
      <w:pPr>
        <w:spacing w:line="576" w:lineRule="exact"/>
        <w:ind w:firstLine="640"/>
        <w:rPr>
          <w:rFonts w:ascii="仿宋_GB2312" w:hAnsi="仿宋_GB2312" w:eastAsia="仿宋_GB2312" w:cs="仿宋_GB2312"/>
          <w:color w:val="000000"/>
          <w:sz w:val="32"/>
          <w:szCs w:val="32"/>
        </w:rPr>
      </w:pPr>
      <w:r>
        <w:rPr>
          <w:rFonts w:hint="eastAsia" w:ascii="仿宋_GB2312" w:hAnsi="宋体" w:eastAsia="仿宋_GB2312" w:cs="宋体"/>
          <w:kern w:val="0"/>
          <w:sz w:val="32"/>
          <w:szCs w:val="32"/>
        </w:rPr>
        <w:t>3.三公经费执行情况</w:t>
      </w:r>
      <w:r>
        <w:rPr>
          <w:rFonts w:hint="eastAsia" w:ascii="仿宋_GB2312" w:hAnsi="宋体" w:eastAsia="仿宋_GB2312" w:cs="宋体"/>
          <w:b/>
          <w:bCs/>
          <w:kern w:val="0"/>
          <w:sz w:val="32"/>
          <w:szCs w:val="32"/>
        </w:rPr>
        <w:t>。</w:t>
      </w:r>
      <w:r>
        <w:rPr>
          <w:rFonts w:hint="eastAsia" w:ascii="仿宋_GB2312" w:hAnsi="仿宋_GB2312" w:eastAsia="仿宋_GB2312" w:cs="仿宋_GB2312"/>
          <w:color w:val="000000"/>
          <w:sz w:val="32"/>
          <w:szCs w:val="32"/>
        </w:rPr>
        <w:t>2021年“三公”经费预算0.39万元，其中:公务接待0.39万元，车辆运行维护费0万元。全年支出0.39其中：公务接待费0.39万元，具体情况如下：</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（1）公务接待费支出0.39万元，</w:t>
      </w:r>
      <w:r>
        <w:rPr>
          <w:rStyle w:val="15"/>
          <w:rFonts w:hint="eastAsia" w:ascii="仿宋_GB2312" w:hAnsi="仿宋_GB2312" w:eastAsia="仿宋_GB2312" w:cs="仿宋_GB2312"/>
          <w:b w:val="0"/>
          <w:color w:val="000000"/>
          <w:sz w:val="32"/>
          <w:szCs w:val="32"/>
        </w:rPr>
        <w:t>完成预算100</w:t>
      </w:r>
      <w:r>
        <w:rPr>
          <w:rStyle w:val="15"/>
          <w:rFonts w:ascii="仿宋_GB2312" w:hAnsi="仿宋_GB2312" w:eastAsia="仿宋_GB2312" w:cs="仿宋_GB2312"/>
          <w:b w:val="0"/>
          <w:color w:val="000000"/>
          <w:sz w:val="32"/>
          <w:szCs w:val="32"/>
        </w:rPr>
        <w:t>%</w:t>
      </w:r>
      <w:r>
        <w:rPr>
          <w:rStyle w:val="15"/>
          <w:rFonts w:hint="eastAsia" w:ascii="仿宋_GB2312" w:hAnsi="仿宋_GB2312" w:eastAsia="仿宋_GB2312" w:cs="仿宋_GB2312"/>
          <w:b w:val="0"/>
          <w:color w:val="000000"/>
          <w:sz w:val="32"/>
          <w:szCs w:val="32"/>
        </w:rPr>
        <w:t>，</w:t>
      </w:r>
      <w:r>
        <w:rPr>
          <w:rFonts w:hint="eastAsia" w:ascii="仿宋_GB2312" w:hAnsi="仿宋_GB2312" w:eastAsia="仿宋_GB2312" w:cs="仿宋_GB2312"/>
          <w:color w:val="000000"/>
          <w:sz w:val="32"/>
          <w:szCs w:val="32"/>
        </w:rPr>
        <w:t>贯彻执行厉行节约政策、努力压缩开支。主要用于执行公务、开展业务活动开支的交通费、住宿费、用餐费等。国内公务接待6批次，35余人次，共计支出0.39万元，具体内容包括：主要用于接待各县区局之间业务学习工作餐。</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（2）我中心无公务用车。</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4.部门决算编制和审查。</w:t>
      </w:r>
      <w:r>
        <w:rPr>
          <w:rFonts w:hint="eastAsia" w:ascii="仿宋_GB2312" w:hAnsi="宋体" w:eastAsia="仿宋_GB2312" w:cs="宋体"/>
          <w:kern w:val="0"/>
          <w:sz w:val="32"/>
          <w:szCs w:val="32"/>
        </w:rPr>
        <w:t>及时进行年终账务清算，核实各项预算收支，按规定时间报送决算报表，做到了帐表一致，决算数据真实准确，部门决算编制人员与供养人员系统数据相符。</w:t>
      </w:r>
    </w:p>
    <w:p>
      <w:pPr>
        <w:spacing w:line="576" w:lineRule="exact"/>
        <w:rPr>
          <w:rFonts w:ascii="楷体_GB2312" w:eastAsia="楷体_GB2312"/>
          <w:b/>
          <w:sz w:val="32"/>
          <w:szCs w:val="32"/>
        </w:rPr>
      </w:pPr>
      <w:r>
        <w:rPr>
          <w:rFonts w:hint="eastAsia" w:ascii="楷体_GB2312" w:eastAsia="楷体_GB2312"/>
          <w:b/>
          <w:bCs/>
          <w:sz w:val="32"/>
          <w:szCs w:val="32"/>
        </w:rPr>
        <w:t xml:space="preserve">    （三）财政资金综合管理情况</w:t>
      </w:r>
    </w:p>
    <w:p>
      <w:pPr>
        <w:spacing w:line="576" w:lineRule="exact"/>
        <w:rPr>
          <w:rFonts w:ascii="仿宋_GB2312" w:eastAsia="仿宋_GB2312"/>
          <w:sz w:val="32"/>
          <w:szCs w:val="32"/>
        </w:rPr>
      </w:pPr>
      <w:r>
        <w:rPr>
          <w:rFonts w:hint="eastAsia" w:ascii="仿宋_GB2312" w:eastAsia="仿宋_GB2312"/>
          <w:b/>
          <w:bCs/>
          <w:sz w:val="32"/>
          <w:szCs w:val="32"/>
        </w:rPr>
        <w:t xml:space="preserve">    </w:t>
      </w:r>
      <w:r>
        <w:rPr>
          <w:rFonts w:hint="eastAsia" w:ascii="仿宋_GB2312" w:eastAsia="仿宋_GB2312"/>
          <w:sz w:val="32"/>
          <w:szCs w:val="32"/>
        </w:rPr>
        <w:t>1.非税收入征收、上缴情况。</w:t>
      </w:r>
      <w:r>
        <w:rPr>
          <w:rFonts w:hint="eastAsia" w:ascii="仿宋_GB2312" w:hAnsi="宋体" w:eastAsia="仿宋_GB2312" w:cs="宋体"/>
          <w:kern w:val="0"/>
          <w:sz w:val="32"/>
          <w:szCs w:val="32"/>
        </w:rPr>
        <w:t>中心严格执行非税收入预算管理，按规定项目和标准执行，无擅自设立项目、提高标准、扩大范围等情况；编制和执行非税收入预算，应收尽收，非税收入无截留、推延行为；票据管理规范，领购、发放、使用、核销票据行为规范。全年非税收入和上缴金额为</w:t>
      </w:r>
      <w:r>
        <w:rPr>
          <w:rFonts w:hint="eastAsia" w:ascii="仿宋_GB2312" w:hAnsi="仿宋_GB2312" w:eastAsia="仿宋_GB2312" w:cs="仿宋_GB2312"/>
          <w:sz w:val="32"/>
          <w:szCs w:val="32"/>
        </w:rPr>
        <w:t>388.04万</w:t>
      </w:r>
      <w:r>
        <w:rPr>
          <w:rFonts w:hint="eastAsia" w:ascii="仿宋_GB2312" w:hAnsi="宋体" w:eastAsia="仿宋_GB2312" w:cs="宋体"/>
          <w:kern w:val="0"/>
          <w:sz w:val="32"/>
          <w:szCs w:val="32"/>
        </w:rPr>
        <w:t>元。</w:t>
      </w:r>
      <w:r>
        <w:rPr>
          <w:rFonts w:hint="eastAsia" w:ascii="仿宋_GB2312" w:eastAsia="仿宋_GB2312"/>
          <w:sz w:val="32"/>
          <w:szCs w:val="32"/>
        </w:rPr>
        <w:t>全部为罚没收入。</w:t>
      </w:r>
    </w:p>
    <w:p>
      <w:pPr>
        <w:spacing w:line="576" w:lineRule="exact"/>
        <w:rPr>
          <w:rFonts w:ascii="仿宋_GB2312" w:hAnsi="宋体" w:eastAsia="仿宋_GB2312" w:cs="宋体"/>
          <w:kern w:val="0"/>
          <w:sz w:val="32"/>
          <w:szCs w:val="32"/>
        </w:rPr>
      </w:pPr>
      <w:r>
        <w:rPr>
          <w:rFonts w:hint="eastAsia" w:ascii="仿宋_GB2312" w:eastAsia="仿宋_GB2312"/>
          <w:b/>
          <w:bCs/>
          <w:sz w:val="32"/>
          <w:szCs w:val="32"/>
        </w:rPr>
        <w:t xml:space="preserve"> </w:t>
      </w: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2.资产管理信息系统建设、资产清查上报情况。本部门的新增和减少资产已严格按照要求录入资产管理系统，并按照上级要求及时、准确、全面上报资产报表，严格按照财政资产管理科和市机关事务管理局的相关政策进行资产清理和上报，使资产管理系统和财务会计资产系统账账相符。</w:t>
      </w:r>
    </w:p>
    <w:p>
      <w:pPr>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部门内部控制制度健全情况。我中心内部管理制度较健全，设置有《岗位责任制》，《廉政风险三同防控图》，参照执行市自然资源局制定的《广元市国土资源系统内部审计管理办法》以及单位的《广元市自然资源局经济开发区财务管理制度》，具体内容包括经费审批制度、现金管理、票据管理、会计档案管理、资产管理等。</w:t>
      </w:r>
    </w:p>
    <w:p>
      <w:pPr>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4.预决算及绩效信息公开情况。我中心严格按照财政要求，及时、准确、全面局域内门户网站公开预决算和绩效信息。</w:t>
      </w:r>
    </w:p>
    <w:p>
      <w:pPr>
        <w:spacing w:line="576" w:lineRule="exact"/>
        <w:ind w:firstLine="640" w:firstLineChars="200"/>
        <w:rPr>
          <w:rFonts w:ascii="仿宋_GB2312" w:eastAsia="仿宋_GB2312"/>
          <w:color w:val="000000"/>
          <w:sz w:val="32"/>
          <w:szCs w:val="32"/>
        </w:rPr>
      </w:pPr>
      <w:r>
        <w:rPr>
          <w:rFonts w:hint="eastAsia" w:ascii="仿宋_GB2312" w:hAnsi="宋体" w:eastAsia="仿宋_GB2312" w:cs="宋体"/>
          <w:kern w:val="0"/>
          <w:sz w:val="32"/>
          <w:szCs w:val="32"/>
        </w:rPr>
        <w:t>5.绩效评价开展、评价结果报告情况。</w:t>
      </w:r>
      <w:r>
        <w:rPr>
          <w:rFonts w:hint="eastAsia" w:ascii="仿宋_GB2312" w:eastAsia="仿宋_GB2312"/>
          <w:color w:val="000000"/>
          <w:sz w:val="32"/>
          <w:szCs w:val="32"/>
        </w:rPr>
        <w:t>本部门对中心部分项目开展了绩效评价，</w:t>
      </w:r>
      <w:r>
        <w:rPr>
          <w:rFonts w:hint="eastAsia" w:ascii="仿宋_GB2312" w:eastAsia="仿宋_GB2312"/>
          <w:color w:val="0C0C0C"/>
          <w:sz w:val="32"/>
          <w:szCs w:val="32"/>
        </w:rPr>
        <w:t>2021年度财政部门预算下达我一般项目经费1.8万元</w:t>
      </w:r>
      <w:r>
        <w:rPr>
          <w:rFonts w:hint="eastAsia" w:ascii="仿宋_GB2312" w:eastAsia="仿宋_GB2312"/>
          <w:color w:val="000000"/>
          <w:sz w:val="32"/>
          <w:szCs w:val="32"/>
        </w:rPr>
        <w:t>，实际执行1.8万元。主要用土地报征工作经费。自评得分100分。</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6.绩效管理工作开展情况  一般公共部门项目绩效评价完成如下：</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土地报征工作经费：</w:t>
      </w:r>
      <w:r>
        <w:rPr>
          <w:rFonts w:hint="eastAsia" w:ascii="仿宋_GB2312" w:hAnsi="仿宋_GB2312" w:eastAsia="仿宋_GB2312" w:cs="仿宋_GB2312"/>
          <w:color w:val="000000"/>
          <w:kern w:val="0"/>
          <w:sz w:val="30"/>
          <w:szCs w:val="30"/>
          <w:shd w:val="clear" w:color="auto" w:fill="FFFFFF"/>
        </w:rPr>
        <w:t>全力保障项目用地。一是提早谋划用地需求。根据经开区项目招引和落地预期，梳理出2021年度用地需求，实行“三包”机制，分管领导和经办人员包项目、包报征、包落地，确保项目及时依法用地。二是报批成果显著。成功取得广元动车存车场、昭化石盘至利州石龙公路、广元市利州区第一人民医院科教综合楼等3个项目正式用地批文。2021年度累计计组卷报批土地56.4791公顷。</w:t>
      </w:r>
    </w:p>
    <w:p>
      <w:pPr>
        <w:spacing w:line="576"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7.财政政策执行情况</w:t>
      </w:r>
    </w:p>
    <w:p>
      <w:pPr>
        <w:spacing w:line="576"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1）国库集中支付。我中心严格执行国库集中支付规定，当年部门预算支出中直接支付比例超过市本级当期平均水平。</w:t>
      </w:r>
    </w:p>
    <w:p>
      <w:pPr>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（2）公务卡改革。严格按公务卡强制结算目录，公务用车燃油费、职工出差培训费、住宿费、公务机票等都使用公务卡进行结算。</w:t>
      </w:r>
    </w:p>
    <w:p>
      <w:pPr>
        <w:spacing w:line="576"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（3）政府采购政策执行。认真编制政府采购预算，做到应编尽编，不遗漏；规范采购行为，执行政府采购政策，做到应采尽采。</w:t>
      </w:r>
    </w:p>
    <w:p>
      <w:pPr>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非税收入征收管理。我中心严格执行非税收入预算，按规定项目和标准执行，无擅自设立项目、提高标准、扩大范围等情况；编制和执行非税收入预算，应收尽收，非税收入无截留、推延行为；票据管理规范，领购、发放、使用、核销票据行为规范。</w:t>
      </w:r>
    </w:p>
    <w:p>
      <w:pPr>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（5）厉行节约。按照相关规定进行经费开支，无违反规定支出行为，无超标准开支行为；“三公”经费严格按财政规定限额标准进行限制和压缩。</w:t>
      </w:r>
    </w:p>
    <w:p>
      <w:pPr>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8.财经纪律执行情况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（1）审计监察。接受了审计部门、财政等部门的相关检查。</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（2）预算执行动态监控。所有收支均通过财政大平台实行动态监控，资金管理较规范，按市财政国库动态监控预警无违规支付行为。</w:t>
      </w:r>
    </w:p>
    <w:p>
      <w:pPr>
        <w:spacing w:line="576" w:lineRule="exact"/>
        <w:ind w:firstLine="640" w:firstLineChars="200"/>
        <w:rPr>
          <w:rFonts w:ascii="仿宋_GB2312" w:eastAsia="仿宋_GB2312"/>
          <w:sz w:val="32"/>
          <w:szCs w:val="32"/>
        </w:rPr>
      </w:pPr>
      <w:r>
        <w:rPr>
          <w:rFonts w:hint="eastAsia" w:ascii="楷体_GB2312" w:eastAsia="楷体_GB2312"/>
          <w:bCs/>
          <w:sz w:val="32"/>
          <w:szCs w:val="32"/>
        </w:rPr>
        <w:t>（</w:t>
      </w:r>
      <w:r>
        <w:rPr>
          <w:rFonts w:hint="eastAsia" w:ascii="仿宋_GB2312" w:eastAsia="仿宋_GB2312"/>
          <w:sz w:val="32"/>
          <w:szCs w:val="32"/>
        </w:rPr>
        <w:t>四）部门项目绩效评价情况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广元市自然资源局经济开发区事务中心2021年被评价的一共1个项目，评价得分94分，平均的分94分，按30%全重计算，我中心项目绩效评价得分94分。</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三、存在问题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存在的问题是：我中心2021年初财政部门除人员、公用经费按标准下达，下达项目资金仅1.8万元。由于我单位属于市级部门二级预算单位，但实际开展工作业务项目多工作量大，财政下达工作经费严重不足，年初部门预算经费无法保障我单位全年各项目和日常工作的正常开展。2022年，请求市财政酌情考虑，根据我单位项目项目实施实际情况以及业务工作保障需求，在年初部门预算中增加资金安排。</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四、整改建议和意见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下一步改进措施：一是建议加强财政局对我单位财务人员项目绩效评价和内控制度建设等方面指导和培训。二是建议通过财政支出和项目绩效评价结果，增加我单位工作经费，确保我单位能正常开展各项业务工作。</w:t>
      </w:r>
    </w:p>
    <w:p>
      <w:pPr>
        <w:widowControl/>
        <w:jc w:val="left"/>
        <w:rPr>
          <w:rFonts w:ascii="黑体" w:hAnsi="黑体" w:eastAsia="黑体" w:cs="黑体"/>
          <w:sz w:val="32"/>
          <w:szCs w:val="32"/>
        </w:rPr>
      </w:pPr>
      <w:r>
        <w:rPr>
          <w:rFonts w:ascii="黑体" w:hAnsi="黑体" w:eastAsia="黑体" w:cs="黑体"/>
          <w:sz w:val="32"/>
          <w:szCs w:val="32"/>
        </w:rPr>
        <w:br w:type="page"/>
      </w:r>
    </w:p>
    <w:p>
      <w:pPr>
        <w:spacing w:line="572" w:lineRule="exact"/>
        <w:jc w:val="left"/>
        <w:outlineLvl w:val="0"/>
        <w:rPr>
          <w:rFonts w:hint="eastAsia" w:ascii="黑体" w:hAnsi="黑体" w:eastAsia="黑体" w:cs="黑体"/>
          <w:sz w:val="32"/>
          <w:szCs w:val="32"/>
        </w:rPr>
      </w:pPr>
      <w:r>
        <w:rPr>
          <w:rFonts w:hint="eastAsia" w:ascii="黑体" w:hAnsi="黑体" w:eastAsia="黑体" w:cs="黑体"/>
          <w:sz w:val="32"/>
          <w:szCs w:val="32"/>
        </w:rPr>
        <w:t>附表</w:t>
      </w:r>
    </w:p>
    <w:p>
      <w:pPr>
        <w:spacing w:line="700" w:lineRule="exact"/>
        <w:jc w:val="center"/>
        <w:outlineLvl w:val="0"/>
        <w:rPr>
          <w:rStyle w:val="25"/>
          <w:rFonts w:hint="eastAsia" w:ascii="方正小标宋_GBK" w:hAnsi="黑体" w:eastAsia="方正小标宋_GBK"/>
          <w:b w:val="0"/>
        </w:rPr>
      </w:pPr>
      <w:r>
        <w:rPr>
          <w:rStyle w:val="25"/>
          <w:rFonts w:hint="eastAsia" w:ascii="方正小标宋_GBK" w:hAnsi="黑体" w:eastAsia="方正小标宋_GBK"/>
          <w:b w:val="0"/>
        </w:rPr>
        <w:t>2021年部门预算项目绩效目标自评</w:t>
      </w:r>
    </w:p>
    <w:tbl>
      <w:tblPr>
        <w:tblStyle w:val="13"/>
        <w:tblW w:w="90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891"/>
        <w:gridCol w:w="1098"/>
        <w:gridCol w:w="1567"/>
        <w:gridCol w:w="1143"/>
        <w:gridCol w:w="1176"/>
        <w:gridCol w:w="21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3112" w:type="dxa"/>
            <w:gridSpan w:val="2"/>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bookmarkStart w:id="55" w:name="_Toc15396618"/>
            <w:r>
              <w:rPr>
                <w:rFonts w:hint="eastAsia" w:cs="宋体" w:asciiTheme="majorEastAsia" w:hAnsiTheme="majorEastAsia" w:eastAsiaTheme="majorEastAsia"/>
                <w:kern w:val="0"/>
                <w:sz w:val="24"/>
                <w:lang w:bidi="ar"/>
              </w:rPr>
              <w:t>主管部门及代码</w:t>
            </w:r>
          </w:p>
        </w:tc>
        <w:tc>
          <w:tcPr>
            <w:tcW w:w="2819" w:type="dxa"/>
            <w:gridSpan w:val="2"/>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p>
        </w:tc>
        <w:tc>
          <w:tcPr>
            <w:tcW w:w="1222"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bidi="ar"/>
              </w:rPr>
              <w:t>实施单位</w:t>
            </w:r>
          </w:p>
        </w:tc>
        <w:tc>
          <w:tcPr>
            <w:tcW w:w="2293"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3112" w:type="dxa"/>
            <w:gridSpan w:val="2"/>
            <w:vMerge w:val="restart"/>
            <w:shd w:val="clear" w:color="auto" w:fill="auto"/>
            <w:vAlign w:val="center"/>
          </w:tcPr>
          <w:p>
            <w:pPr>
              <w:widowControl/>
              <w:spacing w:line="320" w:lineRule="exact"/>
              <w:jc w:val="center"/>
              <w:textAlignment w:val="center"/>
              <w:rPr>
                <w:rFonts w:cs="宋体" w:asciiTheme="majorEastAsia" w:hAnsiTheme="majorEastAsia" w:eastAsiaTheme="majorEastAsia"/>
                <w:kern w:val="0"/>
                <w:sz w:val="24"/>
                <w:lang w:bidi="ar"/>
              </w:rPr>
            </w:pPr>
            <w:r>
              <w:rPr>
                <w:rFonts w:hint="eastAsia" w:cs="宋体" w:asciiTheme="majorEastAsia" w:hAnsiTheme="majorEastAsia" w:eastAsiaTheme="majorEastAsia"/>
                <w:kern w:val="0"/>
                <w:sz w:val="24"/>
                <w:lang w:bidi="ar"/>
              </w:rPr>
              <w:t>项目预算</w:t>
            </w:r>
          </w:p>
          <w:p>
            <w:pPr>
              <w:widowControl/>
              <w:spacing w:line="320" w:lineRule="exact"/>
              <w:jc w:val="center"/>
              <w:textAlignment w:val="center"/>
              <w:rPr>
                <w:rFonts w:cs="宋体" w:asciiTheme="majorEastAsia" w:hAnsiTheme="majorEastAsia" w:eastAsiaTheme="majorEastAsia"/>
                <w:kern w:val="0"/>
                <w:sz w:val="24"/>
                <w:lang w:bidi="ar"/>
              </w:rPr>
            </w:pPr>
            <w:r>
              <w:rPr>
                <w:rFonts w:hint="eastAsia" w:cs="宋体" w:asciiTheme="majorEastAsia" w:hAnsiTheme="majorEastAsia" w:eastAsiaTheme="majorEastAsia"/>
                <w:kern w:val="0"/>
                <w:sz w:val="24"/>
                <w:lang w:bidi="ar"/>
              </w:rPr>
              <w:t>执行情况</w:t>
            </w:r>
          </w:p>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bidi="ar"/>
              </w:rPr>
              <w:t>（万元）</w:t>
            </w:r>
          </w:p>
        </w:tc>
        <w:tc>
          <w:tcPr>
            <w:tcW w:w="1632"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bidi="ar"/>
              </w:rPr>
              <w:t>预算数：</w:t>
            </w:r>
          </w:p>
        </w:tc>
        <w:tc>
          <w:tcPr>
            <w:tcW w:w="1187"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sz w:val="24"/>
              </w:rPr>
              <w:t>1.8</w:t>
            </w:r>
          </w:p>
        </w:tc>
        <w:tc>
          <w:tcPr>
            <w:tcW w:w="1222"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bidi="ar"/>
              </w:rPr>
              <w:t>执行数：</w:t>
            </w:r>
          </w:p>
        </w:tc>
        <w:tc>
          <w:tcPr>
            <w:tcW w:w="2293"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sz w:val="24"/>
              </w:rPr>
              <w:t>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3112" w:type="dxa"/>
            <w:gridSpan w:val="2"/>
            <w:vMerge w:val="continue"/>
            <w:shd w:val="clear" w:color="auto" w:fill="auto"/>
            <w:vAlign w:val="center"/>
          </w:tcPr>
          <w:p>
            <w:pPr>
              <w:spacing w:line="320" w:lineRule="exact"/>
              <w:jc w:val="center"/>
              <w:rPr>
                <w:rFonts w:cs="宋体" w:asciiTheme="majorEastAsia" w:hAnsiTheme="majorEastAsia" w:eastAsiaTheme="majorEastAsia"/>
                <w:sz w:val="24"/>
              </w:rPr>
            </w:pPr>
          </w:p>
        </w:tc>
        <w:tc>
          <w:tcPr>
            <w:tcW w:w="1632" w:type="dxa"/>
            <w:shd w:val="clear" w:color="auto" w:fill="auto"/>
            <w:vAlign w:val="center"/>
          </w:tcPr>
          <w:p>
            <w:pPr>
              <w:widowControl/>
              <w:spacing w:line="320" w:lineRule="exact"/>
              <w:jc w:val="center"/>
              <w:textAlignment w:val="center"/>
              <w:rPr>
                <w:rFonts w:cs="宋体" w:asciiTheme="majorEastAsia" w:hAnsiTheme="majorEastAsia" w:eastAsiaTheme="majorEastAsia"/>
                <w:kern w:val="0"/>
                <w:sz w:val="24"/>
                <w:lang w:bidi="ar"/>
              </w:rPr>
            </w:pPr>
            <w:r>
              <w:rPr>
                <w:rFonts w:hint="eastAsia" w:cs="宋体" w:asciiTheme="majorEastAsia" w:hAnsiTheme="majorEastAsia" w:eastAsiaTheme="majorEastAsia"/>
                <w:kern w:val="0"/>
                <w:sz w:val="24"/>
                <w:lang w:bidi="ar"/>
              </w:rPr>
              <w:t>其中：</w:t>
            </w:r>
          </w:p>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bidi="ar"/>
              </w:rPr>
              <w:t>财政拨款</w:t>
            </w:r>
          </w:p>
        </w:tc>
        <w:tc>
          <w:tcPr>
            <w:tcW w:w="1187"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sz w:val="24"/>
              </w:rPr>
              <w:t>1.8</w:t>
            </w:r>
          </w:p>
        </w:tc>
        <w:tc>
          <w:tcPr>
            <w:tcW w:w="1222" w:type="dxa"/>
            <w:shd w:val="clear" w:color="auto" w:fill="auto"/>
            <w:vAlign w:val="center"/>
          </w:tcPr>
          <w:p>
            <w:pPr>
              <w:widowControl/>
              <w:spacing w:line="320" w:lineRule="exact"/>
              <w:jc w:val="center"/>
              <w:textAlignment w:val="center"/>
              <w:rPr>
                <w:rFonts w:cs="宋体" w:asciiTheme="majorEastAsia" w:hAnsiTheme="majorEastAsia" w:eastAsiaTheme="majorEastAsia"/>
                <w:kern w:val="0"/>
                <w:sz w:val="24"/>
                <w:lang w:bidi="ar"/>
              </w:rPr>
            </w:pPr>
            <w:r>
              <w:rPr>
                <w:rFonts w:hint="eastAsia" w:cs="宋体" w:asciiTheme="majorEastAsia" w:hAnsiTheme="majorEastAsia" w:eastAsiaTheme="majorEastAsia"/>
                <w:kern w:val="0"/>
                <w:sz w:val="24"/>
                <w:lang w:bidi="ar"/>
              </w:rPr>
              <w:t>其中：</w:t>
            </w:r>
          </w:p>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bidi="ar"/>
              </w:rPr>
              <w:t>财政拨款</w:t>
            </w:r>
          </w:p>
        </w:tc>
        <w:tc>
          <w:tcPr>
            <w:tcW w:w="2293"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sz w:val="24"/>
              </w:rPr>
              <w:t>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3112" w:type="dxa"/>
            <w:gridSpan w:val="2"/>
            <w:vMerge w:val="continue"/>
            <w:shd w:val="clear" w:color="auto" w:fill="auto"/>
            <w:vAlign w:val="center"/>
          </w:tcPr>
          <w:p>
            <w:pPr>
              <w:spacing w:line="320" w:lineRule="exact"/>
              <w:jc w:val="center"/>
              <w:rPr>
                <w:rFonts w:cs="宋体" w:asciiTheme="majorEastAsia" w:hAnsiTheme="majorEastAsia" w:eastAsiaTheme="majorEastAsia"/>
                <w:sz w:val="24"/>
              </w:rPr>
            </w:pPr>
          </w:p>
        </w:tc>
        <w:tc>
          <w:tcPr>
            <w:tcW w:w="1632"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bidi="ar"/>
              </w:rPr>
              <w:t>其他资金</w:t>
            </w:r>
          </w:p>
        </w:tc>
        <w:tc>
          <w:tcPr>
            <w:tcW w:w="1187"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p>
        </w:tc>
        <w:tc>
          <w:tcPr>
            <w:tcW w:w="1222"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bidi="ar"/>
              </w:rPr>
              <w:t>其他资金</w:t>
            </w:r>
          </w:p>
        </w:tc>
        <w:tc>
          <w:tcPr>
            <w:tcW w:w="2293" w:type="dxa"/>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972" w:type="dxa"/>
            <w:vMerge w:val="restart"/>
            <w:shd w:val="clear" w:color="auto" w:fill="auto"/>
            <w:vAlign w:val="center"/>
          </w:tcPr>
          <w:p>
            <w:pPr>
              <w:widowControl/>
              <w:spacing w:line="320" w:lineRule="exact"/>
              <w:jc w:val="center"/>
              <w:textAlignment w:val="center"/>
              <w:rPr>
                <w:rFonts w:cs="宋体" w:asciiTheme="majorEastAsia" w:hAnsiTheme="majorEastAsia" w:eastAsiaTheme="majorEastAsia"/>
                <w:kern w:val="0"/>
                <w:sz w:val="24"/>
                <w:lang w:bidi="ar"/>
              </w:rPr>
            </w:pPr>
            <w:r>
              <w:rPr>
                <w:rFonts w:hint="eastAsia" w:cs="宋体" w:asciiTheme="majorEastAsia" w:hAnsiTheme="majorEastAsia" w:eastAsiaTheme="majorEastAsia"/>
                <w:kern w:val="0"/>
                <w:sz w:val="24"/>
                <w:lang w:bidi="ar"/>
              </w:rPr>
              <w:t>年度总体目标</w:t>
            </w:r>
          </w:p>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bidi="ar"/>
              </w:rPr>
              <w:t>完成情况</w:t>
            </w:r>
          </w:p>
        </w:tc>
        <w:tc>
          <w:tcPr>
            <w:tcW w:w="3959" w:type="dxa"/>
            <w:gridSpan w:val="3"/>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bidi="ar"/>
              </w:rPr>
              <w:t>预期目标</w:t>
            </w:r>
          </w:p>
        </w:tc>
        <w:tc>
          <w:tcPr>
            <w:tcW w:w="3515" w:type="dxa"/>
            <w:gridSpan w:val="2"/>
            <w:shd w:val="clear" w:color="auto" w:fill="auto"/>
            <w:vAlign w:val="center"/>
          </w:tcPr>
          <w:p>
            <w:pPr>
              <w:widowControl/>
              <w:spacing w:line="320" w:lineRule="exact"/>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bidi="ar"/>
              </w:rPr>
              <w:t>目标实际完成情况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9" w:hRule="atLeast"/>
          <w:jc w:val="center"/>
        </w:trPr>
        <w:tc>
          <w:tcPr>
            <w:tcW w:w="1972" w:type="dxa"/>
            <w:vMerge w:val="continue"/>
            <w:shd w:val="clear" w:color="auto" w:fill="auto"/>
            <w:vAlign w:val="center"/>
          </w:tcPr>
          <w:p>
            <w:pPr>
              <w:spacing w:line="320" w:lineRule="exact"/>
              <w:jc w:val="center"/>
              <w:rPr>
                <w:rFonts w:cs="宋体" w:asciiTheme="majorEastAsia" w:hAnsiTheme="majorEastAsia" w:eastAsiaTheme="majorEastAsia"/>
                <w:sz w:val="24"/>
              </w:rPr>
            </w:pPr>
          </w:p>
        </w:tc>
        <w:tc>
          <w:tcPr>
            <w:tcW w:w="3959" w:type="dxa"/>
            <w:gridSpan w:val="3"/>
            <w:shd w:val="clear" w:color="auto" w:fill="auto"/>
            <w:vAlign w:val="center"/>
          </w:tcPr>
          <w:p>
            <w:pPr>
              <w:widowControl/>
              <w:spacing w:line="320" w:lineRule="exact"/>
              <w:jc w:val="center"/>
              <w:textAlignment w:val="top"/>
              <w:rPr>
                <w:rFonts w:cs="宋体" w:asciiTheme="majorEastAsia" w:hAnsiTheme="majorEastAsia" w:eastAsiaTheme="majorEastAsia"/>
                <w:sz w:val="24"/>
              </w:rPr>
            </w:pPr>
            <w:r>
              <w:rPr>
                <w:rFonts w:hint="eastAsia" w:cs="宋体" w:asciiTheme="majorEastAsia" w:hAnsiTheme="majorEastAsia" w:eastAsiaTheme="majorEastAsia"/>
                <w:sz w:val="24"/>
              </w:rPr>
              <w:t>完成土地报征50亩。</w:t>
            </w:r>
          </w:p>
        </w:tc>
        <w:tc>
          <w:tcPr>
            <w:tcW w:w="3515" w:type="dxa"/>
            <w:gridSpan w:val="2"/>
            <w:shd w:val="clear" w:color="auto" w:fill="auto"/>
            <w:vAlign w:val="center"/>
          </w:tcPr>
          <w:p>
            <w:pPr>
              <w:widowControl/>
              <w:spacing w:line="320" w:lineRule="exact"/>
              <w:jc w:val="center"/>
              <w:textAlignment w:val="top"/>
              <w:rPr>
                <w:rFonts w:cs="宋体" w:asciiTheme="majorEastAsia" w:hAnsiTheme="majorEastAsia" w:eastAsiaTheme="majorEastAsia"/>
                <w:sz w:val="24"/>
              </w:rPr>
            </w:pPr>
            <w:r>
              <w:rPr>
                <w:rFonts w:hint="eastAsia" w:cs="宋体" w:asciiTheme="majorEastAsia" w:hAnsiTheme="majorEastAsia" w:eastAsiaTheme="majorEastAsia"/>
                <w:sz w:val="24"/>
              </w:rPr>
              <w:t>完成土地报征50亩。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8" w:hRule="atLeast"/>
          <w:jc w:val="center"/>
        </w:trPr>
        <w:tc>
          <w:tcPr>
            <w:tcW w:w="1972" w:type="dxa"/>
            <w:vMerge w:val="restart"/>
            <w:shd w:val="clear" w:color="auto" w:fill="auto"/>
            <w:vAlign w:val="center"/>
          </w:tcPr>
          <w:p>
            <w:pPr>
              <w:widowControl/>
              <w:spacing w:line="320" w:lineRule="exact"/>
              <w:jc w:val="center"/>
              <w:textAlignment w:val="center"/>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年度绩效指标完成情况</w:t>
            </w:r>
          </w:p>
        </w:tc>
        <w:tc>
          <w:tcPr>
            <w:tcW w:w="1140" w:type="dxa"/>
            <w:shd w:val="clear" w:color="auto" w:fill="auto"/>
            <w:vAlign w:val="center"/>
          </w:tcPr>
          <w:p>
            <w:pPr>
              <w:widowControl/>
              <w:spacing w:line="320" w:lineRule="exact"/>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一级</w:t>
            </w:r>
          </w:p>
          <w:p>
            <w:pPr>
              <w:widowControl/>
              <w:spacing w:line="320" w:lineRule="exact"/>
              <w:jc w:val="center"/>
              <w:textAlignment w:val="center"/>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指标</w:t>
            </w:r>
          </w:p>
        </w:tc>
        <w:tc>
          <w:tcPr>
            <w:tcW w:w="1632" w:type="dxa"/>
            <w:shd w:val="clear" w:color="auto" w:fill="auto"/>
            <w:vAlign w:val="center"/>
          </w:tcPr>
          <w:p>
            <w:pPr>
              <w:widowControl/>
              <w:spacing w:line="320" w:lineRule="exact"/>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二级</w:t>
            </w:r>
          </w:p>
          <w:p>
            <w:pPr>
              <w:widowControl/>
              <w:spacing w:line="320" w:lineRule="exact"/>
              <w:jc w:val="center"/>
              <w:textAlignment w:val="center"/>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指标</w:t>
            </w:r>
          </w:p>
        </w:tc>
        <w:tc>
          <w:tcPr>
            <w:tcW w:w="1187" w:type="dxa"/>
            <w:shd w:val="clear" w:color="auto" w:fill="auto"/>
            <w:vAlign w:val="center"/>
          </w:tcPr>
          <w:p>
            <w:pPr>
              <w:widowControl/>
              <w:spacing w:line="320" w:lineRule="exact"/>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三级</w:t>
            </w:r>
          </w:p>
          <w:p>
            <w:pPr>
              <w:widowControl/>
              <w:spacing w:line="320" w:lineRule="exact"/>
              <w:jc w:val="center"/>
              <w:textAlignment w:val="center"/>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指标</w:t>
            </w:r>
          </w:p>
        </w:tc>
        <w:tc>
          <w:tcPr>
            <w:tcW w:w="1222" w:type="dxa"/>
            <w:shd w:val="clear" w:color="auto" w:fill="auto"/>
            <w:vAlign w:val="center"/>
          </w:tcPr>
          <w:p>
            <w:pPr>
              <w:widowControl/>
              <w:spacing w:line="320" w:lineRule="exact"/>
              <w:jc w:val="center"/>
              <w:textAlignment w:val="center"/>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预期指标值</w:t>
            </w:r>
          </w:p>
        </w:tc>
        <w:tc>
          <w:tcPr>
            <w:tcW w:w="2293" w:type="dxa"/>
            <w:shd w:val="clear" w:color="auto" w:fill="auto"/>
            <w:vAlign w:val="center"/>
          </w:tcPr>
          <w:p>
            <w:pPr>
              <w:widowControl/>
              <w:spacing w:line="320" w:lineRule="exact"/>
              <w:jc w:val="center"/>
              <w:textAlignment w:val="center"/>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实际完成指标值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1972"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140" w:type="dxa"/>
            <w:vMerge w:val="restart"/>
            <w:shd w:val="clear" w:color="auto" w:fill="auto"/>
            <w:vAlign w:val="center"/>
          </w:tcPr>
          <w:p>
            <w:pPr>
              <w:widowControl/>
              <w:spacing w:line="320" w:lineRule="exact"/>
              <w:jc w:val="center"/>
              <w:textAlignment w:val="bottom"/>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完成</w:t>
            </w:r>
          </w:p>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指标</w:t>
            </w:r>
          </w:p>
        </w:tc>
        <w:tc>
          <w:tcPr>
            <w:tcW w:w="163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数量指标</w:t>
            </w:r>
          </w:p>
        </w:tc>
        <w:tc>
          <w:tcPr>
            <w:tcW w:w="1187"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报征土地</w:t>
            </w:r>
          </w:p>
        </w:tc>
        <w:tc>
          <w:tcPr>
            <w:tcW w:w="122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50亩</w:t>
            </w:r>
          </w:p>
        </w:tc>
        <w:tc>
          <w:tcPr>
            <w:tcW w:w="2293"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50亩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1972"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140"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63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质量指标</w:t>
            </w:r>
          </w:p>
        </w:tc>
        <w:tc>
          <w:tcPr>
            <w:tcW w:w="1187"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取得省厅批文</w:t>
            </w:r>
          </w:p>
        </w:tc>
        <w:tc>
          <w:tcPr>
            <w:tcW w:w="122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98%</w:t>
            </w:r>
          </w:p>
        </w:tc>
        <w:tc>
          <w:tcPr>
            <w:tcW w:w="2293"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已完成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1972"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140"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63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时效指标</w:t>
            </w:r>
          </w:p>
        </w:tc>
        <w:tc>
          <w:tcPr>
            <w:tcW w:w="1187"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完成时间</w:t>
            </w:r>
          </w:p>
        </w:tc>
        <w:tc>
          <w:tcPr>
            <w:tcW w:w="122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2021年底</w:t>
            </w:r>
          </w:p>
        </w:tc>
        <w:tc>
          <w:tcPr>
            <w:tcW w:w="2293"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已完成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1" w:hRule="atLeast"/>
          <w:jc w:val="center"/>
        </w:trPr>
        <w:tc>
          <w:tcPr>
            <w:tcW w:w="1972"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140"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63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成本指标</w:t>
            </w:r>
          </w:p>
        </w:tc>
        <w:tc>
          <w:tcPr>
            <w:tcW w:w="1187"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差旅费成本</w:t>
            </w:r>
          </w:p>
        </w:tc>
        <w:tc>
          <w:tcPr>
            <w:tcW w:w="122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1.8万</w:t>
            </w:r>
          </w:p>
        </w:tc>
        <w:tc>
          <w:tcPr>
            <w:tcW w:w="2293"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已完成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1" w:hRule="atLeast"/>
          <w:jc w:val="center"/>
        </w:trPr>
        <w:tc>
          <w:tcPr>
            <w:tcW w:w="1972"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140" w:type="dxa"/>
            <w:vMerge w:val="restart"/>
            <w:shd w:val="clear" w:color="auto" w:fill="auto"/>
            <w:vAlign w:val="center"/>
          </w:tcPr>
          <w:p>
            <w:pPr>
              <w:widowControl/>
              <w:spacing w:line="320" w:lineRule="exact"/>
              <w:jc w:val="center"/>
              <w:textAlignment w:val="bottom"/>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效益</w:t>
            </w:r>
          </w:p>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指标</w:t>
            </w:r>
          </w:p>
        </w:tc>
        <w:tc>
          <w:tcPr>
            <w:tcW w:w="163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经济效益  指标</w:t>
            </w:r>
          </w:p>
        </w:tc>
        <w:tc>
          <w:tcPr>
            <w:tcW w:w="1187"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合法用地</w:t>
            </w:r>
          </w:p>
        </w:tc>
        <w:tc>
          <w:tcPr>
            <w:tcW w:w="122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提升</w:t>
            </w:r>
          </w:p>
        </w:tc>
        <w:tc>
          <w:tcPr>
            <w:tcW w:w="2293"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提升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1" w:hRule="atLeast"/>
          <w:jc w:val="center"/>
        </w:trPr>
        <w:tc>
          <w:tcPr>
            <w:tcW w:w="1972"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140"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63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社会效益  指标</w:t>
            </w:r>
          </w:p>
        </w:tc>
        <w:tc>
          <w:tcPr>
            <w:tcW w:w="1187"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p>
        </w:tc>
        <w:tc>
          <w:tcPr>
            <w:tcW w:w="122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p>
        </w:tc>
        <w:tc>
          <w:tcPr>
            <w:tcW w:w="2293"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1972"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140"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632" w:type="dxa"/>
            <w:shd w:val="clear" w:color="auto" w:fill="auto"/>
            <w:vAlign w:val="center"/>
          </w:tcPr>
          <w:p>
            <w:pPr>
              <w:widowControl/>
              <w:spacing w:line="320" w:lineRule="exact"/>
              <w:ind w:left="423" w:leftChars="87" w:hanging="240" w:hangingChars="100"/>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生态效益  指标</w:t>
            </w:r>
          </w:p>
        </w:tc>
        <w:tc>
          <w:tcPr>
            <w:tcW w:w="1187"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p>
        </w:tc>
        <w:tc>
          <w:tcPr>
            <w:tcW w:w="122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p>
        </w:tc>
        <w:tc>
          <w:tcPr>
            <w:tcW w:w="2293"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1" w:hRule="atLeast"/>
          <w:jc w:val="center"/>
        </w:trPr>
        <w:tc>
          <w:tcPr>
            <w:tcW w:w="1972"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140"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63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可持续影响 指标</w:t>
            </w:r>
          </w:p>
        </w:tc>
        <w:tc>
          <w:tcPr>
            <w:tcW w:w="1187"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p>
        </w:tc>
        <w:tc>
          <w:tcPr>
            <w:tcW w:w="122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p>
        </w:tc>
        <w:tc>
          <w:tcPr>
            <w:tcW w:w="2293"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1972" w:type="dxa"/>
            <w:vMerge w:val="continue"/>
            <w:shd w:val="clear" w:color="auto" w:fill="auto"/>
            <w:vAlign w:val="center"/>
          </w:tcPr>
          <w:p>
            <w:pPr>
              <w:spacing w:line="320" w:lineRule="exact"/>
              <w:jc w:val="center"/>
              <w:rPr>
                <w:rFonts w:cs="仿宋_GB2312" w:asciiTheme="majorEastAsia" w:hAnsiTheme="majorEastAsia" w:eastAsiaTheme="majorEastAsia"/>
                <w:sz w:val="24"/>
              </w:rPr>
            </w:pPr>
          </w:p>
        </w:tc>
        <w:tc>
          <w:tcPr>
            <w:tcW w:w="1140" w:type="dxa"/>
            <w:shd w:val="clear" w:color="auto" w:fill="auto"/>
            <w:vAlign w:val="center"/>
          </w:tcPr>
          <w:p>
            <w:pPr>
              <w:widowControl/>
              <w:spacing w:line="320" w:lineRule="exact"/>
              <w:jc w:val="center"/>
              <w:textAlignment w:val="bottom"/>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满意</w:t>
            </w:r>
          </w:p>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度指标</w:t>
            </w:r>
          </w:p>
        </w:tc>
        <w:tc>
          <w:tcPr>
            <w:tcW w:w="1632" w:type="dxa"/>
            <w:shd w:val="clear" w:color="auto" w:fill="auto"/>
            <w:vAlign w:val="center"/>
          </w:tcPr>
          <w:p>
            <w:pPr>
              <w:widowControl/>
              <w:spacing w:line="320" w:lineRule="exact"/>
              <w:jc w:val="center"/>
              <w:textAlignment w:val="bottom"/>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满意度</w:t>
            </w:r>
          </w:p>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kern w:val="0"/>
                <w:sz w:val="24"/>
                <w:lang w:bidi="ar"/>
              </w:rPr>
              <w:t>指标</w:t>
            </w:r>
          </w:p>
        </w:tc>
        <w:tc>
          <w:tcPr>
            <w:tcW w:w="1187"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项目用地满意度</w:t>
            </w:r>
          </w:p>
        </w:tc>
        <w:tc>
          <w:tcPr>
            <w:tcW w:w="1222"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〉98%</w:t>
            </w:r>
          </w:p>
        </w:tc>
        <w:tc>
          <w:tcPr>
            <w:tcW w:w="2293" w:type="dxa"/>
            <w:shd w:val="clear" w:color="auto" w:fill="auto"/>
            <w:vAlign w:val="center"/>
          </w:tcPr>
          <w:p>
            <w:pPr>
              <w:widowControl/>
              <w:spacing w:line="320" w:lineRule="exact"/>
              <w:jc w:val="center"/>
              <w:textAlignment w:val="bottom"/>
              <w:rPr>
                <w:rFonts w:cs="仿宋_GB2312" w:asciiTheme="majorEastAsia" w:hAnsiTheme="majorEastAsia" w:eastAsiaTheme="majorEastAsia"/>
                <w:sz w:val="24"/>
              </w:rPr>
            </w:pPr>
            <w:r>
              <w:rPr>
                <w:rFonts w:hint="eastAsia" w:cs="仿宋_GB2312" w:asciiTheme="majorEastAsia" w:hAnsiTheme="majorEastAsia" w:eastAsiaTheme="majorEastAsia"/>
                <w:sz w:val="24"/>
              </w:rPr>
              <w:t>完成</w:t>
            </w:r>
          </w:p>
        </w:tc>
      </w:tr>
    </w:tbl>
    <w:p>
      <w:pPr>
        <w:pStyle w:val="2"/>
        <w:spacing w:before="93"/>
        <w:jc w:val="center"/>
        <w:rPr>
          <w:rStyle w:val="25"/>
          <w:rFonts w:hint="eastAsia" w:ascii="黑体" w:hAnsi="黑体" w:eastAsia="黑体"/>
          <w:b w:val="0"/>
        </w:rPr>
      </w:pPr>
      <w:r>
        <w:rPr>
          <w:rFonts w:hint="eastAsia" w:ascii="黑体" w:hAnsi="黑体" w:eastAsia="黑体"/>
          <w:sz w:val="44"/>
          <w:szCs w:val="44"/>
        </w:rPr>
        <w:t>第</w:t>
      </w:r>
      <w:r>
        <w:rPr>
          <w:rStyle w:val="25"/>
          <w:rFonts w:hint="eastAsia" w:ascii="黑体" w:hAnsi="黑体" w:eastAsia="黑体"/>
          <w:b w:val="0"/>
        </w:rPr>
        <w:t>五部分 附表</w:t>
      </w:r>
      <w:bookmarkEnd w:id="52"/>
      <w:bookmarkEnd w:id="55"/>
      <w:bookmarkStart w:id="56" w:name="_Toc15396619"/>
    </w:p>
    <w:p>
      <w:pPr>
        <w:spacing w:line="576" w:lineRule="exact"/>
        <w:outlineLvl w:val="0"/>
        <w:rPr>
          <w:rFonts w:hint="eastAsia" w:ascii="仿宋_GB2312" w:hAnsi="仿宋" w:eastAsia="仿宋_GB2312"/>
          <w:sz w:val="32"/>
          <w:szCs w:val="32"/>
        </w:rPr>
      </w:pPr>
    </w:p>
    <w:p>
      <w:pPr>
        <w:spacing w:line="576" w:lineRule="exact"/>
        <w:outlineLvl w:val="0"/>
        <w:rPr>
          <w:rStyle w:val="26"/>
          <w:rFonts w:hint="eastAsia" w:ascii="仿宋_GB2312" w:hAnsi="仿宋" w:eastAsia="仿宋_GB2312"/>
          <w:b w:val="0"/>
          <w:bCs w:val="0"/>
        </w:rPr>
      </w:pPr>
      <w:r>
        <w:rPr>
          <w:rFonts w:hint="eastAsia" w:ascii="仿宋_GB2312" w:hAnsi="仿宋" w:eastAsia="仿宋_GB2312"/>
          <w:sz w:val="32"/>
          <w:szCs w:val="32"/>
        </w:rPr>
        <w:t>一、收</w:t>
      </w:r>
      <w:r>
        <w:rPr>
          <w:rStyle w:val="26"/>
          <w:rFonts w:hint="eastAsia" w:ascii="仿宋_GB2312" w:hAnsi="仿宋" w:eastAsia="仿宋_GB2312"/>
          <w:b w:val="0"/>
          <w:bCs w:val="0"/>
        </w:rPr>
        <w:t>入支出决算总表</w:t>
      </w:r>
      <w:bookmarkEnd w:id="56"/>
      <w:bookmarkStart w:id="57" w:name="_Toc15396620"/>
    </w:p>
    <w:p>
      <w:pPr>
        <w:spacing w:line="576" w:lineRule="exact"/>
        <w:outlineLvl w:val="0"/>
        <w:rPr>
          <w:rStyle w:val="26"/>
          <w:rFonts w:hint="eastAsia" w:ascii="仿宋_GB2312" w:hAnsi="仿宋" w:eastAsia="仿宋_GB2312"/>
          <w:b w:val="0"/>
          <w:bCs w:val="0"/>
        </w:rPr>
      </w:pPr>
      <w:r>
        <w:rPr>
          <w:rFonts w:hint="eastAsia" w:ascii="仿宋_GB2312" w:hAnsi="仿宋" w:eastAsia="仿宋_GB2312"/>
          <w:sz w:val="32"/>
          <w:szCs w:val="32"/>
        </w:rPr>
        <w:t>二、收</w:t>
      </w:r>
      <w:r>
        <w:rPr>
          <w:rStyle w:val="26"/>
          <w:rFonts w:hint="eastAsia" w:ascii="仿宋_GB2312" w:hAnsi="仿宋" w:eastAsia="仿宋_GB2312"/>
          <w:b w:val="0"/>
          <w:bCs w:val="0"/>
        </w:rPr>
        <w:t>入决算表</w:t>
      </w:r>
      <w:bookmarkEnd w:id="57"/>
      <w:bookmarkStart w:id="58" w:name="_Toc15396621"/>
    </w:p>
    <w:p>
      <w:pPr>
        <w:spacing w:line="576" w:lineRule="exact"/>
        <w:outlineLvl w:val="0"/>
        <w:rPr>
          <w:rStyle w:val="26"/>
          <w:rFonts w:hint="eastAsia" w:ascii="仿宋_GB2312" w:hAnsi="仿宋" w:eastAsia="仿宋_GB2312"/>
          <w:b w:val="0"/>
          <w:bCs w:val="0"/>
        </w:rPr>
      </w:pPr>
      <w:r>
        <w:rPr>
          <w:rStyle w:val="26"/>
          <w:rFonts w:hint="eastAsia" w:ascii="仿宋_GB2312" w:hAnsi="仿宋" w:eastAsia="仿宋_GB2312"/>
          <w:b w:val="0"/>
          <w:bCs w:val="0"/>
        </w:rPr>
        <w:t>三、</w:t>
      </w:r>
      <w:r>
        <w:rPr>
          <w:rFonts w:hint="eastAsia" w:ascii="仿宋_GB2312" w:hAnsi="仿宋" w:eastAsia="仿宋_GB2312"/>
          <w:sz w:val="32"/>
          <w:szCs w:val="32"/>
        </w:rPr>
        <w:t>支</w:t>
      </w:r>
      <w:r>
        <w:rPr>
          <w:rStyle w:val="26"/>
          <w:rFonts w:hint="eastAsia" w:ascii="仿宋_GB2312" w:hAnsi="仿宋" w:eastAsia="仿宋_GB2312"/>
          <w:b w:val="0"/>
          <w:bCs w:val="0"/>
        </w:rPr>
        <w:t>出决算表</w:t>
      </w:r>
      <w:bookmarkEnd w:id="58"/>
      <w:bookmarkStart w:id="59" w:name="_Toc15396622"/>
    </w:p>
    <w:p>
      <w:pPr>
        <w:spacing w:line="576" w:lineRule="exact"/>
        <w:outlineLvl w:val="0"/>
        <w:rPr>
          <w:rStyle w:val="26"/>
          <w:rFonts w:hint="eastAsia" w:ascii="仿宋_GB2312" w:hAnsi="仿宋" w:eastAsia="仿宋_GB2312"/>
          <w:b w:val="0"/>
          <w:bCs w:val="0"/>
        </w:rPr>
      </w:pPr>
      <w:r>
        <w:rPr>
          <w:rStyle w:val="26"/>
          <w:rFonts w:hint="eastAsia" w:ascii="仿宋_GB2312" w:hAnsi="仿宋" w:eastAsia="仿宋_GB2312"/>
          <w:b w:val="0"/>
          <w:bCs w:val="0"/>
        </w:rPr>
        <w:t>四、</w:t>
      </w:r>
      <w:r>
        <w:rPr>
          <w:rFonts w:hint="eastAsia" w:ascii="仿宋_GB2312" w:hAnsi="仿宋" w:eastAsia="仿宋_GB2312"/>
          <w:sz w:val="32"/>
          <w:szCs w:val="32"/>
        </w:rPr>
        <w:t>财</w:t>
      </w:r>
      <w:r>
        <w:rPr>
          <w:rStyle w:val="26"/>
          <w:rFonts w:hint="eastAsia" w:ascii="仿宋_GB2312" w:hAnsi="仿宋" w:eastAsia="仿宋_GB2312"/>
          <w:b w:val="0"/>
          <w:bCs w:val="0"/>
        </w:rPr>
        <w:t>政拨款收入支出决算总表</w:t>
      </w:r>
      <w:bookmarkEnd w:id="59"/>
      <w:bookmarkStart w:id="60" w:name="_Toc15396623"/>
    </w:p>
    <w:p>
      <w:pPr>
        <w:spacing w:line="576" w:lineRule="exact"/>
        <w:outlineLvl w:val="0"/>
        <w:rPr>
          <w:rStyle w:val="26"/>
          <w:rFonts w:hint="eastAsia" w:ascii="仿宋_GB2312" w:hAnsi="仿宋" w:eastAsia="仿宋_GB2312"/>
          <w:b w:val="0"/>
          <w:bCs w:val="0"/>
        </w:rPr>
      </w:pPr>
      <w:r>
        <w:rPr>
          <w:rStyle w:val="26"/>
          <w:rFonts w:hint="eastAsia" w:ascii="仿宋_GB2312" w:hAnsi="仿宋" w:eastAsia="仿宋_GB2312"/>
          <w:b w:val="0"/>
          <w:bCs w:val="0"/>
        </w:rPr>
        <w:t>五、</w:t>
      </w:r>
      <w:r>
        <w:rPr>
          <w:rFonts w:hint="eastAsia" w:ascii="仿宋_GB2312" w:hAnsi="仿宋" w:eastAsia="仿宋_GB2312"/>
          <w:sz w:val="32"/>
          <w:szCs w:val="32"/>
        </w:rPr>
        <w:t>财</w:t>
      </w:r>
      <w:r>
        <w:rPr>
          <w:rStyle w:val="26"/>
          <w:rFonts w:hint="eastAsia" w:ascii="仿宋_GB2312" w:hAnsi="仿宋" w:eastAsia="仿宋_GB2312"/>
          <w:b w:val="0"/>
          <w:bCs w:val="0"/>
        </w:rPr>
        <w:t>政拨款支出决算明细表</w:t>
      </w:r>
      <w:bookmarkEnd w:id="60"/>
      <w:bookmarkStart w:id="61" w:name="_Toc15396624"/>
    </w:p>
    <w:p>
      <w:pPr>
        <w:spacing w:line="576" w:lineRule="exact"/>
        <w:outlineLvl w:val="0"/>
        <w:rPr>
          <w:rStyle w:val="26"/>
          <w:rFonts w:hint="eastAsia" w:ascii="仿宋_GB2312" w:hAnsi="仿宋" w:eastAsia="仿宋_GB2312"/>
          <w:b w:val="0"/>
          <w:bCs w:val="0"/>
        </w:rPr>
      </w:pPr>
      <w:r>
        <w:rPr>
          <w:rStyle w:val="26"/>
          <w:rFonts w:hint="eastAsia" w:ascii="仿宋_GB2312" w:hAnsi="仿宋" w:eastAsia="仿宋_GB2312"/>
          <w:b w:val="0"/>
          <w:bCs w:val="0"/>
        </w:rPr>
        <w:t>六、</w:t>
      </w:r>
      <w:r>
        <w:rPr>
          <w:rFonts w:hint="eastAsia" w:ascii="仿宋_GB2312" w:hAnsi="仿宋" w:eastAsia="仿宋_GB2312"/>
          <w:sz w:val="32"/>
          <w:szCs w:val="32"/>
        </w:rPr>
        <w:t>一</w:t>
      </w:r>
      <w:r>
        <w:rPr>
          <w:rStyle w:val="26"/>
          <w:rFonts w:hint="eastAsia" w:ascii="仿宋_GB2312" w:hAnsi="仿宋" w:eastAsia="仿宋_GB2312"/>
          <w:b w:val="0"/>
          <w:bCs w:val="0"/>
        </w:rPr>
        <w:t>般公共预算财政拨款支出决算表</w:t>
      </w:r>
      <w:bookmarkEnd w:id="61"/>
      <w:bookmarkStart w:id="62" w:name="_Toc15396625"/>
    </w:p>
    <w:p>
      <w:pPr>
        <w:spacing w:line="576" w:lineRule="exact"/>
        <w:outlineLvl w:val="0"/>
        <w:rPr>
          <w:rStyle w:val="26"/>
          <w:rFonts w:hint="eastAsia" w:ascii="仿宋_GB2312" w:hAnsi="仿宋" w:eastAsia="仿宋_GB2312"/>
          <w:b w:val="0"/>
          <w:bCs w:val="0"/>
        </w:rPr>
      </w:pPr>
      <w:r>
        <w:rPr>
          <w:rStyle w:val="26"/>
          <w:rFonts w:hint="eastAsia" w:ascii="仿宋_GB2312" w:hAnsi="仿宋" w:eastAsia="仿宋_GB2312"/>
          <w:b w:val="0"/>
          <w:bCs w:val="0"/>
        </w:rPr>
        <w:t>七、</w:t>
      </w:r>
      <w:r>
        <w:rPr>
          <w:rFonts w:hint="eastAsia" w:ascii="仿宋_GB2312" w:hAnsi="仿宋" w:eastAsia="仿宋_GB2312"/>
          <w:sz w:val="32"/>
          <w:szCs w:val="32"/>
        </w:rPr>
        <w:t>一</w:t>
      </w:r>
      <w:r>
        <w:rPr>
          <w:rStyle w:val="26"/>
          <w:rFonts w:hint="eastAsia" w:ascii="仿宋_GB2312" w:hAnsi="仿宋" w:eastAsia="仿宋_GB2312"/>
          <w:b w:val="0"/>
          <w:bCs w:val="0"/>
        </w:rPr>
        <w:t>般公共预算财政拨款支出决算明细表</w:t>
      </w:r>
      <w:bookmarkEnd w:id="62"/>
      <w:bookmarkStart w:id="63" w:name="_Toc15396626"/>
    </w:p>
    <w:p>
      <w:pPr>
        <w:spacing w:line="576" w:lineRule="exact"/>
        <w:outlineLvl w:val="0"/>
        <w:rPr>
          <w:rStyle w:val="26"/>
          <w:rFonts w:hint="eastAsia" w:ascii="仿宋_GB2312" w:hAnsi="仿宋" w:eastAsia="仿宋_GB2312"/>
          <w:b w:val="0"/>
          <w:bCs w:val="0"/>
        </w:rPr>
      </w:pPr>
      <w:r>
        <w:rPr>
          <w:rStyle w:val="26"/>
          <w:rFonts w:hint="eastAsia" w:ascii="仿宋_GB2312" w:hAnsi="仿宋" w:eastAsia="仿宋_GB2312"/>
          <w:b w:val="0"/>
          <w:bCs w:val="0"/>
        </w:rPr>
        <w:t>八、</w:t>
      </w:r>
      <w:r>
        <w:rPr>
          <w:rFonts w:hint="eastAsia" w:ascii="仿宋_GB2312" w:hAnsi="仿宋" w:eastAsia="仿宋_GB2312"/>
          <w:sz w:val="32"/>
          <w:szCs w:val="32"/>
        </w:rPr>
        <w:t>一</w:t>
      </w:r>
      <w:r>
        <w:rPr>
          <w:rStyle w:val="26"/>
          <w:rFonts w:hint="eastAsia" w:ascii="仿宋_GB2312" w:hAnsi="仿宋" w:eastAsia="仿宋_GB2312"/>
          <w:b w:val="0"/>
          <w:bCs w:val="0"/>
        </w:rPr>
        <w:t>般公共预算财政拨款基本支出决算表</w:t>
      </w:r>
      <w:bookmarkEnd w:id="63"/>
      <w:bookmarkStart w:id="64" w:name="_Toc15396627"/>
    </w:p>
    <w:p>
      <w:pPr>
        <w:spacing w:line="576" w:lineRule="exact"/>
        <w:outlineLvl w:val="0"/>
        <w:rPr>
          <w:rStyle w:val="26"/>
          <w:rFonts w:hint="eastAsia" w:ascii="仿宋_GB2312" w:hAnsi="仿宋" w:eastAsia="仿宋_GB2312"/>
          <w:b w:val="0"/>
          <w:bCs w:val="0"/>
        </w:rPr>
      </w:pPr>
      <w:r>
        <w:rPr>
          <w:rStyle w:val="26"/>
          <w:rFonts w:hint="eastAsia" w:ascii="仿宋_GB2312" w:hAnsi="仿宋" w:eastAsia="仿宋_GB2312"/>
          <w:b w:val="0"/>
          <w:bCs w:val="0"/>
        </w:rPr>
        <w:t>九、</w:t>
      </w:r>
      <w:r>
        <w:rPr>
          <w:rFonts w:hint="eastAsia" w:ascii="仿宋_GB2312" w:hAnsi="仿宋" w:eastAsia="仿宋_GB2312"/>
          <w:sz w:val="32"/>
          <w:szCs w:val="32"/>
        </w:rPr>
        <w:t>一</w:t>
      </w:r>
      <w:r>
        <w:rPr>
          <w:rStyle w:val="26"/>
          <w:rFonts w:hint="eastAsia" w:ascii="仿宋_GB2312" w:hAnsi="仿宋" w:eastAsia="仿宋_GB2312"/>
          <w:b w:val="0"/>
          <w:bCs w:val="0"/>
        </w:rPr>
        <w:t>般公共预算财政拨款项目支出决算表</w:t>
      </w:r>
      <w:bookmarkEnd w:id="64"/>
      <w:bookmarkStart w:id="65" w:name="_Toc15396628"/>
    </w:p>
    <w:p>
      <w:pPr>
        <w:spacing w:line="576" w:lineRule="exact"/>
        <w:outlineLvl w:val="0"/>
        <w:rPr>
          <w:rStyle w:val="26"/>
          <w:rFonts w:hint="eastAsia" w:ascii="仿宋_GB2312" w:hAnsi="仿宋" w:eastAsia="仿宋_GB2312"/>
          <w:b w:val="0"/>
          <w:bCs w:val="0"/>
        </w:rPr>
      </w:pPr>
      <w:r>
        <w:rPr>
          <w:rStyle w:val="26"/>
          <w:rFonts w:hint="eastAsia" w:ascii="仿宋_GB2312" w:hAnsi="仿宋" w:eastAsia="仿宋_GB2312"/>
          <w:b w:val="0"/>
          <w:bCs w:val="0"/>
        </w:rPr>
        <w:t>十、</w:t>
      </w:r>
      <w:r>
        <w:rPr>
          <w:rFonts w:hint="eastAsia" w:ascii="仿宋_GB2312" w:hAnsi="仿宋" w:eastAsia="仿宋_GB2312"/>
          <w:sz w:val="32"/>
          <w:szCs w:val="32"/>
        </w:rPr>
        <w:t>一</w:t>
      </w:r>
      <w:r>
        <w:rPr>
          <w:rStyle w:val="26"/>
          <w:rFonts w:hint="eastAsia" w:ascii="仿宋_GB2312" w:hAnsi="仿宋" w:eastAsia="仿宋_GB2312"/>
          <w:b w:val="0"/>
          <w:bCs w:val="0"/>
        </w:rPr>
        <w:t>般公共预算财政拨款“三公”经费支出决算表</w:t>
      </w:r>
      <w:bookmarkEnd w:id="65"/>
      <w:bookmarkStart w:id="66" w:name="_Toc15396629"/>
    </w:p>
    <w:p>
      <w:pPr>
        <w:spacing w:line="576" w:lineRule="exact"/>
        <w:outlineLvl w:val="0"/>
        <w:rPr>
          <w:rStyle w:val="26"/>
          <w:rFonts w:hint="eastAsia" w:ascii="仿宋_GB2312" w:hAnsi="仿宋" w:eastAsia="仿宋_GB2312"/>
          <w:b w:val="0"/>
          <w:bCs w:val="0"/>
        </w:rPr>
      </w:pPr>
      <w:r>
        <w:rPr>
          <w:rStyle w:val="26"/>
          <w:rFonts w:hint="eastAsia" w:ascii="仿宋_GB2312" w:hAnsi="仿宋" w:eastAsia="仿宋_GB2312"/>
          <w:b w:val="0"/>
          <w:bCs w:val="0"/>
        </w:rPr>
        <w:t>十一、</w:t>
      </w:r>
      <w:r>
        <w:rPr>
          <w:rFonts w:hint="eastAsia" w:ascii="仿宋_GB2312" w:hAnsi="仿宋" w:eastAsia="仿宋_GB2312"/>
          <w:sz w:val="32"/>
          <w:szCs w:val="32"/>
        </w:rPr>
        <w:t>政</w:t>
      </w:r>
      <w:r>
        <w:rPr>
          <w:rStyle w:val="26"/>
          <w:rFonts w:hint="eastAsia" w:ascii="仿宋_GB2312" w:hAnsi="仿宋" w:eastAsia="仿宋_GB2312"/>
          <w:b w:val="0"/>
          <w:bCs w:val="0"/>
        </w:rPr>
        <w:t>府性基金预算财政拨款收入支出决算表</w:t>
      </w:r>
      <w:bookmarkEnd w:id="66"/>
      <w:bookmarkStart w:id="67" w:name="_Toc15396630"/>
    </w:p>
    <w:p>
      <w:pPr>
        <w:spacing w:line="576" w:lineRule="exact"/>
        <w:outlineLvl w:val="0"/>
        <w:rPr>
          <w:rStyle w:val="26"/>
          <w:rFonts w:hint="eastAsia" w:ascii="仿宋_GB2312" w:hAnsi="仿宋" w:eastAsia="仿宋_GB2312"/>
          <w:b w:val="0"/>
          <w:bCs w:val="0"/>
        </w:rPr>
      </w:pPr>
      <w:r>
        <w:rPr>
          <w:rStyle w:val="26"/>
          <w:rFonts w:hint="eastAsia" w:ascii="仿宋_GB2312" w:hAnsi="仿宋" w:eastAsia="仿宋_GB2312"/>
          <w:b w:val="0"/>
          <w:bCs w:val="0"/>
        </w:rPr>
        <w:t>十二、</w:t>
      </w:r>
      <w:r>
        <w:rPr>
          <w:rFonts w:hint="eastAsia" w:ascii="仿宋_GB2312" w:hAnsi="仿宋" w:eastAsia="仿宋_GB2312"/>
          <w:sz w:val="32"/>
          <w:szCs w:val="32"/>
        </w:rPr>
        <w:t>政</w:t>
      </w:r>
      <w:r>
        <w:rPr>
          <w:rStyle w:val="26"/>
          <w:rFonts w:hint="eastAsia" w:ascii="仿宋_GB2312" w:hAnsi="仿宋" w:eastAsia="仿宋_GB2312"/>
          <w:b w:val="0"/>
          <w:bCs w:val="0"/>
        </w:rPr>
        <w:t>府性基金预算财政拨款“三公”经费支出决算表</w:t>
      </w:r>
      <w:bookmarkEnd w:id="67"/>
      <w:bookmarkStart w:id="68" w:name="_Toc15396631"/>
    </w:p>
    <w:p>
      <w:pPr>
        <w:spacing w:line="576" w:lineRule="exact"/>
        <w:outlineLvl w:val="0"/>
        <w:rPr>
          <w:rStyle w:val="26"/>
          <w:rFonts w:hint="eastAsia" w:ascii="仿宋_GB2312" w:hAnsi="仿宋" w:eastAsia="仿宋_GB2312"/>
          <w:b w:val="0"/>
          <w:bCs w:val="0"/>
        </w:rPr>
      </w:pPr>
      <w:r>
        <w:rPr>
          <w:rStyle w:val="26"/>
          <w:rFonts w:hint="eastAsia" w:ascii="仿宋_GB2312" w:hAnsi="仿宋" w:eastAsia="仿宋_GB2312"/>
          <w:b w:val="0"/>
          <w:bCs w:val="0"/>
        </w:rPr>
        <w:t>十三、</w:t>
      </w:r>
      <w:r>
        <w:rPr>
          <w:rFonts w:hint="eastAsia" w:ascii="仿宋_GB2312" w:hAnsi="仿宋" w:eastAsia="仿宋_GB2312"/>
          <w:sz w:val="32"/>
          <w:szCs w:val="32"/>
        </w:rPr>
        <w:t>国</w:t>
      </w:r>
      <w:r>
        <w:rPr>
          <w:rStyle w:val="26"/>
          <w:rFonts w:hint="eastAsia" w:ascii="仿宋_GB2312" w:hAnsi="仿宋" w:eastAsia="仿宋_GB2312"/>
          <w:b w:val="0"/>
          <w:bCs w:val="0"/>
        </w:rPr>
        <w:t>有资本经营预算财政拨款收入支出决算表</w:t>
      </w:r>
      <w:bookmarkEnd w:id="68"/>
    </w:p>
    <w:p>
      <w:pPr>
        <w:spacing w:line="576" w:lineRule="exact"/>
        <w:outlineLvl w:val="0"/>
        <w:rPr>
          <w:rFonts w:hint="eastAsia" w:ascii="仿宋_GB2312" w:eastAsia="仿宋_GB2312"/>
          <w:sz w:val="32"/>
          <w:szCs w:val="32"/>
        </w:rPr>
      </w:pPr>
      <w:r>
        <w:rPr>
          <w:rStyle w:val="26"/>
          <w:rFonts w:hint="eastAsia" w:ascii="仿宋_GB2312" w:hAnsi="仿宋" w:eastAsia="仿宋_GB2312"/>
          <w:b w:val="0"/>
          <w:bCs w:val="0"/>
        </w:rPr>
        <w:t>十四、国有资本经营预算财政拨款支出决算表</w:t>
      </w:r>
    </w:p>
    <w:sectPr>
      <w:headerReference r:id="rId3" w:type="default"/>
      <w:footerReference r:id="rId4" w:type="default"/>
      <w:pgSz w:w="11906" w:h="16838"/>
      <w:pgMar w:top="2098" w:right="1474" w:bottom="1985" w:left="1588" w:header="1247" w:footer="124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sz w:val="24"/>
        <w:szCs w:val="24"/>
      </w:rPr>
    </w:sdtEndPr>
    <w:sdtContent>
      <w:p>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w:t>
        </w:r>
        <w:r>
          <w:rPr>
            <w:sz w:val="24"/>
            <w:szCs w:val="24"/>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3F617"/>
    <w:multiLevelType w:val="singleLevel"/>
    <w:tmpl w:val="B9B3F617"/>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27CD0D5E"/>
    <w:multiLevelType w:val="singleLevel"/>
    <w:tmpl w:val="27CD0D5E"/>
    <w:lvl w:ilvl="0" w:tentative="0">
      <w:start w:val="1"/>
      <w:numFmt w:val="decimal"/>
      <w:lvlText w:val="%1."/>
      <w:lvlJc w:val="left"/>
      <w:pPr>
        <w:tabs>
          <w:tab w:val="left" w:pos="312"/>
        </w:tabs>
      </w:pPr>
    </w:lvl>
  </w:abstractNum>
  <w:abstractNum w:abstractNumId="4">
    <w:nsid w:val="28C7ED72"/>
    <w:multiLevelType w:val="singleLevel"/>
    <w:tmpl w:val="28C7ED72"/>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YTUyMThjYTk1NGUwY2ZhZjM4MjM3ZGVhMDNmNjEifQ=="/>
  </w:docVars>
  <w:rsids>
    <w:rsidRoot w:val="00F1361C"/>
    <w:rsid w:val="000222C6"/>
    <w:rsid w:val="0002549F"/>
    <w:rsid w:val="00042961"/>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1F7F7E"/>
    <w:rsid w:val="002006CD"/>
    <w:rsid w:val="00202B36"/>
    <w:rsid w:val="00204B7A"/>
    <w:rsid w:val="00204CDE"/>
    <w:rsid w:val="0021101A"/>
    <w:rsid w:val="00220536"/>
    <w:rsid w:val="00235629"/>
    <w:rsid w:val="00257DB4"/>
    <w:rsid w:val="00260C38"/>
    <w:rsid w:val="002616C0"/>
    <w:rsid w:val="00265372"/>
    <w:rsid w:val="002662AA"/>
    <w:rsid w:val="00280496"/>
    <w:rsid w:val="00294DC9"/>
    <w:rsid w:val="00295495"/>
    <w:rsid w:val="002A31DE"/>
    <w:rsid w:val="002B2613"/>
    <w:rsid w:val="002D121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2CD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918"/>
    <w:rsid w:val="00D34E7C"/>
    <w:rsid w:val="00D35489"/>
    <w:rsid w:val="00D36AFE"/>
    <w:rsid w:val="00D51276"/>
    <w:rsid w:val="00D7035F"/>
    <w:rsid w:val="00D877CA"/>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A29DC"/>
    <w:rsid w:val="02866093"/>
    <w:rsid w:val="02FF5E45"/>
    <w:rsid w:val="037800D1"/>
    <w:rsid w:val="03C34149"/>
    <w:rsid w:val="03EC63C9"/>
    <w:rsid w:val="0432261D"/>
    <w:rsid w:val="053C0C8A"/>
    <w:rsid w:val="05595CE0"/>
    <w:rsid w:val="06007F0A"/>
    <w:rsid w:val="06081BA6"/>
    <w:rsid w:val="0696261C"/>
    <w:rsid w:val="07107ECE"/>
    <w:rsid w:val="076F3599"/>
    <w:rsid w:val="077741FC"/>
    <w:rsid w:val="07A121DD"/>
    <w:rsid w:val="08422A5C"/>
    <w:rsid w:val="09303039"/>
    <w:rsid w:val="09F00295"/>
    <w:rsid w:val="0A2032A3"/>
    <w:rsid w:val="0A4F320E"/>
    <w:rsid w:val="0AC41E4E"/>
    <w:rsid w:val="0B5750F6"/>
    <w:rsid w:val="0B640F3B"/>
    <w:rsid w:val="0B8A37D8"/>
    <w:rsid w:val="0BF202F5"/>
    <w:rsid w:val="0BF91683"/>
    <w:rsid w:val="0DD40279"/>
    <w:rsid w:val="0EEF3211"/>
    <w:rsid w:val="0F8751F8"/>
    <w:rsid w:val="0F890F70"/>
    <w:rsid w:val="0F933B9D"/>
    <w:rsid w:val="0FE663C2"/>
    <w:rsid w:val="10C055FF"/>
    <w:rsid w:val="10CF32FA"/>
    <w:rsid w:val="118107EC"/>
    <w:rsid w:val="11DD6519"/>
    <w:rsid w:val="12816876"/>
    <w:rsid w:val="13391AF9"/>
    <w:rsid w:val="1432607A"/>
    <w:rsid w:val="157E709D"/>
    <w:rsid w:val="16184DFC"/>
    <w:rsid w:val="16BB723D"/>
    <w:rsid w:val="18015F3F"/>
    <w:rsid w:val="18D92713"/>
    <w:rsid w:val="19B47531"/>
    <w:rsid w:val="1AE14356"/>
    <w:rsid w:val="1B742AD4"/>
    <w:rsid w:val="1BE4346A"/>
    <w:rsid w:val="1BE8440E"/>
    <w:rsid w:val="1BF14125"/>
    <w:rsid w:val="1C2E35CB"/>
    <w:rsid w:val="1D155CEE"/>
    <w:rsid w:val="1E2A02F4"/>
    <w:rsid w:val="1E8C6387"/>
    <w:rsid w:val="1EC10726"/>
    <w:rsid w:val="1F6328C6"/>
    <w:rsid w:val="20F57F95"/>
    <w:rsid w:val="215869F4"/>
    <w:rsid w:val="215B0293"/>
    <w:rsid w:val="219C4B33"/>
    <w:rsid w:val="22FF7A6F"/>
    <w:rsid w:val="23B26890"/>
    <w:rsid w:val="240371BF"/>
    <w:rsid w:val="240A21AE"/>
    <w:rsid w:val="252E63EA"/>
    <w:rsid w:val="259E376E"/>
    <w:rsid w:val="25B032A3"/>
    <w:rsid w:val="25C741E6"/>
    <w:rsid w:val="2609650F"/>
    <w:rsid w:val="26747E2C"/>
    <w:rsid w:val="270C62B7"/>
    <w:rsid w:val="27842671"/>
    <w:rsid w:val="27E45486"/>
    <w:rsid w:val="29AC1FD3"/>
    <w:rsid w:val="29FD04D3"/>
    <w:rsid w:val="2A1738F0"/>
    <w:rsid w:val="2ABE7A3E"/>
    <w:rsid w:val="2B0379D1"/>
    <w:rsid w:val="2B471FB3"/>
    <w:rsid w:val="2C585DA7"/>
    <w:rsid w:val="2C90798A"/>
    <w:rsid w:val="2D2D4904"/>
    <w:rsid w:val="2D945258"/>
    <w:rsid w:val="2E755089"/>
    <w:rsid w:val="2EFA178C"/>
    <w:rsid w:val="3005243D"/>
    <w:rsid w:val="30B46D73"/>
    <w:rsid w:val="319F7F4E"/>
    <w:rsid w:val="337F0280"/>
    <w:rsid w:val="33F86541"/>
    <w:rsid w:val="346362B2"/>
    <w:rsid w:val="358636D8"/>
    <w:rsid w:val="36D0340D"/>
    <w:rsid w:val="3715740A"/>
    <w:rsid w:val="37FF7772"/>
    <w:rsid w:val="3814146F"/>
    <w:rsid w:val="387C0DC3"/>
    <w:rsid w:val="39AE70AB"/>
    <w:rsid w:val="39EE7A9E"/>
    <w:rsid w:val="3BD72EE0"/>
    <w:rsid w:val="3BDF1D94"/>
    <w:rsid w:val="3C0C0783"/>
    <w:rsid w:val="3EB56DDC"/>
    <w:rsid w:val="3F795B0E"/>
    <w:rsid w:val="3F9F3A96"/>
    <w:rsid w:val="3F9F3D14"/>
    <w:rsid w:val="3FBE7F13"/>
    <w:rsid w:val="40350D30"/>
    <w:rsid w:val="40A85A5F"/>
    <w:rsid w:val="411029F0"/>
    <w:rsid w:val="41FF6CEC"/>
    <w:rsid w:val="42BC2D20"/>
    <w:rsid w:val="42F223AD"/>
    <w:rsid w:val="435B2648"/>
    <w:rsid w:val="43AF6CB4"/>
    <w:rsid w:val="43B21B3C"/>
    <w:rsid w:val="444430DC"/>
    <w:rsid w:val="448160DE"/>
    <w:rsid w:val="44CC6B5D"/>
    <w:rsid w:val="44FC7513"/>
    <w:rsid w:val="45126D36"/>
    <w:rsid w:val="45A656D1"/>
    <w:rsid w:val="45F75F2C"/>
    <w:rsid w:val="46D52711"/>
    <w:rsid w:val="47782FCC"/>
    <w:rsid w:val="47B16A2B"/>
    <w:rsid w:val="47BE31A6"/>
    <w:rsid w:val="47C02A7A"/>
    <w:rsid w:val="492359B6"/>
    <w:rsid w:val="493C27E9"/>
    <w:rsid w:val="493F3E72"/>
    <w:rsid w:val="496F39ED"/>
    <w:rsid w:val="49A755DF"/>
    <w:rsid w:val="49FF41D3"/>
    <w:rsid w:val="4A185DC8"/>
    <w:rsid w:val="4A55288F"/>
    <w:rsid w:val="4ADD1B95"/>
    <w:rsid w:val="4BCF5981"/>
    <w:rsid w:val="4BE068DB"/>
    <w:rsid w:val="4BF6002B"/>
    <w:rsid w:val="4D292E6F"/>
    <w:rsid w:val="4E8802B1"/>
    <w:rsid w:val="4EB01CED"/>
    <w:rsid w:val="4ECE2238"/>
    <w:rsid w:val="4F5166AD"/>
    <w:rsid w:val="4F6F57AB"/>
    <w:rsid w:val="508B5BEF"/>
    <w:rsid w:val="50CC248F"/>
    <w:rsid w:val="51497F84"/>
    <w:rsid w:val="516B614C"/>
    <w:rsid w:val="517F7502"/>
    <w:rsid w:val="51DB4B86"/>
    <w:rsid w:val="52B256B5"/>
    <w:rsid w:val="52C13B4A"/>
    <w:rsid w:val="5322283B"/>
    <w:rsid w:val="54B24092"/>
    <w:rsid w:val="54E35FFA"/>
    <w:rsid w:val="55333C3E"/>
    <w:rsid w:val="55A57753"/>
    <w:rsid w:val="560E70A6"/>
    <w:rsid w:val="564B02FA"/>
    <w:rsid w:val="5829166E"/>
    <w:rsid w:val="5996188C"/>
    <w:rsid w:val="5AD76600"/>
    <w:rsid w:val="5B590DC3"/>
    <w:rsid w:val="5BD41E0C"/>
    <w:rsid w:val="5CC826A5"/>
    <w:rsid w:val="5CE648D9"/>
    <w:rsid w:val="5D5C2DED"/>
    <w:rsid w:val="5E155AE6"/>
    <w:rsid w:val="5E3641C2"/>
    <w:rsid w:val="5F7408C2"/>
    <w:rsid w:val="62323CEA"/>
    <w:rsid w:val="62F31AFE"/>
    <w:rsid w:val="638906B4"/>
    <w:rsid w:val="643979E4"/>
    <w:rsid w:val="64CA39A1"/>
    <w:rsid w:val="65271F32"/>
    <w:rsid w:val="65BB514F"/>
    <w:rsid w:val="66C51A03"/>
    <w:rsid w:val="66DB2577"/>
    <w:rsid w:val="674C3ED2"/>
    <w:rsid w:val="685A617B"/>
    <w:rsid w:val="68BE2BAE"/>
    <w:rsid w:val="697274F4"/>
    <w:rsid w:val="69D81A4D"/>
    <w:rsid w:val="6C4A05C8"/>
    <w:rsid w:val="6C8C381D"/>
    <w:rsid w:val="6D5B09CB"/>
    <w:rsid w:val="6D761CA9"/>
    <w:rsid w:val="6E1B63AC"/>
    <w:rsid w:val="6FAF4FFE"/>
    <w:rsid w:val="70082960"/>
    <w:rsid w:val="711D41EA"/>
    <w:rsid w:val="7141612A"/>
    <w:rsid w:val="7192695B"/>
    <w:rsid w:val="72734D90"/>
    <w:rsid w:val="72952BD1"/>
    <w:rsid w:val="74C4154C"/>
    <w:rsid w:val="74F11C15"/>
    <w:rsid w:val="753A7A60"/>
    <w:rsid w:val="76CC0B8C"/>
    <w:rsid w:val="776267E6"/>
    <w:rsid w:val="777A4144"/>
    <w:rsid w:val="77F827CC"/>
    <w:rsid w:val="78782D79"/>
    <w:rsid w:val="78C0202A"/>
    <w:rsid w:val="79E7B28D"/>
    <w:rsid w:val="79F503F9"/>
    <w:rsid w:val="7A9674E6"/>
    <w:rsid w:val="7C2F7BF3"/>
    <w:rsid w:val="7C30396B"/>
    <w:rsid w:val="7C4411C4"/>
    <w:rsid w:val="7C523992"/>
    <w:rsid w:val="7C775BAB"/>
    <w:rsid w:val="7C99506C"/>
    <w:rsid w:val="7EE54599"/>
    <w:rsid w:val="7F17671C"/>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财政拨款收入</c:v>
                </c:pt>
                <c:pt idx="1">
                  <c:v>财政拨款支出</c:v>
                </c:pt>
                <c:pt idx="2">
                  <c:v>政府资金收入支出</c:v>
                </c:pt>
                <c:pt idx="3">
                  <c:v>国有资本经营预算收支</c:v>
                </c:pt>
                <c:pt idx="4">
                  <c:v>其他收入支出</c:v>
                </c:pt>
              </c:strCache>
            </c:strRef>
          </c:cat>
          <c:val>
            <c:numRef>
              <c:f>Sheet1!$B$2:$B$6</c:f>
              <c:numCache>
                <c:formatCode>General</c:formatCode>
                <c:ptCount val="5"/>
                <c:pt idx="0">
                  <c:v>302.69</c:v>
                </c:pt>
                <c:pt idx="1">
                  <c:v>302.69</c:v>
                </c:pt>
                <c:pt idx="2">
                  <c:v>0</c:v>
                </c:pt>
                <c:pt idx="3">
                  <c:v>0</c:v>
                </c:pt>
                <c:pt idx="4">
                  <c:v>397.72</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Sheet1!$A$2:$A$6</c:f>
              <c:strCache>
                <c:ptCount val="5"/>
                <c:pt idx="0">
                  <c:v>财政拨款收入</c:v>
                </c:pt>
                <c:pt idx="1">
                  <c:v>财政拨款支出</c:v>
                </c:pt>
                <c:pt idx="2">
                  <c:v>政府资金收入支出</c:v>
                </c:pt>
                <c:pt idx="3">
                  <c:v>国有资本经营预算收支</c:v>
                </c:pt>
                <c:pt idx="4">
                  <c:v>其他收入支出</c:v>
                </c:pt>
              </c:strCache>
            </c:strRef>
          </c:cat>
          <c:val>
            <c:numRef>
              <c:f>Sheet1!$C$2:$C$6</c:f>
              <c:numCache>
                <c:formatCode>General</c:formatCode>
                <c:ptCount val="5"/>
                <c:pt idx="0">
                  <c:v>235.82</c:v>
                </c:pt>
                <c:pt idx="1">
                  <c:v>238.47</c:v>
                </c:pt>
                <c:pt idx="2">
                  <c:v>0</c:v>
                </c:pt>
                <c:pt idx="3">
                  <c:v>0</c:v>
                </c:pt>
                <c:pt idx="4">
                  <c:v>519.16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Sheet1!$A$2:$A$6</c:f>
              <c:strCache>
                <c:ptCount val="5"/>
                <c:pt idx="0">
                  <c:v>财政拨款收入</c:v>
                </c:pt>
                <c:pt idx="1">
                  <c:v>财政拨款支出</c:v>
                </c:pt>
                <c:pt idx="2">
                  <c:v>政府资金收入支出</c:v>
                </c:pt>
                <c:pt idx="3">
                  <c:v>国有资本经营预算收支</c:v>
                </c:pt>
                <c:pt idx="4">
                  <c:v>其他收入支出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5747712"/>
        <c:axId val="55749248"/>
      </c:barChart>
      <c:catAx>
        <c:axId val="557477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55749248"/>
        <c:crosses val="autoZero"/>
        <c:auto val="1"/>
        <c:lblAlgn val="ctr"/>
        <c:lblOffset val="100"/>
        <c:noMultiLvlLbl val="0"/>
      </c:catAx>
      <c:valAx>
        <c:axId val="5574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4771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2"/>
              </a:solidFill>
              <a:latin typeface="+mn-lt"/>
              <a:ea typeface="+mn-ea"/>
              <a:cs typeface="+mn-cs"/>
            </a:defRPr>
          </a:pPr>
        </a:p>
      </c:txPr>
    </c:title>
    <c:autoTitleDeleted val="0"/>
    <c:plotArea>
      <c:layout/>
      <c:pieChart>
        <c:varyColors val="1"/>
        <c:ser>
          <c:idx val="0"/>
          <c:order val="0"/>
          <c:tx>
            <c:strRef>
              <c:f>Sheet1!$B$1</c:f>
              <c:strCache>
                <c:ptCount val="1"/>
                <c:pt idx="0">
                  <c:v>2021年决算收入结构图</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4"/>
                <c:pt idx="0">
                  <c:v>财政拨款收入</c:v>
                </c:pt>
                <c:pt idx="1">
                  <c:v>政府基金</c:v>
                </c:pt>
                <c:pt idx="2">
                  <c:v>国有资本经营预算收入</c:v>
                </c:pt>
                <c:pt idx="3">
                  <c:v>其他收入</c:v>
                </c:pt>
              </c:strCache>
            </c:strRef>
          </c:cat>
          <c:val>
            <c:numRef>
              <c:f>Sheet1!$B$2:$B$5</c:f>
              <c:numCache>
                <c:formatCode>General</c:formatCode>
                <c:ptCount val="4"/>
                <c:pt idx="0">
                  <c:v>43.22</c:v>
                </c:pt>
                <c:pt idx="1">
                  <c:v>0</c:v>
                </c:pt>
                <c:pt idx="2">
                  <c:v>0</c:v>
                </c:pt>
                <c:pt idx="3">
                  <c:v>56.78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0.3342</c:v>
                </c:pt>
                <c:pt idx="1">
                  <c:v>0.6658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财政拨款收、支决算总计变动情况表</a:t>
            </a:r>
            <a:endParaRPr lang="zh-CN" altLang="en-US"/>
          </a:p>
        </c:rich>
      </c:tx>
      <c:layout>
        <c:manualLayout>
          <c:xMode val="edge"/>
          <c:yMode val="edge"/>
          <c:x val="0.421125"/>
          <c:y val="0.0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Sheet1!$A$2:$A$5</c:f>
              <c:strCache>
                <c:ptCount val="4"/>
                <c:pt idx="0">
                  <c:v>基本收入</c:v>
                </c:pt>
                <c:pt idx="1">
                  <c:v>基本支出</c:v>
                </c:pt>
                <c:pt idx="2">
                  <c:v>项目收入</c:v>
                </c:pt>
                <c:pt idx="3">
                  <c:v>项目支出</c:v>
                </c:pt>
              </c:strCache>
            </c:strRef>
          </c:cat>
          <c:val>
            <c:numRef>
              <c:f>Sheet1!$B$2:$B$5</c:f>
              <c:numCache>
                <c:formatCode>General</c:formatCode>
                <c:ptCount val="4"/>
                <c:pt idx="0">
                  <c:v>300.89</c:v>
                </c:pt>
                <c:pt idx="1">
                  <c:v>300.89</c:v>
                </c:pt>
                <c:pt idx="2">
                  <c:v>1.8</c:v>
                </c:pt>
                <c:pt idx="3">
                  <c:v>1.8</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Sheet1!$A$2:$A$5</c:f>
              <c:strCache>
                <c:ptCount val="4"/>
                <c:pt idx="0">
                  <c:v>基本收入</c:v>
                </c:pt>
                <c:pt idx="1">
                  <c:v>基本支出</c:v>
                </c:pt>
                <c:pt idx="2">
                  <c:v>项目收入</c:v>
                </c:pt>
                <c:pt idx="3">
                  <c:v>项目支出</c:v>
                </c:pt>
              </c:strCache>
            </c:strRef>
          </c:cat>
          <c:val>
            <c:numRef>
              <c:f>Sheet1!$C$2:$C$5</c:f>
              <c:numCache>
                <c:formatCode>General</c:formatCode>
                <c:ptCount val="4"/>
                <c:pt idx="0">
                  <c:v>234.82</c:v>
                </c:pt>
                <c:pt idx="1">
                  <c:v>236.67</c:v>
                </c:pt>
                <c:pt idx="2">
                  <c:v>1.8</c:v>
                </c:pt>
                <c:pt idx="3">
                  <c:v>2.8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基本收入</c:v>
                </c:pt>
                <c:pt idx="1">
                  <c:v>基本支出</c:v>
                </c:pt>
                <c:pt idx="2">
                  <c:v>项目收入</c:v>
                </c:pt>
                <c:pt idx="3">
                  <c:v>项目支出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81075328"/>
        <c:axId val="181867648"/>
      </c:barChart>
      <c:catAx>
        <c:axId val="1810753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867648"/>
        <c:crosses val="autoZero"/>
        <c:auto val="1"/>
        <c:lblAlgn val="ctr"/>
        <c:lblOffset val="100"/>
        <c:noMultiLvlLbl val="0"/>
      </c:catAx>
      <c:valAx>
        <c:axId val="18186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07532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302.69</c:v>
                </c:pt>
                <c:pt idx="1">
                  <c:v>302.69</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235.82</c:v>
                </c:pt>
                <c:pt idx="1">
                  <c:v>238.47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81915008"/>
        <c:axId val="181924992"/>
      </c:barChart>
      <c:catAx>
        <c:axId val="1819150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924992"/>
        <c:crosses val="autoZero"/>
        <c:auto val="1"/>
        <c:lblAlgn val="ctr"/>
        <c:lblOffset val="100"/>
        <c:noMultiLvlLbl val="0"/>
      </c:catAx>
      <c:valAx>
        <c:axId val="18192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91500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支出决算结构情况图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自然资源气象等支出</c:v>
                </c:pt>
                <c:pt idx="1">
                  <c:v>社会保障和就业支出</c:v>
                </c:pt>
                <c:pt idx="2">
                  <c:v>卫生健康支出</c:v>
                </c:pt>
                <c:pt idx="3">
                  <c:v>住房保障支出</c:v>
                </c:pt>
              </c:strCache>
            </c:strRef>
          </c:cat>
          <c:val>
            <c:numRef>
              <c:f>Sheet1!$B$2:$B$5</c:f>
              <c:numCache>
                <c:formatCode>0.00%</c:formatCode>
                <c:ptCount val="4"/>
                <c:pt idx="0">
                  <c:v>0.6945</c:v>
                </c:pt>
                <c:pt idx="1">
                  <c:v>0.2108</c:v>
                </c:pt>
                <c:pt idx="2">
                  <c:v>0.0331</c:v>
                </c:pt>
                <c:pt idx="3">
                  <c:v>0.0616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165625"/>
          <c:y val="0.122"/>
          <c:w val="0.570625"/>
          <c:h val="0.760833333333333"/>
        </c:manualLayout>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因公出国（境）支出</c:v>
                </c:pt>
                <c:pt idx="1">
                  <c:v>公务用车运行维护费</c:v>
                </c:pt>
                <c:pt idx="2">
                  <c:v>公务接待</c:v>
                </c:pt>
              </c:strCache>
            </c:strRef>
          </c:cat>
          <c:val>
            <c:numRef>
              <c:f>Sheet1!$B$2:$B$4</c:f>
              <c:numCache>
                <c:formatCode>General</c:formatCode>
                <c:ptCount val="3"/>
                <c:pt idx="0">
                  <c:v>0</c:v>
                </c:pt>
                <c:pt idx="1">
                  <c:v>0</c:v>
                </c:pt>
                <c:pt idx="2" c:formatCode="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11740</Words>
  <Characters>12457</Characters>
  <Lines>9</Lines>
  <Paragraphs>25</Paragraphs>
  <TotalTime>2</TotalTime>
  <ScaleCrop>false</ScaleCrop>
  <LinksUpToDate>false</LinksUpToDate>
  <CharactersWithSpaces>12540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美国春晚</cp:lastModifiedBy>
  <cp:lastPrinted>2022-10-14T04:11:00Z</cp:lastPrinted>
  <dcterms:modified xsi:type="dcterms:W3CDTF">2023-07-04T01:48:16Z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B41EF99591D441C1853EDF66A6703456_13</vt:lpwstr>
  </property>
</Properties>
</file>