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8441"/>
      <w:bookmarkStart w:id="3" w:name="_Toc15377425"/>
      <w:bookmarkStart w:id="4" w:name="_Toc15377193"/>
      <w:bookmarkStart w:id="5" w:name="_Toc15396597"/>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77194"/>
      <w:bookmarkStart w:id="8" w:name="_Toc15396598"/>
      <w:bookmarkStart w:id="9" w:name="_Toc15377426"/>
      <w:bookmarkStart w:id="10" w:name="_Toc15396476"/>
      <w:r>
        <w:rPr>
          <w:rFonts w:hint="eastAsia" w:ascii="方正小标宋简体" w:hAnsi="方正小标宋简体" w:eastAsia="方正小标宋简体" w:cs="方正小标宋简体"/>
          <w:sz w:val="72"/>
          <w:szCs w:val="72"/>
        </w:rPr>
        <w:t>广元市</w:t>
      </w:r>
      <w:bookmarkEnd w:id="0"/>
      <w:bookmarkStart w:id="11" w:name="_Toc15306268"/>
      <w:r>
        <w:rPr>
          <w:rFonts w:hint="eastAsia" w:ascii="方正小标宋简体" w:hAnsi="方正小标宋简体" w:eastAsia="方正小标宋简体" w:cs="方正小标宋简体"/>
          <w:sz w:val="72"/>
          <w:szCs w:val="72"/>
        </w:rPr>
        <w:t>国土整治中心单位决算</w:t>
      </w:r>
      <w:bookmarkEnd w:id="6"/>
      <w:bookmarkEnd w:id="7"/>
      <w:bookmarkEnd w:id="8"/>
      <w:bookmarkEnd w:id="9"/>
      <w:bookmarkEnd w:id="10"/>
      <w:bookmarkEnd w:id="11"/>
      <w:r>
        <w:rPr>
          <w:rFonts w:hint="eastAsia" w:ascii="方正小标宋简体" w:hAnsi="方正小标宋简体" w:eastAsia="方正小标宋简体" w:cs="方正小标宋简体"/>
          <w:sz w:val="72"/>
          <w:szCs w:val="72"/>
        </w:rPr>
        <w:t>公开</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公开时间：2022年9月30日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1"/>
        <w:adjustRightInd w:val="0"/>
        <w:snapToGrid w:val="0"/>
        <w:spacing w:line="440" w:lineRule="exact"/>
        <w:jc w:val="left"/>
        <w:rPr>
          <w:rFonts w:ascii="宋体" w:hAnsi="宋体" w:cs="宋体"/>
          <w:sz w:val="24"/>
        </w:rPr>
      </w:pPr>
      <w:r>
        <w:rPr>
          <w:rFonts w:hint="eastAsia"/>
          <w:sz w:val="24"/>
        </w:rPr>
        <w:t>一、职能简介……………………………………………………………………4</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二、2021年重点工作完成情况…………………………………………………4</w:t>
      </w:r>
    </w:p>
    <w:p>
      <w:pPr>
        <w:pStyle w:val="10"/>
        <w:adjustRightInd w:val="0"/>
        <w:snapToGrid w:val="0"/>
        <w:spacing w:before="0" w:line="440" w:lineRule="exact"/>
        <w:jc w:val="left"/>
        <w:rPr>
          <w:sz w:val="24"/>
          <w:szCs w:val="24"/>
        </w:rPr>
      </w:pPr>
      <w:r>
        <w:rPr>
          <w:rFonts w:hint="eastAsia"/>
          <w:sz w:val="24"/>
        </w:rPr>
        <w:t>第二部分 2021年度单位决算情况说明</w:t>
      </w:r>
    </w:p>
    <w:p>
      <w:pPr>
        <w:pStyle w:val="11"/>
        <w:adjustRightInd w:val="0"/>
        <w:snapToGrid w:val="0"/>
        <w:spacing w:line="440" w:lineRule="exact"/>
        <w:jc w:val="left"/>
        <w:rPr>
          <w:rFonts w:ascii="仿宋" w:hAnsi="仿宋" w:cstheme="minorBidi"/>
          <w:sz w:val="24"/>
        </w:rPr>
      </w:pPr>
      <w:r>
        <w:rPr>
          <w:rFonts w:hint="eastAsia"/>
          <w:sz w:val="24"/>
        </w:rPr>
        <w:t>一、收入支出决算总体情况说明………………………………………………9</w:t>
      </w:r>
    </w:p>
    <w:p>
      <w:pPr>
        <w:pStyle w:val="11"/>
        <w:adjustRightInd w:val="0"/>
        <w:snapToGrid w:val="0"/>
        <w:spacing w:line="440" w:lineRule="exact"/>
        <w:jc w:val="left"/>
        <w:rPr>
          <w:rFonts w:ascii="仿宋" w:hAnsi="仿宋" w:cstheme="minorBidi"/>
          <w:sz w:val="24"/>
        </w:rPr>
      </w:pPr>
      <w:r>
        <w:rPr>
          <w:rFonts w:hint="eastAsia"/>
          <w:sz w:val="24"/>
        </w:rPr>
        <w:t>二、收入决算情况说明…………………………………………………………9</w:t>
      </w:r>
    </w:p>
    <w:p>
      <w:pPr>
        <w:pStyle w:val="11"/>
        <w:adjustRightInd w:val="0"/>
        <w:snapToGrid w:val="0"/>
        <w:spacing w:line="440" w:lineRule="exact"/>
        <w:jc w:val="left"/>
        <w:rPr>
          <w:rFonts w:ascii="仿宋" w:hAnsi="仿宋" w:cstheme="minorBidi"/>
          <w:sz w:val="24"/>
        </w:rPr>
      </w:pPr>
      <w:r>
        <w:rPr>
          <w:rFonts w:hint="eastAsia"/>
          <w:sz w:val="24"/>
        </w:rPr>
        <w:t>三、支出决算情况说明…………………………………………………………10</w:t>
      </w:r>
    </w:p>
    <w:p>
      <w:pPr>
        <w:pStyle w:val="11"/>
        <w:adjustRightInd w:val="0"/>
        <w:snapToGrid w:val="0"/>
        <w:spacing w:line="440" w:lineRule="exact"/>
        <w:jc w:val="left"/>
        <w:rPr>
          <w:rFonts w:ascii="仿宋" w:hAnsi="仿宋" w:cstheme="minorBidi"/>
          <w:sz w:val="24"/>
        </w:rPr>
      </w:pPr>
      <w:r>
        <w:rPr>
          <w:rFonts w:hint="eastAsia"/>
          <w:sz w:val="24"/>
        </w:rPr>
        <w:t>四、财政拨款收入支出决算总体情况说明……………………………………10</w:t>
      </w:r>
    </w:p>
    <w:p>
      <w:pPr>
        <w:pStyle w:val="11"/>
        <w:adjustRightInd w:val="0"/>
        <w:snapToGrid w:val="0"/>
        <w:spacing w:line="440" w:lineRule="exact"/>
        <w:jc w:val="left"/>
        <w:rPr>
          <w:rFonts w:ascii="仿宋" w:hAnsi="仿宋" w:cstheme="minorBidi"/>
          <w:sz w:val="24"/>
        </w:rPr>
      </w:pPr>
      <w:r>
        <w:rPr>
          <w:rFonts w:hint="eastAsia"/>
          <w:sz w:val="24"/>
        </w:rPr>
        <w:t>五、一般公共预算财政拨款支出决算情况说明………………………………11</w:t>
      </w:r>
    </w:p>
    <w:p>
      <w:pPr>
        <w:pStyle w:val="11"/>
        <w:adjustRightInd w:val="0"/>
        <w:snapToGrid w:val="0"/>
        <w:spacing w:line="440" w:lineRule="exact"/>
        <w:jc w:val="left"/>
        <w:rPr>
          <w:rFonts w:ascii="仿宋" w:hAnsi="仿宋" w:cstheme="minorBidi"/>
          <w:sz w:val="24"/>
        </w:rPr>
      </w:pPr>
      <w:r>
        <w:rPr>
          <w:rFonts w:hint="eastAsia"/>
          <w:sz w:val="24"/>
        </w:rPr>
        <w:t>六、一般公共预算财政拨款基本支出决算情况说明…………………………13</w:t>
      </w:r>
    </w:p>
    <w:p>
      <w:pPr>
        <w:pStyle w:val="11"/>
        <w:adjustRightInd w:val="0"/>
        <w:snapToGrid w:val="0"/>
        <w:spacing w:line="440" w:lineRule="exact"/>
        <w:jc w:val="left"/>
        <w:rPr>
          <w:rFonts w:ascii="仿宋" w:hAnsi="仿宋" w:cstheme="minorBidi"/>
          <w:sz w:val="24"/>
        </w:rPr>
      </w:pPr>
      <w:r>
        <w:rPr>
          <w:rFonts w:hint="eastAsia"/>
          <w:sz w:val="24"/>
        </w:rPr>
        <w:t>七、“三公”经费财政拨款支出决算情况说明………………………………14</w:t>
      </w:r>
    </w:p>
    <w:p>
      <w:pPr>
        <w:pStyle w:val="11"/>
        <w:adjustRightInd w:val="0"/>
        <w:snapToGrid w:val="0"/>
        <w:spacing w:line="440" w:lineRule="exact"/>
        <w:jc w:val="left"/>
        <w:rPr>
          <w:rFonts w:ascii="仿宋" w:hAnsi="仿宋" w:cstheme="minorBidi"/>
          <w:sz w:val="24"/>
        </w:rPr>
      </w:pPr>
      <w:r>
        <w:rPr>
          <w:rFonts w:hint="eastAsia"/>
          <w:sz w:val="24"/>
        </w:rPr>
        <w:t>八、政府性基金预算支出决算情况说明………………………………………14</w:t>
      </w:r>
    </w:p>
    <w:p>
      <w:pPr>
        <w:pStyle w:val="11"/>
        <w:adjustRightInd w:val="0"/>
        <w:snapToGrid w:val="0"/>
        <w:spacing w:line="440" w:lineRule="exact"/>
        <w:jc w:val="left"/>
        <w:rPr>
          <w:sz w:val="24"/>
        </w:rPr>
      </w:pPr>
      <w:r>
        <w:rPr>
          <w:rFonts w:hint="eastAsia"/>
          <w:sz w:val="24"/>
        </w:rPr>
        <w:t>九、国有资本经营预算支出决算情况说明……………………………………14</w:t>
      </w:r>
    </w:p>
    <w:p>
      <w:pPr>
        <w:pStyle w:val="11"/>
        <w:adjustRightInd w:val="0"/>
        <w:snapToGrid w:val="0"/>
        <w:spacing w:line="440" w:lineRule="exact"/>
        <w:jc w:val="left"/>
      </w:pPr>
      <w:r>
        <w:rPr>
          <w:rFonts w:hint="eastAsia"/>
          <w:sz w:val="24"/>
        </w:rPr>
        <w:t>十、</w:t>
      </w:r>
      <w:r>
        <w:rPr>
          <w:rFonts w:hint="eastAsia" w:asciiTheme="minorEastAsia" w:hAnsiTheme="minorEastAsia" w:eastAsiaTheme="minorEastAsia" w:cstheme="minorEastAsia"/>
          <w:sz w:val="24"/>
        </w:rPr>
        <w:t>预算绩效管理情况</w:t>
      </w:r>
      <w:r>
        <w:rPr>
          <w:rFonts w:hint="eastAsia"/>
          <w:sz w:val="24"/>
        </w:rPr>
        <w:t>…………………………………………………………14</w:t>
      </w:r>
    </w:p>
    <w:p>
      <w:pPr>
        <w:pStyle w:val="11"/>
        <w:adjustRightInd w:val="0"/>
        <w:snapToGrid w:val="0"/>
        <w:spacing w:line="440" w:lineRule="exact"/>
        <w:jc w:val="left"/>
      </w:pPr>
      <w:r>
        <w:rPr>
          <w:rFonts w:hint="eastAsia"/>
          <w:sz w:val="24"/>
        </w:rPr>
        <w:t>十一、其他重要事项的情况说明………………………………………………15</w:t>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名词解释…………………………………………………………………1</w:t>
      </w:r>
      <w:r>
        <w:rPr>
          <w:sz w:val="24"/>
        </w:rPr>
        <w:t>6</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附件………………………………………………………………………18</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附表………………………………………………………………………24</w:t>
      </w:r>
    </w:p>
    <w:p>
      <w:pPr>
        <w:pStyle w:val="11"/>
        <w:adjustRightInd w:val="0"/>
        <w:snapToGrid w:val="0"/>
        <w:spacing w:line="440" w:lineRule="exact"/>
        <w:jc w:val="left"/>
        <w:rPr>
          <w:sz w:val="24"/>
        </w:rPr>
      </w:pPr>
      <w:r>
        <w:rPr>
          <w:rFonts w:hint="eastAsia"/>
          <w:sz w:val="24"/>
        </w:rPr>
        <w:t>一、收入支出决算总表</w:t>
      </w:r>
    </w:p>
    <w:p>
      <w:pPr>
        <w:pStyle w:val="11"/>
        <w:adjustRightInd w:val="0"/>
        <w:snapToGrid w:val="0"/>
        <w:spacing w:line="440" w:lineRule="exact"/>
        <w:jc w:val="left"/>
        <w:rPr>
          <w:sz w:val="24"/>
        </w:rPr>
      </w:pPr>
      <w:r>
        <w:rPr>
          <w:rFonts w:hint="eastAsia"/>
          <w:sz w:val="24"/>
        </w:rPr>
        <w:t>二、收入决算表</w:t>
      </w:r>
    </w:p>
    <w:p>
      <w:pPr>
        <w:pStyle w:val="11"/>
        <w:adjustRightInd w:val="0"/>
        <w:snapToGrid w:val="0"/>
        <w:spacing w:line="440" w:lineRule="exact"/>
        <w:jc w:val="left"/>
        <w:rPr>
          <w:sz w:val="24"/>
        </w:rPr>
      </w:pPr>
      <w:r>
        <w:rPr>
          <w:rFonts w:hint="eastAsia"/>
          <w:sz w:val="24"/>
        </w:rPr>
        <w:t>三、支出决算表</w:t>
      </w:r>
    </w:p>
    <w:p>
      <w:pPr>
        <w:pStyle w:val="11"/>
        <w:adjustRightInd w:val="0"/>
        <w:snapToGrid w:val="0"/>
        <w:spacing w:line="440" w:lineRule="exact"/>
        <w:jc w:val="left"/>
        <w:rPr>
          <w:sz w:val="24"/>
        </w:rPr>
      </w:pPr>
      <w:r>
        <w:rPr>
          <w:rFonts w:hint="eastAsia"/>
          <w:sz w:val="24"/>
        </w:rPr>
        <w:t>四、财政拨款收入支出决算总表</w:t>
      </w:r>
    </w:p>
    <w:p>
      <w:pPr>
        <w:pStyle w:val="11"/>
        <w:adjustRightInd w:val="0"/>
        <w:snapToGrid w:val="0"/>
        <w:spacing w:line="440" w:lineRule="exact"/>
        <w:jc w:val="left"/>
        <w:rPr>
          <w:sz w:val="24"/>
        </w:rPr>
      </w:pPr>
      <w:r>
        <w:rPr>
          <w:rFonts w:hint="eastAsia"/>
          <w:sz w:val="24"/>
        </w:rPr>
        <w:t>五、财政拨款支出决算明细表</w:t>
      </w:r>
    </w:p>
    <w:p>
      <w:pPr>
        <w:pStyle w:val="11"/>
        <w:adjustRightInd w:val="0"/>
        <w:snapToGrid w:val="0"/>
        <w:spacing w:line="440" w:lineRule="exact"/>
        <w:jc w:val="left"/>
        <w:rPr>
          <w:sz w:val="24"/>
        </w:rPr>
      </w:pPr>
      <w:r>
        <w:rPr>
          <w:rFonts w:hint="eastAsia"/>
          <w:sz w:val="24"/>
        </w:rPr>
        <w:t>六、一般公共预算财政拨款支出决算表</w:t>
      </w:r>
    </w:p>
    <w:p>
      <w:pPr>
        <w:pStyle w:val="11"/>
        <w:adjustRightInd w:val="0"/>
        <w:snapToGrid w:val="0"/>
        <w:spacing w:line="440" w:lineRule="exact"/>
        <w:jc w:val="left"/>
        <w:rPr>
          <w:sz w:val="24"/>
        </w:rPr>
      </w:pPr>
      <w:r>
        <w:rPr>
          <w:rFonts w:hint="eastAsia"/>
          <w:sz w:val="24"/>
        </w:rPr>
        <w:t>七、一般公共预算财政拨款支出决算明细表</w:t>
      </w:r>
    </w:p>
    <w:p>
      <w:pPr>
        <w:pStyle w:val="11"/>
        <w:adjustRightInd w:val="0"/>
        <w:snapToGrid w:val="0"/>
        <w:spacing w:line="440" w:lineRule="exact"/>
        <w:jc w:val="left"/>
        <w:rPr>
          <w:sz w:val="24"/>
        </w:rPr>
      </w:pPr>
      <w:r>
        <w:rPr>
          <w:rFonts w:hint="eastAsia"/>
          <w:sz w:val="24"/>
        </w:rPr>
        <w:t>八、一般公共预算财政拨款基本支出决算表</w:t>
      </w:r>
    </w:p>
    <w:p>
      <w:pPr>
        <w:pStyle w:val="11"/>
        <w:adjustRightInd w:val="0"/>
        <w:snapToGrid w:val="0"/>
        <w:spacing w:line="440" w:lineRule="exact"/>
        <w:jc w:val="left"/>
        <w:rPr>
          <w:sz w:val="24"/>
        </w:rPr>
      </w:pPr>
      <w:r>
        <w:rPr>
          <w:rFonts w:hint="eastAsia"/>
          <w:sz w:val="24"/>
        </w:rPr>
        <w:t>九、一般公共预算财政拨款项目支出决算表</w:t>
      </w:r>
    </w:p>
    <w:p>
      <w:pPr>
        <w:pStyle w:val="11"/>
        <w:adjustRightInd w:val="0"/>
        <w:snapToGrid w:val="0"/>
        <w:spacing w:line="440" w:lineRule="exact"/>
        <w:jc w:val="left"/>
        <w:rPr>
          <w:sz w:val="24"/>
        </w:rPr>
      </w:pPr>
      <w:r>
        <w:rPr>
          <w:rFonts w:hint="eastAsia"/>
          <w:sz w:val="24"/>
        </w:rPr>
        <w:t>十、一般公共预算财政拨款“三公”经费支出决算表</w:t>
      </w:r>
    </w:p>
    <w:p>
      <w:pPr>
        <w:pStyle w:val="11"/>
        <w:adjustRightInd w:val="0"/>
        <w:snapToGrid w:val="0"/>
        <w:spacing w:line="440" w:lineRule="exact"/>
        <w:jc w:val="left"/>
        <w:rPr>
          <w:sz w:val="24"/>
        </w:rPr>
      </w:pPr>
      <w:r>
        <w:rPr>
          <w:rFonts w:hint="eastAsia"/>
          <w:sz w:val="24"/>
        </w:rPr>
        <w:t>十一、政府性基金预算财政拨款收入支出决算表</w:t>
      </w:r>
    </w:p>
    <w:p>
      <w:pPr>
        <w:pStyle w:val="11"/>
        <w:adjustRightInd w:val="0"/>
        <w:snapToGrid w:val="0"/>
        <w:spacing w:line="440" w:lineRule="exact"/>
        <w:jc w:val="left"/>
        <w:rPr>
          <w:sz w:val="24"/>
        </w:rPr>
      </w:pPr>
      <w:r>
        <w:rPr>
          <w:rFonts w:hint="eastAsia"/>
          <w:sz w:val="24"/>
        </w:rPr>
        <w:t>十二、政府性基金预算财政拨款“三公”经费支出决算表</w:t>
      </w:r>
    </w:p>
    <w:p>
      <w:pPr>
        <w:pStyle w:val="11"/>
        <w:adjustRightInd w:val="0"/>
        <w:snapToGrid w:val="0"/>
        <w:spacing w:line="440" w:lineRule="exact"/>
        <w:jc w:val="left"/>
        <w:rPr>
          <w:sz w:val="24"/>
        </w:rPr>
      </w:pPr>
      <w:r>
        <w:rPr>
          <w:rFonts w:hint="eastAsia"/>
          <w:sz w:val="24"/>
        </w:rPr>
        <w:t>十三、国有资本经营预算财政拨款收入支出决算表</w:t>
      </w:r>
    </w:p>
    <w:p>
      <w:pPr>
        <w:pStyle w:val="11"/>
        <w:adjustRightInd w:val="0"/>
        <w:snapToGrid w:val="0"/>
        <w:spacing w:line="440" w:lineRule="exact"/>
        <w:jc w:val="left"/>
        <w:rPr>
          <w:sz w:val="24"/>
        </w:rPr>
      </w:pPr>
      <w:r>
        <w:rPr>
          <w:rFonts w:hint="eastAsia"/>
          <w:sz w:val="24"/>
        </w:rPr>
        <w:t>十四、国有资本经营预算财政拨款支出决算表</w:t>
      </w:r>
    </w:p>
    <w:p>
      <w:pPr>
        <w:widowControl/>
        <w:spacing w:line="440" w:lineRule="exact"/>
        <w:jc w:val="left"/>
        <w:rPr>
          <w:rFonts w:ascii="仿宋" w:hAnsi="仿宋" w:eastAsia="仿宋"/>
          <w:bCs/>
          <w:kern w:val="44"/>
          <w:sz w:val="24"/>
        </w:rPr>
      </w:pPr>
      <w:bookmarkStart w:id="69" w:name="_GoBack"/>
      <w:bookmarkEnd w:id="69"/>
      <w:bookmarkStart w:id="12" w:name="_Toc15377196"/>
      <w:bookmarkStart w:id="13" w:name="_Toc15396599"/>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pPr>
        <w:widowControl/>
        <w:jc w:val="left"/>
        <w:rPr>
          <w:rFonts w:ascii="黑体" w:eastAsia="黑体"/>
          <w:sz w:val="32"/>
          <w:szCs w:val="32"/>
        </w:rPr>
      </w:pPr>
    </w:p>
    <w:p>
      <w:pPr>
        <w:pStyle w:val="2"/>
        <w:spacing w:before="0" w:after="0" w:line="500" w:lineRule="exact"/>
        <w:rPr>
          <w:rFonts w:ascii="黑体" w:hAnsi="黑体" w:eastAsia="黑体" w:cs="黑体"/>
          <w:b w:val="0"/>
          <w:bCs w:val="0"/>
          <w:color w:val="000000"/>
          <w:sz w:val="30"/>
          <w:szCs w:val="30"/>
        </w:rPr>
      </w:pPr>
      <w:bookmarkStart w:id="14" w:name="_Toc15396600"/>
      <w:bookmarkStart w:id="15" w:name="_Toc15377197"/>
      <w:r>
        <w:rPr>
          <w:rFonts w:hint="eastAsia" w:ascii="黑体" w:hAnsi="黑体" w:eastAsia="黑体" w:cs="黑体"/>
          <w:b w:val="0"/>
          <w:bCs w:val="0"/>
          <w:color w:val="000000"/>
          <w:sz w:val="30"/>
          <w:szCs w:val="30"/>
        </w:rPr>
        <w:t>一、职能简介</w:t>
      </w:r>
      <w:bookmarkStart w:id="16" w:name="_Toc15377198"/>
      <w:bookmarkStart w:id="17" w:name="_Toc15378445"/>
    </w:p>
    <w:p>
      <w:pPr>
        <w:pStyle w:val="2"/>
        <w:spacing w:before="0" w:after="0" w:line="500" w:lineRule="exact"/>
        <w:rPr>
          <w:rFonts w:ascii="黑体" w:hAnsi="黑体" w:eastAsia="黑体" w:cs="黑体"/>
          <w:b w:val="0"/>
          <w:bCs w:val="0"/>
          <w:color w:val="000000"/>
          <w:sz w:val="30"/>
          <w:szCs w:val="30"/>
        </w:rPr>
      </w:pPr>
      <w:r>
        <w:rPr>
          <w:rFonts w:hint="eastAsia" w:ascii="黑体" w:hAnsi="黑体" w:eastAsia="黑体" w:cs="黑体"/>
          <w:b w:val="0"/>
          <w:bCs w:val="0"/>
          <w:color w:val="000000"/>
          <w:sz w:val="30"/>
          <w:szCs w:val="30"/>
        </w:rPr>
        <w:t>（一）基本职能</w:t>
      </w:r>
      <w:bookmarkEnd w:id="16"/>
      <w:bookmarkEnd w:id="17"/>
    </w:p>
    <w:p>
      <w:pPr>
        <w:pStyle w:val="2"/>
        <w:spacing w:before="0" w:after="0" w:line="500" w:lineRule="exact"/>
        <w:ind w:firstLine="640" w:firstLineChars="200"/>
        <w:rPr>
          <w:rFonts w:ascii="仿宋_GB2312" w:hAnsi="仿宋" w:eastAsia="仿宋_GB2312" w:cs="Times New Roman"/>
          <w:b w:val="0"/>
          <w:bCs w:val="0"/>
          <w:kern w:val="2"/>
        </w:rPr>
      </w:pPr>
      <w:r>
        <w:rPr>
          <w:rFonts w:hint="eastAsia" w:ascii="仿宋_GB2312" w:hAnsi="仿宋" w:eastAsia="仿宋_GB2312" w:cs="Times New Roman"/>
          <w:b w:val="0"/>
          <w:bCs w:val="0"/>
          <w:kern w:val="2"/>
        </w:rPr>
        <w:t>负责全市土地开发项目的规划、设计、论证和立项材料的组织上报工作开展土地开发整理咨询服务和建设项目用地与预审评价工作提供土地开发整理项目面积复核和技术资料收集整理工作实施市本级使用新增建设用地有偿使用费必须完成的土地开发整理项目。</w:t>
      </w:r>
    </w:p>
    <w:p/>
    <w:p>
      <w:pPr>
        <w:rPr>
          <w:rStyle w:val="26"/>
          <w:rFonts w:ascii="黑体" w:hAnsi="黑体" w:eastAsia="黑体"/>
          <w:b w:val="0"/>
          <w:bCs w:val="0"/>
        </w:rPr>
      </w:pPr>
      <w:r>
        <w:rPr>
          <w:rStyle w:val="26"/>
          <w:rFonts w:hint="eastAsia" w:ascii="黑体" w:hAnsi="黑体" w:eastAsia="黑体"/>
          <w:b w:val="0"/>
          <w:bCs w:val="0"/>
        </w:rPr>
        <w:t>二、2021年重点工作</w:t>
      </w:r>
      <w:bookmarkEnd w:id="14"/>
      <w:bookmarkEnd w:id="15"/>
      <w:r>
        <w:rPr>
          <w:rStyle w:val="26"/>
          <w:rFonts w:hint="eastAsia" w:ascii="黑体" w:hAnsi="黑体" w:eastAsia="黑体"/>
          <w:b w:val="0"/>
          <w:bCs w:val="0"/>
        </w:rPr>
        <w:t>完成情况</w:t>
      </w:r>
    </w:p>
    <w:p>
      <w:pPr>
        <w:spacing w:line="576" w:lineRule="exact"/>
        <w:ind w:firstLine="643" w:firstLineChars="200"/>
        <w:rPr>
          <w:rStyle w:val="31"/>
          <w:rFonts w:ascii="楷体_GB2312" w:hAnsi="楷体" w:eastAsia="楷体_GB2312"/>
          <w:b/>
          <w:sz w:val="32"/>
          <w:szCs w:val="32"/>
        </w:rPr>
      </w:pPr>
      <w:r>
        <w:rPr>
          <w:rStyle w:val="31"/>
          <w:rFonts w:hint="eastAsia" w:ascii="楷体_GB2312" w:hAnsi="楷体" w:eastAsia="楷体_GB2312"/>
          <w:b/>
          <w:sz w:val="32"/>
          <w:szCs w:val="32"/>
        </w:rPr>
        <w:t>（一）进一步规范完善各项管理制度</w:t>
      </w:r>
    </w:p>
    <w:p>
      <w:pPr>
        <w:spacing w:line="576" w:lineRule="exact"/>
        <w:ind w:firstLine="640" w:firstLineChars="200"/>
        <w:rPr>
          <w:rFonts w:ascii="仿宋_GB2312" w:eastAsia="仿宋_GB2312"/>
          <w:sz w:val="32"/>
          <w:szCs w:val="32"/>
        </w:rPr>
      </w:pPr>
      <w:r>
        <w:rPr>
          <w:rFonts w:ascii="仿宋_GB2312" w:hAnsi="Calibri" w:eastAsia="仿宋_GB2312"/>
          <w:sz w:val="32"/>
          <w:szCs w:val="32"/>
        </w:rPr>
        <w:t>为</w:t>
      </w:r>
      <w:r>
        <w:rPr>
          <w:rFonts w:hint="eastAsia" w:ascii="仿宋_GB2312" w:eastAsia="仿宋_GB2312"/>
          <w:sz w:val="32"/>
          <w:szCs w:val="32"/>
        </w:rPr>
        <w:t>进一步</w:t>
      </w:r>
      <w:r>
        <w:rPr>
          <w:rFonts w:ascii="仿宋_GB2312" w:eastAsia="仿宋_GB2312"/>
          <w:sz w:val="32"/>
          <w:szCs w:val="32"/>
        </w:rPr>
        <w:t>规范土地整治项目实施管理，</w:t>
      </w:r>
      <w:r>
        <w:rPr>
          <w:rFonts w:ascii="仿宋_GB2312" w:hAnsi="Calibri" w:eastAsia="仿宋_GB2312"/>
          <w:sz w:val="32"/>
          <w:szCs w:val="32"/>
        </w:rPr>
        <w:t>确保</w:t>
      </w:r>
      <w:r>
        <w:rPr>
          <w:rFonts w:hint="eastAsia" w:ascii="仿宋_GB2312" w:eastAsia="仿宋_GB2312"/>
          <w:sz w:val="32"/>
          <w:szCs w:val="32"/>
        </w:rPr>
        <w:t>新增耕地数量真实、质量可靠</w:t>
      </w:r>
      <w:r>
        <w:rPr>
          <w:rFonts w:ascii="仿宋_GB2312" w:hAnsi="Calibri" w:eastAsia="仿宋_GB2312"/>
          <w:sz w:val="32"/>
          <w:szCs w:val="32"/>
        </w:rPr>
        <w:t>，充分发挥项目的经济效益和社会效益，</w:t>
      </w:r>
      <w:r>
        <w:rPr>
          <w:rFonts w:hint="eastAsia" w:ascii="仿宋_GB2312" w:eastAsia="仿宋_GB2312"/>
          <w:sz w:val="32"/>
          <w:szCs w:val="32"/>
        </w:rPr>
        <w:t>2021年，我中心商讨制定了《关于加强土地整理项目全过程监管的实施意见》、《广元市土地整治项目施工过程管理规范》、《广元市新增耕地审核规则》、《广元市土地整治项目可研和规划设计审查规则》、《广元市土地整治项目技术核查规则》等规范性文件，其中《关于加强土地整理项目全过程监管的实施意见》已印发，其余规范制度正在征求各县区意见，待修改完善后呈报局党委会审议通过后印发执行。</w:t>
      </w:r>
    </w:p>
    <w:p>
      <w:pPr>
        <w:spacing w:line="576" w:lineRule="exact"/>
        <w:ind w:firstLine="643" w:firstLineChars="200"/>
        <w:rPr>
          <w:rStyle w:val="31"/>
          <w:rFonts w:ascii="楷体_GB2312" w:hAnsi="楷体" w:eastAsia="楷体_GB2312"/>
          <w:b/>
          <w:sz w:val="32"/>
          <w:szCs w:val="32"/>
        </w:rPr>
      </w:pPr>
      <w:r>
        <w:rPr>
          <w:rStyle w:val="31"/>
          <w:rFonts w:hint="eastAsia" w:ascii="楷体_GB2312" w:hAnsi="楷体" w:eastAsia="楷体_GB2312"/>
          <w:b/>
          <w:sz w:val="32"/>
          <w:szCs w:val="32"/>
        </w:rPr>
        <w:t>（二）积极谋划国土综合整治项目“十四五”实施计划</w:t>
      </w:r>
    </w:p>
    <w:p>
      <w:pPr>
        <w:spacing w:line="576" w:lineRule="exact"/>
        <w:ind w:firstLine="640" w:firstLineChars="200"/>
      </w:pPr>
      <w:r>
        <w:rPr>
          <w:rFonts w:hint="eastAsia" w:ascii="仿宋_GB2312" w:hAnsi="仿宋" w:eastAsia="仿宋_GB2312" w:cs="仿宋_GB2312"/>
          <w:sz w:val="32"/>
          <w:szCs w:val="32"/>
        </w:rPr>
        <w:t>为贯彻落实“十分珍惜、合理利用土地和切实保护耕地”的基本国策，统筹山水林田湖草系统治理，加强自然生态保护利用，构建与广元高质量发展相适应的国土综合整治模式，补足我市耕地保有量，提升占补平衡耕地指标存量，全力保障城市发展用地需求。</w:t>
      </w:r>
      <w:r>
        <w:rPr>
          <w:rFonts w:hint="eastAsia" w:ascii="仿宋_GB2312" w:eastAsia="仿宋_GB2312"/>
          <w:sz w:val="32"/>
          <w:szCs w:val="32"/>
        </w:rPr>
        <w:t>我中心按照</w:t>
      </w:r>
      <w:r>
        <w:rPr>
          <w:rFonts w:hint="eastAsia" w:ascii="仿宋_GB2312" w:hAnsi="仿宋" w:eastAsia="仿宋_GB2312" w:cs="仿宋_GB2312"/>
          <w:sz w:val="32"/>
          <w:szCs w:val="32"/>
        </w:rPr>
        <w:t>《中华人民共和国土地管理法》</w:t>
      </w:r>
      <w:r>
        <w:rPr>
          <w:rFonts w:hint="eastAsia" w:ascii="仿宋_GB2312" w:eastAsia="仿宋_GB2312"/>
          <w:sz w:val="32"/>
          <w:szCs w:val="32"/>
        </w:rPr>
        <w:t>等</w:t>
      </w:r>
      <w:r>
        <w:rPr>
          <w:rFonts w:hint="eastAsia" w:ascii="仿宋_GB2312" w:hAnsi="仿宋" w:eastAsia="仿宋_GB2312" w:cs="仿宋_GB2312"/>
          <w:sz w:val="32"/>
          <w:szCs w:val="32"/>
        </w:rPr>
        <w:t>相关法律法规和政策规定</w:t>
      </w:r>
      <w:r>
        <w:rPr>
          <w:rFonts w:hint="eastAsia" w:ascii="仿宋_GB2312" w:eastAsia="仿宋_GB2312"/>
          <w:sz w:val="32"/>
          <w:szCs w:val="32"/>
        </w:rPr>
        <w:t>，会同用途管制科、生态修复科、耕地监督保护科，在充分征求各县区自然资源部门意见基础上，编</w:t>
      </w:r>
      <w:r>
        <w:rPr>
          <w:rFonts w:hint="eastAsia" w:ascii="仿宋_GB2312" w:hAnsi="仿宋_GB2312" w:eastAsia="仿宋_GB2312" w:cs="仿宋_GB2312"/>
          <w:sz w:val="32"/>
          <w:szCs w:val="32"/>
        </w:rPr>
        <w:t>制了《</w:t>
      </w:r>
      <w:r>
        <w:rPr>
          <w:rFonts w:hint="eastAsia" w:ascii="仿宋_GB2312" w:eastAsia="仿宋_GB2312"/>
          <w:sz w:val="32"/>
          <w:szCs w:val="22"/>
        </w:rPr>
        <w:t>广元市“十四五”国土综合整治项目计划实施方案（2021-2025）》</w:t>
      </w:r>
      <w:r>
        <w:rPr>
          <w:rFonts w:hint="eastAsia" w:ascii="仿宋_GB2312" w:hAnsi="仿宋_GB2312" w:eastAsia="仿宋_GB2312" w:cs="仿宋_GB2312"/>
          <w:sz w:val="32"/>
          <w:szCs w:val="32"/>
        </w:rPr>
        <w:t>。</w:t>
      </w:r>
      <w:r>
        <w:rPr>
          <w:rFonts w:hint="eastAsia" w:ascii="仿宋_GB2312" w:eastAsia="仿宋_GB2312"/>
          <w:sz w:val="32"/>
          <w:szCs w:val="32"/>
        </w:rPr>
        <w:t>拟在“十四五”期间通过统筹实施土地整治、城乡建</w:t>
      </w:r>
      <w:r>
        <w:rPr>
          <w:rFonts w:hint="eastAsia" w:ascii="仿宋_GB2312" w:hAnsi="仿宋" w:eastAsia="仿宋_GB2312" w:cs="仿宋_GB2312"/>
          <w:sz w:val="32"/>
          <w:szCs w:val="32"/>
        </w:rPr>
        <w:t>设用地增减挂钩、全域土地综合整治等国土综合整治项目</w:t>
      </w:r>
      <w:r>
        <w:rPr>
          <w:rFonts w:hint="eastAsia" w:ascii="仿宋_GB2312" w:hAnsi="仿宋_GB2312" w:eastAsia="仿宋_GB2312" w:cs="仿宋_GB2312"/>
          <w:sz w:val="32"/>
          <w:szCs w:val="32"/>
        </w:rPr>
        <w:t>共214个，计划投资58.3亿元，预计产生新增耕地指标3.33万亩、产生建设用地结余指标2.16万亩。以</w:t>
      </w:r>
      <w:r>
        <w:rPr>
          <w:rFonts w:hint="eastAsia" w:ascii="仿宋_GB2312" w:hAnsi="仿宋" w:eastAsia="仿宋_GB2312" w:cs="仿宋_GB2312"/>
          <w:sz w:val="32"/>
          <w:szCs w:val="32"/>
        </w:rPr>
        <w:t>达到补足耕地数量、提升</w:t>
      </w:r>
      <w:r>
        <w:rPr>
          <w:rFonts w:ascii="仿宋_GB2312" w:hAnsi="仿宋" w:eastAsia="仿宋_GB2312" w:cs="仿宋_GB2312"/>
          <w:sz w:val="32"/>
          <w:szCs w:val="32"/>
        </w:rPr>
        <w:t>耕地质量</w:t>
      </w:r>
      <w:r>
        <w:rPr>
          <w:rFonts w:hint="eastAsia" w:ascii="仿宋_GB2312" w:hAnsi="仿宋" w:eastAsia="仿宋_GB2312" w:cs="仿宋_GB2312"/>
          <w:sz w:val="32"/>
          <w:szCs w:val="32"/>
        </w:rPr>
        <w:t>，优化农村建设用地布局、提升居民生活水平，挖掘宜耕后备土地资源、提升耕地存量，保障城市发展用地需求的目的。该计划实施方案</w:t>
      </w:r>
      <w:r>
        <w:rPr>
          <w:rFonts w:hint="eastAsia" w:ascii="仿宋_GB2312" w:hAnsi="仿宋_GB2312" w:eastAsia="仿宋_GB2312" w:cs="仿宋_GB2312"/>
          <w:sz w:val="32"/>
          <w:szCs w:val="32"/>
        </w:rPr>
        <w:t>待局党委会审议通过后即可上报市政府批准施行。</w:t>
      </w:r>
    </w:p>
    <w:p>
      <w:pPr>
        <w:spacing w:line="576" w:lineRule="exact"/>
        <w:ind w:firstLine="643" w:firstLineChars="200"/>
        <w:rPr>
          <w:rStyle w:val="31"/>
          <w:rFonts w:ascii="楷体_GB2312" w:hAnsi="楷体" w:eastAsia="楷体_GB2312"/>
          <w:b/>
          <w:sz w:val="32"/>
          <w:szCs w:val="32"/>
        </w:rPr>
      </w:pPr>
      <w:r>
        <w:rPr>
          <w:rStyle w:val="31"/>
          <w:rFonts w:hint="eastAsia" w:ascii="楷体_GB2312" w:hAnsi="楷体" w:eastAsia="楷体_GB2312"/>
          <w:b/>
          <w:sz w:val="32"/>
          <w:szCs w:val="32"/>
        </w:rPr>
        <w:t>（三）完成新项目的规划设计审查</w:t>
      </w:r>
    </w:p>
    <w:p>
      <w:pPr>
        <w:spacing w:line="576" w:lineRule="exact"/>
        <w:ind w:firstLine="640" w:firstLineChars="200"/>
        <w:rPr>
          <w:rStyle w:val="31"/>
          <w:rFonts w:ascii="仿宋_GB2312" w:eastAsia="仿宋_GB2312"/>
          <w:sz w:val="32"/>
          <w:szCs w:val="32"/>
        </w:rPr>
      </w:pPr>
      <w:r>
        <w:rPr>
          <w:rStyle w:val="31"/>
          <w:rFonts w:hint="eastAsia" w:ascii="仿宋_GB2312" w:eastAsia="仿宋_GB2312"/>
          <w:sz w:val="32"/>
          <w:szCs w:val="32"/>
        </w:rPr>
        <w:t>按照省厅对2021年度和2022年度省投资土地整治项目申报工作的安排部署，我中心指导各县区局开展新项目的可研和规划设计工作。要求严格按照《四川省新增耕地核定办法（试行）》规定，围绕新增耕地落地落实进行规划设计。并</w:t>
      </w:r>
      <w:r>
        <w:rPr>
          <w:rFonts w:hint="eastAsia" w:ascii="仿宋_GB2312" w:eastAsia="仿宋_GB2312"/>
          <w:sz w:val="32"/>
          <w:szCs w:val="32"/>
        </w:rPr>
        <w:t>一改以往的审查模式，组织技术人员对新申报项目规划设计进行100%踏勘审查，对审查修改后的可研及规划设计成果再次组织中心全体职工进行技术会审，在各县区按照会审意见修改完善后出具踏勘审查意见报市局</w:t>
      </w:r>
      <w:r>
        <w:rPr>
          <w:rStyle w:val="31"/>
          <w:rFonts w:hint="eastAsia" w:ascii="仿宋_GB2312" w:eastAsia="仿宋_GB2312"/>
          <w:sz w:val="32"/>
          <w:szCs w:val="32"/>
        </w:rPr>
        <w:t>。</w:t>
      </w:r>
      <w:r>
        <w:rPr>
          <w:rFonts w:hint="eastAsia" w:ascii="仿宋_GB2312" w:eastAsia="仿宋_GB2312"/>
          <w:sz w:val="32"/>
          <w:szCs w:val="32"/>
        </w:rPr>
        <w:t>全年共申报省投资土地整治项目9个，整治规模约7.36万亩，计划投资1.51亿元，预计产生新增耕地指标3598.93亩（其中：水田2639.84亩，旱地959.09亩）。其中：4个项目省财政厅已经下达资金4336.24万元，目前省财政厅正在开展财政评审，将在2022年全面启动实施。5个项目已上报省自然资源厅评审（其中4个项目已通过，苍溪县石灶乡土地整治项目正在修改中）。</w:t>
      </w:r>
    </w:p>
    <w:p>
      <w:pPr>
        <w:spacing w:line="576" w:lineRule="exact"/>
        <w:ind w:firstLine="643" w:firstLineChars="200"/>
        <w:rPr>
          <w:rStyle w:val="31"/>
          <w:rFonts w:ascii="楷体_GB2312" w:hAnsi="楷体" w:eastAsia="楷体_GB2312"/>
          <w:b/>
          <w:sz w:val="32"/>
          <w:szCs w:val="32"/>
        </w:rPr>
      </w:pPr>
      <w:r>
        <w:rPr>
          <w:rStyle w:val="31"/>
          <w:rFonts w:ascii="楷体_GB2312" w:hAnsi="楷体" w:eastAsia="楷体_GB2312"/>
          <w:b/>
          <w:sz w:val="32"/>
          <w:szCs w:val="32"/>
        </w:rPr>
        <w:t>（四）稳步推进新增耕地核定及上图入库备案工作</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今年6月，自然资源部下发</w:t>
      </w:r>
      <w:r>
        <w:rPr>
          <w:rFonts w:ascii="仿宋_GB2312" w:hAnsi="仿宋_GB2312" w:eastAsia="仿宋_GB2312" w:cs="仿宋_GB2312"/>
          <w:sz w:val="32"/>
          <w:szCs w:val="32"/>
        </w:rPr>
        <w:t>自然资耕保函〔2021〕</w:t>
      </w:r>
      <w:r>
        <w:rPr>
          <w:rFonts w:hint="eastAsia" w:ascii="仿宋_GB2312" w:hAnsi="仿宋_GB2312" w:eastAsia="仿宋_GB2312" w:cs="仿宋_GB2312"/>
          <w:sz w:val="32"/>
          <w:szCs w:val="32"/>
        </w:rPr>
        <w:t>38号文件，将占补平衡指标库中各省（市）2017年前立项实施并报备入库的项目暂时全部移出库，要求重新对项目备案信息进行复核整改，整改完成后重新报备入库。我市共涉及147个项目须在9月底前完成入库备案，我中心对县区局备案的新增耕地矢量数据进行市级线上审核。截止目前，147个项目通过部级监管审查57个项目，通过省级审核37个项目，正在省级审核中30个项目，部审查退回需修改重新上报备案23个项目，分别是苍溪县9个、昭化区9个、朝天区2个、旺苍县1个、青川县1个、剑阁县1个、</w:t>
      </w:r>
    </w:p>
    <w:p>
      <w:pPr>
        <w:spacing w:line="576" w:lineRule="exact"/>
        <w:ind w:firstLine="643" w:firstLineChars="200"/>
        <w:rPr>
          <w:rStyle w:val="31"/>
          <w:rFonts w:ascii="楷体_GB2312" w:hAnsi="楷体" w:eastAsia="楷体_GB2312"/>
          <w:b/>
          <w:sz w:val="32"/>
          <w:szCs w:val="32"/>
        </w:rPr>
      </w:pPr>
      <w:r>
        <w:rPr>
          <w:rStyle w:val="31"/>
          <w:rFonts w:ascii="楷体_GB2312" w:hAnsi="楷体" w:eastAsia="楷体_GB2312"/>
          <w:b/>
          <w:sz w:val="32"/>
          <w:szCs w:val="32"/>
        </w:rPr>
        <w:t>（五）全力督导</w:t>
      </w:r>
      <w:r>
        <w:rPr>
          <w:rStyle w:val="31"/>
          <w:rFonts w:hint="eastAsia" w:ascii="楷体_GB2312" w:hAnsi="楷体" w:eastAsia="楷体_GB2312"/>
          <w:b/>
          <w:sz w:val="32"/>
          <w:szCs w:val="32"/>
        </w:rPr>
        <w:t>补充耕地自查整改工作</w:t>
      </w:r>
    </w:p>
    <w:p>
      <w:pPr>
        <w:spacing w:line="576" w:lineRule="exact"/>
        <w:ind w:firstLine="640"/>
        <w:rPr>
          <w:rFonts w:ascii="仿宋_GB2312" w:hAnsi="仿宋_GB2312" w:eastAsia="仿宋_GB2312"/>
          <w:sz w:val="32"/>
          <w:szCs w:val="32"/>
          <w:lang w:bidi="zh-CN"/>
        </w:rPr>
      </w:pPr>
      <w:r>
        <w:rPr>
          <w:rFonts w:hint="eastAsia" w:ascii="仿宋_GB2312" w:hAnsi="仿宋_GB2312" w:eastAsia="仿宋_GB2312" w:cs="仿宋_GB2312"/>
          <w:spacing w:val="-6"/>
          <w:sz w:val="32"/>
          <w:szCs w:val="32"/>
        </w:rPr>
        <w:t>按照省厅关于补充耕地自查整改工作的安排部署</w:t>
      </w:r>
      <w:r>
        <w:rPr>
          <w:rFonts w:hint="eastAsia" w:ascii="仿宋_GB2312" w:hAnsi="仿宋_GB2312" w:eastAsia="仿宋_GB2312"/>
          <w:sz w:val="32"/>
          <w:szCs w:val="32"/>
          <w:lang w:bidi="zh-CN"/>
        </w:rPr>
        <w:t>，我市需整改项目共计111个。</w:t>
      </w:r>
      <w:r>
        <w:rPr>
          <w:rFonts w:hint="eastAsia" w:ascii="仿宋_GB2312" w:eastAsia="仿宋_GB2312"/>
          <w:spacing w:val="-6"/>
          <w:sz w:val="32"/>
          <w:szCs w:val="32"/>
        </w:rPr>
        <w:t>按照市局安排，</w:t>
      </w:r>
      <w:r>
        <w:rPr>
          <w:rFonts w:hint="eastAsia" w:ascii="仿宋_GB2312" w:hAnsi="仿宋_GB2312" w:eastAsia="仿宋_GB2312" w:cs="仿宋_GB2312"/>
          <w:sz w:val="32"/>
          <w:szCs w:val="32"/>
        </w:rPr>
        <w:t>我</w:t>
      </w:r>
      <w:r>
        <w:rPr>
          <w:rFonts w:ascii="仿宋_GB2312" w:hAnsi="仿宋_GB2312" w:eastAsia="仿宋_GB2312" w:cs="仿宋_GB2312"/>
          <w:sz w:val="32"/>
          <w:szCs w:val="32"/>
        </w:rPr>
        <w:t>中心</w:t>
      </w:r>
      <w:r>
        <w:rPr>
          <w:rFonts w:hint="eastAsia" w:ascii="仿宋_GB2312" w:hAnsi="仿宋_GB2312" w:eastAsia="仿宋_GB2312" w:cs="仿宋_GB2312"/>
          <w:sz w:val="32"/>
          <w:szCs w:val="32"/>
        </w:rPr>
        <w:t>负责补充耕地自查整改的技术指导和检查工作，</w:t>
      </w:r>
      <w:r>
        <w:rPr>
          <w:rFonts w:ascii="仿宋_GB2312" w:hAnsi="仿宋_GB2312" w:eastAsia="仿宋_GB2312" w:cs="仿宋_GB2312"/>
          <w:sz w:val="32"/>
          <w:szCs w:val="32"/>
        </w:rPr>
        <w:t>专题召开</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次补充耕地自查整改工作技术培训会和指导交流会，制定</w:t>
      </w:r>
      <w:r>
        <w:rPr>
          <w:rFonts w:hint="eastAsia" w:ascii="仿宋_GB2312" w:hAnsi="仿宋_GB2312" w:eastAsia="仿宋_GB2312" w:cs="仿宋_GB2312"/>
          <w:sz w:val="32"/>
          <w:szCs w:val="32"/>
        </w:rPr>
        <w:t>了</w:t>
      </w:r>
      <w:r>
        <w:rPr>
          <w:rFonts w:hint="eastAsia" w:ascii="仿宋_GB2312" w:hAnsi="仿宋_GB2312" w:eastAsia="仿宋_GB2312"/>
          <w:sz w:val="32"/>
          <w:szCs w:val="32"/>
          <w:lang w:bidi="zh-CN"/>
        </w:rPr>
        <w:t>《广元市补充耕地自查整改技术指导意见（试行）》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指导各县区制定整改工作方案和规划设计方案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并</w:t>
      </w:r>
      <w:r>
        <w:rPr>
          <w:rFonts w:hint="eastAsia" w:ascii="仿宋_GB2312" w:hAnsi="仿宋_GB2312" w:eastAsia="仿宋_GB2312"/>
          <w:sz w:val="32"/>
          <w:szCs w:val="32"/>
          <w:lang w:bidi="zh-CN"/>
        </w:rPr>
        <w:t>成立了3个督导组赴县区现场开展自查整改督导工作，截至目前，全市已完成整改项目22个，正在实施整改的项目89个，完成整改比例占总任务数的74.26%。其中：利州区、青川县已完成整改任务；苍溪县完成整改任务的85%；旺苍县完成整改任务的78.17%；剑阁县完成整改任务的58.64%；朝天区完成整改任务的82.05%；昭化区完成任务的71.39%。各县区计划于12月20日前完成外业整改，月底完成验收备案。目前正加紧开展项目整改，并同步完善项目竣工资料，为整改验收做好准备。</w:t>
      </w:r>
    </w:p>
    <w:p>
      <w:pPr>
        <w:spacing w:line="576" w:lineRule="exact"/>
        <w:ind w:firstLine="643" w:firstLineChars="200"/>
        <w:rPr>
          <w:rStyle w:val="31"/>
          <w:rFonts w:ascii="楷体_GB2312" w:hAnsi="楷体" w:eastAsia="楷体_GB2312"/>
          <w:b/>
        </w:rPr>
      </w:pPr>
      <w:r>
        <w:rPr>
          <w:rStyle w:val="31"/>
          <w:rFonts w:ascii="楷体_GB2312" w:hAnsi="楷体" w:eastAsia="楷体_GB2312"/>
          <w:b/>
          <w:sz w:val="32"/>
          <w:szCs w:val="32"/>
        </w:rPr>
        <w:t>（六）</w:t>
      </w:r>
      <w:r>
        <w:rPr>
          <w:rStyle w:val="31"/>
          <w:rFonts w:hint="eastAsia" w:ascii="楷体_GB2312" w:hAnsi="楷体" w:eastAsia="楷体_GB2312"/>
          <w:b/>
          <w:sz w:val="32"/>
          <w:szCs w:val="32"/>
        </w:rPr>
        <w:t>有序推进耕地后备资源调查评价工作</w:t>
      </w:r>
    </w:p>
    <w:p>
      <w:pPr>
        <w:spacing w:line="576" w:lineRule="exact"/>
        <w:ind w:firstLine="640"/>
        <w:rPr>
          <w:rFonts w:ascii="仿宋_GB2312" w:hAnsi="仿宋_GB2312" w:eastAsia="仿宋_GB2312"/>
          <w:sz w:val="32"/>
          <w:szCs w:val="32"/>
          <w:lang w:bidi="zh-CN"/>
        </w:rPr>
      </w:pPr>
      <w:r>
        <w:rPr>
          <w:rFonts w:hint="eastAsia" w:ascii="仿宋_GB2312" w:hAnsi="仿宋_GB2312" w:eastAsia="仿宋_GB2312"/>
          <w:sz w:val="32"/>
          <w:szCs w:val="32"/>
          <w:lang w:bidi="zh-CN"/>
        </w:rPr>
        <w:t>按照自然资源部统一安排部署，我中心按照《四川省耕地后备资源调查评价技术方案》（川自然资办函〔2021〕232号）规定，从可开发耕地后备资源调查评价、可恢复耕地潜力调查评价、可垦造水田资源潜力调查评价等三个方面，指导各县区开展耕地后备资源调查评价工作。并建立周报制督促跟进各县区工作进度，目前该工作正在有序推进，预计12月底全面完成并提交相关成果报告。</w:t>
      </w:r>
    </w:p>
    <w:p>
      <w:pPr>
        <w:spacing w:line="576" w:lineRule="exact"/>
        <w:ind w:firstLine="643" w:firstLineChars="200"/>
        <w:rPr>
          <w:rStyle w:val="31"/>
          <w:rFonts w:ascii="楷体_GB2312" w:hAnsi="楷体" w:eastAsia="楷体_GB2312"/>
          <w:b/>
          <w:sz w:val="32"/>
          <w:szCs w:val="32"/>
        </w:rPr>
      </w:pPr>
      <w:r>
        <w:rPr>
          <w:rStyle w:val="31"/>
          <w:rFonts w:hint="eastAsia" w:ascii="楷体_GB2312" w:hAnsi="楷体" w:eastAsia="楷体_GB2312"/>
          <w:b/>
          <w:sz w:val="32"/>
          <w:szCs w:val="32"/>
        </w:rPr>
        <w:t>（七）完成未验收</w:t>
      </w:r>
      <w:r>
        <w:rPr>
          <w:rStyle w:val="31"/>
          <w:rFonts w:ascii="楷体_GB2312" w:hAnsi="楷体" w:eastAsia="楷体_GB2312"/>
          <w:b/>
          <w:sz w:val="32"/>
          <w:szCs w:val="32"/>
        </w:rPr>
        <w:t>土地整</w:t>
      </w:r>
      <w:r>
        <w:rPr>
          <w:rStyle w:val="31"/>
          <w:rFonts w:hint="eastAsia" w:ascii="楷体_GB2312" w:hAnsi="楷体" w:eastAsia="楷体_GB2312"/>
          <w:b/>
          <w:sz w:val="32"/>
          <w:szCs w:val="32"/>
        </w:rPr>
        <w:t>治</w:t>
      </w:r>
      <w:r>
        <w:rPr>
          <w:rStyle w:val="31"/>
          <w:rFonts w:ascii="楷体_GB2312" w:hAnsi="楷体" w:eastAsia="楷体_GB2312"/>
          <w:b/>
          <w:sz w:val="32"/>
          <w:szCs w:val="32"/>
        </w:rPr>
        <w:t>项目验收技术</w:t>
      </w:r>
      <w:r>
        <w:rPr>
          <w:rStyle w:val="31"/>
          <w:rFonts w:hint="eastAsia" w:ascii="楷体_GB2312" w:hAnsi="楷体" w:eastAsia="楷体_GB2312"/>
          <w:b/>
          <w:sz w:val="32"/>
          <w:szCs w:val="32"/>
        </w:rPr>
        <w:t>核查</w:t>
      </w:r>
      <w:r>
        <w:rPr>
          <w:rStyle w:val="31"/>
          <w:rFonts w:ascii="楷体_GB2312" w:hAnsi="楷体" w:eastAsia="楷体_GB2312"/>
          <w:b/>
          <w:sz w:val="32"/>
          <w:szCs w:val="32"/>
        </w:rPr>
        <w:t>工作</w:t>
      </w:r>
    </w:p>
    <w:p>
      <w:pPr>
        <w:spacing w:line="576" w:lineRule="exact"/>
        <w:ind w:firstLine="640" w:firstLineChars="200"/>
        <w:rPr>
          <w:rStyle w:val="31"/>
          <w:rFonts w:ascii="仿宋_GB2312" w:eastAsia="仿宋_GB2312"/>
          <w:sz w:val="32"/>
          <w:szCs w:val="32"/>
        </w:rPr>
      </w:pPr>
      <w:r>
        <w:rPr>
          <w:rStyle w:val="31"/>
          <w:rFonts w:hint="eastAsia" w:ascii="仿宋_GB2312" w:eastAsia="仿宋_GB2312"/>
          <w:sz w:val="32"/>
          <w:szCs w:val="32"/>
        </w:rPr>
        <w:t>今年，我中心完成了苍溪县三川镇项目、青川县大院乡项目和剑阁县垂泉项目的技术核查和新增耕地复核工作，为项目的顺利验收打下坚实基础。</w:t>
      </w:r>
    </w:p>
    <w:p>
      <w:pPr>
        <w:pStyle w:val="2"/>
        <w:rPr>
          <w:rStyle w:val="31"/>
          <w:rFonts w:ascii="仿宋_GB2312" w:hAnsi="Times New Roman" w:eastAsia="仿宋_GB2312" w:cs="Times New Roman"/>
        </w:rPr>
      </w:pPr>
    </w:p>
    <w:p/>
    <w:p>
      <w:pPr>
        <w:pStyle w:val="3"/>
        <w:ind w:right="440"/>
        <w:jc w:val="center"/>
        <w:rPr>
          <w:rStyle w:val="25"/>
          <w:rFonts w:ascii="黑体" w:hAnsi="黑体" w:eastAsia="黑体"/>
          <w:b w:val="0"/>
          <w:bCs/>
        </w:rPr>
      </w:pPr>
      <w:bookmarkStart w:id="18" w:name="_Toc15396602"/>
      <w:bookmarkStart w:id="19" w:name="_Toc15377204"/>
      <w:r>
        <w:rPr>
          <w:rFonts w:hint="eastAsia" w:ascii="黑体" w:hAnsi="黑体" w:eastAsia="黑体"/>
          <w:b w:val="0"/>
        </w:rPr>
        <w:t>第二部分 2021年度</w:t>
      </w:r>
      <w:r>
        <w:rPr>
          <w:rStyle w:val="25"/>
          <w:rFonts w:hint="eastAsia" w:ascii="黑体" w:hAnsi="黑体" w:eastAsia="黑体"/>
          <w:b w:val="0"/>
          <w:bCs/>
        </w:rPr>
        <w:t>单位决算情况说明</w:t>
      </w:r>
      <w:bookmarkEnd w:id="18"/>
      <w:bookmarkEnd w:id="19"/>
    </w:p>
    <w:p/>
    <w:p>
      <w:pPr>
        <w:pStyle w:val="24"/>
        <w:numPr>
          <w:ilvl w:val="0"/>
          <w:numId w:val="1"/>
        </w:numPr>
        <w:spacing w:line="600" w:lineRule="exact"/>
        <w:ind w:firstLineChars="0"/>
        <w:outlineLvl w:val="1"/>
        <w:rPr>
          <w:rStyle w:val="26"/>
          <w:rFonts w:ascii="黑体" w:hAnsi="黑体" w:eastAsia="黑体"/>
          <w:b w:val="0"/>
        </w:rPr>
      </w:pPr>
      <w:bookmarkStart w:id="20" w:name="_Toc15396603"/>
      <w:bookmarkStart w:id="21"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20"/>
      <w:bookmarkEnd w:id="21"/>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2021年度收、支总计252.84万元。与2020年相比，收、支总计各减少136.01万元，下降34.98</w:t>
      </w:r>
      <w:r>
        <w:rPr>
          <w:rFonts w:ascii="仿宋" w:hAnsi="仿宋" w:eastAsia="仿宋"/>
          <w:sz w:val="32"/>
          <w:szCs w:val="32"/>
        </w:rPr>
        <w:t>%</w:t>
      </w:r>
      <w:r>
        <w:rPr>
          <w:rFonts w:hint="eastAsia" w:ascii="仿宋" w:hAnsi="仿宋" w:eastAsia="仿宋"/>
          <w:sz w:val="32"/>
          <w:szCs w:val="32"/>
        </w:rPr>
        <w:t>。主要变动原因是年</w:t>
      </w:r>
      <w:r>
        <w:rPr>
          <w:rFonts w:hint="eastAsia" w:ascii="仿宋_GB2312" w:hAnsi="仿宋" w:eastAsia="仿宋_GB2312" w:cs="仿宋_GB2312"/>
          <w:color w:val="000000"/>
          <w:sz w:val="30"/>
          <w:szCs w:val="30"/>
        </w:rPr>
        <w:t>初财政拨款收入减少，项目结转减少</w:t>
      </w:r>
      <w:r>
        <w:rPr>
          <w:rFonts w:hint="eastAsia" w:ascii="仿宋" w:hAnsi="仿宋" w:eastAsia="仿宋"/>
          <w:sz w:val="32"/>
          <w:szCs w:val="32"/>
        </w:rPr>
        <w:t>。</w:t>
      </w:r>
    </w:p>
    <w:p>
      <w:pPr>
        <w:pStyle w:val="23"/>
      </w:pPr>
      <w:r>
        <w:rPr>
          <w:rFonts w:hint="eastAsia"/>
        </w:rPr>
        <w:t xml:space="preserve">                   </w:t>
      </w:r>
      <w:r>
        <w:drawing>
          <wp:inline distT="0" distB="0" distL="114300" distR="114300">
            <wp:extent cx="4706620" cy="3387090"/>
            <wp:effectExtent l="4445" t="4445" r="13335"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1280" w:firstLineChars="4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3"/>
      </w:pPr>
    </w:p>
    <w:p>
      <w:pPr>
        <w:pStyle w:val="24"/>
        <w:numPr>
          <w:ilvl w:val="0"/>
          <w:numId w:val="1"/>
        </w:numPr>
        <w:spacing w:line="600" w:lineRule="exact"/>
        <w:ind w:firstLineChars="0"/>
        <w:outlineLvl w:val="1"/>
        <w:rPr>
          <w:rStyle w:val="26"/>
          <w:rFonts w:ascii="黑体" w:hAnsi="黑体" w:eastAsia="黑体"/>
          <w:b w:val="0"/>
        </w:rPr>
      </w:pPr>
      <w:bookmarkStart w:id="22" w:name="_Toc15377206"/>
      <w:bookmarkStart w:id="23" w:name="_Toc15396604"/>
      <w:r>
        <w:rPr>
          <w:rFonts w:hint="eastAsia" w:ascii="黑体" w:hAnsi="黑体" w:eastAsia="黑体"/>
          <w:sz w:val="32"/>
          <w:szCs w:val="32"/>
        </w:rPr>
        <w:t>收</w:t>
      </w:r>
      <w:r>
        <w:rPr>
          <w:rStyle w:val="26"/>
          <w:rFonts w:hint="eastAsia" w:ascii="黑体" w:hAnsi="黑体" w:eastAsia="黑体"/>
          <w:b w:val="0"/>
        </w:rPr>
        <w:t>入决算情况说明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21年本年收入合计201.39万元，其中：一般公共预算财政拨款收入201.29万元，占99.95</w:t>
      </w:r>
      <w:r>
        <w:rPr>
          <w:rFonts w:ascii="仿宋" w:hAnsi="仿宋" w:eastAsia="仿宋"/>
          <w:sz w:val="32"/>
          <w:szCs w:val="32"/>
        </w:rPr>
        <w:t>%</w:t>
      </w:r>
      <w:r>
        <w:rPr>
          <w:rFonts w:hint="eastAsia" w:ascii="仿宋" w:hAnsi="仿宋" w:eastAsia="仿宋"/>
          <w:sz w:val="32"/>
          <w:szCs w:val="32"/>
        </w:rPr>
        <w:t>；其他收入0.1万元，占0.05</w:t>
      </w:r>
      <w:r>
        <w:rPr>
          <w:rFonts w:ascii="仿宋" w:hAnsi="仿宋" w:eastAsia="仿宋"/>
          <w:sz w:val="32"/>
          <w:szCs w:val="32"/>
        </w:rPr>
        <w:t>%</w:t>
      </w:r>
      <w:r>
        <w:rPr>
          <w:rFonts w:hint="eastAsia" w:ascii="仿宋" w:hAnsi="仿宋" w:eastAsia="仿宋"/>
          <w:sz w:val="32"/>
          <w:szCs w:val="32"/>
        </w:rPr>
        <w:t>。</w:t>
      </w:r>
    </w:p>
    <w:p>
      <w:pPr>
        <w:pStyle w:val="23"/>
        <w:rPr>
          <w:rFonts w:hAnsi="仿宋"/>
          <w:color w:val="auto"/>
          <w:sz w:val="32"/>
          <w:szCs w:val="32"/>
        </w:rPr>
      </w:pPr>
      <w:r>
        <w:rPr>
          <w:rFonts w:hint="eastAsia" w:hAnsi="仿宋"/>
          <w:color w:val="auto"/>
          <w:sz w:val="32"/>
          <w:szCs w:val="32"/>
        </w:rPr>
        <w:t xml:space="preserve">   </w:t>
      </w:r>
      <w:r>
        <w:rPr>
          <w:rFonts w:hint="eastAsia" w:hAnsi="仿宋"/>
          <w:color w:val="auto"/>
          <w:sz w:val="32"/>
          <w:szCs w:val="32"/>
        </w:rPr>
        <w:drawing>
          <wp:inline distT="0" distB="0" distL="114300" distR="114300">
            <wp:extent cx="4547235" cy="2495550"/>
            <wp:effectExtent l="4445" t="4445" r="508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2240" w:firstLineChars="700"/>
        <w:rPr>
          <w:rFonts w:ascii="仿宋_GB2312" w:eastAsia="仿宋_GB2312"/>
          <w:sz w:val="32"/>
          <w:szCs w:val="32"/>
        </w:rPr>
      </w:pPr>
      <w:r>
        <w:rPr>
          <w:rFonts w:hint="eastAsia" w:ascii="仿宋" w:hAnsi="仿宋" w:eastAsia="仿宋"/>
          <w:sz w:val="32"/>
          <w:szCs w:val="32"/>
        </w:rPr>
        <w:t>（图2：收入决算结构图）</w:t>
      </w:r>
    </w:p>
    <w:p>
      <w:pPr>
        <w:pStyle w:val="24"/>
        <w:numPr>
          <w:ilvl w:val="0"/>
          <w:numId w:val="1"/>
        </w:numPr>
        <w:spacing w:line="600" w:lineRule="exact"/>
        <w:ind w:firstLineChars="0"/>
        <w:outlineLvl w:val="1"/>
        <w:rPr>
          <w:rStyle w:val="26"/>
          <w:rFonts w:ascii="黑体" w:hAnsi="黑体" w:eastAsia="黑体"/>
          <w:b w:val="0"/>
        </w:rPr>
      </w:pPr>
      <w:bookmarkStart w:id="24" w:name="_Toc15377207"/>
      <w:bookmarkStart w:id="25" w:name="_Toc15396605"/>
      <w:r>
        <w:rPr>
          <w:rFonts w:hint="eastAsia" w:ascii="黑体" w:hAnsi="黑体" w:eastAsia="黑体"/>
          <w:sz w:val="32"/>
          <w:szCs w:val="32"/>
        </w:rPr>
        <w:t>支</w:t>
      </w:r>
      <w:r>
        <w:rPr>
          <w:rStyle w:val="26"/>
          <w:rFonts w:hint="eastAsia" w:ascii="黑体" w:hAnsi="黑体" w:eastAsia="黑体"/>
          <w:b w:val="0"/>
        </w:rPr>
        <w:t>出决算情况说明</w:t>
      </w:r>
      <w:bookmarkEnd w:id="24"/>
      <w:bookmarkEnd w:id="25"/>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21年本年支出合计199.04万元，其中：基本支出199.04万元，占100</w:t>
      </w:r>
      <w:r>
        <w:rPr>
          <w:rFonts w:ascii="仿宋" w:hAnsi="仿宋" w:eastAsia="仿宋"/>
          <w:sz w:val="32"/>
          <w:szCs w:val="32"/>
        </w:rPr>
        <w:t>%</w:t>
      </w:r>
      <w:r>
        <w:rPr>
          <w:rFonts w:hint="eastAsia" w:ascii="仿宋" w:hAnsi="仿宋" w:eastAsia="仿宋"/>
          <w:sz w:val="32"/>
          <w:szCs w:val="32"/>
        </w:rPr>
        <w:t>；项目支出0万元，年初未安排预算。</w:t>
      </w:r>
    </w:p>
    <w:p>
      <w:pPr>
        <w:pStyle w:val="23"/>
        <w:rPr>
          <w:rFonts w:hAnsi="仿宋"/>
          <w:color w:val="auto"/>
          <w:sz w:val="32"/>
          <w:szCs w:val="32"/>
          <w:shd w:val="pct10" w:color="auto" w:fill="FFFFFF"/>
        </w:rPr>
      </w:pPr>
      <w:r>
        <w:rPr>
          <w:rFonts w:hint="eastAsia" w:hAnsi="仿宋"/>
          <w:color w:val="auto"/>
          <w:sz w:val="32"/>
          <w:szCs w:val="32"/>
          <w:shd w:val="pct10" w:color="auto" w:fill="FFFFFF"/>
        </w:rPr>
        <w:t xml:space="preserve">  </w:t>
      </w:r>
      <w:r>
        <w:rPr>
          <w:rFonts w:hint="eastAsia" w:hAnsi="仿宋"/>
          <w:color w:val="auto"/>
          <w:sz w:val="32"/>
          <w:szCs w:val="32"/>
          <w:shd w:val="pct10" w:color="auto" w:fill="FFFFFF"/>
        </w:rPr>
        <w:drawing>
          <wp:inline distT="0" distB="0" distL="114300" distR="114300">
            <wp:extent cx="4906645" cy="2644775"/>
            <wp:effectExtent l="4445" t="4445" r="11430" b="177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2240" w:firstLineChars="700"/>
        <w:rPr>
          <w:rFonts w:ascii="仿宋_GB2312" w:eastAsia="仿宋_GB2312"/>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26"/>
          <w:rFonts w:ascii="黑体" w:hAnsi="黑体" w:eastAsia="黑体"/>
          <w:b w:val="0"/>
        </w:rPr>
      </w:pPr>
      <w:bookmarkStart w:id="26" w:name="_Toc15377208"/>
      <w:bookmarkStart w:id="27"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6"/>
      <w:bookmarkEnd w:id="2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21年财政拨款收、支总计201.83万元。与</w:t>
      </w:r>
      <w:r>
        <w:rPr>
          <w:rFonts w:ascii="仿宋" w:hAnsi="仿宋" w:eastAsia="仿宋"/>
          <w:sz w:val="32"/>
          <w:szCs w:val="32"/>
        </w:rPr>
        <w:t>20</w:t>
      </w:r>
      <w:r>
        <w:rPr>
          <w:rFonts w:hint="eastAsia" w:ascii="仿宋" w:hAnsi="仿宋" w:eastAsia="仿宋"/>
          <w:sz w:val="32"/>
          <w:szCs w:val="32"/>
        </w:rPr>
        <w:t>20年相比，财政拨款收、支总计各减少20.98万元，下降9.41</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_GB2312" w:eastAsia="仿宋_GB2312" w:cs="仿宋_GB2312"/>
          <w:sz w:val="32"/>
          <w:szCs w:val="32"/>
        </w:rPr>
        <w:t>严格控制经费，压缩各项开支</w:t>
      </w:r>
      <w:r>
        <w:rPr>
          <w:rFonts w:hint="eastAsia" w:ascii="仿宋" w:hAnsi="仿宋" w:eastAsia="仿宋"/>
          <w:sz w:val="32"/>
          <w:szCs w:val="32"/>
        </w:rPr>
        <w:t>。</w:t>
      </w:r>
    </w:p>
    <w:p>
      <w:pPr>
        <w:pStyle w:val="23"/>
        <w:rPr>
          <w:rFonts w:hAnsi="仿宋"/>
          <w:color w:val="auto"/>
          <w:sz w:val="32"/>
          <w:szCs w:val="32"/>
        </w:rPr>
      </w:pPr>
      <w:r>
        <w:rPr>
          <w:rFonts w:hint="eastAsia" w:hAnsi="仿宋"/>
          <w:color w:val="auto"/>
          <w:sz w:val="32"/>
          <w:szCs w:val="32"/>
        </w:rPr>
        <w:t xml:space="preserve">    </w:t>
      </w:r>
      <w:r>
        <w:rPr>
          <w:rFonts w:hint="eastAsia" w:hAnsi="仿宋"/>
          <w:color w:val="auto"/>
          <w:sz w:val="32"/>
          <w:szCs w:val="32"/>
        </w:rPr>
        <w:drawing>
          <wp:inline distT="0" distB="0" distL="114300" distR="114300">
            <wp:extent cx="5218430" cy="2578735"/>
            <wp:effectExtent l="4445" t="4445" r="19685" b="762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1280" w:firstLineChars="400"/>
        <w:rPr>
          <w:rFonts w:ascii="仿宋" w:hAnsi="仿宋" w:eastAsia="仿宋"/>
          <w:b/>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6"/>
          <w:rFonts w:ascii="黑体" w:hAnsi="黑体" w:eastAsia="黑体"/>
          <w:b w:val="0"/>
        </w:rPr>
      </w:pPr>
      <w:bookmarkStart w:id="28" w:name="_Toc15396607"/>
      <w:bookmarkStart w:id="29"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8"/>
      <w:bookmarkEnd w:id="29"/>
    </w:p>
    <w:p>
      <w:pPr>
        <w:spacing w:line="600" w:lineRule="exact"/>
        <w:ind w:firstLine="643" w:firstLineChars="200"/>
        <w:outlineLvl w:val="2"/>
        <w:rPr>
          <w:rFonts w:ascii="仿宋" w:hAnsi="仿宋" w:eastAsia="仿宋"/>
          <w:b/>
          <w:sz w:val="32"/>
          <w:szCs w:val="32"/>
        </w:rPr>
      </w:pPr>
      <w:bookmarkStart w:id="30" w:name="_Toc15377210"/>
      <w:r>
        <w:rPr>
          <w:rFonts w:hint="eastAsia" w:ascii="仿宋" w:hAnsi="仿宋" w:eastAsia="仿宋"/>
          <w:b/>
          <w:sz w:val="32"/>
          <w:szCs w:val="32"/>
        </w:rPr>
        <w:t>（一）一般公共预算财政拨款支出决算总体情况</w:t>
      </w:r>
      <w:bookmarkEnd w:id="30"/>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21年一般公共预算财政拨款支出199.04万元，占本年支出合计的100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20年相比，一般公共预算财政拨款支出减少23.22万元，下降10.45</w:t>
      </w:r>
      <w:r>
        <w:rPr>
          <w:rFonts w:ascii="仿宋" w:hAnsi="仿宋" w:eastAsia="仿宋"/>
          <w:sz w:val="32"/>
          <w:szCs w:val="32"/>
        </w:rPr>
        <w:t>%</w:t>
      </w:r>
      <w:r>
        <w:rPr>
          <w:rFonts w:hint="eastAsia" w:ascii="仿宋" w:hAnsi="仿宋" w:eastAsia="仿宋"/>
          <w:sz w:val="32"/>
          <w:szCs w:val="32"/>
        </w:rPr>
        <w:t>。主要变动原因是项目支出经费减少。</w:t>
      </w:r>
    </w:p>
    <w:p>
      <w:pPr>
        <w:pStyle w:val="23"/>
        <w:rPr>
          <w:rFonts w:hAnsi="仿宋"/>
          <w:color w:val="auto"/>
          <w:sz w:val="32"/>
          <w:szCs w:val="32"/>
        </w:rPr>
      </w:pPr>
      <w:r>
        <w:rPr>
          <w:rFonts w:hint="eastAsia" w:hAnsi="仿宋"/>
          <w:color w:val="auto"/>
          <w:sz w:val="32"/>
          <w:szCs w:val="32"/>
        </w:rPr>
        <w:drawing>
          <wp:inline distT="0" distB="0" distL="114300" distR="114300">
            <wp:extent cx="5501640" cy="2531110"/>
            <wp:effectExtent l="4445" t="4445" r="10795"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960" w:firstLineChars="3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1" w:name="_Toc15377211"/>
      <w:r>
        <w:rPr>
          <w:rFonts w:hint="eastAsia" w:ascii="仿宋" w:hAnsi="仿宋" w:eastAsia="仿宋"/>
          <w:b/>
          <w:sz w:val="32"/>
          <w:szCs w:val="32"/>
        </w:rPr>
        <w:t>（二）一般公共预算财政拨款支出决算结构情况</w:t>
      </w:r>
      <w:bookmarkEnd w:id="3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21年一般公共预算财政拨款支出199.04万元，主要用于以下方面</w:t>
      </w:r>
      <w:r>
        <w:rPr>
          <w:rFonts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支出15.74万元，占7.9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卫生健康支出7.87</w:t>
      </w:r>
      <w:r>
        <w:rPr>
          <w:rFonts w:hint="eastAsia" w:ascii="仿宋" w:hAnsi="仿宋" w:eastAsia="仿宋"/>
          <w:sz w:val="32"/>
          <w:szCs w:val="32"/>
        </w:rPr>
        <w:t>万元，占3.95</w:t>
      </w:r>
      <w:r>
        <w:rPr>
          <w:rFonts w:ascii="仿宋" w:hAnsi="仿宋" w:eastAsia="仿宋"/>
          <w:sz w:val="32"/>
          <w:szCs w:val="32"/>
        </w:rPr>
        <w:t>%</w:t>
      </w:r>
      <w:r>
        <w:rPr>
          <w:rFonts w:hint="eastAsia" w:ascii="仿宋" w:hAnsi="仿宋" w:eastAsia="仿宋"/>
          <w:sz w:val="32"/>
          <w:szCs w:val="32"/>
        </w:rPr>
        <w:t>；</w:t>
      </w:r>
      <w:r>
        <w:rPr>
          <w:rFonts w:hint="eastAsia" w:ascii="仿宋_GB2312" w:hAnsi="仿宋_GB2312" w:eastAsia="仿宋_GB2312" w:cs="仿宋_GB2312"/>
          <w:b/>
          <w:bCs/>
          <w:color w:val="000000"/>
          <w:sz w:val="32"/>
          <w:szCs w:val="32"/>
        </w:rPr>
        <w:t>自然资源海洋气象等</w:t>
      </w:r>
      <w:r>
        <w:rPr>
          <w:rFonts w:hint="eastAsia" w:ascii="仿宋_GB2312" w:hAnsi="仿宋_GB2312" w:eastAsia="仿宋_GB2312" w:cs="仿宋_GB2312"/>
          <w:color w:val="000000"/>
          <w:sz w:val="32"/>
          <w:szCs w:val="32"/>
        </w:rPr>
        <w:t>支出158.63万元，占 79.7%；</w:t>
      </w:r>
      <w:r>
        <w:rPr>
          <w:rFonts w:hint="eastAsia" w:ascii="仿宋" w:hAnsi="仿宋" w:eastAsia="仿宋"/>
          <w:b/>
          <w:bCs/>
          <w:sz w:val="32"/>
          <w:szCs w:val="32"/>
        </w:rPr>
        <w:t>住房保障支出</w:t>
      </w:r>
      <w:r>
        <w:rPr>
          <w:rFonts w:hint="eastAsia" w:ascii="仿宋" w:hAnsi="仿宋" w:eastAsia="仿宋"/>
          <w:sz w:val="32"/>
          <w:szCs w:val="32"/>
        </w:rPr>
        <w:t>16.8元，占8.45%。</w:t>
      </w:r>
    </w:p>
    <w:p>
      <w:pPr>
        <w:pStyle w:val="23"/>
        <w:rPr>
          <w:rFonts w:hAnsi="仿宋"/>
          <w:color w:val="auto"/>
          <w:sz w:val="32"/>
          <w:szCs w:val="32"/>
        </w:rPr>
      </w:pPr>
      <w:r>
        <w:rPr>
          <w:rFonts w:hint="eastAsia" w:hAnsi="仿宋"/>
          <w:color w:val="auto"/>
          <w:sz w:val="32"/>
          <w:szCs w:val="32"/>
        </w:rPr>
        <w:t xml:space="preserve">   </w:t>
      </w:r>
      <w:r>
        <w:rPr>
          <w:rFonts w:hint="eastAsia" w:hAnsi="仿宋"/>
          <w:color w:val="auto"/>
          <w:sz w:val="32"/>
          <w:szCs w:val="32"/>
        </w:rPr>
        <w:drawing>
          <wp:inline distT="0" distB="0" distL="114300" distR="114300">
            <wp:extent cx="4741545" cy="2798445"/>
            <wp:effectExtent l="4445" t="4445" r="8890" b="1651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960" w:firstLineChars="3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32" w:name="_Toc15377212"/>
      <w:r>
        <w:rPr>
          <w:rFonts w:hint="eastAsia" w:ascii="仿宋" w:hAnsi="仿宋" w:eastAsia="仿宋"/>
          <w:b/>
          <w:sz w:val="32"/>
          <w:szCs w:val="32"/>
        </w:rPr>
        <w:t>（三）一般公共预算财政拨款支出决算具体情况</w:t>
      </w:r>
      <w:bookmarkEnd w:id="32"/>
    </w:p>
    <w:p>
      <w:pPr>
        <w:spacing w:line="600" w:lineRule="exact"/>
        <w:ind w:firstLine="643" w:firstLineChars="200"/>
        <w:outlineLvl w:val="2"/>
        <w:rPr>
          <w:rFonts w:ascii="仿宋" w:hAnsi="仿宋" w:eastAsia="仿宋"/>
          <w:b/>
          <w:sz w:val="32"/>
          <w:szCs w:val="32"/>
        </w:rPr>
      </w:pPr>
      <w:bookmarkStart w:id="33" w:name="_Toc15378460"/>
      <w:bookmarkStart w:id="34" w:name="_Toc15377213"/>
      <w:bookmarkStart w:id="35" w:name="_Toc15377444"/>
      <w:r>
        <w:rPr>
          <w:rFonts w:hint="eastAsia" w:ascii="仿宋" w:hAnsi="仿宋" w:eastAsia="仿宋"/>
          <w:b/>
          <w:sz w:val="32"/>
          <w:szCs w:val="32"/>
        </w:rPr>
        <w:t>2021年一般公共预算支出决算数为199.04万元</w:t>
      </w:r>
      <w:r>
        <w:rPr>
          <w:rFonts w:hint="eastAsia" w:ascii="仿宋" w:hAnsi="仿宋" w:eastAsia="仿宋"/>
          <w:sz w:val="32"/>
          <w:szCs w:val="32"/>
        </w:rPr>
        <w:t>，</w:t>
      </w:r>
      <w:r>
        <w:rPr>
          <w:rStyle w:val="15"/>
          <w:rFonts w:hint="eastAsia" w:ascii="仿宋" w:hAnsi="仿宋" w:eastAsia="仿宋"/>
          <w:bCs/>
          <w:sz w:val="32"/>
          <w:szCs w:val="32"/>
        </w:rPr>
        <w:t>完成预算98.83</w:t>
      </w:r>
      <w:r>
        <w:rPr>
          <w:rStyle w:val="15"/>
          <w:rFonts w:ascii="仿宋" w:hAnsi="仿宋" w:eastAsia="仿宋"/>
          <w:bCs/>
          <w:sz w:val="32"/>
          <w:szCs w:val="32"/>
        </w:rPr>
        <w:t>%</w:t>
      </w:r>
      <w:r>
        <w:rPr>
          <w:rStyle w:val="15"/>
          <w:rFonts w:hint="eastAsia" w:ascii="仿宋" w:hAnsi="仿宋" w:eastAsia="仿宋"/>
          <w:bCs/>
          <w:sz w:val="32"/>
          <w:szCs w:val="32"/>
        </w:rPr>
        <w:t>。其中：</w:t>
      </w:r>
      <w:bookmarkEnd w:id="33"/>
      <w:bookmarkEnd w:id="34"/>
      <w:bookmarkEnd w:id="35"/>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1</w:t>
      </w:r>
      <w:r>
        <w:rPr>
          <w:rStyle w:val="15"/>
          <w:rFonts w:ascii="仿宋" w:hAnsi="仿宋" w:eastAsia="仿宋"/>
          <w:bCs/>
          <w:sz w:val="32"/>
          <w:szCs w:val="32"/>
        </w:rPr>
        <w:t>.</w:t>
      </w:r>
      <w:r>
        <w:rPr>
          <w:rFonts w:hint="eastAsia" w:ascii="仿宋_GB2312" w:hAnsi="仿宋_GB2312" w:eastAsia="仿宋_GB2312" w:cs="仿宋_GB2312"/>
          <w:b/>
          <w:bCs/>
          <w:color w:val="000000"/>
          <w:sz w:val="32"/>
          <w:szCs w:val="32"/>
        </w:rPr>
        <w:t>社会保障和就业（类）行政事业单位离退休（款）机关事业单位基本养老保险缴费支出（项）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支出决算为15.74万元，完成预算100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hAnsi="仿宋_GB2312" w:eastAsia="仿宋_GB2312" w:cs="仿宋_GB2312"/>
          <w:sz w:val="32"/>
          <w:szCs w:val="32"/>
        </w:rPr>
        <w:t>决算数与预算数基本持平</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2</w:t>
      </w:r>
      <w:r>
        <w:rPr>
          <w:rStyle w:val="15"/>
          <w:rFonts w:ascii="仿宋" w:hAnsi="仿宋" w:eastAsia="仿宋"/>
          <w:bCs/>
          <w:sz w:val="32"/>
          <w:szCs w:val="32"/>
        </w:rPr>
        <w:t>.</w:t>
      </w:r>
      <w:r>
        <w:rPr>
          <w:rFonts w:hint="eastAsia" w:ascii="仿宋_GB2312" w:hAnsi="仿宋_GB2312" w:eastAsia="仿宋_GB2312" w:cs="仿宋_GB2312"/>
          <w:b/>
          <w:bCs/>
          <w:color w:val="000000"/>
          <w:sz w:val="32"/>
          <w:szCs w:val="32"/>
        </w:rPr>
        <w:t>卫生健康（类）行政事业单位医疗（款）事业单位医疗（项）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支出决算为7.87万元，完成预算100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hAnsi="仿宋_GB2312" w:eastAsia="仿宋_GB2312" w:cs="仿宋_GB2312"/>
          <w:sz w:val="32"/>
          <w:szCs w:val="32"/>
        </w:rPr>
        <w:t>决算数与预算数持平</w:t>
      </w:r>
      <w:r>
        <w:rPr>
          <w:rStyle w:val="15"/>
          <w:rFonts w:hint="eastAsia" w:ascii="仿宋" w:hAnsi="仿宋" w:eastAsia="仿宋"/>
          <w:b w:val="0"/>
          <w:bCs/>
          <w:sz w:val="32"/>
          <w:szCs w:val="32"/>
        </w:rPr>
        <w:t>。</w:t>
      </w:r>
    </w:p>
    <w:p>
      <w:pPr>
        <w:widowControl/>
        <w:spacing w:line="546" w:lineRule="exact"/>
        <w:ind w:firstLine="640" w:firstLineChars="200"/>
        <w:jc w:val="left"/>
        <w:rPr>
          <w:rFonts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b/>
          <w:bCs/>
          <w:color w:val="000000"/>
          <w:sz w:val="32"/>
          <w:szCs w:val="32"/>
        </w:rPr>
        <w:t>3.自然资源海洋气象等支出（类）自然资源事务（款）自然资源利用与保护(项）：</w:t>
      </w:r>
      <w:r>
        <w:rPr>
          <w:rFonts w:hint="eastAsia" w:ascii="仿宋_GB2312" w:hAnsi="仿宋_GB2312" w:eastAsia="仿宋_GB2312" w:cs="仿宋_GB2312"/>
          <w:color w:val="000000"/>
          <w:sz w:val="32"/>
          <w:szCs w:val="32"/>
        </w:rPr>
        <w:t>支出决算为158.63万元，</w:t>
      </w:r>
      <w:r>
        <w:rPr>
          <w:rFonts w:hint="eastAsia" w:ascii="仿宋_GB2312" w:hAnsi="仿宋_GB2312" w:eastAsia="仿宋_GB2312" w:cs="仿宋_GB2312"/>
          <w:sz w:val="32"/>
          <w:szCs w:val="32"/>
        </w:rPr>
        <w:t>完成预算98.6%，决算数小于预算数主要原因是严格控制经费，压缩各项开支。</w:t>
      </w:r>
    </w:p>
    <w:p>
      <w:pPr>
        <w:widowControl/>
        <w:spacing w:line="546" w:lineRule="exact"/>
        <w:ind w:firstLine="420" w:firstLineChars="200"/>
        <w:jc w:val="left"/>
        <w:rPr>
          <w:rFonts w:ascii="仿宋_GB2312" w:hAnsi="仿宋_GB2312" w:eastAsia="仿宋_GB2312" w:cs="仿宋_GB2312"/>
          <w:color w:val="000000"/>
          <w:sz w:val="32"/>
          <w:szCs w:val="32"/>
        </w:rPr>
      </w:pPr>
      <w:r>
        <w:rPr>
          <w:rFonts w:hint="eastAsia" w:eastAsia="仿宋_GB2312"/>
        </w:rPr>
        <w:t xml:space="preserve">   </w:t>
      </w:r>
      <w:r>
        <w:rPr>
          <w:rFonts w:hint="eastAsia" w:ascii="仿宋_GB2312" w:hAnsi="仿宋_GB2312" w:eastAsia="仿宋_GB2312" w:cs="仿宋_GB2312"/>
          <w:b/>
          <w:bCs/>
          <w:color w:val="000000"/>
          <w:sz w:val="32"/>
          <w:szCs w:val="32"/>
        </w:rPr>
        <w:t xml:space="preserve"> 4.住房保障（类）住房改革（款）住房公积金（项）:</w:t>
      </w:r>
      <w:r>
        <w:rPr>
          <w:rFonts w:hint="eastAsia" w:ascii="仿宋_GB2312" w:hAnsi="仿宋_GB2312" w:eastAsia="仿宋_GB2312" w:cs="仿宋_GB2312"/>
          <w:color w:val="000000"/>
          <w:sz w:val="32"/>
          <w:szCs w:val="32"/>
        </w:rPr>
        <w:t>支出决算为16.8万元，完成预算100%，决算数与预算数基本持平。</w:t>
      </w:r>
    </w:p>
    <w:p>
      <w:pPr>
        <w:tabs>
          <w:tab w:val="right" w:pos="8306"/>
        </w:tabs>
        <w:spacing w:line="600" w:lineRule="exact"/>
        <w:ind w:firstLine="640"/>
        <w:outlineLvl w:val="1"/>
        <w:rPr>
          <w:rStyle w:val="26"/>
        </w:rPr>
      </w:pPr>
      <w:bookmarkStart w:id="36" w:name="_Toc15396608"/>
      <w:bookmarkStart w:id="37"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6"/>
      <w:bookmarkEnd w:id="37"/>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21年一般公共预算财政拨款基本支出199.04万元，其中：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人员经费179.22万元，主要包括：基本工资、津贴补贴、绩效工资、机关事业单位基本养老保险缴费、职工基本医疗</w:t>
      </w:r>
      <w:r>
        <w:rPr>
          <w:rFonts w:ascii="仿宋" w:hAnsi="仿宋" w:eastAsia="仿宋"/>
          <w:sz w:val="32"/>
          <w:szCs w:val="32"/>
        </w:rPr>
        <w:t>保险缴费、</w:t>
      </w:r>
      <w:r>
        <w:rPr>
          <w:rFonts w:hint="eastAsia" w:ascii="仿宋" w:hAnsi="仿宋" w:eastAsia="仿宋"/>
          <w:sz w:val="32"/>
          <w:szCs w:val="32"/>
        </w:rPr>
        <w:t>其他社会保障缴费、其他工资福利支出、奖励金、住房公积金、其他个人和家庭的补助支出等。</w:t>
      </w:r>
    </w:p>
    <w:p>
      <w:pPr>
        <w:spacing w:line="600" w:lineRule="exact"/>
        <w:ind w:firstLine="645"/>
        <w:rPr>
          <w:rFonts w:ascii="仿宋" w:hAnsi="仿宋" w:eastAsia="仿宋"/>
          <w:b/>
          <w:sz w:val="32"/>
          <w:szCs w:val="32"/>
        </w:rPr>
      </w:pPr>
      <w:r>
        <w:rPr>
          <w:rFonts w:hint="eastAsia" w:ascii="仿宋" w:hAnsi="仿宋" w:eastAsia="仿宋"/>
          <w:sz w:val="32"/>
          <w:szCs w:val="32"/>
        </w:rPr>
        <w:t>公用经费19.82万元，主要包括：办公费、印刷费、咨询费、手续费、电费、邮电费、物业管理费、差旅费、租赁费、会议费、公务接待费、劳务费、工会经费、福利费、公务用车运行维护费、其他交通费、其他商品和服务支出等。</w:t>
      </w:r>
    </w:p>
    <w:p>
      <w:pPr>
        <w:spacing w:line="600" w:lineRule="exact"/>
        <w:ind w:firstLine="640"/>
        <w:outlineLvl w:val="1"/>
        <w:rPr>
          <w:rStyle w:val="26"/>
          <w:rFonts w:ascii="黑体" w:hAnsi="黑体" w:eastAsia="黑体"/>
          <w:b w:val="0"/>
        </w:rPr>
      </w:pPr>
      <w:bookmarkStart w:id="38" w:name="_Toc15377215"/>
      <w:bookmarkStart w:id="39"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8"/>
      <w:bookmarkEnd w:id="39"/>
    </w:p>
    <w:p>
      <w:pPr>
        <w:spacing w:line="600" w:lineRule="exact"/>
        <w:ind w:firstLine="640"/>
        <w:outlineLvl w:val="2"/>
        <w:rPr>
          <w:rFonts w:ascii="仿宋" w:hAnsi="仿宋" w:eastAsia="仿宋"/>
          <w:b/>
          <w:sz w:val="32"/>
          <w:szCs w:val="32"/>
        </w:rPr>
      </w:pPr>
      <w:bookmarkStart w:id="40" w:name="_Toc15377216"/>
      <w:r>
        <w:rPr>
          <w:rFonts w:hint="eastAsia" w:ascii="仿宋" w:hAnsi="仿宋" w:eastAsia="仿宋"/>
          <w:b/>
          <w:sz w:val="32"/>
          <w:szCs w:val="32"/>
        </w:rPr>
        <w:t>（一）“三公”经费财政拨款支出决算总体情况说明</w:t>
      </w:r>
      <w:bookmarkEnd w:id="4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21年“三公”经费财政拨款支出决算为2.3万元，完成预算59.74</w:t>
      </w:r>
      <w:r>
        <w:rPr>
          <w:rFonts w:ascii="仿宋" w:hAnsi="仿宋" w:eastAsia="仿宋"/>
          <w:sz w:val="32"/>
          <w:szCs w:val="32"/>
        </w:rPr>
        <w:t>%</w:t>
      </w:r>
      <w:r>
        <w:rPr>
          <w:rFonts w:hint="eastAsia" w:ascii="仿宋" w:hAnsi="仿宋" w:eastAsia="仿宋"/>
          <w:sz w:val="32"/>
          <w:szCs w:val="32"/>
        </w:rPr>
        <w:t>，决算数小于预算数的主要原因是</w:t>
      </w:r>
      <w:r>
        <w:rPr>
          <w:rFonts w:hint="eastAsia" w:ascii="仿宋_GB2312" w:hAnsi="仿宋_GB2312" w:eastAsia="仿宋_GB2312" w:cs="仿宋_GB2312"/>
          <w:sz w:val="32"/>
          <w:szCs w:val="32"/>
        </w:rPr>
        <w:t>严格控制经费，压缩各项开支。</w:t>
      </w:r>
    </w:p>
    <w:p>
      <w:pPr>
        <w:spacing w:line="600" w:lineRule="exact"/>
        <w:ind w:firstLine="640"/>
        <w:outlineLvl w:val="2"/>
        <w:rPr>
          <w:rFonts w:ascii="仿宋" w:hAnsi="仿宋" w:eastAsia="仿宋"/>
          <w:b/>
          <w:sz w:val="32"/>
          <w:szCs w:val="32"/>
        </w:rPr>
      </w:pPr>
      <w:bookmarkStart w:id="41" w:name="_Toc15377217"/>
      <w:r>
        <w:rPr>
          <w:rFonts w:hint="eastAsia" w:ascii="仿宋" w:hAnsi="仿宋" w:eastAsia="仿宋"/>
          <w:b/>
          <w:sz w:val="32"/>
          <w:szCs w:val="32"/>
        </w:rPr>
        <w:t>（二）“三公”经费财政拨款支出决算具体情况说明</w:t>
      </w:r>
      <w:bookmarkEnd w:id="4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21年“三公”经费财政拨款支出决算中，因公出国（境）费支出决算0万元，年初未安排预算；公务用车购置及运行维护费支出决算1.79万元，占78</w:t>
      </w:r>
      <w:r>
        <w:rPr>
          <w:rFonts w:ascii="仿宋" w:hAnsi="仿宋" w:eastAsia="仿宋"/>
          <w:sz w:val="32"/>
          <w:szCs w:val="32"/>
        </w:rPr>
        <w:t>%</w:t>
      </w:r>
      <w:r>
        <w:rPr>
          <w:rFonts w:hint="eastAsia" w:ascii="仿宋" w:hAnsi="仿宋" w:eastAsia="仿宋"/>
          <w:sz w:val="32"/>
          <w:szCs w:val="32"/>
        </w:rPr>
        <w:t>；公务接待费支出决算0.52万元，占22</w:t>
      </w:r>
      <w:r>
        <w:rPr>
          <w:rFonts w:ascii="仿宋" w:hAnsi="仿宋" w:eastAsia="仿宋"/>
          <w:sz w:val="32"/>
          <w:szCs w:val="32"/>
        </w:rPr>
        <w:t>%</w:t>
      </w:r>
      <w:r>
        <w:rPr>
          <w:rFonts w:hint="eastAsia" w:ascii="仿宋" w:hAnsi="仿宋" w:eastAsia="仿宋"/>
          <w:sz w:val="32"/>
          <w:szCs w:val="32"/>
        </w:rPr>
        <w:t>。具体情况如下：</w:t>
      </w:r>
    </w:p>
    <w:p>
      <w:pPr>
        <w:pStyle w:val="23"/>
        <w:rPr>
          <w:rFonts w:hAnsi="仿宋"/>
          <w:color w:val="auto"/>
          <w:sz w:val="32"/>
          <w:szCs w:val="32"/>
        </w:rPr>
      </w:pPr>
      <w:r>
        <w:rPr>
          <w:rFonts w:hint="eastAsia" w:hAnsi="仿宋"/>
          <w:color w:val="auto"/>
          <w:sz w:val="32"/>
          <w:szCs w:val="32"/>
        </w:rPr>
        <w:t xml:space="preserve">    </w:t>
      </w:r>
      <w:r>
        <w:rPr>
          <w:rFonts w:hint="eastAsia" w:hAnsi="仿宋"/>
          <w:color w:val="auto"/>
          <w:sz w:val="32"/>
          <w:szCs w:val="32"/>
        </w:rPr>
        <w:drawing>
          <wp:inline distT="0" distB="0" distL="114300" distR="114300">
            <wp:extent cx="4636770" cy="2771775"/>
            <wp:effectExtent l="4445" t="4445" r="6985" b="1270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1600" w:firstLineChars="500"/>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因公出国（境）经费支出0</w:t>
      </w:r>
      <w:r>
        <w:rPr>
          <w:rFonts w:hint="eastAsia" w:ascii="仿宋_GB2312" w:eastAsia="仿宋_GB2312"/>
          <w:sz w:val="32"/>
          <w:szCs w:val="32"/>
        </w:rPr>
        <w:t>万元，</w:t>
      </w:r>
      <w:r>
        <w:rPr>
          <w:rStyle w:val="15"/>
          <w:rFonts w:hint="eastAsia" w:ascii="仿宋" w:hAnsi="仿宋" w:eastAsia="仿宋"/>
          <w:b w:val="0"/>
          <w:bCs/>
          <w:sz w:val="32"/>
          <w:szCs w:val="32"/>
        </w:rPr>
        <w:t>年初未安排预算</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1.79万元,</w:t>
      </w:r>
      <w:r>
        <w:rPr>
          <w:rStyle w:val="15"/>
          <w:rFonts w:hint="eastAsia" w:ascii="仿宋" w:hAnsi="仿宋" w:eastAsia="仿宋"/>
          <w:b w:val="0"/>
          <w:bCs/>
          <w:sz w:val="32"/>
          <w:szCs w:val="32"/>
        </w:rPr>
        <w:t>完成预算94.21</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20年减少7.72万元，减少81.17</w:t>
      </w:r>
      <w:r>
        <w:rPr>
          <w:rFonts w:ascii="仿宋_GB2312" w:eastAsia="仿宋_GB2312"/>
          <w:sz w:val="32"/>
          <w:szCs w:val="32"/>
        </w:rPr>
        <w:t>%</w:t>
      </w:r>
      <w:r>
        <w:rPr>
          <w:rFonts w:hint="eastAsia" w:ascii="仿宋_GB2312" w:eastAsia="仿宋_GB2312"/>
          <w:sz w:val="32"/>
          <w:szCs w:val="32"/>
        </w:rPr>
        <w:t>。主要原因是项目资金支出减少，压减经费。</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月底，单位共有公务用车1辆，其中：越野车1辆。</w:t>
      </w:r>
    </w:p>
    <w:p>
      <w:pPr>
        <w:widowControl/>
        <w:spacing w:line="546" w:lineRule="exact"/>
        <w:ind w:firstLine="643" w:firstLineChars="200"/>
        <w:jc w:val="left"/>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1.79万元。主要用于全市</w:t>
      </w:r>
      <w:r>
        <w:rPr>
          <w:rFonts w:hint="eastAsia" w:ascii="仿宋_GB2312" w:hAnsi="仿宋_GB2312" w:eastAsia="仿宋_GB2312" w:cs="仿宋_GB2312"/>
          <w:color w:val="000000"/>
          <w:sz w:val="32"/>
          <w:szCs w:val="32"/>
        </w:rPr>
        <w:t>开展国土整治相关工作</w:t>
      </w:r>
      <w:r>
        <w:rPr>
          <w:rFonts w:hint="eastAsia" w:ascii="仿宋_GB2312" w:eastAsia="仿宋_GB2312"/>
          <w:sz w:val="32"/>
          <w:szCs w:val="32"/>
        </w:rPr>
        <w:t>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0.52万元，</w:t>
      </w:r>
      <w:r>
        <w:rPr>
          <w:rStyle w:val="15"/>
          <w:rFonts w:hint="eastAsia" w:ascii="仿宋" w:hAnsi="仿宋" w:eastAsia="仿宋"/>
          <w:b w:val="0"/>
          <w:bCs/>
          <w:sz w:val="32"/>
          <w:szCs w:val="32"/>
        </w:rPr>
        <w:t>完成预算26.67</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20年减少0.44万元，下降45.83</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_GB2312" w:eastAsia="仿宋_GB2312" w:cs="仿宋_GB2312"/>
          <w:sz w:val="32"/>
          <w:szCs w:val="32"/>
        </w:rPr>
        <w:t>严格控制经费，按照厉行节约的原则压缩各项开支</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0.52</w:t>
      </w:r>
      <w:r>
        <w:rPr>
          <w:rFonts w:hint="eastAsia" w:ascii="仿宋_GB2312" w:eastAsia="仿宋_GB2312"/>
          <w:sz w:val="32"/>
          <w:szCs w:val="32"/>
        </w:rPr>
        <w:t>万元，主要用于</w:t>
      </w:r>
      <w:r>
        <w:rPr>
          <w:rFonts w:hint="eastAsia" w:ascii="仿宋_GB2312" w:hAnsi="仿宋_GB2312" w:eastAsia="仿宋_GB2312" w:cs="仿宋_GB2312"/>
          <w:color w:val="000000"/>
          <w:sz w:val="32"/>
          <w:szCs w:val="32"/>
        </w:rPr>
        <w:t>执行公务、开展业务活动开支的用餐费等</w:t>
      </w:r>
      <w:r>
        <w:rPr>
          <w:rFonts w:hint="eastAsia" w:ascii="仿宋_GB2312" w:eastAsia="仿宋_GB2312"/>
          <w:sz w:val="32"/>
          <w:szCs w:val="32"/>
        </w:rPr>
        <w:t>。国内公务接待9批次，58人次（不包括陪同人员），共计支出0.52万元，具体内容包括：其中接待县区对接国土整治项目规划设计、立项事宜等接待费0.3万元；召开全市土地整治项目推进会、项目耕地保护突出问题自查整改调度会会议费0.22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42" w:name="_Toc15377218"/>
      <w:bookmarkStart w:id="43" w:name="_Toc15396610"/>
    </w:p>
    <w:p>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42"/>
      <w:bookmarkEnd w:id="43"/>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r>
        <w:rPr>
          <w:rFonts w:hint="eastAsia" w:ascii="仿宋" w:hAnsi="仿宋" w:eastAsia="仿宋" w:cs="仿宋"/>
          <w:sz w:val="32"/>
          <w:szCs w:val="32"/>
        </w:rPr>
        <w:t>未在政府性基金预算拨款安排“三公经费”支出。</w:t>
      </w:r>
    </w:p>
    <w:p>
      <w:pPr>
        <w:numPr>
          <w:ilvl w:val="0"/>
          <w:numId w:val="2"/>
        </w:numPr>
        <w:spacing w:line="600" w:lineRule="exact"/>
        <w:ind w:firstLine="640"/>
        <w:outlineLvl w:val="1"/>
        <w:rPr>
          <w:rStyle w:val="26"/>
          <w:rFonts w:ascii="黑体" w:hAnsi="黑体" w:eastAsia="黑体"/>
          <w:b w:val="0"/>
        </w:rPr>
      </w:pPr>
      <w:bookmarkStart w:id="44" w:name="_Toc15396611"/>
      <w:bookmarkStart w:id="45" w:name="_Toc15377219"/>
      <w:r>
        <w:rPr>
          <w:rStyle w:val="26"/>
          <w:rFonts w:hint="eastAsia" w:ascii="黑体" w:hAnsi="黑体" w:eastAsia="黑体"/>
          <w:b w:val="0"/>
        </w:rPr>
        <w:t>国有资本经营预算支出决算情况说明</w:t>
      </w:r>
      <w:bookmarkEnd w:id="44"/>
      <w:bookmarkEnd w:id="45"/>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2"/>
        </w:numPr>
        <w:spacing w:line="600" w:lineRule="exact"/>
        <w:ind w:firstLine="640"/>
        <w:outlineLvl w:val="1"/>
        <w:rPr>
          <w:rStyle w:val="26"/>
          <w:rFonts w:ascii="黑体" w:hAnsi="黑体" w:eastAsia="黑体"/>
          <w:b w:val="0"/>
        </w:rPr>
      </w:pPr>
      <w:bookmarkStart w:id="46" w:name="_Toc15377221"/>
      <w:bookmarkStart w:id="47" w:name="_Toc15396612"/>
      <w:r>
        <w:rPr>
          <w:rStyle w:val="26"/>
          <w:rFonts w:hint="eastAsia" w:ascii="黑体" w:hAnsi="黑体" w:eastAsia="黑体"/>
          <w:b w:val="0"/>
        </w:rPr>
        <w:t>预算绩效管理情况</w:t>
      </w:r>
    </w:p>
    <w:p>
      <w:pPr>
        <w:spacing w:line="580" w:lineRule="exact"/>
        <w:ind w:firstLine="640" w:firstLineChars="200"/>
      </w:pPr>
      <w:r>
        <w:rPr>
          <w:rFonts w:hint="eastAsia" w:ascii="仿宋_GB2312" w:hAnsi="仿宋_GB2312" w:eastAsia="仿宋_GB2312" w:cs="仿宋_GB2312"/>
          <w:sz w:val="32"/>
          <w:szCs w:val="32"/>
        </w:rPr>
        <w:t>根据预算绩效管理要求，本单位在2021年度预算编制阶段，组织对0个项目开展了预算事前绩效评估，对0个项目编制了绩效目标，预算执行过程中，选取0个项目开展绩效监控，年终执行完毕后，对0个项目开展了绩效自评。广元市国土整治中心</w:t>
      </w:r>
      <w:r>
        <w:rPr>
          <w:rFonts w:hint="eastAsia" w:ascii="仿宋_GB2312" w:hAnsi="仿宋_GB2312" w:eastAsia="仿宋_GB2312" w:cs="仿宋_GB2312"/>
          <w:color w:val="000000"/>
          <w:sz w:val="32"/>
          <w:szCs w:val="32"/>
        </w:rPr>
        <w:t>按要求对2021年部门整体支出绩效评价情况开展了自评，《</w:t>
      </w:r>
      <w:r>
        <w:rPr>
          <w:rFonts w:hint="eastAsia" w:ascii="仿宋_GB2312" w:hAnsi="仿宋_GB2312" w:eastAsia="仿宋_GB2312" w:cs="仿宋_GB2312"/>
          <w:sz w:val="32"/>
          <w:szCs w:val="32"/>
        </w:rPr>
        <w:t>广元市国土整治中心</w:t>
      </w:r>
      <w:r>
        <w:rPr>
          <w:rFonts w:hint="eastAsia" w:ascii="仿宋_GB2312" w:hAnsi="仿宋_GB2312" w:eastAsia="仿宋_GB2312" w:cs="仿宋_GB2312"/>
          <w:color w:val="000000"/>
          <w:sz w:val="32"/>
          <w:szCs w:val="32"/>
        </w:rPr>
        <w:t>2021年部门整体支出绩效评价自评报告》</w:t>
      </w:r>
      <w:r>
        <w:rPr>
          <w:rFonts w:hint="eastAsia" w:ascii="仿宋_GB2312" w:hAnsi="仿宋_GB2312" w:eastAsia="仿宋_GB2312" w:cs="仿宋_GB2312"/>
          <w:sz w:val="32"/>
          <w:szCs w:val="32"/>
        </w:rPr>
        <w:t>见附件（第四部分）。</w:t>
      </w:r>
    </w:p>
    <w:p>
      <w:pPr>
        <w:numPr>
          <w:ilvl w:val="0"/>
          <w:numId w:val="2"/>
        </w:numPr>
        <w:spacing w:line="600" w:lineRule="exact"/>
        <w:ind w:firstLine="640"/>
        <w:outlineLvl w:val="1"/>
        <w:rPr>
          <w:rStyle w:val="26"/>
          <w:rFonts w:ascii="黑体" w:hAnsi="黑体" w:eastAsia="黑体"/>
          <w:b w:val="0"/>
        </w:rPr>
      </w:pPr>
      <w:r>
        <w:rPr>
          <w:rStyle w:val="26"/>
          <w:rFonts w:hint="eastAsia" w:ascii="黑体" w:hAnsi="黑体" w:eastAsia="黑体"/>
          <w:b w:val="0"/>
        </w:rPr>
        <w:t>其他重要事项的情况说明</w:t>
      </w:r>
      <w:bookmarkEnd w:id="46"/>
      <w:bookmarkEnd w:id="47"/>
    </w:p>
    <w:p>
      <w:pPr>
        <w:spacing w:line="600" w:lineRule="exact"/>
        <w:ind w:firstLine="643" w:firstLineChars="200"/>
        <w:outlineLvl w:val="2"/>
        <w:rPr>
          <w:rFonts w:ascii="仿宋" w:hAnsi="仿宋" w:eastAsia="仿宋"/>
          <w:sz w:val="32"/>
          <w:szCs w:val="32"/>
        </w:rPr>
      </w:pPr>
      <w:bookmarkStart w:id="48" w:name="_Toc15377222"/>
      <w:r>
        <w:rPr>
          <w:rFonts w:hint="eastAsia" w:ascii="仿宋" w:hAnsi="仿宋" w:eastAsia="仿宋"/>
          <w:b/>
          <w:sz w:val="32"/>
          <w:szCs w:val="32"/>
        </w:rPr>
        <w:t>（一）机关运行经费支出情况</w:t>
      </w:r>
      <w:bookmarkEnd w:id="48"/>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hAnsi="仿宋_GB2312" w:eastAsia="仿宋_GB2312" w:cs="仿宋_GB2312"/>
          <w:sz w:val="32"/>
          <w:szCs w:val="32"/>
        </w:rPr>
        <w:t>广元市国土整治中心</w:t>
      </w:r>
      <w:r>
        <w:rPr>
          <w:rFonts w:hint="eastAsia" w:ascii="仿宋_GB2312" w:eastAsia="仿宋_GB2312"/>
          <w:sz w:val="32"/>
          <w:szCs w:val="32"/>
        </w:rPr>
        <w:t>未发生机关运行经费，</w:t>
      </w:r>
      <w:r>
        <w:rPr>
          <w:rFonts w:hint="eastAsia" w:ascii="仿宋_GB2312" w:hAnsi="仿宋_GB2312" w:eastAsia="仿宋_GB2312" w:cs="仿宋_GB2312"/>
          <w:sz w:val="32"/>
          <w:szCs w:val="32"/>
        </w:rPr>
        <w:t>与2020年无变化，年初未安排预算。</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9" w:name="_Toc15377223"/>
      <w:r>
        <w:rPr>
          <w:rFonts w:hint="eastAsia" w:ascii="仿宋" w:hAnsi="仿宋" w:eastAsia="仿宋"/>
          <w:b/>
          <w:sz w:val="32"/>
          <w:szCs w:val="32"/>
        </w:rPr>
        <w:t>（二）政府采购支出情况</w:t>
      </w:r>
      <w:bookmarkEnd w:id="49"/>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hAnsi="仿宋_GB2312" w:eastAsia="仿宋_GB2312" w:cs="仿宋_GB2312"/>
          <w:sz w:val="32"/>
          <w:szCs w:val="32"/>
        </w:rPr>
        <w:t>广元市国土整治中心</w:t>
      </w:r>
      <w:r>
        <w:rPr>
          <w:rFonts w:hint="eastAsia" w:ascii="仿宋_GB2312" w:eastAsia="仿宋_GB2312"/>
          <w:sz w:val="32"/>
          <w:szCs w:val="32"/>
        </w:rPr>
        <w:t>政府采购支出总额0万元，年初未安排预算。</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0" w:name="_Toc15377224"/>
      <w:r>
        <w:rPr>
          <w:rFonts w:hint="eastAsia" w:ascii="仿宋" w:hAnsi="仿宋" w:eastAsia="仿宋"/>
          <w:b/>
          <w:sz w:val="32"/>
          <w:szCs w:val="32"/>
        </w:rPr>
        <w:t>（三）国有资产占有使用情况</w:t>
      </w:r>
      <w:bookmarkEnd w:id="50"/>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hAnsi="仿宋_GB2312" w:eastAsia="仿宋_GB2312" w:cs="仿宋_GB2312"/>
          <w:sz w:val="32"/>
          <w:szCs w:val="32"/>
        </w:rPr>
        <w:t>广元市国土整治中心</w:t>
      </w:r>
      <w:r>
        <w:rPr>
          <w:rFonts w:hint="eastAsia" w:ascii="仿宋_GB2312" w:eastAsia="仿宋_GB2312"/>
          <w:sz w:val="32"/>
          <w:szCs w:val="32"/>
        </w:rPr>
        <w:t>共有车辆1辆，其中：主要领导干部用0辆、机要通信用车0辆、应急保障用车0辆、其他用车1辆，其他用车主要是用于</w:t>
      </w:r>
      <w:r>
        <w:rPr>
          <w:rFonts w:hint="eastAsia" w:ascii="仿宋_GB2312" w:hAnsi="仿宋_GB2312" w:eastAsia="仿宋_GB2312" w:cs="仿宋_GB2312"/>
          <w:color w:val="000000"/>
          <w:sz w:val="32"/>
          <w:szCs w:val="32"/>
        </w:rPr>
        <w:t>一般公务、业务用车。</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pStyle w:val="5"/>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51" w:name="_Toc15396613"/>
      <w:bookmarkStart w:id="52" w:name="_Toc15377225"/>
      <w:r>
        <w:rPr>
          <w:rFonts w:hint="eastAsia" w:ascii="黑体" w:hAnsi="黑体" w:eastAsia="黑体"/>
          <w:sz w:val="44"/>
          <w:szCs w:val="44"/>
        </w:rPr>
        <w:t>名</w:t>
      </w:r>
      <w:r>
        <w:rPr>
          <w:rStyle w:val="25"/>
          <w:rFonts w:hint="eastAsia" w:ascii="黑体" w:hAnsi="黑体" w:eastAsia="黑体"/>
          <w:b w:val="0"/>
        </w:rPr>
        <w:t>词解释</w:t>
      </w:r>
      <w:bookmarkEnd w:id="51"/>
      <w:bookmarkEnd w:id="52"/>
    </w:p>
    <w:p>
      <w:pPr>
        <w:spacing w:line="600" w:lineRule="exact"/>
        <w:jc w:val="left"/>
        <w:rPr>
          <w:rFonts w:ascii="宋体"/>
          <w:b/>
          <w:sz w:val="44"/>
          <w:szCs w:val="44"/>
        </w:rPr>
      </w:pPr>
    </w:p>
    <w:p>
      <w:pPr>
        <w:pStyle w:val="23"/>
        <w:spacing w:line="580" w:lineRule="exact"/>
        <w:ind w:firstLine="640" w:firstLineChars="200"/>
        <w:rPr>
          <w:rFonts w:ascii="仿宋_GB2312" w:hAnsi="仿宋_GB2312" w:eastAsia="仿宋_GB2312" w:cs="仿宋_GB2312"/>
          <w:sz w:val="32"/>
          <w:szCs w:val="32"/>
        </w:rPr>
      </w:pPr>
      <w:bookmarkStart w:id="53" w:name="_Toc15377226"/>
      <w:r>
        <w:rPr>
          <w:rFonts w:hint="eastAsia" w:ascii="仿宋_GB2312" w:hAnsi="仿宋_GB2312" w:eastAsia="仿宋_GB2312" w:cs="仿宋_GB2312"/>
          <w:sz w:val="32"/>
          <w:szCs w:val="32"/>
        </w:rPr>
        <w:t>1.财政拨款收入：指单位从同级财政部门取得的财政预算资金。</w:t>
      </w:r>
    </w:p>
    <w:p>
      <w:pPr>
        <w:pStyle w:val="23"/>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2.其他收入：指单位取得的除上述收入以外的各项收入。主要是单位银行存款利息和财政未通过大平台拨付的项目资金。</w:t>
      </w:r>
    </w:p>
    <w:p>
      <w:pPr>
        <w:pStyle w:val="23"/>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3.年初结转和结余：指以前年度尚未完成、结转到本年按有关规定继续使用的资金。</w:t>
      </w:r>
    </w:p>
    <w:p>
      <w:pPr>
        <w:pStyle w:val="23"/>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4.年末结转和结余：指单位按有关规定结转到下年或以后年度继续使用的资金。</w:t>
      </w:r>
    </w:p>
    <w:p>
      <w:pPr>
        <w:spacing w:line="580" w:lineRule="exact"/>
        <w:ind w:firstLine="643" w:firstLineChars="200"/>
        <w:rPr>
          <w:rStyle w:val="15"/>
          <w:rFonts w:ascii="仿宋_GB2312" w:hAnsi="仿宋_GB2312" w:eastAsia="仿宋_GB2312" w:cs="仿宋_GB2312"/>
          <w:bCs/>
          <w:color w:val="000000"/>
          <w:sz w:val="32"/>
          <w:szCs w:val="32"/>
        </w:rPr>
      </w:pPr>
      <w:r>
        <w:rPr>
          <w:rStyle w:val="15"/>
          <w:rFonts w:hint="eastAsia" w:ascii="仿宋_GB2312" w:hAnsi="仿宋_GB2312" w:eastAsia="仿宋_GB2312" w:cs="仿宋_GB2312"/>
          <w:bCs/>
          <w:color w:val="000000"/>
          <w:sz w:val="32"/>
          <w:szCs w:val="32"/>
        </w:rPr>
        <w:t>5.社会保障和就业（类）行政事业单位离退休（款）机关事业单位基本养老保险缴费支出（项）:</w:t>
      </w:r>
      <w:r>
        <w:rPr>
          <w:rStyle w:val="15"/>
          <w:rFonts w:hint="eastAsia" w:ascii="仿宋_GB2312" w:hAnsi="仿宋_GB2312" w:eastAsia="仿宋_GB2312" w:cs="仿宋_GB2312"/>
          <w:b w:val="0"/>
          <w:sz w:val="32"/>
          <w:szCs w:val="32"/>
        </w:rPr>
        <w:t>指机关事业单位</w:t>
      </w:r>
      <w:r>
        <w:rPr>
          <w:rStyle w:val="15"/>
          <w:rFonts w:hint="eastAsia" w:ascii="仿宋_GB2312" w:hAnsi="仿宋_GB2312" w:eastAsia="仿宋_GB2312" w:cs="仿宋_GB2312"/>
          <w:b w:val="0"/>
          <w:color w:val="000000"/>
          <w:sz w:val="32"/>
          <w:szCs w:val="32"/>
        </w:rPr>
        <w:t>实施养老保险制度由单位缴纳的基本养老保险费支出。</w:t>
      </w:r>
    </w:p>
    <w:p>
      <w:pPr>
        <w:spacing w:line="580" w:lineRule="exact"/>
        <w:ind w:firstLine="640" w:firstLineChars="200"/>
        <w:rPr>
          <w:rStyle w:val="15"/>
          <w:rFonts w:ascii="仿宋_GB2312" w:hAnsi="仿宋_GB2312" w:eastAsia="仿宋_GB2312" w:cs="仿宋_GB2312"/>
          <w:b w:val="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卫生健康</w:t>
      </w:r>
      <w:r>
        <w:rPr>
          <w:rStyle w:val="15"/>
          <w:rFonts w:hint="eastAsia" w:ascii="仿宋_GB2312" w:hAnsi="仿宋_GB2312" w:eastAsia="仿宋_GB2312" w:cs="仿宋_GB2312"/>
          <w:bCs/>
          <w:color w:val="000000"/>
          <w:sz w:val="32"/>
          <w:szCs w:val="32"/>
        </w:rPr>
        <w:t>（类）行政事业单位医疗（款）事业单位医疗（项）</w:t>
      </w:r>
      <w:r>
        <w:rPr>
          <w:rFonts w:hint="eastAsia" w:ascii="仿宋_GB2312" w:hAnsi="仿宋_GB2312" w:eastAsia="仿宋_GB2312" w:cs="仿宋_GB2312"/>
          <w:color w:val="000000"/>
          <w:sz w:val="32"/>
          <w:szCs w:val="32"/>
        </w:rPr>
        <w:t>：</w:t>
      </w:r>
      <w:r>
        <w:rPr>
          <w:rStyle w:val="15"/>
          <w:rFonts w:hint="eastAsia" w:ascii="仿宋_GB2312" w:hAnsi="仿宋_GB2312" w:eastAsia="仿宋_GB2312" w:cs="仿宋_GB2312"/>
          <w:b w:val="0"/>
          <w:sz w:val="32"/>
          <w:szCs w:val="32"/>
        </w:rPr>
        <w:t>指</w:t>
      </w:r>
      <w:r>
        <w:rPr>
          <w:rFonts w:hint="eastAsia" w:ascii="仿宋_GB2312" w:hAnsi="仿宋_GB2312" w:eastAsia="仿宋_GB2312" w:cs="仿宋_GB2312"/>
          <w:sz w:val="32"/>
          <w:szCs w:val="32"/>
          <w:shd w:val="clear" w:color="auto" w:fill="FFFFFF"/>
        </w:rPr>
        <w:t>事业单位用于缴纳单位基本医疗保险支出。</w:t>
      </w:r>
    </w:p>
    <w:p>
      <w:pPr>
        <w:spacing w:line="580" w:lineRule="exact"/>
        <w:ind w:firstLine="640" w:firstLineChars="200"/>
        <w:rPr>
          <w:rStyle w:val="15"/>
          <w:rFonts w:ascii="仿宋_GB2312" w:hAnsi="仿宋_GB2312" w:eastAsia="仿宋_GB2312" w:cs="仿宋_GB2312"/>
          <w:b w:val="0"/>
          <w:bCs/>
          <w:color w:val="000000"/>
          <w:sz w:val="32"/>
          <w:szCs w:val="32"/>
        </w:rPr>
      </w:pPr>
      <w:r>
        <w:rPr>
          <w:rFonts w:ascii="仿宋_GB2312" w:hAnsi="仿宋_GB2312" w:eastAsia="仿宋_GB2312" w:cs="仿宋_GB2312"/>
          <w:sz w:val="32"/>
          <w:szCs w:val="32"/>
          <w:shd w:val="clear" w:color="auto" w:fill="FFFFFF"/>
        </w:rPr>
        <w:t>7</w:t>
      </w:r>
      <w:r>
        <w:rPr>
          <w:rFonts w:hint="eastAsia" w:ascii="仿宋_GB2312" w:hAnsi="仿宋_GB2312" w:eastAsia="仿宋_GB2312" w:cs="仿宋_GB2312"/>
          <w:sz w:val="32"/>
          <w:szCs w:val="32"/>
          <w:shd w:val="clear" w:color="auto" w:fill="FFFFFF"/>
        </w:rPr>
        <w:t>.</w:t>
      </w:r>
      <w:r>
        <w:rPr>
          <w:rStyle w:val="15"/>
          <w:rFonts w:hint="eastAsia" w:ascii="仿宋_GB2312" w:hAnsi="仿宋_GB2312" w:eastAsia="仿宋_GB2312" w:cs="仿宋_GB2312"/>
          <w:color w:val="000000"/>
          <w:sz w:val="32"/>
          <w:szCs w:val="32"/>
        </w:rPr>
        <w:t>自然资源海洋气象等支出（类）自然资源事务（款）自然资源利用与保护（项）</w:t>
      </w:r>
      <w:r>
        <w:rPr>
          <w:rStyle w:val="15"/>
          <w:rFonts w:hint="eastAsia" w:ascii="仿宋_GB2312" w:hAnsi="仿宋_GB2312" w:eastAsia="仿宋_GB2312" w:cs="仿宋_GB2312"/>
          <w:b w:val="0"/>
          <w:bCs/>
          <w:color w:val="000000"/>
          <w:sz w:val="32"/>
          <w:szCs w:val="32"/>
        </w:rPr>
        <w:t>：指地质环境治理和土地整治方面的支出。</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住房保障（类）住房改革支出（款）住房公积金（项）：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rPr>
        <w:t>指局机关及事业单位按行政事业单位按人力资源部和社会保障部、财政部规定的基本工资和津贴补贴以及规定比例为职工缴纳的住房公积金。</w:t>
      </w:r>
    </w:p>
    <w:p>
      <w:pPr>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基本支出</w:t>
      </w:r>
      <w:r>
        <w:rPr>
          <w:rFonts w:hint="eastAsia" w:ascii="仿宋_GB2312" w:hAnsi="仿宋_GB2312" w:eastAsia="仿宋_GB2312" w:cs="仿宋_GB2312"/>
          <w:color w:val="000000"/>
          <w:sz w:val="32"/>
          <w:szCs w:val="32"/>
        </w:rPr>
        <w:t>：指为保障机构正常运转、完成日常工作任务而发生的人员支出和公用支出。</w:t>
      </w:r>
    </w:p>
    <w:p>
      <w:pPr>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项目支出</w:t>
      </w:r>
      <w:r>
        <w:rPr>
          <w:rFonts w:hint="eastAsia" w:ascii="仿宋_GB2312" w:hAnsi="仿宋_GB2312" w:eastAsia="仿宋_GB2312" w:cs="仿宋_GB2312"/>
          <w:color w:val="000000"/>
          <w:sz w:val="32"/>
          <w:szCs w:val="32"/>
        </w:rPr>
        <w:t>：指在基本支出之外为完成特定行政任务和事业发展目标所发生的支出。</w:t>
      </w:r>
    </w:p>
    <w:p>
      <w:pPr>
        <w:pStyle w:val="23"/>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12</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r>
        <w:rPr>
          <w:rFonts w:ascii="宋体"/>
          <w:b/>
          <w:sz w:val="44"/>
          <w:szCs w:val="44"/>
        </w:rPr>
        <w:br w:type="page"/>
      </w:r>
      <w:bookmarkStart w:id="54" w:name="_Toc15396614"/>
      <w:r>
        <w:rPr>
          <w:rFonts w:hint="eastAsia" w:ascii="黑体" w:hAnsi="黑体" w:eastAsia="黑体"/>
          <w:sz w:val="44"/>
          <w:szCs w:val="44"/>
        </w:rPr>
        <w:t>第</w:t>
      </w:r>
      <w:r>
        <w:rPr>
          <w:rStyle w:val="25"/>
          <w:rFonts w:hint="eastAsia" w:ascii="黑体" w:hAnsi="黑体" w:eastAsia="黑体"/>
          <w:b w:val="0"/>
        </w:rPr>
        <w:t>四部分 附件</w:t>
      </w:r>
      <w:bookmarkEnd w:id="54"/>
    </w:p>
    <w:p>
      <w:pPr>
        <w:pStyle w:val="5"/>
        <w:spacing w:before="93"/>
        <w:rPr>
          <w:rFonts w:ascii="方正小标宋简体" w:hAnsi="方正小标宋简体" w:eastAsia="方正小标宋简体" w:cs="方正小标宋简体"/>
          <w:sz w:val="32"/>
          <w:szCs w:val="32"/>
        </w:rPr>
      </w:pPr>
      <w:r>
        <w:rPr>
          <w:rFonts w:hint="eastAsia" w:hAnsi="宋体" w:cs="宋体"/>
          <w:sz w:val="32"/>
          <w:szCs w:val="32"/>
          <w:shd w:val="clear" w:color="auto" w:fill="FFFFFF"/>
          <w:lang w:val="zh-CN"/>
        </w:rPr>
        <w:t>附件</w:t>
      </w:r>
    </w:p>
    <w:p>
      <w:pPr>
        <w:spacing w:line="580" w:lineRule="exact"/>
        <w:jc w:val="center"/>
        <w:rPr>
          <w:rFonts w:ascii="方正小标宋简体" w:hAnsi="方正小标宋简体" w:eastAsia="方正小标宋简体" w:cs="方正小标宋简体"/>
          <w:sz w:val="44"/>
          <w:szCs w:val="44"/>
        </w:rPr>
      </w:pPr>
    </w:p>
    <w:p>
      <w:pPr>
        <w:spacing w:line="560" w:lineRule="exact"/>
        <w:jc w:val="center"/>
        <w:outlineLvl w:val="0"/>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广元市国土整治中心</w:t>
      </w:r>
    </w:p>
    <w:p>
      <w:pPr>
        <w:spacing w:line="560" w:lineRule="exact"/>
        <w:jc w:val="center"/>
        <w:outlineLvl w:val="0"/>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2021年部门整体支出绩效评价自评报告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一、部门概况</w:t>
      </w:r>
    </w:p>
    <w:p>
      <w:pPr>
        <w:pStyle w:val="5"/>
        <w:adjustRightInd w:val="0"/>
        <w:snapToGrid w:val="0"/>
        <w:spacing w:before="93" w:line="580" w:lineRule="exact"/>
        <w:ind w:firstLine="672" w:firstLineChars="210"/>
        <w:outlineLvl w:val="2"/>
        <w:rPr>
          <w:rFonts w:ascii="楷体_GB2312" w:eastAsia="楷体_GB2312"/>
          <w:bCs/>
          <w:sz w:val="32"/>
          <w:szCs w:val="32"/>
        </w:rPr>
      </w:pPr>
      <w:r>
        <w:rPr>
          <w:rFonts w:hint="eastAsia" w:ascii="楷体_GB2312" w:eastAsia="楷体_GB2312"/>
          <w:sz w:val="32"/>
          <w:szCs w:val="32"/>
        </w:rPr>
        <w:t>(</w:t>
      </w:r>
      <w:r>
        <w:rPr>
          <w:rFonts w:hint="eastAsia" w:ascii="楷体_GB2312" w:eastAsia="楷体_GB2312"/>
          <w:bCs/>
          <w:sz w:val="32"/>
          <w:szCs w:val="32"/>
        </w:rPr>
        <w:t>一）基本职能</w:t>
      </w:r>
    </w:p>
    <w:p>
      <w:pPr>
        <w:widowControl/>
        <w:adjustRightInd w:val="0"/>
        <w:snapToGrid w:val="0"/>
        <w:spacing w:line="500" w:lineRule="exact"/>
        <w:ind w:firstLine="600" w:firstLineChars="200"/>
        <w:jc w:val="left"/>
        <w:rPr>
          <w:rFonts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lang w:val="zh-CN"/>
        </w:rPr>
        <w:t>负责全市土地开发项目的规划、设计、论证和立项材料的组织上报工作开展土地开发整理咨询服务和建设项目用地与预审评价工作提供土地开发整理项目面积复核和技术资料收集整理工作实施市本级使用新增建设用地有偿使用费必须完成的土地开发整理项目。</w:t>
      </w:r>
    </w:p>
    <w:p>
      <w:pPr>
        <w:numPr>
          <w:ilvl w:val="0"/>
          <w:numId w:val="4"/>
        </w:numPr>
        <w:spacing w:line="580" w:lineRule="exact"/>
        <w:ind w:firstLine="640" w:firstLineChars="200"/>
        <w:rPr>
          <w:rFonts w:ascii="楷体_GB2312" w:eastAsia="楷体_GB2312"/>
          <w:bCs/>
          <w:sz w:val="32"/>
          <w:szCs w:val="32"/>
        </w:rPr>
      </w:pPr>
      <w:r>
        <w:rPr>
          <w:rFonts w:hint="eastAsia" w:ascii="楷体_GB2312" w:eastAsia="楷体_GB2312"/>
          <w:bCs/>
          <w:sz w:val="32"/>
          <w:szCs w:val="32"/>
        </w:rPr>
        <w:t>基本情况</w:t>
      </w:r>
    </w:p>
    <w:p>
      <w:pPr>
        <w:widowControl/>
        <w:adjustRightInd w:val="0"/>
        <w:snapToGrid w:val="0"/>
        <w:spacing w:line="500" w:lineRule="exact"/>
        <w:ind w:firstLine="640" w:firstLineChars="200"/>
        <w:jc w:val="left"/>
        <w:rPr>
          <w:rFonts w:ascii="仿宋_GB2312" w:hAnsi="仿宋_GB2312" w:eastAsia="仿宋_GB2312" w:cs="仿宋_GB2312"/>
          <w:color w:val="000000"/>
          <w:kern w:val="0"/>
          <w:sz w:val="30"/>
          <w:szCs w:val="30"/>
          <w:shd w:val="clear" w:color="auto" w:fill="FFFFFF"/>
        </w:rPr>
      </w:pPr>
      <w:r>
        <w:rPr>
          <w:rFonts w:hint="eastAsia" w:ascii="楷体_GB2312" w:eastAsia="楷体_GB2312"/>
          <w:bCs/>
          <w:sz w:val="32"/>
          <w:szCs w:val="32"/>
        </w:rPr>
        <w:t xml:space="preserve">1.人员情况  </w:t>
      </w:r>
      <w:r>
        <w:rPr>
          <w:rFonts w:hint="eastAsia" w:ascii="仿宋_GB2312" w:hAnsi="仿宋_GB2312" w:eastAsia="仿宋_GB2312" w:cs="仿宋_GB2312"/>
          <w:color w:val="000000"/>
          <w:kern w:val="0"/>
          <w:sz w:val="30"/>
          <w:szCs w:val="30"/>
          <w:shd w:val="clear" w:color="auto" w:fill="FFFFFF"/>
          <w:lang w:val="zh-CN"/>
        </w:rPr>
        <w:t xml:space="preserve"> 广元市国土整治中心在职编制数</w:t>
      </w:r>
      <w:r>
        <w:rPr>
          <w:rFonts w:hint="eastAsia" w:ascii="仿宋_GB2312" w:hAnsi="仿宋_GB2312" w:eastAsia="仿宋_GB2312" w:cs="仿宋_GB2312"/>
          <w:color w:val="000000"/>
          <w:kern w:val="0"/>
          <w:sz w:val="30"/>
          <w:szCs w:val="30"/>
          <w:shd w:val="clear" w:color="auto" w:fill="FFFFFF"/>
        </w:rPr>
        <w:t>13名。年末在职人员13人。</w:t>
      </w:r>
    </w:p>
    <w:p>
      <w:pPr>
        <w:spacing w:line="576" w:lineRule="exact"/>
        <w:ind w:firstLine="600" w:firstLineChars="200"/>
        <w:rPr>
          <w:rFonts w:ascii="仿宋" w:hAnsi="仿宋" w:eastAsia="仿宋" w:cs="仿宋_GB2312"/>
          <w:b/>
          <w:bCs/>
          <w:kern w:val="0"/>
          <w:sz w:val="30"/>
          <w:szCs w:val="30"/>
        </w:rPr>
      </w:pPr>
      <w:r>
        <w:rPr>
          <w:rFonts w:hint="eastAsia" w:ascii="仿宋_GB2312" w:hAnsi="仿宋_GB2312" w:eastAsia="仿宋_GB2312" w:cs="仿宋_GB2312"/>
          <w:color w:val="000000"/>
          <w:kern w:val="0"/>
          <w:sz w:val="30"/>
          <w:szCs w:val="30"/>
          <w:shd w:val="clear" w:color="auto" w:fill="FFFFFF"/>
        </w:rPr>
        <w:t>2.</w:t>
      </w:r>
      <w:r>
        <w:rPr>
          <w:rFonts w:hint="eastAsia" w:ascii="楷体_GB2312" w:eastAsia="楷体_GB2312"/>
          <w:bCs/>
          <w:sz w:val="32"/>
          <w:szCs w:val="32"/>
        </w:rPr>
        <w:t>部门自评步骤及方法</w:t>
      </w:r>
    </w:p>
    <w:p>
      <w:pPr>
        <w:spacing w:line="576" w:lineRule="exact"/>
        <w:ind w:firstLine="600" w:firstLineChars="200"/>
        <w:rPr>
          <w:rFonts w:ascii="仿宋" w:hAnsi="仿宋" w:eastAsia="仿宋" w:cs="仿宋_GB2312"/>
          <w:kern w:val="0"/>
          <w:sz w:val="30"/>
          <w:szCs w:val="30"/>
        </w:rPr>
      </w:pPr>
      <w:r>
        <w:rPr>
          <w:rFonts w:hint="eastAsia" w:ascii="仿宋" w:hAnsi="仿宋" w:eastAsia="仿宋" w:cs="仿宋_GB2312"/>
          <w:kern w:val="0"/>
          <w:sz w:val="30"/>
          <w:szCs w:val="30"/>
        </w:rPr>
        <w:t>对照《广元市部门整体支出绩效评价指标体系》，对2021年预算编制和执行情况、财政资金收支管理情况以及项目资金管理情况逐一核实、打分。</w:t>
      </w:r>
    </w:p>
    <w:p>
      <w:pPr>
        <w:spacing w:line="576" w:lineRule="exact"/>
        <w:ind w:firstLine="600" w:firstLineChars="200"/>
        <w:rPr>
          <w:rFonts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3.部分支出绩效评价得分情况</w:t>
      </w:r>
    </w:p>
    <w:tbl>
      <w:tblPr>
        <w:tblStyle w:val="13"/>
        <w:tblW w:w="8607" w:type="dxa"/>
        <w:tblInd w:w="93" w:type="dxa"/>
        <w:tblLayout w:type="fixed"/>
        <w:tblCellMar>
          <w:top w:w="0" w:type="dxa"/>
          <w:left w:w="108" w:type="dxa"/>
          <w:bottom w:w="0" w:type="dxa"/>
          <w:right w:w="108" w:type="dxa"/>
        </w:tblCellMar>
      </w:tblPr>
      <w:tblGrid>
        <w:gridCol w:w="1260"/>
        <w:gridCol w:w="1660"/>
        <w:gridCol w:w="3642"/>
        <w:gridCol w:w="1077"/>
        <w:gridCol w:w="968"/>
      </w:tblGrid>
      <w:tr>
        <w:tblPrEx>
          <w:tblCellMar>
            <w:top w:w="0" w:type="dxa"/>
            <w:left w:w="108" w:type="dxa"/>
            <w:bottom w:w="0" w:type="dxa"/>
            <w:right w:w="108" w:type="dxa"/>
          </w:tblCellMar>
        </w:tblPrEx>
        <w:trPr>
          <w:trHeight w:val="525" w:hRule="atLeast"/>
        </w:trPr>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一级指标</w:t>
            </w:r>
          </w:p>
        </w:tc>
        <w:tc>
          <w:tcPr>
            <w:tcW w:w="166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二级指标</w:t>
            </w:r>
          </w:p>
        </w:tc>
        <w:tc>
          <w:tcPr>
            <w:tcW w:w="364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三级指标</w:t>
            </w:r>
          </w:p>
        </w:tc>
        <w:tc>
          <w:tcPr>
            <w:tcW w:w="1077" w:type="dxa"/>
            <w:tcBorders>
              <w:top w:val="single" w:color="auto" w:sz="4" w:space="0"/>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仿宋" w:hAnsi="仿宋" w:eastAsia="仿宋" w:cs="Arial"/>
                <w:bCs/>
                <w:color w:val="000000"/>
                <w:kern w:val="0"/>
                <w:sz w:val="24"/>
              </w:rPr>
              <w:t>分值</w:t>
            </w:r>
          </w:p>
        </w:tc>
        <w:tc>
          <w:tcPr>
            <w:tcW w:w="968" w:type="dxa"/>
            <w:tcBorders>
              <w:top w:val="single" w:color="auto" w:sz="4" w:space="0"/>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仿宋" w:hAnsi="仿宋" w:eastAsia="仿宋" w:cs="Arial"/>
                <w:bCs/>
                <w:color w:val="000000"/>
                <w:kern w:val="0"/>
                <w:sz w:val="24"/>
              </w:rPr>
              <w:t>得分</w:t>
            </w:r>
          </w:p>
        </w:tc>
      </w:tr>
      <w:tr>
        <w:tblPrEx>
          <w:tblCellMar>
            <w:top w:w="0" w:type="dxa"/>
            <w:left w:w="108" w:type="dxa"/>
            <w:bottom w:w="0" w:type="dxa"/>
            <w:right w:w="108" w:type="dxa"/>
          </w:tblCellMar>
        </w:tblPrEx>
        <w:trPr>
          <w:trHeight w:val="465" w:hRule="atLeast"/>
        </w:trPr>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预算编制（6分）</w:t>
            </w:r>
          </w:p>
        </w:tc>
        <w:tc>
          <w:tcPr>
            <w:tcW w:w="1660" w:type="dxa"/>
            <w:tcBorders>
              <w:top w:val="nil"/>
              <w:left w:val="nil"/>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报送时间</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报送时效</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tcBorders>
              <w:top w:val="nil"/>
              <w:left w:val="nil"/>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编制质量</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预算编制准确</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3</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3</w:t>
            </w:r>
          </w:p>
        </w:tc>
      </w:tr>
      <w:tr>
        <w:tblPrEx>
          <w:tblCellMar>
            <w:top w:w="0" w:type="dxa"/>
            <w:left w:w="108" w:type="dxa"/>
            <w:bottom w:w="0" w:type="dxa"/>
            <w:right w:w="108" w:type="dxa"/>
          </w:tblCellMar>
        </w:tblPrEx>
        <w:trPr>
          <w:trHeight w:val="465" w:hRule="atLeast"/>
        </w:trPr>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预算执行（12分）</w:t>
            </w:r>
          </w:p>
        </w:tc>
        <w:tc>
          <w:tcPr>
            <w:tcW w:w="1660" w:type="dxa"/>
            <w:tcBorders>
              <w:top w:val="nil"/>
              <w:left w:val="nil"/>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执行进度</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部门预算执行进度</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tcBorders>
              <w:top w:val="nil"/>
              <w:left w:val="nil"/>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预算调整</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预算执行可行性</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tcBorders>
              <w:top w:val="nil"/>
              <w:left w:val="nil"/>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行政成本</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“三公”经费</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3</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tcBorders>
              <w:top w:val="nil"/>
              <w:left w:val="nil"/>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决算</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部门决算编制和审查</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3</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3</w:t>
            </w:r>
          </w:p>
        </w:tc>
      </w:tr>
      <w:tr>
        <w:tblPrEx>
          <w:tblCellMar>
            <w:top w:w="0" w:type="dxa"/>
            <w:left w:w="108" w:type="dxa"/>
            <w:bottom w:w="0" w:type="dxa"/>
            <w:right w:w="108" w:type="dxa"/>
          </w:tblCellMar>
        </w:tblPrEx>
        <w:trPr>
          <w:trHeight w:val="465" w:hRule="atLeast"/>
        </w:trPr>
        <w:tc>
          <w:tcPr>
            <w:tcW w:w="1260" w:type="dxa"/>
            <w:vMerge w:val="restart"/>
            <w:tcBorders>
              <w:top w:val="nil"/>
              <w:left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绩效管理（19份）</w:t>
            </w:r>
          </w:p>
        </w:tc>
        <w:tc>
          <w:tcPr>
            <w:tcW w:w="1660" w:type="dxa"/>
            <w:vMerge w:val="restart"/>
            <w:tcBorders>
              <w:top w:val="nil"/>
              <w:left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绩效目标</w:t>
            </w:r>
          </w:p>
        </w:tc>
        <w:tc>
          <w:tcPr>
            <w:tcW w:w="3642" w:type="dxa"/>
            <w:tcBorders>
              <w:top w:val="nil"/>
              <w:left w:val="nil"/>
              <w:bottom w:val="single" w:color="auto" w:sz="4" w:space="0"/>
              <w:right w:val="single" w:color="auto" w:sz="4" w:space="0"/>
            </w:tcBorders>
            <w:vAlign w:val="center"/>
          </w:tcPr>
          <w:p>
            <w:pPr>
              <w:widowControl/>
              <w:rPr>
                <w:rFonts w:ascii="仿宋" w:hAnsi="仿宋" w:eastAsia="仿宋" w:cs="宋体"/>
                <w:bCs/>
                <w:color w:val="000000"/>
                <w:kern w:val="0"/>
                <w:sz w:val="24"/>
              </w:rPr>
            </w:pPr>
            <w:r>
              <w:rPr>
                <w:rFonts w:hint="eastAsia" w:ascii="仿宋" w:hAnsi="仿宋" w:eastAsia="仿宋" w:cs="宋体"/>
                <w:bCs/>
                <w:color w:val="000000"/>
                <w:kern w:val="0"/>
                <w:sz w:val="24"/>
              </w:rPr>
              <w:t>部门整体绩效目标</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right w:val="single" w:color="auto" w:sz="4" w:space="0"/>
            </w:tcBorders>
            <w:vAlign w:val="center"/>
          </w:tcPr>
          <w:p>
            <w:pPr>
              <w:widowControl/>
              <w:jc w:val="center"/>
              <w:rPr>
                <w:rFonts w:ascii="仿宋" w:hAnsi="仿宋" w:eastAsia="仿宋" w:cs="宋体"/>
                <w:bCs/>
                <w:color w:val="000000"/>
                <w:kern w:val="0"/>
                <w:sz w:val="24"/>
              </w:rPr>
            </w:pPr>
          </w:p>
        </w:tc>
        <w:tc>
          <w:tcPr>
            <w:tcW w:w="1660" w:type="dxa"/>
            <w:vMerge w:val="continue"/>
            <w:tcBorders>
              <w:left w:val="single" w:color="auto" w:sz="4" w:space="0"/>
              <w:bottom w:val="single" w:color="000000" w:sz="4" w:space="0"/>
              <w:right w:val="single" w:color="auto" w:sz="4" w:space="0"/>
            </w:tcBorders>
            <w:vAlign w:val="center"/>
          </w:tcPr>
          <w:p>
            <w:pPr>
              <w:widowControl/>
              <w:jc w:val="center"/>
              <w:rPr>
                <w:rFonts w:ascii="仿宋" w:hAnsi="仿宋" w:eastAsia="仿宋" w:cs="宋体"/>
                <w:bCs/>
                <w:color w:val="000000"/>
                <w:kern w:val="0"/>
                <w:sz w:val="24"/>
              </w:rPr>
            </w:pPr>
          </w:p>
        </w:tc>
        <w:tc>
          <w:tcPr>
            <w:tcW w:w="3642" w:type="dxa"/>
            <w:tcBorders>
              <w:top w:val="nil"/>
              <w:left w:val="nil"/>
              <w:bottom w:val="single" w:color="auto" w:sz="4" w:space="0"/>
              <w:right w:val="single" w:color="auto" w:sz="4" w:space="0"/>
            </w:tcBorders>
            <w:vAlign w:val="center"/>
          </w:tcPr>
          <w:p>
            <w:pPr>
              <w:widowControl/>
              <w:rPr>
                <w:rFonts w:ascii="仿宋" w:hAnsi="仿宋" w:eastAsia="仿宋" w:cs="宋体"/>
                <w:bCs/>
                <w:color w:val="000000"/>
                <w:kern w:val="0"/>
                <w:sz w:val="24"/>
              </w:rPr>
            </w:pPr>
            <w:r>
              <w:rPr>
                <w:rFonts w:hint="eastAsia" w:ascii="仿宋" w:hAnsi="仿宋" w:eastAsia="仿宋" w:cs="宋体"/>
                <w:bCs/>
                <w:color w:val="000000"/>
                <w:kern w:val="0"/>
                <w:sz w:val="24"/>
              </w:rPr>
              <w:t>项目绩效评价</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4</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4</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right w:val="single" w:color="auto" w:sz="4" w:space="0"/>
            </w:tcBorders>
            <w:vAlign w:val="center"/>
          </w:tcPr>
          <w:p>
            <w:pPr>
              <w:widowControl/>
              <w:jc w:val="center"/>
              <w:rPr>
                <w:rFonts w:ascii="仿宋" w:hAnsi="仿宋" w:eastAsia="仿宋" w:cs="宋体"/>
                <w:bCs/>
                <w:color w:val="000000"/>
                <w:kern w:val="0"/>
                <w:sz w:val="24"/>
              </w:rPr>
            </w:pPr>
          </w:p>
        </w:tc>
        <w:tc>
          <w:tcPr>
            <w:tcW w:w="1660" w:type="dxa"/>
            <w:vMerge w:val="restart"/>
            <w:tcBorders>
              <w:top w:val="nil"/>
              <w:left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绩效监控</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跟踪监控开展情况</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4</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4</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right w:val="single" w:color="auto" w:sz="4" w:space="0"/>
            </w:tcBorders>
            <w:vAlign w:val="center"/>
          </w:tcPr>
          <w:p>
            <w:pPr>
              <w:widowControl/>
              <w:jc w:val="center"/>
              <w:rPr>
                <w:rFonts w:ascii="仿宋" w:hAnsi="仿宋" w:eastAsia="仿宋" w:cs="宋体"/>
                <w:bCs/>
                <w:color w:val="000000"/>
                <w:kern w:val="0"/>
                <w:sz w:val="24"/>
              </w:rPr>
            </w:pPr>
          </w:p>
        </w:tc>
        <w:tc>
          <w:tcPr>
            <w:tcW w:w="1660" w:type="dxa"/>
            <w:vMerge w:val="continue"/>
            <w:tcBorders>
              <w:left w:val="single" w:color="auto" w:sz="4" w:space="0"/>
              <w:bottom w:val="single" w:color="000000" w:sz="4" w:space="0"/>
              <w:right w:val="single" w:color="auto" w:sz="4" w:space="0"/>
            </w:tcBorders>
            <w:vAlign w:val="center"/>
          </w:tcPr>
          <w:p>
            <w:pPr>
              <w:widowControl/>
              <w:jc w:val="center"/>
              <w:rPr>
                <w:rFonts w:ascii="仿宋" w:hAnsi="仿宋" w:eastAsia="仿宋" w:cs="宋体"/>
                <w:bCs/>
                <w:color w:val="000000"/>
                <w:kern w:val="0"/>
                <w:sz w:val="24"/>
              </w:rPr>
            </w:pP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监控结果运用情况</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right w:val="single" w:color="auto" w:sz="4" w:space="0"/>
            </w:tcBorders>
            <w:vAlign w:val="center"/>
          </w:tcPr>
          <w:p>
            <w:pPr>
              <w:widowControl/>
              <w:jc w:val="center"/>
              <w:rPr>
                <w:rFonts w:ascii="仿宋" w:hAnsi="仿宋" w:eastAsia="仿宋" w:cs="宋体"/>
                <w:bCs/>
                <w:color w:val="000000"/>
                <w:kern w:val="0"/>
                <w:sz w:val="24"/>
              </w:rPr>
            </w:pPr>
          </w:p>
        </w:tc>
        <w:tc>
          <w:tcPr>
            <w:tcW w:w="1660" w:type="dxa"/>
            <w:vMerge w:val="restart"/>
            <w:tcBorders>
              <w:top w:val="nil"/>
              <w:left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绩效评价</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评价开展情况</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4</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4</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p>
        </w:tc>
        <w:tc>
          <w:tcPr>
            <w:tcW w:w="166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评价结果报告</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w:t>
            </w:r>
          </w:p>
        </w:tc>
      </w:tr>
      <w:tr>
        <w:tblPrEx>
          <w:tblCellMar>
            <w:top w:w="0" w:type="dxa"/>
            <w:left w:w="108" w:type="dxa"/>
            <w:bottom w:w="0" w:type="dxa"/>
            <w:right w:w="108" w:type="dxa"/>
          </w:tblCellMar>
        </w:tblPrEx>
        <w:trPr>
          <w:trHeight w:val="465" w:hRule="atLeast"/>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综合管理（33分）</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非税收入   执收情况</w:t>
            </w:r>
          </w:p>
        </w:tc>
        <w:tc>
          <w:tcPr>
            <w:tcW w:w="3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非税收入征收情况</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c>
          <w:tcPr>
            <w:tcW w:w="9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r>
      <w:tr>
        <w:tblPrEx>
          <w:tblCellMar>
            <w:top w:w="0" w:type="dxa"/>
            <w:left w:w="108" w:type="dxa"/>
            <w:bottom w:w="0" w:type="dxa"/>
            <w:right w:w="108" w:type="dxa"/>
          </w:tblCellMar>
        </w:tblPrEx>
        <w:trPr>
          <w:trHeight w:val="465"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color w:val="000000"/>
                <w:kern w:val="0"/>
                <w:sz w:val="24"/>
              </w:rPr>
            </w:pPr>
          </w:p>
        </w:tc>
        <w:tc>
          <w:tcPr>
            <w:tcW w:w="3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非税收入上缴情况</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c>
          <w:tcPr>
            <w:tcW w:w="9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r>
      <w:tr>
        <w:tblPrEx>
          <w:tblCellMar>
            <w:top w:w="0" w:type="dxa"/>
            <w:left w:w="108" w:type="dxa"/>
            <w:bottom w:w="0" w:type="dxa"/>
            <w:right w:w="108" w:type="dxa"/>
          </w:tblCellMar>
        </w:tblPrEx>
        <w:trPr>
          <w:trHeight w:val="465" w:hRule="atLeast"/>
        </w:trPr>
        <w:tc>
          <w:tcPr>
            <w:tcW w:w="12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政府采购</w:t>
            </w:r>
          </w:p>
        </w:tc>
        <w:tc>
          <w:tcPr>
            <w:tcW w:w="364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政府采购实施计划编制</w:t>
            </w:r>
          </w:p>
        </w:tc>
        <w:tc>
          <w:tcPr>
            <w:tcW w:w="1077" w:type="dxa"/>
            <w:tcBorders>
              <w:top w:val="single" w:color="auto" w:sz="4" w:space="0"/>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c>
          <w:tcPr>
            <w:tcW w:w="968" w:type="dxa"/>
            <w:tcBorders>
              <w:top w:val="single" w:color="auto" w:sz="4" w:space="0"/>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政府采购实施计划执行</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资产管理</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资产管理信息系统建设情况</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行政事业单位资产清查开展情况</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1</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行政事业单位资产报表上报情况</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1</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1</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tcBorders>
              <w:top w:val="nil"/>
              <w:left w:val="nil"/>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内部控制管理</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内部控制制度健全完整</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3</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信息公开</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预算公开</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决算公开</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绩效信息公开</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财政政策执行</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公务卡改革</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c>
          <w:tcPr>
            <w:tcW w:w="968"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预算执行动态监控</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c>
          <w:tcPr>
            <w:tcW w:w="968"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授权支付退票</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c>
          <w:tcPr>
            <w:tcW w:w="968"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财经纪律执行</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违规记录</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c>
          <w:tcPr>
            <w:tcW w:w="968"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存在问题整改是否到位</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c>
          <w:tcPr>
            <w:tcW w:w="968"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r>
      <w:tr>
        <w:tblPrEx>
          <w:tblCellMar>
            <w:top w:w="0" w:type="dxa"/>
            <w:left w:w="108" w:type="dxa"/>
            <w:bottom w:w="0" w:type="dxa"/>
            <w:right w:w="108" w:type="dxa"/>
          </w:tblCellMar>
        </w:tblPrEx>
        <w:trPr>
          <w:trHeight w:val="375" w:hRule="atLeast"/>
        </w:trPr>
        <w:tc>
          <w:tcPr>
            <w:tcW w:w="1260" w:type="dxa"/>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评价结果应用  （30分）</w:t>
            </w:r>
          </w:p>
        </w:tc>
        <w:tc>
          <w:tcPr>
            <w:tcW w:w="1660" w:type="dxa"/>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项目绩效评价结果</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项目绩效评价结果</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30</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30</w:t>
            </w:r>
          </w:p>
        </w:tc>
      </w:tr>
      <w:tr>
        <w:tblPrEx>
          <w:tblCellMar>
            <w:top w:w="0" w:type="dxa"/>
            <w:left w:w="108" w:type="dxa"/>
            <w:bottom w:w="0" w:type="dxa"/>
            <w:right w:w="108" w:type="dxa"/>
          </w:tblCellMar>
        </w:tblPrEx>
        <w:trPr>
          <w:trHeight w:val="540" w:hRule="atLeast"/>
        </w:trPr>
        <w:tc>
          <w:tcPr>
            <w:tcW w:w="656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合  计</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
                <w:bCs/>
                <w:color w:val="000000"/>
                <w:kern w:val="0"/>
                <w:sz w:val="24"/>
              </w:rPr>
            </w:pPr>
            <w:r>
              <w:rPr>
                <w:rFonts w:ascii="Arial" w:hAnsi="Arial" w:cs="Arial"/>
                <w:b/>
                <w:bCs/>
                <w:color w:val="000000"/>
                <w:kern w:val="0"/>
                <w:sz w:val="24"/>
              </w:rPr>
              <w:t>100</w:t>
            </w:r>
          </w:p>
        </w:tc>
        <w:tc>
          <w:tcPr>
            <w:tcW w:w="968" w:type="dxa"/>
            <w:tcBorders>
              <w:top w:val="nil"/>
              <w:left w:val="nil"/>
              <w:bottom w:val="single" w:color="auto" w:sz="4" w:space="0"/>
              <w:right w:val="single" w:color="auto" w:sz="4" w:space="0"/>
            </w:tcBorders>
            <w:noWrap/>
            <w:vAlign w:val="center"/>
          </w:tcPr>
          <w:p>
            <w:pPr>
              <w:widowControl/>
              <w:jc w:val="center"/>
              <w:rPr>
                <w:rFonts w:ascii="Arial" w:hAnsi="Arial" w:cs="Arial"/>
                <w:b/>
                <w:bCs/>
                <w:color w:val="000000"/>
                <w:kern w:val="0"/>
                <w:sz w:val="24"/>
              </w:rPr>
            </w:pPr>
            <w:r>
              <w:rPr>
                <w:rFonts w:hint="eastAsia" w:ascii="Arial" w:hAnsi="Arial" w:cs="Arial"/>
                <w:b/>
                <w:bCs/>
                <w:color w:val="000000"/>
                <w:kern w:val="0"/>
                <w:sz w:val="24"/>
              </w:rPr>
              <w:t>99</w:t>
            </w:r>
          </w:p>
        </w:tc>
      </w:tr>
    </w:tbl>
    <w:p>
      <w:pPr>
        <w:widowControl/>
        <w:adjustRightInd w:val="0"/>
        <w:snapToGrid w:val="0"/>
        <w:spacing w:line="500" w:lineRule="exact"/>
        <w:jc w:val="left"/>
        <w:rPr>
          <w:rFonts w:hAnsi="仿宋_GB2312" w:cs="仿宋_GB2312"/>
          <w:color w:val="000000"/>
          <w:sz w:val="30"/>
          <w:szCs w:val="30"/>
        </w:rPr>
      </w:pPr>
    </w:p>
    <w:p>
      <w:pPr>
        <w:spacing w:line="500" w:lineRule="exact"/>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二.部门总体评价</w:t>
      </w:r>
    </w:p>
    <w:p>
      <w:pPr>
        <w:spacing w:line="57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shd w:val="clear" w:color="auto" w:fill="FFFFFF"/>
          <w:lang w:val="zh-CN"/>
        </w:rPr>
        <w:t>广元市国土整治中心</w:t>
      </w:r>
      <w:r>
        <w:rPr>
          <w:rFonts w:hint="eastAsia" w:ascii="仿宋_GB2312" w:hAnsi="仿宋_GB2312" w:eastAsia="仿宋_GB2312" w:cs="仿宋_GB2312"/>
          <w:sz w:val="30"/>
          <w:szCs w:val="30"/>
        </w:rPr>
        <w:t>总体支出绩效评价得分99分。</w:t>
      </w:r>
      <w:r>
        <w:rPr>
          <w:rFonts w:hint="eastAsia" w:ascii="仿宋" w:hAnsi="仿宋" w:eastAsia="仿宋" w:cs="仿宋_GB2312"/>
          <w:kern w:val="0"/>
          <w:sz w:val="30"/>
          <w:szCs w:val="30"/>
        </w:rPr>
        <w:t>对照《部门支出绩效评价指标体系》，我单位2021年部门支出绩效评价自评得分99分。</w:t>
      </w:r>
    </w:p>
    <w:p>
      <w:pPr>
        <w:spacing w:line="580" w:lineRule="exact"/>
        <w:ind w:left="627"/>
        <w:rPr>
          <w:rFonts w:ascii="黑体" w:hAnsi="黑体" w:eastAsia="黑体"/>
          <w:sz w:val="32"/>
          <w:szCs w:val="32"/>
        </w:rPr>
      </w:pPr>
      <w:r>
        <w:rPr>
          <w:rFonts w:hint="eastAsia" w:ascii="黑体" w:hAnsi="黑体" w:eastAsia="黑体"/>
          <w:sz w:val="32"/>
          <w:szCs w:val="32"/>
        </w:rPr>
        <w:t>三.部门财政支出管理情况</w:t>
      </w:r>
    </w:p>
    <w:p>
      <w:pPr>
        <w:spacing w:line="580" w:lineRule="exact"/>
        <w:rPr>
          <w:rFonts w:ascii="楷体_GB2312" w:hAnsi="黑体" w:eastAsia="楷体_GB2312"/>
          <w:sz w:val="32"/>
          <w:szCs w:val="32"/>
        </w:rPr>
      </w:pPr>
      <w:r>
        <w:rPr>
          <w:rFonts w:hint="eastAsia" w:ascii="楷体_GB2312" w:hAnsi="黑体" w:eastAsia="楷体_GB2312"/>
          <w:sz w:val="32"/>
          <w:szCs w:val="32"/>
        </w:rPr>
        <w:t xml:space="preserve">    （一）预算编制</w:t>
      </w:r>
    </w:p>
    <w:p>
      <w:pPr>
        <w:spacing w:line="580" w:lineRule="exact"/>
        <w:rPr>
          <w:rFonts w:ascii="仿宋_GB2312" w:eastAsia="仿宋_GB2312"/>
          <w:sz w:val="32"/>
          <w:szCs w:val="32"/>
        </w:rPr>
      </w:pPr>
      <w:r>
        <w:rPr>
          <w:rFonts w:hint="eastAsia" w:ascii="仿宋_GB2312" w:eastAsia="仿宋_GB2312"/>
          <w:sz w:val="32"/>
          <w:szCs w:val="32"/>
        </w:rPr>
        <w:t xml:space="preserve">    1.报送时效。我单位严格按财政部门预算编制要求的时间及时报送了部门预算和项目绩效目标,并规范准确完整地填制和报送预算报表，合理反映了本部门年度职责履行情况。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编制质量。我单位严格按照财政要求编制部门预算，达到了财政预算编制质量要求。做到编制完整无漏项，预算编制准确，基础信息和科目使用准确，单位编制、人员情况与供养人员横向联网系统数据相符。预算编制规范，项目名称、绩效指标、项目内容说明等合符规范。总之，基本支出按人员编制和定额标准，项目支出按照本单位职能职责根据上级和市委市政府下达的工作目标任务进行编制，做到了资料完整、依据充分。</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（二）预算执行</w:t>
      </w:r>
    </w:p>
    <w:p>
      <w:pPr>
        <w:spacing w:line="580" w:lineRule="exact"/>
        <w:ind w:firstLine="640" w:firstLineChars="200"/>
        <w:rPr>
          <w:rFonts w:ascii="仿宋_GB2312" w:hAnsi="宋体" w:eastAsia="仿宋_GB2312" w:cs="宋体"/>
          <w:kern w:val="0"/>
          <w:sz w:val="32"/>
          <w:szCs w:val="32"/>
        </w:rPr>
      </w:pPr>
      <w:r>
        <w:rPr>
          <w:rFonts w:hint="eastAsia" w:ascii="仿宋_GB2312" w:eastAsia="仿宋_GB2312"/>
          <w:bCs/>
          <w:sz w:val="32"/>
          <w:szCs w:val="32"/>
        </w:rPr>
        <w:t>1.预算执行进度</w:t>
      </w:r>
      <w:r>
        <w:rPr>
          <w:rFonts w:hint="eastAsia" w:ascii="仿宋_GB2312" w:eastAsia="仿宋_GB2312"/>
          <w:b/>
          <w:sz w:val="32"/>
          <w:szCs w:val="32"/>
        </w:rPr>
        <w:t>。</w:t>
      </w:r>
      <w:r>
        <w:rPr>
          <w:rFonts w:hint="eastAsia" w:ascii="仿宋_GB2312" w:hAnsi="宋体" w:eastAsia="仿宋_GB2312" w:cs="宋体"/>
          <w:kern w:val="0"/>
          <w:sz w:val="32"/>
          <w:szCs w:val="32"/>
        </w:rPr>
        <w:t>本年度预算执行收支平衡，完成本部门经济和社会事业发展职能职责，人员支出部分按时间进度执行。</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2.预算平衡调整。</w:t>
      </w:r>
      <w:r>
        <w:rPr>
          <w:rFonts w:hint="eastAsia" w:ascii="仿宋_GB2312" w:eastAsia="仿宋_GB2312"/>
          <w:sz w:val="32"/>
          <w:szCs w:val="32"/>
        </w:rPr>
        <w:t>我三位严格执行预算，执行中不调整项目。</w:t>
      </w:r>
    </w:p>
    <w:p>
      <w:pPr>
        <w:spacing w:line="580" w:lineRule="exact"/>
        <w:ind w:firstLine="640"/>
        <w:rPr>
          <w:rFonts w:ascii="仿宋_GB2312" w:hAnsi="仿宋_GB2312" w:eastAsia="仿宋_GB2312" w:cs="仿宋_GB2312"/>
          <w:color w:val="000000"/>
          <w:sz w:val="32"/>
          <w:szCs w:val="32"/>
        </w:rPr>
      </w:pPr>
      <w:r>
        <w:rPr>
          <w:rFonts w:hint="eastAsia" w:ascii="仿宋_GB2312" w:hAnsi="宋体" w:eastAsia="仿宋_GB2312" w:cs="宋体"/>
          <w:kern w:val="0"/>
          <w:sz w:val="32"/>
          <w:szCs w:val="32"/>
        </w:rPr>
        <w:t>3.三公经费执行情况</w:t>
      </w:r>
      <w:r>
        <w:rPr>
          <w:rFonts w:hint="eastAsia" w:ascii="仿宋_GB2312" w:hAnsi="宋体" w:eastAsia="仿宋_GB2312" w:cs="宋体"/>
          <w:b/>
          <w:bCs/>
          <w:kern w:val="0"/>
          <w:sz w:val="32"/>
          <w:szCs w:val="32"/>
        </w:rPr>
        <w:t>。</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21年“三公”经费预算3.85万元，其中:公务接待1.95万元，车辆运行维护费1.9万元。全年支出 2.3万元。其中：公务接待费0.52万元，车辆运行维护费1.79万元，具体情况如下：</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（1）公务用车运行维护费支出1.79万元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决算数小于预算数。主要用于国土整治日常工作开展等所需的公务用车燃料费、维修费、过路过桥费等支出。</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公务接待费支出0.52万元，决算数小于预算数是因为贯彻执行厉行节约政策、努力压缩开支。国内公务接待9批次，58余人次（不包括陪同人员），共计支出0.52万元，具体内容包括：主要用于接待县区局等相关部门用于工作衔接和关于国土整治等业务工作餐。</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4.部门决算编制和审查。</w:t>
      </w:r>
      <w:r>
        <w:rPr>
          <w:rFonts w:hint="eastAsia" w:ascii="仿宋_GB2312" w:hAnsi="宋体" w:eastAsia="仿宋_GB2312" w:cs="宋体"/>
          <w:kern w:val="0"/>
          <w:sz w:val="32"/>
          <w:szCs w:val="32"/>
        </w:rPr>
        <w:t>及时进行年终账务清算，核实各项预算收支，按规定时间报送决算报表，做到了帐表一致，决算数据真实准确，部门决算编制人员与供养人员系统数据相符。</w:t>
      </w:r>
    </w:p>
    <w:p>
      <w:pPr>
        <w:spacing w:line="580" w:lineRule="exact"/>
        <w:rPr>
          <w:rFonts w:ascii="楷体_GB2312" w:eastAsia="楷体_GB2312"/>
          <w:sz w:val="32"/>
          <w:szCs w:val="32"/>
        </w:rPr>
      </w:pPr>
      <w:r>
        <w:rPr>
          <w:rFonts w:hint="eastAsia" w:ascii="楷体_GB2312" w:eastAsia="楷体_GB2312"/>
          <w:bCs/>
          <w:sz w:val="32"/>
          <w:szCs w:val="32"/>
        </w:rPr>
        <w:t xml:space="preserve">    （三）财政资金综合管理情况</w:t>
      </w:r>
    </w:p>
    <w:p>
      <w:pPr>
        <w:spacing w:line="580" w:lineRule="exact"/>
        <w:rPr>
          <w:rFonts w:ascii="仿宋_GB2312" w:eastAsia="仿宋_GB2312"/>
          <w:sz w:val="32"/>
          <w:szCs w:val="32"/>
        </w:rPr>
      </w:pPr>
      <w:r>
        <w:rPr>
          <w:rFonts w:hint="eastAsia" w:ascii="仿宋_GB2312" w:eastAsia="仿宋_GB2312"/>
          <w:b/>
          <w:bCs/>
          <w:sz w:val="32"/>
          <w:szCs w:val="32"/>
        </w:rPr>
        <w:t xml:space="preserve">    </w:t>
      </w:r>
      <w:r>
        <w:rPr>
          <w:rFonts w:hint="eastAsia" w:ascii="仿宋_GB2312" w:eastAsia="仿宋_GB2312"/>
          <w:sz w:val="32"/>
          <w:szCs w:val="32"/>
        </w:rPr>
        <w:t>1.非税收入征收、上缴情况。</w:t>
      </w:r>
      <w:r>
        <w:rPr>
          <w:rFonts w:hint="eastAsia" w:ascii="仿宋_GB2312" w:hAnsi="宋体" w:eastAsia="仿宋_GB2312" w:cs="宋体"/>
          <w:kern w:val="0"/>
          <w:sz w:val="32"/>
          <w:szCs w:val="32"/>
        </w:rPr>
        <w:t>我单位无非税收入征收、上缴工作。</w:t>
      </w:r>
    </w:p>
    <w:p>
      <w:pPr>
        <w:spacing w:line="580" w:lineRule="exact"/>
        <w:rPr>
          <w:rFonts w:ascii="仿宋_GB2312" w:hAnsi="宋体" w:eastAsia="仿宋_GB2312" w:cs="宋体"/>
          <w:kern w:val="0"/>
          <w:sz w:val="32"/>
          <w:szCs w:val="32"/>
        </w:rPr>
      </w:pPr>
      <w:r>
        <w:rPr>
          <w:rFonts w:hint="eastAsia" w:ascii="仿宋_GB2312" w:eastAsia="仿宋_GB2312"/>
          <w:b/>
          <w:bCs/>
          <w:sz w:val="32"/>
          <w:szCs w:val="32"/>
        </w:rPr>
        <w:t xml:space="preserve">   </w:t>
      </w:r>
      <w:r>
        <w:rPr>
          <w:rFonts w:hint="eastAsia" w:ascii="仿宋_GB2312" w:eastAsia="仿宋_GB2312"/>
          <w:sz w:val="32"/>
          <w:szCs w:val="32"/>
        </w:rPr>
        <w:t xml:space="preserve"> 2.政府采购实施计划编制执行情况。</w:t>
      </w:r>
      <w:r>
        <w:rPr>
          <w:rFonts w:hint="eastAsia" w:ascii="仿宋_GB2312" w:hAnsi="宋体" w:eastAsia="仿宋_GB2312" w:cs="宋体"/>
          <w:kern w:val="0"/>
          <w:sz w:val="32"/>
          <w:szCs w:val="32"/>
        </w:rPr>
        <w:t>认真编制政府采购预算，做到应编尽编，不遗漏；规范采购行为，执行政府采购政策，做到应采尽采。全年一般公共预算采购预算为0万元，实际采购金额0万元。</w:t>
      </w:r>
    </w:p>
    <w:p>
      <w:pPr>
        <w:spacing w:line="580" w:lineRule="exac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 xml:space="preserve"> 3.资产管理信息系统建设、资产清查上报情况。本部门的新增和减少资产已严格按照要求录入资产管理系统，并按照上级要求及时、准确、全面上报资产报表，严格按照财政资产管理科和市机关事务管理局的相关政策进行资产清理和上报，使资产管理系统和财务会计资产系统账账相符。</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部门内部控制制度健全情况。我单位内部管理制度比较健全，设置有《岗位责任制》，《廉政风险三同防控图》，依据了《广元市自然资源系统内部审计管理办法》、《广元市自然资源局财务管理制度》，具体内容包括经费审批制度、现金管理、票据管理、会计档案管理、资产管理等。</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5.预决算及绩效信息公开情况。我单位严格按照财政要求，及时、准确、全面的在政府网站和局域内门户网站公开预决算和绩效信息。</w:t>
      </w:r>
    </w:p>
    <w:p>
      <w:pPr>
        <w:spacing w:line="580" w:lineRule="exact"/>
        <w:ind w:firstLine="640" w:firstLineChars="200"/>
        <w:rPr>
          <w:rFonts w:ascii="仿宋_GB2312" w:eastAsia="仿宋_GB2312"/>
          <w:color w:val="000000"/>
          <w:sz w:val="32"/>
          <w:szCs w:val="32"/>
        </w:rPr>
      </w:pPr>
      <w:r>
        <w:rPr>
          <w:rFonts w:hint="eastAsia" w:ascii="仿宋_GB2312" w:hAnsi="宋体" w:eastAsia="仿宋_GB2312" w:cs="宋体"/>
          <w:kern w:val="0"/>
          <w:sz w:val="32"/>
          <w:szCs w:val="32"/>
        </w:rPr>
        <w:t>6.绩效评价开展、评价结果报告情况。积极对我单位</w:t>
      </w:r>
      <w:r>
        <w:rPr>
          <w:rFonts w:hint="eastAsia" w:ascii="仿宋_GB2312" w:eastAsia="仿宋_GB2312"/>
          <w:color w:val="000000"/>
          <w:sz w:val="32"/>
          <w:szCs w:val="32"/>
        </w:rPr>
        <w:t>开展了绩效自评，通过对支出总体评价，自评得分99分。</w:t>
      </w:r>
    </w:p>
    <w:p>
      <w:pPr>
        <w:spacing w:line="580" w:lineRule="exact"/>
        <w:ind w:firstLine="640" w:firstLineChars="200"/>
        <w:rPr>
          <w:rFonts w:ascii="仿宋_GB2312" w:eastAsia="仿宋_GB2312"/>
          <w:sz w:val="32"/>
          <w:szCs w:val="32"/>
        </w:rPr>
      </w:pPr>
      <w:r>
        <w:rPr>
          <w:rFonts w:hint="eastAsia" w:ascii="仿宋_GB2312" w:eastAsia="仿宋_GB2312"/>
          <w:color w:val="000000"/>
          <w:sz w:val="32"/>
          <w:szCs w:val="32"/>
        </w:rPr>
        <w:t>7.绩效管理工作开展情况。我的单位严格按照绩效管理评价工作的要求，积极落实，</w:t>
      </w:r>
      <w:r>
        <w:rPr>
          <w:rFonts w:hint="eastAsia" w:ascii="仿宋_GB2312" w:hAnsi="仿宋_GB2312" w:eastAsia="仿宋_GB2312" w:cs="仿宋_GB2312"/>
          <w:bCs/>
          <w:kern w:val="0"/>
          <w:sz w:val="32"/>
          <w:szCs w:val="32"/>
        </w:rPr>
        <w:t>认真组织本部门相关人员开展绩效评价工作。</w:t>
      </w:r>
    </w:p>
    <w:p>
      <w:pPr>
        <w:spacing w:line="580" w:lineRule="exac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 xml:space="preserve"> 8.财政政策执行情况</w:t>
      </w:r>
    </w:p>
    <w:p>
      <w:pPr>
        <w:spacing w:line="580" w:lineRule="exac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1）国库集中支付。我单位严格执行国库集中支付规定，当年部门预算支出中直接支付比例超过市本级当期平均水平。</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（2）公务卡改革。严格按公务卡强制结算目录，公务用车燃油费、职工出差培训费、住宿费、公务机票等都使用公务卡进行结算。</w:t>
      </w:r>
    </w:p>
    <w:p>
      <w:pPr>
        <w:spacing w:line="58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（3）政府采购政策执行。认真编制政府采购预算，做到应编尽编，不遗漏；规范采购行为，执行政府采购政策，做到应采尽采。</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（4）非税收入征收管理。我单位无非税收入征收业务。</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（5）厉行节约。按照相关规定进行经费开支，无违反规定支出行为，无超标准开支行为；“三公”经费严格按财政规定限额标准进行限制和压缩。</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9.财经纪律执行情况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（1）审计监察。接受了审计局及相关部门检查组对我单位2020年度财政预算收支情况的检查，以及财政等部门的其他相关检查。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（2）预算执行动态监控。所有收支均通过财政大平台实行动态监控，资金管理较规范，按市财政国库动态监控预警无违规支付行为。</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三、存在问题</w:t>
      </w:r>
    </w:p>
    <w:p>
      <w:pPr>
        <w:autoSpaceDE w:val="0"/>
        <w:autoSpaceDN w:val="0"/>
        <w:adjustRightInd w:val="0"/>
        <w:spacing w:line="576" w:lineRule="atLeast"/>
        <w:ind w:firstLine="960" w:firstLineChars="3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加强资产清查的工作，及时对资产进行清查和清理。我们也会今后在工作中不断改进和加强各项支出管理，确保整体支出绩效达到最佳水平。</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四、整改建议和意见</w:t>
      </w:r>
    </w:p>
    <w:p>
      <w:pPr>
        <w:pStyle w:val="5"/>
        <w:spacing w:before="93"/>
        <w:ind w:firstLine="960" w:firstLineChars="300"/>
      </w:pPr>
      <w:r>
        <w:rPr>
          <w:rFonts w:hint="eastAsia"/>
          <w:sz w:val="32"/>
          <w:szCs w:val="32"/>
        </w:rPr>
        <w:t>一是建议设立专人负责资产管理及相关申报工作，加强学习资产管理办法及政府采购相关的最新政策，提高对国有资产的管理力度。二是建议通过财政支出和项目绩效评价结果，财政根据各单位的项目工作任务及政府目标考核内容纳入项目工作经费，确保各单位履行行政职能职责有保障。</w:t>
      </w:r>
    </w:p>
    <w:p>
      <w:pPr>
        <w:pStyle w:val="8"/>
        <w:rPr>
          <w:rFonts w:ascii="黑体" w:hAnsi="黑体" w:eastAsia="黑体"/>
          <w:sz w:val="44"/>
          <w:szCs w:val="44"/>
        </w:rPr>
      </w:pPr>
      <w:bookmarkStart w:id="55" w:name="_Toc15396618"/>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3"/>
      <w:bookmarkEnd w:id="55"/>
      <w:bookmarkStart w:id="56" w:name="_Toc15396619"/>
    </w:p>
    <w:p>
      <w:pPr>
        <w:pStyle w:val="2"/>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6"/>
    </w:p>
    <w:p>
      <w:pPr>
        <w:pStyle w:val="2"/>
        <w:rPr>
          <w:rFonts w:ascii="仿宋" w:hAnsi="仿宋" w:eastAsia="仿宋"/>
        </w:rPr>
      </w:pPr>
      <w:bookmarkStart w:id="57" w:name="_Toc15396620"/>
      <w:r>
        <w:rPr>
          <w:rFonts w:hint="eastAsia" w:ascii="仿宋" w:hAnsi="仿宋" w:eastAsia="仿宋"/>
          <w:b w:val="0"/>
        </w:rPr>
        <w:t>二、收</w:t>
      </w:r>
      <w:r>
        <w:rPr>
          <w:rStyle w:val="26"/>
          <w:rFonts w:hint="eastAsia" w:ascii="仿宋" w:hAnsi="仿宋" w:eastAsia="仿宋"/>
          <w:b w:val="0"/>
          <w:bCs w:val="0"/>
        </w:rPr>
        <w:t>入决算表</w:t>
      </w:r>
      <w:bookmarkEnd w:id="57"/>
    </w:p>
    <w:p>
      <w:pPr>
        <w:pStyle w:val="2"/>
        <w:rPr>
          <w:rFonts w:ascii="仿宋" w:hAnsi="仿宋" w:eastAsia="仿宋"/>
        </w:rPr>
      </w:pPr>
      <w:bookmarkStart w:id="58"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58"/>
    </w:p>
    <w:p>
      <w:pPr>
        <w:pStyle w:val="2"/>
        <w:rPr>
          <w:rFonts w:ascii="仿宋" w:hAnsi="仿宋" w:eastAsia="仿宋"/>
          <w:b w:val="0"/>
        </w:rPr>
      </w:pPr>
      <w:bookmarkStart w:id="59"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59"/>
    </w:p>
    <w:p>
      <w:pPr>
        <w:pStyle w:val="2"/>
        <w:rPr>
          <w:rStyle w:val="26"/>
          <w:rFonts w:ascii="仿宋" w:hAnsi="仿宋" w:eastAsia="仿宋"/>
          <w:b w:val="0"/>
          <w:bCs w:val="0"/>
        </w:rPr>
      </w:pPr>
      <w:bookmarkStart w:id="60"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60"/>
      <w:bookmarkStart w:id="61" w:name="_Toc15396624"/>
    </w:p>
    <w:p>
      <w:pPr>
        <w:pStyle w:val="2"/>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1"/>
    </w:p>
    <w:p>
      <w:pPr>
        <w:pStyle w:val="2"/>
        <w:rPr>
          <w:rFonts w:ascii="仿宋" w:hAnsi="仿宋" w:eastAsia="仿宋"/>
        </w:rPr>
      </w:pPr>
      <w:bookmarkStart w:id="62"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2"/>
    </w:p>
    <w:p>
      <w:pPr>
        <w:pStyle w:val="2"/>
        <w:rPr>
          <w:rFonts w:ascii="仿宋" w:hAnsi="仿宋" w:eastAsia="仿宋"/>
        </w:rPr>
      </w:pPr>
      <w:bookmarkStart w:id="63"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3"/>
    </w:p>
    <w:p>
      <w:pPr>
        <w:pStyle w:val="2"/>
        <w:rPr>
          <w:rFonts w:ascii="仿宋" w:hAnsi="仿宋" w:eastAsia="仿宋"/>
        </w:rPr>
      </w:pPr>
      <w:bookmarkStart w:id="64"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4"/>
    </w:p>
    <w:p>
      <w:pPr>
        <w:pStyle w:val="2"/>
        <w:rPr>
          <w:rFonts w:ascii="仿宋" w:hAnsi="仿宋" w:eastAsia="仿宋"/>
        </w:rPr>
      </w:pPr>
      <w:bookmarkStart w:id="65"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5"/>
    </w:p>
    <w:p>
      <w:pPr>
        <w:pStyle w:val="2"/>
        <w:rPr>
          <w:rFonts w:ascii="仿宋" w:hAnsi="仿宋" w:eastAsia="仿宋"/>
        </w:rPr>
      </w:pPr>
      <w:bookmarkStart w:id="66"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66"/>
    </w:p>
    <w:p>
      <w:pPr>
        <w:pStyle w:val="2"/>
        <w:rPr>
          <w:rFonts w:ascii="仿宋" w:hAnsi="仿宋" w:eastAsia="仿宋"/>
        </w:rPr>
      </w:pPr>
      <w:bookmarkStart w:id="67"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67"/>
    </w:p>
    <w:p>
      <w:pPr>
        <w:pStyle w:val="2"/>
        <w:rPr>
          <w:rStyle w:val="26"/>
          <w:rFonts w:ascii="仿宋" w:hAnsi="仿宋" w:eastAsia="仿宋"/>
          <w:b w:val="0"/>
          <w:bCs w:val="0"/>
        </w:rPr>
      </w:pPr>
      <w:bookmarkStart w:id="68"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68"/>
    </w:p>
    <w:p>
      <w:pPr>
        <w:rPr>
          <w:rFonts w:eastAsia="仿宋"/>
        </w:rPr>
      </w:pPr>
      <w:r>
        <w:rPr>
          <w:rStyle w:val="26"/>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8C7ED72"/>
    <w:multiLevelType w:val="singleLevel"/>
    <w:tmpl w:val="28C7ED72"/>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NDBmYmQ1NzZkZmQ3ZTc5NjI2NjJhYTZmMGE1Zj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7E35"/>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16B8"/>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E7DE3"/>
    <w:rsid w:val="004F0FBD"/>
    <w:rsid w:val="00505A47"/>
    <w:rsid w:val="00512FDA"/>
    <w:rsid w:val="00520DA0"/>
    <w:rsid w:val="005664BB"/>
    <w:rsid w:val="00566FFA"/>
    <w:rsid w:val="0057481D"/>
    <w:rsid w:val="0058486E"/>
    <w:rsid w:val="00585B33"/>
    <w:rsid w:val="0059014D"/>
    <w:rsid w:val="005A62E2"/>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3D07"/>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0CDF"/>
    <w:rsid w:val="00F602DF"/>
    <w:rsid w:val="00F754A1"/>
    <w:rsid w:val="00F81FD9"/>
    <w:rsid w:val="00F841AA"/>
    <w:rsid w:val="00F84A94"/>
    <w:rsid w:val="00F87E96"/>
    <w:rsid w:val="00FA23E8"/>
    <w:rsid w:val="00FD3CC1"/>
    <w:rsid w:val="00FF1E02"/>
    <w:rsid w:val="00FF30B4"/>
    <w:rsid w:val="013E50E2"/>
    <w:rsid w:val="0A2032A3"/>
    <w:rsid w:val="0B8A37D8"/>
    <w:rsid w:val="10154878"/>
    <w:rsid w:val="10C055FF"/>
    <w:rsid w:val="118107EC"/>
    <w:rsid w:val="11DD6519"/>
    <w:rsid w:val="16321CA0"/>
    <w:rsid w:val="16480C1F"/>
    <w:rsid w:val="16BB723D"/>
    <w:rsid w:val="17297CE3"/>
    <w:rsid w:val="18015F3F"/>
    <w:rsid w:val="188F365D"/>
    <w:rsid w:val="197A7DA1"/>
    <w:rsid w:val="1BA97497"/>
    <w:rsid w:val="1BE8440E"/>
    <w:rsid w:val="1CCE660E"/>
    <w:rsid w:val="1D155CEE"/>
    <w:rsid w:val="1E881EC3"/>
    <w:rsid w:val="20F57F95"/>
    <w:rsid w:val="240371BF"/>
    <w:rsid w:val="243279D1"/>
    <w:rsid w:val="250002FB"/>
    <w:rsid w:val="25770175"/>
    <w:rsid w:val="25C741E6"/>
    <w:rsid w:val="270A37D0"/>
    <w:rsid w:val="27842671"/>
    <w:rsid w:val="27C22E19"/>
    <w:rsid w:val="29FD04D3"/>
    <w:rsid w:val="29FD282F"/>
    <w:rsid w:val="2ABE7A3E"/>
    <w:rsid w:val="2D6009A2"/>
    <w:rsid w:val="2EFA178C"/>
    <w:rsid w:val="30B46D73"/>
    <w:rsid w:val="31322DBE"/>
    <w:rsid w:val="319F7F4E"/>
    <w:rsid w:val="3434719C"/>
    <w:rsid w:val="386A72E1"/>
    <w:rsid w:val="388D158C"/>
    <w:rsid w:val="39AE70AB"/>
    <w:rsid w:val="3B0F2544"/>
    <w:rsid w:val="3B586984"/>
    <w:rsid w:val="3C0C0783"/>
    <w:rsid w:val="3EB72C41"/>
    <w:rsid w:val="3F795B0E"/>
    <w:rsid w:val="3F9F3A96"/>
    <w:rsid w:val="401F7E48"/>
    <w:rsid w:val="40350D30"/>
    <w:rsid w:val="40385F17"/>
    <w:rsid w:val="41215ADF"/>
    <w:rsid w:val="41876D06"/>
    <w:rsid w:val="44A23E00"/>
    <w:rsid w:val="451C5060"/>
    <w:rsid w:val="491C608F"/>
    <w:rsid w:val="493C27E9"/>
    <w:rsid w:val="496F39ED"/>
    <w:rsid w:val="49FF41D3"/>
    <w:rsid w:val="4A185DC8"/>
    <w:rsid w:val="4BE068DB"/>
    <w:rsid w:val="4BF6002B"/>
    <w:rsid w:val="4C7D77B7"/>
    <w:rsid w:val="4D8A3B03"/>
    <w:rsid w:val="4ECE2238"/>
    <w:rsid w:val="4F0B3776"/>
    <w:rsid w:val="50903205"/>
    <w:rsid w:val="50E15E54"/>
    <w:rsid w:val="5196408D"/>
    <w:rsid w:val="51DB4B86"/>
    <w:rsid w:val="51F55903"/>
    <w:rsid w:val="54365C20"/>
    <w:rsid w:val="54406A2F"/>
    <w:rsid w:val="55333C3E"/>
    <w:rsid w:val="581D67E1"/>
    <w:rsid w:val="591B75C2"/>
    <w:rsid w:val="5BE41A30"/>
    <w:rsid w:val="64CA39A1"/>
    <w:rsid w:val="66A440C2"/>
    <w:rsid w:val="68A6351C"/>
    <w:rsid w:val="69A91B0C"/>
    <w:rsid w:val="6C4A05C8"/>
    <w:rsid w:val="6D195FA7"/>
    <w:rsid w:val="72734D90"/>
    <w:rsid w:val="72B1775D"/>
    <w:rsid w:val="78FB5F09"/>
    <w:rsid w:val="79E7B28D"/>
    <w:rsid w:val="7C775BAB"/>
    <w:rsid w:val="7F9F20EE"/>
    <w:rsid w:val="7FE231C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2">
    <w:name w:val="heading 2"/>
    <w:basedOn w:val="3"/>
    <w:next w:val="1"/>
    <w:link w:val="26"/>
    <w:unhideWhenUsed/>
    <w:qFormat/>
    <w:uiPriority w:val="9"/>
    <w:pPr>
      <w:spacing w:before="260" w:after="260" w:line="416" w:lineRule="auto"/>
      <w:outlineLvl w:val="1"/>
    </w:pPr>
    <w:rPr>
      <w:rFonts w:asciiTheme="majorHAnsi" w:hAnsiTheme="majorHAnsi" w:eastAsiaTheme="majorEastAsia" w:cstheme="majorBidi"/>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2"/>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632218024824609"/>
          <c:y val="0.1232779587405"/>
          <c:w val="0.85355"/>
          <c:h val="0.709566666666667"/>
        </c:manualLayout>
      </c:layout>
      <c:barChart>
        <c:barDir val="col"/>
        <c:grouping val="clustered"/>
        <c:varyColors val="0"/>
        <c:ser>
          <c:idx val="0"/>
          <c:order val="0"/>
          <c:tx>
            <c:strRef>
              <c:f>Sheet1!$B$1</c:f>
              <c:strCache>
                <c:ptCount val="1"/>
                <c:pt idx="0">
                  <c:v>收、支决算总计变动情况图（单位：万元）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2020年度支总计</c:v>
                </c:pt>
                <c:pt idx="1">
                  <c:v>2021年度收、支总计</c:v>
                </c:pt>
              </c:strCache>
            </c:strRef>
          </c:cat>
          <c:val>
            <c:numRef>
              <c:f>Sheet1!$B$2:$B$3</c:f>
              <c:numCache>
                <c:formatCode>General</c:formatCode>
                <c:ptCount val="2"/>
                <c:pt idx="0">
                  <c:v>388.85</c:v>
                </c:pt>
                <c:pt idx="1">
                  <c:v>252.84</c:v>
                </c:pt>
              </c:numCache>
            </c:numRef>
          </c:val>
        </c:ser>
        <c:dLbls>
          <c:showLegendKey val="0"/>
          <c:showVal val="0"/>
          <c:showCatName val="0"/>
          <c:showSerName val="0"/>
          <c:showPercent val="0"/>
          <c:showBubbleSize val="0"/>
        </c:dLbls>
        <c:gapWidth val="219"/>
        <c:overlap val="-27"/>
        <c:axId val="399046384"/>
        <c:axId val="399759256"/>
      </c:barChart>
      <c:catAx>
        <c:axId val="39904638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9759256"/>
        <c:crosses val="autoZero"/>
        <c:auto val="1"/>
        <c:lblAlgn val="ctr"/>
        <c:lblOffset val="100"/>
        <c:noMultiLvlLbl val="0"/>
      </c:catAx>
      <c:valAx>
        <c:axId val="399759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90463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201.29</c:v>
                </c:pt>
                <c:pt idx="1">
                  <c:v>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869375"/>
          <c:y val="0.922666666666667"/>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199.04</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4106201864613"/>
          <c:y val="0.023231031543052"/>
        </c:manualLayout>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财政拨款收、支决算总计变动情况（单位：万元）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2020年财政拨款收、支总计</c:v>
                </c:pt>
                <c:pt idx="1">
                  <c:v>2021年财政拨款收、支总计</c:v>
                </c:pt>
              </c:strCache>
            </c:strRef>
          </c:cat>
          <c:val>
            <c:numRef>
              <c:f>Sheet1!$B$2:$B$3</c:f>
              <c:numCache>
                <c:formatCode>General</c:formatCode>
                <c:ptCount val="2"/>
                <c:pt idx="0">
                  <c:v>222.81</c:v>
                </c:pt>
                <c:pt idx="1">
                  <c:v>201.83</c:v>
                </c:pt>
              </c:numCache>
            </c:numRef>
          </c:val>
        </c:ser>
        <c:dLbls>
          <c:showLegendKey val="0"/>
          <c:showVal val="0"/>
          <c:showCatName val="0"/>
          <c:showSerName val="0"/>
          <c:showPercent val="0"/>
          <c:showBubbleSize val="0"/>
        </c:dLbls>
        <c:gapWidth val="219"/>
        <c:overlap val="-27"/>
        <c:axId val="399760824"/>
        <c:axId val="345204616"/>
      </c:barChart>
      <c:catAx>
        <c:axId val="3997608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5204616"/>
        <c:crosses val="autoZero"/>
        <c:auto val="1"/>
        <c:lblAlgn val="ctr"/>
        <c:lblOffset val="100"/>
        <c:noMultiLvlLbl val="0"/>
      </c:catAx>
      <c:valAx>
        <c:axId val="345204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97608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一般公共预算财政拨款支出决算变动情况（单位：万元）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2020年一般公共预算财政拨款支出</c:v>
                </c:pt>
                <c:pt idx="1">
                  <c:v>2021年一般公共预算财政拨款支出</c:v>
                </c:pt>
              </c:strCache>
            </c:strRef>
          </c:cat>
          <c:val>
            <c:numRef>
              <c:f>Sheet1!$B$2:$B$3</c:f>
              <c:numCache>
                <c:formatCode>General</c:formatCode>
                <c:ptCount val="2"/>
                <c:pt idx="0">
                  <c:v>579.78</c:v>
                </c:pt>
                <c:pt idx="1">
                  <c:v>336.04</c:v>
                </c:pt>
              </c:numCache>
            </c:numRef>
          </c:val>
        </c:ser>
        <c:dLbls>
          <c:showLegendKey val="0"/>
          <c:showVal val="0"/>
          <c:showCatName val="0"/>
          <c:showSerName val="0"/>
          <c:showPercent val="0"/>
          <c:showBubbleSize val="0"/>
        </c:dLbls>
        <c:gapWidth val="219"/>
        <c:overlap val="-27"/>
        <c:axId val="345205400"/>
        <c:axId val="345205792"/>
      </c:barChart>
      <c:catAx>
        <c:axId val="3452054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5205792"/>
        <c:crosses val="autoZero"/>
        <c:auto val="1"/>
        <c:lblAlgn val="ctr"/>
        <c:lblOffset val="100"/>
        <c:noMultiLvlLbl val="0"/>
      </c:catAx>
      <c:valAx>
        <c:axId val="345205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52054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社会保障和就业（类）支出</c:v>
                </c:pt>
                <c:pt idx="1">
                  <c:v>卫生健康支出</c:v>
                </c:pt>
                <c:pt idx="2">
                  <c:v>自然资源海洋气象等支出</c:v>
                </c:pt>
                <c:pt idx="3">
                  <c:v>住房保障支出</c:v>
                </c:pt>
              </c:strCache>
            </c:strRef>
          </c:cat>
          <c:val>
            <c:numRef>
              <c:f>Sheet1!$B$2:$B$5</c:f>
              <c:numCache>
                <c:formatCode>General</c:formatCode>
                <c:ptCount val="4"/>
                <c:pt idx="0">
                  <c:v>15.74</c:v>
                </c:pt>
                <c:pt idx="1">
                  <c:v>7.87</c:v>
                </c:pt>
                <c:pt idx="2">
                  <c:v>158.63</c:v>
                </c:pt>
                <c:pt idx="3">
                  <c:v>16.8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2"/>
              <c:layout>
                <c:manualLayout>
                  <c:x val="-0.0198217020798606"/>
                  <c:y val="0.0023617368675892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公务接待费支出决算</c:v>
                </c:pt>
              </c:strCache>
            </c:strRef>
          </c:cat>
          <c:val>
            <c:numRef>
              <c:f>Sheet1!$B$2:$B$4</c:f>
              <c:numCache>
                <c:formatCode>General</c:formatCode>
                <c:ptCount val="3"/>
                <c:pt idx="0">
                  <c:v>0</c:v>
                </c:pt>
                <c:pt idx="1">
                  <c:v>1.79</c:v>
                </c:pt>
                <c:pt idx="2">
                  <c:v>0.52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8901</Words>
  <Characters>9455</Characters>
  <Lines>70</Lines>
  <Paragraphs>19</Paragraphs>
  <TotalTime>27</TotalTime>
  <ScaleCrop>false</ScaleCrop>
  <LinksUpToDate>false</LinksUpToDate>
  <CharactersWithSpaces>9551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WPS_1466565073</cp:lastModifiedBy>
  <cp:lastPrinted>2022-08-06T02:23:00Z</cp:lastPrinted>
  <dcterms:modified xsi:type="dcterms:W3CDTF">2023-06-27T00:51:17Z</dcterms:modified>
  <dc:title>四川省***</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18C4299B72334D3095585539B3212D20</vt:lpwstr>
  </property>
</Properties>
</file>